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06B0330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4593033D">
            <w:pPr>
              <w:rPr>
                <w:sz w:val="30"/>
                <w:szCs w:val="30"/>
              </w:rPr>
            </w:pPr>
            <w:r>
              <w:rPr>
                <w:rFonts w:hint="eastAsia"/>
                <w:sz w:val="30"/>
                <w:szCs w:val="30"/>
              </w:rPr>
              <w:t>BAZXCG-2025-00061</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150FB2F">
            <w:pPr>
              <w:rPr>
                <w:sz w:val="30"/>
                <w:szCs w:val="30"/>
              </w:rPr>
            </w:pPr>
            <w:r>
              <w:rPr>
                <w:rFonts w:hint="eastAsia" w:ascii="宋体" w:hAnsi="宋体" w:cs="宋体"/>
                <w:kern w:val="0"/>
                <w:sz w:val="30"/>
                <w:szCs w:val="30"/>
                <w:lang w:bidi="ar"/>
              </w:rPr>
              <w:t>深圳市宝安区清平实验学校</w:t>
            </w:r>
            <w:r>
              <w:rPr>
                <w:rFonts w:hint="eastAsia" w:ascii="宋体" w:hAnsi="宋体" w:cs="宋体"/>
                <w:kern w:val="0"/>
                <w:sz w:val="30"/>
                <w:szCs w:val="30"/>
                <w:lang w:val="en-US" w:eastAsia="zh-CN" w:bidi="ar"/>
              </w:rPr>
              <w:t>东校区</w:t>
            </w:r>
            <w:r>
              <w:rPr>
                <w:rFonts w:hint="eastAsia" w:ascii="宋体" w:hAnsi="宋体" w:cs="宋体"/>
                <w:kern w:val="0"/>
                <w:sz w:val="30"/>
                <w:szCs w:val="30"/>
                <w:lang w:bidi="ar"/>
              </w:rPr>
              <w:t>课桌椅采购项目</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13A75CC">
            <w:pPr>
              <w:widowControl/>
              <w:jc w:val="left"/>
              <w:rPr>
                <w:sz w:val="30"/>
                <w:szCs w:val="30"/>
              </w:rPr>
            </w:pPr>
            <w:r>
              <w:rPr>
                <w:rFonts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80F5827">
            <w:pPr>
              <w:widowControl/>
              <w:jc w:val="left"/>
              <w:rPr>
                <w:sz w:val="30"/>
                <w:szCs w:val="30"/>
              </w:rPr>
            </w:pPr>
            <w:r>
              <w:rPr>
                <w:rFonts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6A4B211">
            <w:pPr>
              <w:widowControl/>
              <w:jc w:val="left"/>
              <w:rPr>
                <w:sz w:val="30"/>
                <w:szCs w:val="30"/>
              </w:rPr>
            </w:pPr>
            <w:r>
              <w:rPr>
                <w:rFonts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262FE16">
            <w:pPr>
              <w:widowControl/>
              <w:jc w:val="left"/>
              <w:rPr>
                <w:sz w:val="30"/>
                <w:szCs w:val="30"/>
              </w:rPr>
            </w:pPr>
            <w:r>
              <w:rPr>
                <w:rFonts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65841868">
            <w:pPr>
              <w:widowControl/>
              <w:jc w:val="left"/>
              <w:rPr>
                <w:sz w:val="30"/>
                <w:szCs w:val="30"/>
              </w:rPr>
            </w:pPr>
            <w:r>
              <w:rPr>
                <w:rFonts w:ascii="宋体" w:hAnsi="宋体" w:cs="宋体"/>
                <w:kern w:val="0"/>
                <w:sz w:val="30"/>
                <w:szCs w:val="30"/>
                <w:lang w:bidi="ar"/>
              </w:rPr>
              <w:t>综合评分法</w:t>
            </w:r>
          </w:p>
        </w:tc>
      </w:tr>
      <w:bookmarkEnd w:id="0"/>
    </w:tbl>
    <w:p w14:paraId="025DB05D">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6DA6D8C">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61B1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153388">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E17FE8">
            <w:pPr>
              <w:widowControl/>
              <w:jc w:val="center"/>
              <w:rPr>
                <w:sz w:val="28"/>
                <w:szCs w:val="28"/>
              </w:rPr>
            </w:pPr>
            <w:r>
              <w:rPr>
                <w:rFonts w:ascii="宋体" w:hAnsi="宋体" w:cs="宋体"/>
                <w:kern w:val="0"/>
                <w:sz w:val="28"/>
                <w:szCs w:val="28"/>
                <w:lang w:bidi="ar"/>
              </w:rPr>
              <w:t>内容</w:t>
            </w:r>
          </w:p>
        </w:tc>
      </w:tr>
      <w:tr w14:paraId="7C95F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6FF9D8">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3D89E8">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24D047EE">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widowControl/>
              <w:jc w:val="center"/>
              <w:rPr>
                <w:sz w:val="28"/>
                <w:szCs w:val="28"/>
              </w:rPr>
            </w:pPr>
            <w:r>
              <w:rPr>
                <w:rFonts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widowControl/>
              <w:jc w:val="left"/>
              <w:textAlignment w:val="top"/>
              <w:rPr>
                <w:szCs w:val="21"/>
              </w:rPr>
            </w:pPr>
            <w:r>
              <w:rPr>
                <w:rFonts w:hint="eastAsia"/>
                <w:lang w:val="en-US" w:eastAsia="zh-CN"/>
              </w:rPr>
              <w:t>不得</w:t>
            </w:r>
            <w:r>
              <w:rPr>
                <w:rFonts w:hint="eastAsia"/>
              </w:rPr>
              <w:t>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widowControl/>
              <w:jc w:val="left"/>
              <w:textAlignment w:val="top"/>
              <w:rPr>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widowControl/>
              <w:jc w:val="left"/>
              <w:textAlignment w:val="top"/>
              <w:rPr>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widowControl/>
              <w:jc w:val="left"/>
              <w:textAlignment w:val="top"/>
              <w:rPr>
                <w:szCs w:val="21"/>
              </w:rPr>
            </w:pPr>
            <w:r>
              <w:rPr>
                <w:rFonts w:hint="eastAsia"/>
              </w:rPr>
              <w:t>法律、法规、规章、规范性文件规定的其他情形。</w:t>
            </w:r>
          </w:p>
        </w:tc>
      </w:tr>
    </w:tbl>
    <w:p w14:paraId="65D21EFA">
      <w:pPr>
        <w:pStyle w:val="15"/>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2CFFB922">
      <w:pPr>
        <w:pStyle w:val="15"/>
        <w:widowControl/>
        <w:jc w:val="center"/>
        <w:outlineLvl w:val="1"/>
        <w:rPr>
          <w:rFonts w:ascii="黑体" w:hAnsi="宋体" w:eastAsia="黑体" w:cs="黑体"/>
          <w:sz w:val="40"/>
          <w:szCs w:val="40"/>
        </w:rPr>
      </w:pPr>
      <w:bookmarkStart w:id="139" w:name="_GoBack"/>
      <w:bookmarkEnd w:id="139"/>
      <w:r>
        <w:rPr>
          <w:rFonts w:hint="eastAsia" w:ascii="黑体" w:hAnsi="宋体" w:eastAsia="黑体" w:cs="黑体"/>
          <w:sz w:val="40"/>
          <w:szCs w:val="40"/>
        </w:rPr>
        <w:t>评标信息</w:t>
      </w:r>
    </w:p>
    <w:tbl>
      <w:tblPr>
        <w:tblStyle w:val="17"/>
        <w:tblW w:w="9224"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146"/>
        <w:gridCol w:w="535"/>
        <w:gridCol w:w="681"/>
        <w:gridCol w:w="2005"/>
        <w:gridCol w:w="946"/>
        <w:gridCol w:w="4765"/>
        <w:gridCol w:w="146"/>
      </w:tblGrid>
      <w:tr w14:paraId="7845B2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6E703EC3">
            <w:pPr>
              <w:jc w:val="left"/>
              <w:rPr>
                <w:rFonts w:ascii="宋体"/>
                <w:b/>
                <w:bCs/>
                <w:sz w:val="24"/>
              </w:rPr>
            </w:pPr>
            <w:r>
              <w:rPr>
                <w:b/>
                <w:bCs/>
              </w:rPr>
              <w:t>评标方法：综合评分法</w:t>
            </w:r>
          </w:p>
        </w:tc>
      </w:tr>
      <w:tr w14:paraId="78048F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277DE5C5">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14:paraId="1921CCAE">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14:paraId="6889971C">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7DE88982">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65421CF4">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60D50F01">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63140F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0218BE06">
            <w:pPr>
              <w:widowControl/>
              <w:wordWrap w:val="0"/>
              <w:jc w:val="center"/>
              <w:rPr>
                <w:rFonts w:hint="eastAsia" w:asciiTheme="minorEastAsia" w:hAnsiTheme="minorEastAsia" w:eastAsiaTheme="minorEastAsia" w:cstheme="minorEastAsia"/>
                <w:b/>
                <w:bCs/>
                <w:szCs w:val="21"/>
              </w:rPr>
            </w:pPr>
            <w:bookmarkStart w:id="2" w:name="_Hlk72360569"/>
            <w:r>
              <w:rPr>
                <w:rFonts w:hint="eastAsia" w:asciiTheme="minorEastAsia" w:hAnsiTheme="minorEastAsia" w:eastAsiaTheme="minorEastAsia" w:cstheme="minorEastAsia"/>
                <w:b/>
                <w:bCs/>
                <w:kern w:val="0"/>
                <w:szCs w:val="21"/>
                <w:lang w:bidi="ar"/>
              </w:rPr>
              <w:t>序号</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505A6992">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评分项</w:t>
            </w:r>
          </w:p>
        </w:tc>
        <w:tc>
          <w:tcPr>
            <w:tcW w:w="4765"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4EB1C82">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权重(%)</w:t>
            </w:r>
          </w:p>
        </w:tc>
      </w:tr>
      <w:tr w14:paraId="1AC99E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E1744CD">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1</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218E1275">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价格</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320663">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30</w:t>
            </w:r>
          </w:p>
        </w:tc>
      </w:tr>
      <w:tr w14:paraId="0650E1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64239F2">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66CC8222">
            <w:pPr>
              <w:rPr>
                <w:rFonts w:hint="eastAsia" w:asciiTheme="minorEastAsia" w:hAnsiTheme="minorEastAsia" w:eastAsiaTheme="minorEastAsia" w:cstheme="minorEastAsia"/>
                <w:szCs w:val="21"/>
              </w:rPr>
            </w:pPr>
          </w:p>
        </w:tc>
      </w:tr>
      <w:tr w14:paraId="5835CE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4A6A0D46">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2</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664EDA4">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技术部分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2E1EED">
            <w:pPr>
              <w:widowControl/>
              <w:wordWrap w:val="0"/>
              <w:jc w:val="center"/>
              <w:rPr>
                <w:rFonts w:hint="default" w:asciiTheme="minorEastAsia" w:hAnsiTheme="minorEastAsia" w:eastAsiaTheme="minorEastAsia" w:cstheme="minorEastAsia"/>
                <w:b/>
                <w:bCs/>
                <w:color w:val="0000FF"/>
                <w:szCs w:val="21"/>
                <w:lang w:val="en-US" w:eastAsia="zh-CN"/>
              </w:rPr>
            </w:pPr>
            <w:r>
              <w:rPr>
                <w:rFonts w:hint="eastAsia" w:asciiTheme="minorEastAsia" w:hAnsiTheme="minorEastAsia" w:cstheme="minorEastAsia"/>
                <w:b/>
                <w:bCs/>
                <w:color w:val="0000FF"/>
                <w:szCs w:val="21"/>
                <w:lang w:val="en-US" w:eastAsia="zh-CN"/>
              </w:rPr>
              <w:t>59</w:t>
            </w:r>
          </w:p>
        </w:tc>
      </w:tr>
      <w:tr w14:paraId="478636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134560BD">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6A22FBEC">
            <w:pPr>
              <w:rPr>
                <w:rFonts w:hint="eastAsia" w:asciiTheme="minorEastAsia" w:hAnsiTheme="minorEastAsia" w:eastAsiaTheme="minorEastAsia" w:cstheme="minorEastAsia"/>
                <w:szCs w:val="21"/>
              </w:rPr>
            </w:pPr>
          </w:p>
        </w:tc>
      </w:tr>
      <w:tr w14:paraId="5A5378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2833CD32">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1E2483E">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4C741AC">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080EA2D">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3F9F870">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5F5F28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63464346">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6DEB62">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BF9FAA">
            <w:pPr>
              <w:snapToGrid w:val="0"/>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“▲”参数响应情况评价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DB1083">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28</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78BEBAE8">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4A46183A">
            <w:pPr>
              <w:snapToGrid w:val="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考察投标人对招标文件</w:t>
            </w:r>
            <w:r>
              <w:rPr>
                <w:rFonts w:hint="eastAsia" w:asciiTheme="minorEastAsia" w:hAnsiTheme="minorEastAsia" w:eastAsiaTheme="minorEastAsia" w:cstheme="minorEastAsia"/>
                <w:b/>
                <w:bCs/>
                <w:kern w:val="0"/>
                <w:szCs w:val="21"/>
              </w:rPr>
              <w:t>《第一册 专用条款 第三章 用户需求书：</w:t>
            </w:r>
            <w:r>
              <w:rPr>
                <w:rFonts w:hint="eastAsia" w:asciiTheme="minorEastAsia" w:hAnsiTheme="minorEastAsia" w:cstheme="minorEastAsia"/>
                <w:b/>
                <w:bCs/>
                <w:kern w:val="0"/>
                <w:szCs w:val="21"/>
                <w:lang w:val="en-US" w:eastAsia="zh-CN"/>
              </w:rPr>
              <w:t>四</w:t>
            </w:r>
            <w:r>
              <w:rPr>
                <w:rFonts w:hint="eastAsia" w:asciiTheme="minorEastAsia" w:hAnsiTheme="minorEastAsia" w:eastAsiaTheme="minorEastAsia" w:cstheme="minorEastAsia"/>
                <w:b/>
                <w:bCs/>
                <w:kern w:val="0"/>
                <w:szCs w:val="21"/>
              </w:rPr>
              <w:t>、技术要求》</w:t>
            </w:r>
            <w:r>
              <w:rPr>
                <w:rFonts w:hint="eastAsia" w:asciiTheme="minorEastAsia" w:hAnsiTheme="minorEastAsia" w:eastAsiaTheme="minorEastAsia" w:cstheme="minorEastAsia"/>
                <w:kern w:val="0"/>
                <w:szCs w:val="21"/>
              </w:rPr>
              <w:t>内容中的</w:t>
            </w:r>
            <w:r>
              <w:rPr>
                <w:rFonts w:hint="eastAsia" w:asciiTheme="minorEastAsia" w:hAnsiTheme="minorEastAsia" w:eastAsiaTheme="minorEastAsia" w:cstheme="minorEastAsia"/>
                <w:b/>
                <w:bCs/>
                <w:kern w:val="0"/>
                <w:szCs w:val="21"/>
              </w:rPr>
              <w:t>“▲”参数响应</w:t>
            </w:r>
            <w:r>
              <w:rPr>
                <w:rFonts w:hint="eastAsia" w:asciiTheme="minorEastAsia" w:hAnsiTheme="minorEastAsia" w:eastAsiaTheme="minorEastAsia" w:cstheme="minorEastAsia"/>
                <w:kern w:val="0"/>
                <w:szCs w:val="21"/>
              </w:rPr>
              <w:t>情况。</w:t>
            </w:r>
          </w:p>
          <w:p w14:paraId="6B62D653">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35179ECA">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kern w:val="0"/>
                <w:szCs w:val="21"/>
              </w:rPr>
              <w:t>以投标文件《技术要求偏离表》为评审依据，完全符合招标要求的，得100分。每1项“▲”参数不符合招标要求（或缺漏）的</w:t>
            </w:r>
            <w:r>
              <w:rPr>
                <w:rFonts w:hint="eastAsia" w:asciiTheme="minorEastAsia" w:hAnsiTheme="minorEastAsia" w:eastAsiaTheme="minorEastAsia" w:cstheme="minorEastAsia"/>
                <w:color w:val="0000FF"/>
                <w:kern w:val="0"/>
                <w:szCs w:val="21"/>
                <w:highlight w:val="yellow"/>
              </w:rPr>
              <w:t>扣</w:t>
            </w:r>
            <w:r>
              <w:rPr>
                <w:rFonts w:hint="eastAsia" w:asciiTheme="minorEastAsia" w:hAnsiTheme="minorEastAsia" w:cstheme="minorEastAsia"/>
                <w:color w:val="0000FF"/>
                <w:kern w:val="0"/>
                <w:szCs w:val="21"/>
                <w:highlight w:val="yellow"/>
                <w:lang w:val="en-US" w:eastAsia="zh-CN"/>
              </w:rPr>
              <w:t>16.67</w:t>
            </w:r>
            <w:r>
              <w:rPr>
                <w:rFonts w:hint="eastAsia" w:asciiTheme="minorEastAsia" w:hAnsiTheme="minorEastAsia" w:eastAsiaTheme="minorEastAsia" w:cstheme="minorEastAsia"/>
                <w:color w:val="0000FF"/>
                <w:kern w:val="0"/>
                <w:szCs w:val="21"/>
                <w:highlight w:val="yellow"/>
              </w:rPr>
              <w:t>分</w:t>
            </w:r>
            <w:r>
              <w:rPr>
                <w:rFonts w:hint="eastAsia" w:asciiTheme="minorEastAsia" w:hAnsiTheme="minorEastAsia" w:eastAsiaTheme="minorEastAsia" w:cstheme="minorEastAsia"/>
                <w:color w:val="0000FF"/>
                <w:kern w:val="0"/>
                <w:szCs w:val="21"/>
              </w:rPr>
              <w:t>，最低得0分。</w:t>
            </w:r>
          </w:p>
        </w:tc>
      </w:tr>
      <w:tr w14:paraId="2741D6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ABE3262">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0B79FF">
            <w:pPr>
              <w:widowControl/>
              <w:wordWrap w:val="0"/>
              <w:jc w:val="center"/>
              <w:textAlignment w:val="top"/>
              <w:rPr>
                <w:rFonts w:hint="eastAsia"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2</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E50600">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非“</w:t>
            </w:r>
            <w:r>
              <w:rPr>
                <w:rFonts w:hint="eastAsia" w:asciiTheme="minorEastAsia" w:hAnsiTheme="minorEastAsia" w:eastAsiaTheme="minorEastAsia" w:cstheme="minorEastAsia"/>
                <w:bCs/>
                <w:szCs w:val="21"/>
              </w:rPr>
              <w:t>▲”参数</w:t>
            </w:r>
            <w:r>
              <w:rPr>
                <w:rFonts w:hint="eastAsia" w:asciiTheme="minorEastAsia" w:hAnsiTheme="minorEastAsia" w:eastAsiaTheme="minorEastAsia" w:cstheme="minorEastAsia"/>
                <w:szCs w:val="21"/>
              </w:rPr>
              <w:t>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3A128E">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w:t>
            </w:r>
            <w:r>
              <w:rPr>
                <w:rFonts w:hint="eastAsia" w:asciiTheme="minorEastAsia" w:hAnsiTheme="minorEastAsia" w:cstheme="minorEastAsia"/>
                <w:szCs w:val="21"/>
                <w:lang w:val="en-US" w:eastAsia="zh-CN"/>
              </w:rPr>
              <w:t>2</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34BB9067">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363BB4FE">
            <w:pPr>
              <w:widowControl/>
              <w:spacing w:line="300" w:lineRule="exact"/>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考察投标人对招标文件</w:t>
            </w:r>
            <w:r>
              <w:rPr>
                <w:rFonts w:hint="eastAsia" w:asciiTheme="minorEastAsia" w:hAnsiTheme="minorEastAsia" w:eastAsiaTheme="minorEastAsia" w:cstheme="minorEastAsia"/>
                <w:b/>
                <w:bCs/>
                <w:kern w:val="0"/>
                <w:szCs w:val="21"/>
              </w:rPr>
              <w:t>《第一册 专用条款 第三章 用户需求书：</w:t>
            </w:r>
            <w:r>
              <w:rPr>
                <w:rFonts w:hint="eastAsia" w:asciiTheme="minorEastAsia" w:hAnsiTheme="minorEastAsia" w:cstheme="minorEastAsia"/>
                <w:b/>
                <w:bCs/>
                <w:kern w:val="0"/>
                <w:szCs w:val="21"/>
                <w:lang w:val="en-US" w:eastAsia="zh-CN"/>
              </w:rPr>
              <w:t>四</w:t>
            </w:r>
            <w:r>
              <w:rPr>
                <w:rFonts w:hint="eastAsia" w:asciiTheme="minorEastAsia" w:hAnsiTheme="minorEastAsia" w:eastAsiaTheme="minorEastAsia" w:cstheme="minorEastAsia"/>
                <w:b/>
                <w:bCs/>
                <w:kern w:val="0"/>
                <w:szCs w:val="21"/>
              </w:rPr>
              <w:t>、技术要求》</w:t>
            </w:r>
            <w:r>
              <w:rPr>
                <w:rFonts w:hint="eastAsia" w:asciiTheme="minorEastAsia" w:hAnsiTheme="minorEastAsia" w:eastAsiaTheme="minorEastAsia" w:cstheme="minorEastAsia"/>
                <w:kern w:val="0"/>
                <w:szCs w:val="21"/>
              </w:rPr>
              <w:t>内容中的</w:t>
            </w:r>
            <w:r>
              <w:rPr>
                <w:rFonts w:hint="eastAsia" w:asciiTheme="minorEastAsia" w:hAnsiTheme="minorEastAsia" w:eastAsiaTheme="minorEastAsia" w:cstheme="minorEastAsia"/>
                <w:b/>
                <w:kern w:val="0"/>
                <w:szCs w:val="21"/>
              </w:rPr>
              <w:t>非“▲”参数响应</w:t>
            </w:r>
            <w:r>
              <w:rPr>
                <w:rFonts w:hint="eastAsia" w:asciiTheme="minorEastAsia" w:hAnsiTheme="minorEastAsia" w:eastAsiaTheme="minorEastAsia" w:cstheme="minorEastAsia"/>
                <w:kern w:val="0"/>
                <w:szCs w:val="21"/>
              </w:rPr>
              <w:t>情况。</w:t>
            </w:r>
          </w:p>
          <w:p w14:paraId="552DF6A9">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3B896601">
            <w:pPr>
              <w:autoSpaceDE w:val="0"/>
              <w:autoSpaceDN w:val="0"/>
              <w:adjustRightInd w:val="0"/>
              <w:spacing w:line="300" w:lineRule="exact"/>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kern w:val="0"/>
                <w:szCs w:val="21"/>
              </w:rPr>
              <w:t>以投标文件《技术要求偏离表》为评审依据，完全符合招标要求的，得100分。每1项非“▲”参数不符合招标要求（或缺漏）的</w:t>
            </w:r>
            <w:r>
              <w:rPr>
                <w:rFonts w:hint="eastAsia" w:asciiTheme="minorEastAsia" w:hAnsiTheme="minorEastAsia" w:eastAsiaTheme="minorEastAsia" w:cstheme="minorEastAsia"/>
                <w:color w:val="0000FF"/>
                <w:kern w:val="0"/>
                <w:szCs w:val="21"/>
                <w:highlight w:val="yellow"/>
              </w:rPr>
              <w:t>扣</w:t>
            </w:r>
            <w:r>
              <w:rPr>
                <w:rFonts w:hint="eastAsia" w:asciiTheme="minorEastAsia" w:hAnsiTheme="minorEastAsia" w:cstheme="minorEastAsia"/>
                <w:color w:val="0000FF"/>
                <w:kern w:val="0"/>
                <w:szCs w:val="21"/>
                <w:highlight w:val="yellow"/>
                <w:lang w:val="en-US" w:eastAsia="zh-CN"/>
              </w:rPr>
              <w:t>1.3</w:t>
            </w:r>
            <w:r>
              <w:rPr>
                <w:rFonts w:hint="eastAsia" w:asciiTheme="minorEastAsia" w:hAnsiTheme="minorEastAsia" w:eastAsiaTheme="minorEastAsia" w:cstheme="minorEastAsia"/>
                <w:color w:val="0000FF"/>
                <w:kern w:val="0"/>
                <w:szCs w:val="21"/>
                <w:highlight w:val="yellow"/>
              </w:rPr>
              <w:t>分</w:t>
            </w:r>
            <w:r>
              <w:rPr>
                <w:rFonts w:hint="eastAsia" w:asciiTheme="minorEastAsia" w:hAnsiTheme="minorEastAsia" w:eastAsiaTheme="minorEastAsia" w:cstheme="minorEastAsia"/>
                <w:color w:val="0000FF"/>
                <w:kern w:val="0"/>
                <w:szCs w:val="21"/>
              </w:rPr>
              <w:t>，最低得0分。</w:t>
            </w:r>
          </w:p>
        </w:tc>
      </w:tr>
      <w:tr w14:paraId="597142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5CCC7CDA">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E4AE26">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eastAsiaTheme="minorEastAsia" w:cstheme="minorEastAsia"/>
                <w:kern w:val="0"/>
                <w:szCs w:val="21"/>
                <w:lang w:val="en-US" w:eastAsia="zh-CN" w:bidi="ar"/>
              </w:rPr>
              <w:t>3</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3D170D">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项目实施方案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D750A7">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8</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7446DCC6">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62CF8D9C">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根据投标人提供的项目实施方案进行评价，包括但不限于以下内容：</w:t>
            </w:r>
          </w:p>
          <w:p w14:paraId="2D29A80E">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项目进度计划安排；</w:t>
            </w:r>
          </w:p>
          <w:p w14:paraId="48D7A8AE">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施工组织计划；</w:t>
            </w:r>
          </w:p>
          <w:p w14:paraId="0E1823BB">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验收组织计划；</w:t>
            </w:r>
          </w:p>
          <w:p w14:paraId="53C64AEC">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产品培训方案。</w:t>
            </w:r>
          </w:p>
          <w:p w14:paraId="5A5EE0AF">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4DB61520">
            <w:pPr>
              <w:widowControl/>
              <w:ind w:firstLine="422" w:firstLineChars="200"/>
              <w:jc w:val="left"/>
              <w:textAlignment w:val="center"/>
              <w:rPr>
                <w:rFonts w:hint="eastAsia" w:asciiTheme="minorEastAsia" w:hAnsiTheme="minorEastAsia" w:eastAsiaTheme="minorEastAsia" w:cstheme="minorEastAsia"/>
                <w:b/>
                <w:bCs/>
                <w:color w:val="0000FF"/>
                <w:kern w:val="0"/>
                <w:szCs w:val="21"/>
                <w:lang w:bidi="ar"/>
              </w:rPr>
            </w:pPr>
            <w:r>
              <w:rPr>
                <w:rFonts w:hint="eastAsia" w:asciiTheme="minorEastAsia" w:hAnsiTheme="minorEastAsia" w:eastAsiaTheme="minorEastAsia" w:cstheme="minorEastAsia"/>
                <w:b/>
                <w:bCs/>
                <w:color w:val="0000FF"/>
                <w:kern w:val="0"/>
                <w:szCs w:val="21"/>
                <w:lang w:bidi="ar"/>
              </w:rPr>
              <w:t>1、方案满足上述任意一项得15分，最高得60分。</w:t>
            </w:r>
          </w:p>
          <w:p w14:paraId="58458AAE">
            <w:pPr>
              <w:widowControl/>
              <w:ind w:firstLine="422" w:firstLineChars="200"/>
              <w:jc w:val="left"/>
              <w:textAlignment w:val="center"/>
              <w:rPr>
                <w:rFonts w:hint="eastAsia" w:asciiTheme="minorEastAsia" w:hAnsiTheme="minorEastAsia" w:eastAsiaTheme="minorEastAsia" w:cstheme="minorEastAsia"/>
                <w:b/>
                <w:bCs/>
                <w:color w:val="0000FF"/>
                <w:kern w:val="0"/>
                <w:szCs w:val="21"/>
                <w:lang w:bidi="ar"/>
              </w:rPr>
            </w:pPr>
            <w:r>
              <w:rPr>
                <w:rFonts w:hint="eastAsia" w:asciiTheme="minorEastAsia" w:hAnsiTheme="minorEastAsia" w:eastAsiaTheme="minorEastAsia" w:cstheme="minorEastAsia"/>
                <w:b/>
                <w:bCs/>
                <w:color w:val="0000FF"/>
                <w:kern w:val="0"/>
                <w:szCs w:val="21"/>
                <w:lang w:bidi="ar"/>
              </w:rPr>
              <w:t>2、在此基础上，由评审委员会根据方案响应情况进一步评审：</w:t>
            </w:r>
          </w:p>
          <w:p w14:paraId="324F1FF0">
            <w:pPr>
              <w:widowControl/>
              <w:spacing w:line="240" w:lineRule="auto"/>
              <w:ind w:firstLine="420" w:firstLineChars="200"/>
              <w:jc w:val="left"/>
              <w:textAlignment w:val="center"/>
              <w:rPr>
                <w:rFonts w:hint="eastAsia" w:asciiTheme="minorEastAsia" w:hAnsiTheme="minorEastAsia" w:eastAsiaTheme="minorEastAsia" w:cstheme="minorEastAsia"/>
                <w:color w:val="0000FF"/>
                <w:kern w:val="0"/>
                <w:szCs w:val="21"/>
                <w:lang w:bidi="ar"/>
              </w:rPr>
            </w:pPr>
            <w:r>
              <w:rPr>
                <w:rFonts w:hint="eastAsia" w:asciiTheme="minorEastAsia" w:hAnsiTheme="minorEastAsia" w:eastAsiaTheme="minorEastAsia" w:cstheme="minorEastAsia"/>
                <w:color w:val="0000FF"/>
                <w:kern w:val="0"/>
                <w:szCs w:val="21"/>
                <w:lang w:bidi="ar"/>
              </w:rPr>
              <w:t>①方案极合理、条理极清晰、可操作性极强的得40分；</w:t>
            </w:r>
          </w:p>
          <w:p w14:paraId="6385EB0A">
            <w:pPr>
              <w:widowControl/>
              <w:spacing w:line="240" w:lineRule="auto"/>
              <w:ind w:firstLine="420" w:firstLineChars="200"/>
              <w:jc w:val="left"/>
              <w:textAlignment w:val="center"/>
              <w:rPr>
                <w:rFonts w:hint="eastAsia" w:asciiTheme="minorEastAsia" w:hAnsiTheme="minorEastAsia" w:eastAsiaTheme="minorEastAsia" w:cstheme="minorEastAsia"/>
                <w:color w:val="0000FF"/>
                <w:kern w:val="0"/>
                <w:szCs w:val="21"/>
                <w:highlight w:val="none"/>
                <w:lang w:bidi="ar"/>
              </w:rPr>
            </w:pPr>
            <w:r>
              <w:rPr>
                <w:rFonts w:hint="eastAsia" w:asciiTheme="minorEastAsia" w:hAnsiTheme="minorEastAsia" w:eastAsiaTheme="minorEastAsia" w:cstheme="minorEastAsia"/>
                <w:color w:val="0000FF"/>
                <w:kern w:val="0"/>
                <w:szCs w:val="21"/>
                <w:highlight w:val="none"/>
                <w:lang w:bidi="ar"/>
              </w:rPr>
              <w:t>②方案合理、条理清晰、可操作强的得20分；</w:t>
            </w:r>
          </w:p>
          <w:p w14:paraId="3A10D426">
            <w:pPr>
              <w:widowControl/>
              <w:spacing w:line="240" w:lineRule="auto"/>
              <w:ind w:firstLine="420" w:firstLineChars="200"/>
              <w:jc w:val="left"/>
              <w:textAlignment w:val="center"/>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kern w:val="0"/>
                <w:szCs w:val="21"/>
                <w:highlight w:val="none"/>
                <w:lang w:bidi="ar"/>
              </w:rPr>
              <w:t>③</w:t>
            </w:r>
            <w:r>
              <w:rPr>
                <w:rFonts w:hint="eastAsia" w:asciiTheme="minorEastAsia" w:hAnsiTheme="minorEastAsia" w:eastAsiaTheme="minorEastAsia" w:cstheme="minorEastAsia"/>
                <w:color w:val="0000FF"/>
                <w:kern w:val="0"/>
                <w:szCs w:val="21"/>
                <w:highlight w:val="none"/>
                <w:lang w:val="en-US" w:eastAsia="zh-CN" w:bidi="ar"/>
              </w:rPr>
              <w:t>方案极不合理、条理极不清晰、可操作极差的不得分。</w:t>
            </w:r>
          </w:p>
        </w:tc>
      </w:tr>
      <w:tr w14:paraId="791FEA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11416AA3">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E463BC">
            <w:pPr>
              <w:widowControl/>
              <w:wordWrap w:val="0"/>
              <w:jc w:val="center"/>
              <w:textAlignment w:val="top"/>
              <w:rPr>
                <w:rFonts w:hint="default" w:asciiTheme="minorEastAsia" w:hAnsiTheme="minorEastAsia" w:eastAsiaTheme="minorEastAsia" w:cstheme="minorEastAsia"/>
                <w:kern w:val="0"/>
                <w:szCs w:val="21"/>
                <w:lang w:val="en-US" w:eastAsia="zh-CN" w:bidi="ar"/>
              </w:rPr>
            </w:pPr>
            <w:r>
              <w:rPr>
                <w:rFonts w:hint="eastAsia" w:asciiTheme="minorEastAsia" w:hAnsiTheme="minorEastAsia" w:eastAsiaTheme="minorEastAsia" w:cstheme="minorEastAsia"/>
                <w:kern w:val="0"/>
                <w:szCs w:val="21"/>
                <w:lang w:val="en-US" w:eastAsia="zh-CN" w:bidi="ar"/>
              </w:rPr>
              <w:t>4</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BA0988">
            <w:pPr>
              <w:snapToGrid w:val="0"/>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售后服务方案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172801">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9</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14:paraId="0A215CFC">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66B6EBFA">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根据投标人提供的售后服务方案进行评价，包括但不限于以下内容：</w:t>
            </w:r>
          </w:p>
          <w:p w14:paraId="5C97BD4E">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1、服务内容；</w:t>
            </w:r>
          </w:p>
          <w:p w14:paraId="70094174">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2、维修应急方案；</w:t>
            </w:r>
          </w:p>
          <w:p w14:paraId="039D4F9D">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3、培训计划；</w:t>
            </w:r>
          </w:p>
          <w:p w14:paraId="4D1448F0">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4、其他特色服务等。</w:t>
            </w:r>
          </w:p>
          <w:p w14:paraId="0285BD19">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5BE5486C">
            <w:pPr>
              <w:snapToGrid w:val="0"/>
              <w:ind w:firstLine="422"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b/>
                <w:bCs/>
                <w:color w:val="0000FF"/>
                <w:szCs w:val="21"/>
              </w:rPr>
              <w:t>1、方案满足上述任意一项得15分，最高得60分。</w:t>
            </w:r>
          </w:p>
          <w:p w14:paraId="7A71DD10">
            <w:pPr>
              <w:snapToGrid w:val="0"/>
              <w:ind w:firstLine="422" w:firstLineChars="200"/>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rPr>
              <w:t>2、在此基础上，由评审委员会根据方案响应情况进一步评审：</w:t>
            </w:r>
          </w:p>
          <w:p w14:paraId="2FC065FC">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①方案极合理、条理极清晰、可操作性极强的得40分；</w:t>
            </w:r>
          </w:p>
          <w:p w14:paraId="1BCA5ED7">
            <w:pPr>
              <w:snapToGrid w:val="0"/>
              <w:ind w:firstLine="420" w:firstLineChars="200"/>
              <w:rPr>
                <w:rFonts w:hint="eastAsia" w:asciiTheme="minorEastAsia" w:hAnsiTheme="minorEastAsia" w:eastAsiaTheme="minorEastAsia" w:cstheme="minorEastAsia"/>
                <w:color w:val="0000FF"/>
                <w:szCs w:val="21"/>
                <w:highlight w:val="none"/>
              </w:rPr>
            </w:pPr>
            <w:r>
              <w:rPr>
                <w:rFonts w:hint="eastAsia" w:asciiTheme="minorEastAsia" w:hAnsiTheme="minorEastAsia" w:eastAsiaTheme="minorEastAsia" w:cstheme="minorEastAsia"/>
                <w:color w:val="0000FF"/>
                <w:szCs w:val="21"/>
                <w:highlight w:val="none"/>
              </w:rPr>
              <w:t>②方案合理、条理清晰、可操作强的得20分；</w:t>
            </w:r>
          </w:p>
          <w:p w14:paraId="3EA73690">
            <w:pPr>
              <w:snapToGrid w:val="0"/>
              <w:ind w:firstLine="420" w:firstLineChars="200"/>
              <w:rPr>
                <w:rFonts w:hint="eastAsia" w:asciiTheme="minorEastAsia" w:hAnsiTheme="minorEastAsia" w:eastAsiaTheme="minorEastAsia" w:cstheme="minorEastAsia"/>
                <w:color w:val="0000FF"/>
                <w:kern w:val="0"/>
                <w:szCs w:val="21"/>
                <w:highlight w:val="none"/>
                <w:lang w:bidi="ar"/>
              </w:rPr>
            </w:pPr>
            <w:r>
              <w:rPr>
                <w:rFonts w:hint="eastAsia" w:asciiTheme="minorEastAsia" w:hAnsiTheme="minorEastAsia" w:eastAsiaTheme="minorEastAsia" w:cstheme="minorEastAsia"/>
                <w:color w:val="0000FF"/>
                <w:szCs w:val="21"/>
                <w:highlight w:val="none"/>
              </w:rPr>
              <w:t>③方案</w:t>
            </w:r>
            <w:r>
              <w:rPr>
                <w:rFonts w:hint="eastAsia" w:asciiTheme="minorEastAsia" w:hAnsiTheme="minorEastAsia" w:eastAsiaTheme="minorEastAsia" w:cstheme="minorEastAsia"/>
                <w:color w:val="0000FF"/>
                <w:szCs w:val="21"/>
              </w:rPr>
              <w:t>极不合理、条理极不清晰、可操作极差的不得分。</w:t>
            </w:r>
          </w:p>
        </w:tc>
      </w:tr>
      <w:tr w14:paraId="1F47CF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2A69264C">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8768C0">
            <w:pPr>
              <w:widowControl/>
              <w:wordWrap w:val="0"/>
              <w:jc w:val="center"/>
              <w:textAlignment w:val="top"/>
              <w:rPr>
                <w:rFonts w:hint="default" w:asciiTheme="minorEastAsia" w:hAnsiTheme="minorEastAsia" w:eastAsiaTheme="minorEastAsia" w:cstheme="minorEastAsia"/>
                <w:kern w:val="0"/>
                <w:szCs w:val="21"/>
                <w:lang w:val="en-US" w:eastAsia="zh-CN" w:bidi="ar"/>
              </w:rPr>
            </w:pPr>
            <w:r>
              <w:rPr>
                <w:rFonts w:hint="eastAsia" w:asciiTheme="minorEastAsia" w:hAnsiTheme="minorEastAsia" w:cstheme="minorEastAsia"/>
                <w:kern w:val="0"/>
                <w:szCs w:val="21"/>
                <w:lang w:val="en-US" w:eastAsia="zh-CN" w:bidi="ar"/>
              </w:rPr>
              <w:t>5</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FA63A4">
            <w:pPr>
              <w:snapToGrid w:val="0"/>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绿色采购情况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A06924">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1</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14:paraId="52CD4E75">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0F244569">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648E5B57">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1397918E">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投标人提供符合相关要求的承诺函得100分（格式自定，应在《</w:t>
            </w:r>
            <w:r>
              <w:rPr>
                <w:rFonts w:hint="eastAsia" w:asciiTheme="minorEastAsia" w:hAnsiTheme="minorEastAsia" w:cstheme="minorEastAsia"/>
                <w:color w:val="0000FF"/>
                <w:szCs w:val="21"/>
                <w:lang w:val="en-US" w:eastAsia="zh-CN"/>
              </w:rPr>
              <w:t>自行</w:t>
            </w:r>
            <w:r>
              <w:rPr>
                <w:rFonts w:hint="eastAsia" w:asciiTheme="minorEastAsia" w:hAnsiTheme="minorEastAsia" w:eastAsiaTheme="minorEastAsia" w:cstheme="minorEastAsia"/>
                <w:color w:val="0000FF"/>
                <w:szCs w:val="21"/>
              </w:rPr>
              <w:t>采购投标及履约承诺函》外另起承诺函）可视为符合规定，无需提供检测报告、认证报告。未提供或不符合的不得分。</w:t>
            </w:r>
          </w:p>
        </w:tc>
      </w:tr>
      <w:tr w14:paraId="65E2CD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42EB8CB5">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9DEF33">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cstheme="minorEastAsia"/>
                <w:kern w:val="0"/>
                <w:szCs w:val="21"/>
                <w:lang w:val="en-US" w:eastAsia="zh-CN" w:bidi="ar"/>
              </w:rPr>
              <w:t>6</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485732">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政府采购节能环保产品情况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D303E1">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0CADDB89">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04CBD856">
            <w:pPr>
              <w:autoSpaceDE w:val="0"/>
              <w:autoSpaceDN w:val="0"/>
              <w:adjustRightInd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根据《关于印发节能产品政府采购品目清单的通知》（财库〔2019〕19号）以及《关于印发环境标志产品政府采购品目清单的通知》（财库〔2019〕18号）的要求，投标人所投任一产品（以招标文件第三章 用户需求书 二、货物需求明细中“货物名称”为准）被列入节能产品政府采购品目清单（</w:t>
            </w:r>
            <w:r>
              <w:rPr>
                <w:rFonts w:hint="eastAsia" w:asciiTheme="minorEastAsia" w:hAnsiTheme="minorEastAsia" w:eastAsiaTheme="minorEastAsia" w:cstheme="minorEastAsia"/>
                <w:color w:val="FF0000"/>
                <w:szCs w:val="21"/>
              </w:rPr>
              <w:t>已标注“★”号属政府强制采购产品需具有节能产品认证证书的除外</w:t>
            </w:r>
            <w:r>
              <w:rPr>
                <w:rFonts w:hint="eastAsia" w:asciiTheme="minorEastAsia" w:hAnsiTheme="minorEastAsia" w:eastAsiaTheme="minorEastAsia" w:cstheme="minorEastAsia"/>
                <w:szCs w:val="21"/>
              </w:rPr>
              <w:t>）或环境标志产品政府采购品目清单，且具有有效期内的节能产品或环境标志产品认证证书的，每提供1项得100分，最高得100分。</w:t>
            </w:r>
          </w:p>
          <w:p w14:paraId="1B370C3F">
            <w:pPr>
              <w:snapToGrid w:val="0"/>
              <w:rPr>
                <w:rFonts w:hint="eastAsia" w:asciiTheme="minorEastAsia" w:hAnsiTheme="minorEastAsia" w:eastAsiaTheme="minorEastAsia" w:cstheme="minorEastAsia"/>
                <w:b/>
                <w:bCs/>
                <w:color w:val="0000CC"/>
                <w:szCs w:val="21"/>
              </w:rPr>
            </w:pPr>
            <w:r>
              <w:rPr>
                <w:rFonts w:hint="eastAsia" w:asciiTheme="minorEastAsia" w:hAnsiTheme="minorEastAsia" w:eastAsiaTheme="minorEastAsia" w:cstheme="minorEastAsia"/>
                <w:b/>
                <w:bCs/>
                <w:color w:val="0000CC"/>
                <w:szCs w:val="21"/>
              </w:rPr>
              <w:t>二、评审依据：</w:t>
            </w:r>
          </w:p>
          <w:p w14:paraId="29DD9EC9">
            <w:pPr>
              <w:snapToGrid w:val="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1、提供《市场监管总局关于发布参与实施政府采购节能产品、环境标志产品认证机构名录的公告》（2019年第16号）确定的认证机构出具的且处于有效期内的节能产品或环境标志产品认证证书扫描件；</w:t>
            </w:r>
          </w:p>
          <w:p w14:paraId="73ABFE28">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2、未按要求提供证明材料（或证明材料无法判断是否符合评分要求）的不得分，原件备查。</w:t>
            </w:r>
          </w:p>
        </w:tc>
      </w:tr>
      <w:tr w14:paraId="46C878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55F885E">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3</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054D6323">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商务部分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7BD8FA">
            <w:pPr>
              <w:widowControl/>
              <w:wordWrap w:val="0"/>
              <w:jc w:val="center"/>
              <w:rPr>
                <w:rFonts w:hint="eastAsia" w:asciiTheme="minorEastAsia" w:hAnsiTheme="minorEastAsia" w:eastAsiaTheme="minorEastAsia" w:cstheme="minorEastAsia"/>
                <w:b/>
                <w:bCs/>
                <w:color w:val="0000FF"/>
                <w:szCs w:val="21"/>
                <w:lang w:eastAsia="zh-CN"/>
              </w:rPr>
            </w:pPr>
            <w:r>
              <w:rPr>
                <w:rFonts w:hint="eastAsia" w:asciiTheme="minorEastAsia" w:hAnsiTheme="minorEastAsia" w:cstheme="minorEastAsia"/>
                <w:b/>
                <w:bCs/>
                <w:color w:val="0000FF"/>
                <w:szCs w:val="21"/>
                <w:lang w:val="en-US" w:eastAsia="zh-CN"/>
              </w:rPr>
              <w:t>6</w:t>
            </w:r>
          </w:p>
        </w:tc>
      </w:tr>
      <w:tr w14:paraId="3CCBB2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5C0BFF5">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77D48FF3">
            <w:pPr>
              <w:rPr>
                <w:rFonts w:hint="eastAsia" w:asciiTheme="minorEastAsia" w:hAnsiTheme="minorEastAsia" w:eastAsiaTheme="minorEastAsia" w:cstheme="minorEastAsia"/>
                <w:szCs w:val="21"/>
              </w:rPr>
            </w:pPr>
          </w:p>
        </w:tc>
      </w:tr>
      <w:tr w14:paraId="311423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01D236D3">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E3C033C">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9CF0FDD">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B870346">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1FD96A6">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4FDE27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77833C2">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D26C95">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F55696">
            <w:pPr>
              <w:snapToGrid w:val="0"/>
              <w:spacing w:after="60" w:line="2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同类业绩情况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167DB9">
            <w:pPr>
              <w:snapToGrid w:val="0"/>
              <w:spacing w:line="260" w:lineRule="exact"/>
              <w:jc w:val="center"/>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6</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37725396">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44A638CE">
            <w:pPr>
              <w:snapToGrid w:val="0"/>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自2022年1月1日以来（以合同签订日期为准），投标人</w:t>
            </w:r>
            <w:r>
              <w:rPr>
                <w:rFonts w:hint="eastAsia" w:asciiTheme="minorEastAsia" w:hAnsiTheme="minorEastAsia" w:eastAsiaTheme="minorEastAsia" w:cstheme="minorEastAsia"/>
                <w:b/>
                <w:bCs/>
                <w:szCs w:val="21"/>
              </w:rPr>
              <w:t>与本项目同类（</w:t>
            </w:r>
            <w:r>
              <w:rPr>
                <w:rFonts w:hint="eastAsia" w:asciiTheme="minorEastAsia" w:hAnsiTheme="minorEastAsia" w:eastAsiaTheme="minorEastAsia" w:cstheme="minorEastAsia"/>
                <w:b/>
                <w:bCs/>
                <w:szCs w:val="21"/>
                <w:lang w:val="en-US" w:eastAsia="zh-CN"/>
              </w:rPr>
              <w:t>学校升降课桌椅类</w:t>
            </w:r>
            <w:r>
              <w:rPr>
                <w:rFonts w:hint="eastAsia" w:asciiTheme="minorEastAsia" w:hAnsiTheme="minorEastAsia" w:eastAsiaTheme="minorEastAsia" w:cstheme="minorEastAsia"/>
                <w:b/>
                <w:bCs/>
                <w:szCs w:val="21"/>
              </w:rPr>
              <w:t>）项目经验</w:t>
            </w:r>
            <w:r>
              <w:rPr>
                <w:rFonts w:hint="eastAsia" w:asciiTheme="minorEastAsia" w:hAnsiTheme="minorEastAsia" w:eastAsiaTheme="minorEastAsia" w:cstheme="minorEastAsia"/>
                <w:b/>
                <w:bCs/>
                <w:szCs w:val="21"/>
                <w:lang w:eastAsia="zh-CN"/>
              </w:rPr>
              <w:t>且</w:t>
            </w:r>
            <w:r>
              <w:rPr>
                <w:rFonts w:hint="eastAsia" w:asciiTheme="minorEastAsia" w:hAnsiTheme="minorEastAsia" w:eastAsiaTheme="minorEastAsia" w:cstheme="minorEastAsia"/>
                <w:szCs w:val="21"/>
              </w:rPr>
              <w:t>履约评价为优或满意（或同等评价），每提供一项得</w:t>
            </w:r>
            <w:r>
              <w:rPr>
                <w:rFonts w:hint="eastAsia" w:asciiTheme="minorEastAsia" w:hAnsiTheme="minorEastAsia" w:cstheme="minorEastAsia"/>
                <w:szCs w:val="21"/>
                <w:lang w:val="en-US" w:eastAsia="zh-CN"/>
              </w:rPr>
              <w:t>2</w:t>
            </w:r>
            <w:r>
              <w:rPr>
                <w:rFonts w:hint="eastAsia" w:asciiTheme="minorEastAsia" w:hAnsiTheme="minorEastAsia" w:eastAsiaTheme="minorEastAsia" w:cstheme="minorEastAsia"/>
                <w:szCs w:val="21"/>
              </w:rPr>
              <w:t>0分，本项最高得100分。</w:t>
            </w:r>
          </w:p>
          <w:p w14:paraId="49561E37">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042C0D1E">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1、同时提供经验项目合同关键页（含签订合同双方的单位名称、合同项目名称、项目金额</w:t>
            </w:r>
            <w:r>
              <w:rPr>
                <w:rFonts w:hint="eastAsia" w:asciiTheme="minorEastAsia" w:hAnsiTheme="minorEastAsia" w:eastAsiaTheme="minorEastAsia" w:cstheme="minorEastAsia"/>
                <w:color w:val="0000FF"/>
                <w:szCs w:val="21"/>
                <w:lang w:eastAsia="zh-CN"/>
              </w:rPr>
              <w:t>与</w:t>
            </w:r>
            <w:r>
              <w:rPr>
                <w:rFonts w:hint="eastAsia" w:asciiTheme="minorEastAsia" w:hAnsiTheme="minorEastAsia" w:eastAsiaTheme="minorEastAsia" w:cstheme="minorEastAsia"/>
                <w:color w:val="0000FF"/>
                <w:szCs w:val="21"/>
              </w:rPr>
              <w:t>签订合同双方的落款盖章、签订日期等）扫描件、</w:t>
            </w:r>
            <w:r>
              <w:rPr>
                <w:rFonts w:hint="eastAsia" w:asciiTheme="minorEastAsia" w:hAnsiTheme="minorEastAsia" w:cstheme="minorEastAsia"/>
                <w:color w:val="0000FF"/>
                <w:szCs w:val="21"/>
                <w:highlight w:val="none"/>
                <w:lang w:val="en-US" w:eastAsia="zh-CN"/>
              </w:rPr>
              <w:t>货物</w:t>
            </w:r>
            <w:r>
              <w:rPr>
                <w:rFonts w:hint="eastAsia" w:asciiTheme="minorEastAsia" w:hAnsiTheme="minorEastAsia" w:eastAsiaTheme="minorEastAsia" w:cstheme="minorEastAsia"/>
                <w:color w:val="0000FF"/>
                <w:szCs w:val="21"/>
                <w:highlight w:val="none"/>
              </w:rPr>
              <w:t>清单及</w:t>
            </w:r>
            <w:r>
              <w:rPr>
                <w:rFonts w:hint="eastAsia" w:asciiTheme="minorEastAsia" w:hAnsiTheme="minorEastAsia" w:eastAsiaTheme="minorEastAsia" w:cstheme="minorEastAsia"/>
                <w:color w:val="0000FF"/>
                <w:szCs w:val="21"/>
              </w:rPr>
              <w:t>甲方（合同相对方）出具的验收报告并加盖合同甲方（合同相对方）公章或业务章；</w:t>
            </w:r>
          </w:p>
          <w:p w14:paraId="1FB801F2">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szCs w:val="21"/>
              </w:rPr>
              <w:t>2、未按要求提供证明材料（或证明材料无法判断是否符合评分要求）的不得分，原件备查</w:t>
            </w:r>
            <w:r>
              <w:rPr>
                <w:rFonts w:hint="eastAsia" w:asciiTheme="minorEastAsia" w:hAnsiTheme="minorEastAsia" w:eastAsiaTheme="minorEastAsia" w:cstheme="minorEastAsia"/>
                <w:color w:val="0000FF"/>
                <w:szCs w:val="21"/>
                <w:lang w:val="zh-CN"/>
              </w:rPr>
              <w:t>。</w:t>
            </w:r>
          </w:p>
        </w:tc>
      </w:tr>
      <w:tr w14:paraId="780142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6D2E238">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4</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55491BA3">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诚信情况</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EAAEA5">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rPr>
              <w:t>5</w:t>
            </w:r>
          </w:p>
        </w:tc>
      </w:tr>
      <w:tr w14:paraId="2C26C4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0CD9CE6">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262E5215">
            <w:pPr>
              <w:rPr>
                <w:rFonts w:hint="eastAsia" w:asciiTheme="minorEastAsia" w:hAnsiTheme="minorEastAsia" w:eastAsiaTheme="minorEastAsia" w:cstheme="minorEastAsia"/>
                <w:szCs w:val="21"/>
              </w:rPr>
            </w:pPr>
          </w:p>
        </w:tc>
      </w:tr>
      <w:tr w14:paraId="3B0ECF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7F071C1C">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B44EE74">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14282D0">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F821A6B">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A3A43DE">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387BEE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27D1659">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E5DE1A">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9DB371">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诚信情况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D5DD66">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43C4772C">
            <w:pPr>
              <w:pStyle w:val="7"/>
              <w:wordWrap w:val="0"/>
              <w:spacing w:line="240" w:lineRule="auto"/>
              <w:ind w:firstLine="420" w:firstLineChars="2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14:paraId="3757A8E3">
            <w:pPr>
              <w:pStyle w:val="7"/>
              <w:wordWrap w:val="0"/>
              <w:spacing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49454C4E">
      <w:pPr>
        <w:sectPr>
          <w:pgSz w:w="11907" w:h="16840"/>
          <w:pgMar w:top="1440" w:right="1418" w:bottom="1440" w:left="1418" w:header="851" w:footer="992" w:gutter="0"/>
          <w:cols w:space="425" w:num="1"/>
          <w:titlePg/>
          <w:docGrid w:linePitch="462" w:charSpace="0"/>
        </w:sectPr>
      </w:pPr>
    </w:p>
    <w:p w14:paraId="457ABBE2">
      <w:pPr>
        <w:jc w:val="center"/>
        <w:rPr>
          <w:b/>
          <w:sz w:val="84"/>
          <w:szCs w:val="84"/>
        </w:rPr>
      </w:pPr>
    </w:p>
    <w:p w14:paraId="3F1F9F97">
      <w:pPr>
        <w:jc w:val="center"/>
        <w:rPr>
          <w:b/>
          <w:sz w:val="84"/>
          <w:szCs w:val="84"/>
        </w:rPr>
      </w:pPr>
    </w:p>
    <w:p w14:paraId="13C147CC">
      <w:pPr>
        <w:jc w:val="center"/>
        <w:rPr>
          <w:b/>
          <w:sz w:val="84"/>
          <w:szCs w:val="84"/>
        </w:rPr>
      </w:pPr>
    </w:p>
    <w:p w14:paraId="64F6501B">
      <w:pPr>
        <w:jc w:val="center"/>
        <w:rPr>
          <w:rFonts w:hint="eastAsia" w:eastAsiaTheme="minorEastAsia"/>
          <w:b/>
          <w:sz w:val="120"/>
          <w:szCs w:val="120"/>
          <w:lang w:eastAsia="zh-CN"/>
        </w:rPr>
      </w:pPr>
      <w:r>
        <w:rPr>
          <w:rFonts w:hint="eastAsia"/>
          <w:b/>
          <w:sz w:val="120"/>
          <w:szCs w:val="120"/>
          <w:lang w:eastAsia="zh-CN"/>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3"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4949C4B8">
      <w:pPr>
        <w:widowControl/>
        <w:jc w:val="center"/>
      </w:pPr>
    </w:p>
    <w:p w14:paraId="1AE7E5D6">
      <w:pPr>
        <w:widowControl/>
        <w:jc w:val="center"/>
      </w:pPr>
      <w:r>
        <w:br w:type="page"/>
      </w:r>
    </w:p>
    <w:p w14:paraId="5D441FBD">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ascii="宋体" w:hAnsi="宋体"/>
          <w:szCs w:val="21"/>
        </w:rPr>
      </w:pPr>
      <w:r>
        <w:rPr>
          <w:rFonts w:hint="eastAsia" w:ascii="宋体" w:hAnsi="宋体"/>
          <w:szCs w:val="21"/>
        </w:rPr>
        <w:t>第一章  招标公告</w:t>
      </w:r>
    </w:p>
    <w:p w14:paraId="2EDBBE14">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72C788F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ind w:left="630" w:leftChars="300" w:firstLine="411" w:firstLineChars="196"/>
        <w:rPr>
          <w:rFonts w:ascii="宋体" w:hAnsi="宋体"/>
          <w:szCs w:val="21"/>
        </w:rPr>
      </w:pPr>
      <w:r>
        <w:rPr>
          <w:rFonts w:hint="eastAsia" w:ascii="宋体" w:hAnsi="宋体"/>
          <w:szCs w:val="21"/>
        </w:rPr>
        <w:t>第一章  总则</w:t>
      </w:r>
    </w:p>
    <w:p w14:paraId="2113B1CB">
      <w:pPr>
        <w:ind w:left="630" w:leftChars="300" w:firstLine="411" w:firstLineChars="196"/>
        <w:rPr>
          <w:rFonts w:ascii="宋体" w:hAnsi="宋体"/>
          <w:szCs w:val="21"/>
        </w:rPr>
      </w:pPr>
      <w:r>
        <w:rPr>
          <w:rFonts w:hint="eastAsia" w:ascii="宋体" w:hAnsi="宋体"/>
          <w:szCs w:val="21"/>
        </w:rPr>
        <w:t>第二章  招标文件</w:t>
      </w:r>
    </w:p>
    <w:p w14:paraId="2414AD59">
      <w:pPr>
        <w:ind w:left="630" w:leftChars="300" w:firstLine="411" w:firstLineChars="196"/>
        <w:rPr>
          <w:rFonts w:ascii="宋体" w:hAnsi="宋体"/>
          <w:szCs w:val="21"/>
        </w:rPr>
      </w:pPr>
      <w:r>
        <w:rPr>
          <w:rFonts w:hint="eastAsia" w:ascii="宋体" w:hAnsi="宋体"/>
          <w:szCs w:val="21"/>
        </w:rPr>
        <w:t>第三章  投标文件的编制</w:t>
      </w:r>
    </w:p>
    <w:p w14:paraId="630B13E9">
      <w:pPr>
        <w:ind w:left="630" w:leftChars="300" w:firstLine="411" w:firstLineChars="196"/>
        <w:rPr>
          <w:rFonts w:ascii="宋体" w:hAnsi="宋体"/>
          <w:szCs w:val="21"/>
        </w:rPr>
      </w:pPr>
      <w:r>
        <w:rPr>
          <w:rFonts w:hint="eastAsia" w:ascii="宋体" w:hAnsi="宋体"/>
          <w:szCs w:val="21"/>
        </w:rPr>
        <w:t>第四章  投标文件的递交</w:t>
      </w:r>
    </w:p>
    <w:p w14:paraId="48CB1A9D">
      <w:pPr>
        <w:ind w:left="630" w:leftChars="300" w:firstLine="411" w:firstLineChars="196"/>
        <w:rPr>
          <w:rFonts w:ascii="宋体" w:hAnsi="宋体"/>
          <w:szCs w:val="21"/>
        </w:rPr>
      </w:pPr>
      <w:r>
        <w:rPr>
          <w:rFonts w:hint="eastAsia" w:ascii="宋体" w:hAnsi="宋体"/>
          <w:szCs w:val="21"/>
        </w:rPr>
        <w:t>第五章  开标</w:t>
      </w:r>
    </w:p>
    <w:p w14:paraId="6E197C9D">
      <w:pPr>
        <w:ind w:left="630" w:leftChars="300" w:firstLine="411" w:firstLineChars="196"/>
        <w:rPr>
          <w:rFonts w:ascii="宋体" w:hAnsi="宋体"/>
          <w:szCs w:val="21"/>
        </w:rPr>
      </w:pPr>
      <w:r>
        <w:rPr>
          <w:rFonts w:hint="eastAsia" w:ascii="宋体" w:hAnsi="宋体"/>
          <w:szCs w:val="21"/>
        </w:rPr>
        <w:t>第六章  评审要求</w:t>
      </w:r>
    </w:p>
    <w:p w14:paraId="2B9DF9D6">
      <w:pPr>
        <w:ind w:left="630" w:leftChars="300" w:firstLine="411" w:firstLineChars="196"/>
        <w:rPr>
          <w:rFonts w:ascii="宋体" w:hAnsi="宋体"/>
          <w:szCs w:val="21"/>
        </w:rPr>
      </w:pPr>
      <w:r>
        <w:rPr>
          <w:rFonts w:hint="eastAsia" w:ascii="宋体" w:hAnsi="宋体"/>
          <w:szCs w:val="21"/>
        </w:rPr>
        <w:t>第七章  评审程序及评审方法</w:t>
      </w:r>
    </w:p>
    <w:p w14:paraId="05FAD89D">
      <w:pPr>
        <w:ind w:left="630" w:leftChars="300" w:firstLine="411" w:firstLineChars="196"/>
        <w:rPr>
          <w:rFonts w:ascii="宋体" w:hAnsi="宋体"/>
          <w:szCs w:val="21"/>
        </w:rPr>
      </w:pPr>
      <w:r>
        <w:rPr>
          <w:rFonts w:hint="eastAsia" w:ascii="宋体" w:hAnsi="宋体"/>
          <w:szCs w:val="21"/>
        </w:rPr>
        <w:t>第八章  定标及公示</w:t>
      </w:r>
    </w:p>
    <w:p w14:paraId="2484D860">
      <w:pPr>
        <w:ind w:left="630" w:leftChars="300" w:firstLine="411" w:firstLineChars="196"/>
        <w:rPr>
          <w:rFonts w:ascii="宋体" w:hAnsi="宋体"/>
          <w:szCs w:val="21"/>
        </w:rPr>
      </w:pPr>
      <w:r>
        <w:rPr>
          <w:rFonts w:hint="eastAsia" w:ascii="宋体" w:hAnsi="宋体"/>
          <w:szCs w:val="21"/>
        </w:rPr>
        <w:t>第九章  公开招标失败的后续处理</w:t>
      </w:r>
    </w:p>
    <w:p w14:paraId="0B00343F">
      <w:pPr>
        <w:ind w:left="630" w:leftChars="300" w:firstLine="411" w:firstLineChars="196"/>
        <w:rPr>
          <w:rFonts w:ascii="宋体" w:hAnsi="宋体"/>
          <w:szCs w:val="21"/>
        </w:rPr>
      </w:pPr>
      <w:r>
        <w:rPr>
          <w:rFonts w:hint="eastAsia" w:ascii="宋体" w:hAnsi="宋体"/>
          <w:szCs w:val="21"/>
        </w:rPr>
        <w:t>第十章  合同的授予与备案</w:t>
      </w:r>
    </w:p>
    <w:p w14:paraId="5EFDDD05">
      <w:pPr>
        <w:ind w:firstLine="1050" w:firstLineChars="500"/>
        <w:rPr>
          <w:rFonts w:hint="eastAsia"/>
        </w:rPr>
      </w:pPr>
      <w:r>
        <w:rPr>
          <w:rFonts w:hint="eastAsia"/>
        </w:rPr>
        <w:t>第十一章  质疑处理</w:t>
      </w:r>
    </w:p>
    <w:p w14:paraId="302B3A16">
      <w:pPr>
        <w:pStyle w:val="7"/>
        <w:rPr>
          <w:rFonts w:hint="eastAsia"/>
        </w:rPr>
      </w:pPr>
    </w:p>
    <w:p w14:paraId="0FB6C1D8">
      <w:pPr>
        <w:pStyle w:val="14"/>
        <w:rPr>
          <w:rFonts w:hint="eastAsia"/>
        </w:rPr>
      </w:pPr>
    </w:p>
    <w:p w14:paraId="4F472A70">
      <w:pPr>
        <w:pStyle w:val="14"/>
        <w:rPr>
          <w:rFonts w:hint="eastAsia"/>
        </w:rPr>
      </w:pPr>
    </w:p>
    <w:p w14:paraId="63EF1281">
      <w:pPr>
        <w:pStyle w:val="7"/>
        <w:rPr>
          <w:rFonts w:hint="eastAsia"/>
        </w:rPr>
        <w:sectPr>
          <w:pgSz w:w="11907" w:h="16840"/>
          <w:pgMar w:top="1440" w:right="1797" w:bottom="1440" w:left="1797" w:header="851" w:footer="992" w:gutter="0"/>
          <w:cols w:space="425" w:num="1"/>
          <w:titlePg/>
          <w:docGrid w:linePitch="462" w:charSpace="0"/>
        </w:sectPr>
      </w:pPr>
    </w:p>
    <w:bookmarkEnd w:id="4"/>
    <w:p w14:paraId="22FB7A31">
      <w:pPr>
        <w:pStyle w:val="2"/>
        <w:jc w:val="center"/>
        <w:rPr>
          <w:color w:val="FF0000"/>
          <w:sz w:val="24"/>
        </w:rPr>
      </w:pPr>
      <w:bookmarkStart w:id="6" w:name="bt合同条款"/>
      <w:bookmarkEnd w:id="6"/>
      <w:bookmarkStart w:id="7" w:name="bt开标一览表"/>
      <w:bookmarkEnd w:id="7"/>
      <w:bookmarkStart w:id="8" w:name="bt说明"/>
      <w:bookmarkEnd w:id="8"/>
      <w:bookmarkStart w:id="9" w:name="bt其他资料由投标人自定"/>
      <w:bookmarkEnd w:id="9"/>
      <w:bookmarkStart w:id="10" w:name="bt本工程承诺书"/>
      <w:bookmarkEnd w:id="10"/>
      <w:bookmarkStart w:id="11" w:name="bt投标人情况介绍"/>
      <w:bookmarkEnd w:id="11"/>
      <w:bookmarkStart w:id="12" w:name="bt投标报价汇总表"/>
      <w:bookmarkEnd w:id="12"/>
      <w:bookmarkStart w:id="13" w:name="bt其他资料2"/>
      <w:bookmarkEnd w:id="13"/>
      <w:bookmarkStart w:id="14" w:name="合同格式"/>
      <w:bookmarkEnd w:id="14"/>
      <w:bookmarkStart w:id="15" w:name="bt投标文件签署授权委托书"/>
      <w:bookmarkEnd w:id="15"/>
      <w:bookmarkStart w:id="16" w:name="bt技术标投标文件格式"/>
      <w:bookmarkEnd w:id="16"/>
      <w:bookmarkStart w:id="17" w:name="bt合同条款及格式"/>
      <w:bookmarkEnd w:id="17"/>
      <w:bookmarkStart w:id="18" w:name="bt项目管理班子配备情况"/>
      <w:bookmarkEnd w:id="18"/>
      <w:bookmarkStart w:id="19" w:name="bt合同格式"/>
      <w:bookmarkEnd w:id="19"/>
      <w:bookmarkStart w:id="20" w:name="bt投标函"/>
      <w:bookmarkEnd w:id="20"/>
      <w:bookmarkStart w:id="21" w:name="bt投标人须知"/>
      <w:bookmarkEnd w:id="21"/>
      <w:bookmarkStart w:id="22" w:name="bt商务标投标文件格式"/>
      <w:bookmarkEnd w:id="22"/>
      <w:r>
        <w:rPr>
          <w:rFonts w:hint="eastAsia"/>
        </w:rPr>
        <w:t>第一册  专用条款</w:t>
      </w:r>
    </w:p>
    <w:p w14:paraId="4BE9088D">
      <w:pPr>
        <w:pStyle w:val="5"/>
        <w:jc w:val="center"/>
        <w:rPr>
          <w:sz w:val="28"/>
          <w:szCs w:val="28"/>
        </w:rPr>
      </w:pPr>
      <w:r>
        <w:rPr>
          <w:rFonts w:hint="eastAsia"/>
          <w:sz w:val="28"/>
          <w:szCs w:val="28"/>
        </w:rPr>
        <w:t>第一章  招标公告</w:t>
      </w:r>
    </w:p>
    <w:p w14:paraId="6E074FE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w:t>
      </w:r>
      <w:r>
        <w:rPr>
          <w:rFonts w:hint="eastAsia" w:ascii="宋体" w:hAnsi="宋体" w:cs="宋体"/>
          <w:kern w:val="0"/>
          <w:szCs w:val="21"/>
          <w:highlight w:val="yellow"/>
          <w:lang w:val="en-US" w:eastAsia="zh-CN"/>
        </w:rPr>
        <w:t>是</w:t>
      </w:r>
      <w:r>
        <w:rPr>
          <w:rFonts w:hint="eastAsia" w:ascii="宋体" w:hAnsi="宋体" w:cs="宋体"/>
          <w:kern w:val="0"/>
          <w:szCs w:val="21"/>
        </w:rPr>
        <w:t>，供应商提供的货物全部由符合政策要求的中小微企业、残疾人福利性</w:t>
      </w:r>
      <w:r>
        <w:rPr>
          <w:rFonts w:hint="eastAsia" w:ascii="宋体" w:hAnsi="宋体" w:cs="宋体"/>
          <w:kern w:val="0"/>
          <w:szCs w:val="21"/>
          <w:lang w:val="en-US" w:eastAsia="zh-CN"/>
        </w:rPr>
        <w:t>单位或</w:t>
      </w:r>
      <w:r>
        <w:rPr>
          <w:rFonts w:hint="eastAsia" w:ascii="宋体" w:hAnsi="宋体" w:cs="宋体"/>
          <w:kern w:val="0"/>
          <w:szCs w:val="21"/>
        </w:rPr>
        <w:t>监狱企业制造（由供应商在《中小企业声明函、残疾人福利性单位声明函及监狱企业声明函》中作出声明</w:t>
      </w:r>
      <w:r>
        <w:rPr>
          <w:rFonts w:hint="eastAsia" w:ascii="宋体" w:hAnsi="宋体" w:cs="宋体"/>
          <w:kern w:val="0"/>
          <w:szCs w:val="21"/>
          <w:lang w:eastAsia="zh-CN"/>
        </w:rPr>
        <w:t>；</w:t>
      </w:r>
      <w:r>
        <w:rPr>
          <w:rFonts w:hint="eastAsia" w:ascii="宋体" w:hAnsi="宋体" w:cs="宋体"/>
          <w:kern w:val="0"/>
          <w:szCs w:val="21"/>
          <w:lang w:val="en-US" w:eastAsia="zh-CN"/>
        </w:rPr>
        <w:t>未提供声明函或声明函不符合政策要求的，按资格审查不通过处理</w:t>
      </w:r>
      <w:r>
        <w:rPr>
          <w:rFonts w:hint="eastAsia" w:ascii="宋体" w:hAnsi="宋体" w:cs="宋体"/>
          <w:kern w:val="0"/>
          <w:szCs w:val="21"/>
        </w:rPr>
        <w:t>）</w:t>
      </w:r>
      <w:r>
        <w:rPr>
          <w:rFonts w:hint="eastAsia" w:ascii="宋体" w:hAnsi="宋体" w:cs="宋体"/>
          <w:kern w:val="0"/>
          <w:szCs w:val="21"/>
          <w:lang w:eastAsia="zh-CN"/>
        </w:rPr>
        <w:t>。</w:t>
      </w:r>
    </w:p>
    <w:p w14:paraId="57376D8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ind w:firstLine="420" w:firstLineChars="200"/>
        <w:rPr>
          <w:rFonts w:ascii="宋体" w:hAnsi="宋体"/>
        </w:rPr>
      </w:pPr>
      <w:r>
        <w:rPr>
          <w:rFonts w:hint="eastAsia" w:ascii="宋体" w:hAnsi="宋体"/>
        </w:rPr>
        <w:t>（2）供应商投标（上传投标文件）必须先行办理注册手续。</w:t>
      </w:r>
    </w:p>
    <w:p w14:paraId="494E1CDC">
      <w:pPr>
        <w:ind w:firstLine="420" w:firstLineChars="200"/>
        <w:rPr>
          <w:rFonts w:ascii="宋体" w:hAnsi="宋体"/>
        </w:rPr>
      </w:pPr>
    </w:p>
    <w:p w14:paraId="1A4959A8">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ind w:firstLine="422" w:firstLineChars="200"/>
        <w:rPr>
          <w:b/>
        </w:rPr>
      </w:pPr>
    </w:p>
    <w:p w14:paraId="5C8B9582">
      <w:pPr>
        <w:rPr>
          <w:sz w:val="24"/>
        </w:rPr>
        <w:sectPr>
          <w:pgSz w:w="11907" w:h="16840"/>
          <w:pgMar w:top="1440" w:right="1797" w:bottom="1440" w:left="1797" w:header="851" w:footer="992" w:gutter="0"/>
          <w:cols w:space="425" w:num="1"/>
          <w:titlePg/>
          <w:docGrid w:linePitch="462" w:charSpace="0"/>
        </w:sectPr>
      </w:pPr>
    </w:p>
    <w:p w14:paraId="59D6CC3D">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7580ACFD">
      <w:pPr>
        <w:pStyle w:val="5"/>
        <w:spacing w:before="120" w:beforeLines="50" w:after="120" w:afterLines="50"/>
        <w:jc w:val="center"/>
        <w:rPr>
          <w:szCs w:val="24"/>
        </w:rPr>
      </w:pPr>
      <w:bookmarkStart w:id="24" w:name="_Toc60631620"/>
      <w:bookmarkStart w:id="25" w:name="_Toc101074876"/>
      <w:bookmarkStart w:id="26" w:name="_Toc73517639"/>
      <w:bookmarkStart w:id="27" w:name="_Toc73521547"/>
      <w:bookmarkStart w:id="28" w:name="_Toc60560625"/>
      <w:bookmarkStart w:id="29" w:name="_Toc100052364"/>
      <w:bookmarkStart w:id="30" w:name="_Toc73521635"/>
      <w:bookmarkStart w:id="31" w:name="_Toc73518117"/>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34114B8">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14:paraId="2F91E303">
            <w:pPr>
              <w:jc w:val="center"/>
              <w:rPr>
                <w:rFonts w:ascii="宋体" w:hAnsi="宋体"/>
                <w:b/>
                <w:bCs/>
              </w:rPr>
            </w:pPr>
            <w:r>
              <w:rPr>
                <w:rFonts w:hint="eastAsia" w:ascii="宋体" w:hAnsi="宋体"/>
                <w:b/>
                <w:bCs/>
              </w:rPr>
              <w:t>涉及事项</w:t>
            </w:r>
          </w:p>
        </w:tc>
        <w:tc>
          <w:tcPr>
            <w:tcW w:w="4980" w:type="dxa"/>
            <w:noWrap w:val="0"/>
            <w:vAlign w:val="center"/>
          </w:tcPr>
          <w:p w14:paraId="6BAA908A">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17C13D6">
            <w:pPr>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053EDEC5">
            <w:pPr>
              <w:jc w:val="center"/>
            </w:pPr>
            <w:r>
              <w:rPr>
                <w:rFonts w:hint="eastAsia"/>
              </w:rPr>
              <w:t>采购人</w:t>
            </w:r>
          </w:p>
        </w:tc>
        <w:tc>
          <w:tcPr>
            <w:tcW w:w="4980" w:type="dxa"/>
            <w:noWrap w:val="0"/>
            <w:vAlign w:val="center"/>
          </w:tcPr>
          <w:p w14:paraId="313E5BCD">
            <w:pPr>
              <w:jc w:val="center"/>
              <w:rPr>
                <w:rFonts w:ascii="宋体" w:hAnsi="宋体"/>
              </w:rPr>
            </w:pPr>
            <w:r>
              <w:rPr>
                <w:rFonts w:hint="eastAsia" w:ascii="宋体" w:hAnsi="宋体"/>
                <w:b/>
                <w:bCs/>
                <w:sz w:val="24"/>
                <w:szCs w:val="24"/>
              </w:rPr>
              <w:t>深圳市宝安区清平实验学校</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D3E7735">
            <w:pPr>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4ABA4CA9">
            <w:pPr>
              <w:jc w:val="center"/>
              <w:rPr>
                <w:rFonts w:ascii="宋体" w:hAnsi="宋体"/>
              </w:rPr>
            </w:pPr>
            <w:r>
              <w:rPr>
                <w:rFonts w:hint="eastAsia" w:ascii="宋体" w:hAnsi="宋体"/>
              </w:rPr>
              <w:t>政府集中采购机构</w:t>
            </w:r>
          </w:p>
        </w:tc>
        <w:tc>
          <w:tcPr>
            <w:tcW w:w="4980" w:type="dxa"/>
            <w:noWrap w:val="0"/>
            <w:vAlign w:val="center"/>
          </w:tcPr>
          <w:p w14:paraId="0EECEFC5">
            <w:pPr>
              <w:jc w:val="center"/>
            </w:pPr>
            <w:r>
              <w:rPr>
                <w:rFonts w:hint="eastAsia"/>
              </w:rPr>
              <w:t>深圳公共资源交易中心</w:t>
            </w:r>
          </w:p>
          <w:p w14:paraId="0D5856B4">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666B87">
            <w:pPr>
              <w:jc w:val="center"/>
              <w:rPr>
                <w:rFonts w:ascii="宋体" w:hAnsi="宋体"/>
              </w:rPr>
            </w:pPr>
            <w:r>
              <w:rPr>
                <w:rFonts w:hint="eastAsia" w:ascii="宋体" w:hAnsi="宋体"/>
              </w:rPr>
              <w:t>9</w:t>
            </w:r>
          </w:p>
        </w:tc>
        <w:tc>
          <w:tcPr>
            <w:tcW w:w="2409" w:type="dxa"/>
            <w:noWrap w:val="0"/>
            <w:vAlign w:val="center"/>
          </w:tcPr>
          <w:p w14:paraId="4E1F7167">
            <w:pPr>
              <w:jc w:val="center"/>
              <w:rPr>
                <w:rFonts w:ascii="宋体" w:hAnsi="宋体"/>
              </w:rPr>
            </w:pPr>
            <w:r>
              <w:rPr>
                <w:rFonts w:hint="eastAsia" w:ascii="宋体" w:hAnsi="宋体"/>
              </w:rPr>
              <w:t>踏勘现场</w:t>
            </w:r>
          </w:p>
        </w:tc>
        <w:tc>
          <w:tcPr>
            <w:tcW w:w="4980" w:type="dxa"/>
            <w:noWrap w:val="0"/>
            <w:vAlign w:val="center"/>
          </w:tcPr>
          <w:p w14:paraId="7BAA7C08">
            <w:pPr>
              <w:jc w:val="center"/>
              <w:rPr>
                <w:rFonts w:ascii="宋体" w:hAnsi="宋体"/>
              </w:rPr>
            </w:pPr>
            <w:r>
              <w:rPr>
                <w:rFonts w:hint="eastAsia"/>
              </w:rPr>
              <w:t>不组织</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629AF3C">
            <w:pPr>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7F7F5D57">
            <w:pPr>
              <w:jc w:val="center"/>
              <w:rPr>
                <w:rFonts w:ascii="宋体" w:hAnsi="宋体"/>
              </w:rPr>
            </w:pPr>
            <w:r>
              <w:rPr>
                <w:rFonts w:hint="eastAsia" w:ascii="宋体" w:hAnsi="宋体"/>
              </w:rPr>
              <w:t>标前会议</w:t>
            </w:r>
          </w:p>
        </w:tc>
        <w:tc>
          <w:tcPr>
            <w:tcW w:w="4980" w:type="dxa"/>
            <w:noWrap w:val="0"/>
            <w:vAlign w:val="center"/>
          </w:tcPr>
          <w:p w14:paraId="76B6A702">
            <w:pPr>
              <w:jc w:val="center"/>
              <w:rPr>
                <w:rFonts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36EE44">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256B42B0">
            <w:pPr>
              <w:jc w:val="center"/>
              <w:rPr>
                <w:rFonts w:ascii="宋体" w:hAnsi="宋体"/>
              </w:rPr>
            </w:pPr>
            <w:r>
              <w:rPr>
                <w:rFonts w:hint="eastAsia" w:ascii="宋体" w:hAnsi="宋体"/>
              </w:rPr>
              <w:t>招标文件的澄清和修改</w:t>
            </w:r>
          </w:p>
        </w:tc>
        <w:tc>
          <w:tcPr>
            <w:tcW w:w="4980" w:type="dxa"/>
            <w:noWrap w:val="0"/>
            <w:vAlign w:val="center"/>
          </w:tcPr>
          <w:p w14:paraId="40D9E487">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991F52B">
            <w:pPr>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7C9F6870">
            <w:pPr>
              <w:jc w:val="center"/>
              <w:rPr>
                <w:rFonts w:ascii="宋体" w:hAnsi="宋体"/>
              </w:rPr>
            </w:pPr>
            <w:r>
              <w:rPr>
                <w:rFonts w:hint="eastAsia" w:ascii="宋体" w:hAnsi="宋体"/>
              </w:rPr>
              <w:t>投标有效期</w:t>
            </w:r>
          </w:p>
        </w:tc>
        <w:tc>
          <w:tcPr>
            <w:tcW w:w="4980" w:type="dxa"/>
            <w:noWrap w:val="0"/>
            <w:vAlign w:val="center"/>
          </w:tcPr>
          <w:p w14:paraId="7ACF040F">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B3BC06C">
            <w:pPr>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3AB4C320">
            <w:pPr>
              <w:jc w:val="center"/>
              <w:rPr>
                <w:rFonts w:ascii="宋体" w:hAnsi="宋体"/>
              </w:rPr>
            </w:pPr>
            <w:r>
              <w:rPr>
                <w:rFonts w:hint="eastAsia" w:ascii="宋体" w:hAnsi="宋体"/>
              </w:rPr>
              <w:t>投标人的替代方案</w:t>
            </w:r>
          </w:p>
        </w:tc>
        <w:tc>
          <w:tcPr>
            <w:tcW w:w="4980" w:type="dxa"/>
            <w:noWrap w:val="0"/>
            <w:vAlign w:val="center"/>
          </w:tcPr>
          <w:p w14:paraId="49BFE542">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6D33FB">
            <w:pPr>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4523C6AF">
            <w:pPr>
              <w:jc w:val="center"/>
              <w:rPr>
                <w:rFonts w:ascii="宋体" w:hAnsi="宋体"/>
              </w:rPr>
            </w:pPr>
            <w:r>
              <w:rPr>
                <w:rFonts w:hint="eastAsia" w:ascii="宋体" w:hAnsi="宋体"/>
              </w:rPr>
              <w:t>投标文件的大小</w:t>
            </w:r>
          </w:p>
        </w:tc>
        <w:tc>
          <w:tcPr>
            <w:tcW w:w="4980" w:type="dxa"/>
            <w:noWrap w:val="0"/>
            <w:vAlign w:val="center"/>
          </w:tcPr>
          <w:p w14:paraId="57E8EEA5">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0B095C">
            <w:pPr>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0CA4586E">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14:paraId="5B70AEA0">
            <w:pPr>
              <w:jc w:val="center"/>
              <w:rPr>
                <w:rFonts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DF2706">
            <w:pPr>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6CA5D322">
            <w:pPr>
              <w:jc w:val="center"/>
              <w:rPr>
                <w:rFonts w:ascii="宋体" w:hAnsi="宋体"/>
              </w:rPr>
            </w:pPr>
            <w:r>
              <w:rPr>
                <w:rFonts w:hint="eastAsia" w:ascii="宋体" w:hAnsi="宋体"/>
              </w:rPr>
              <w:t>评审方法</w:t>
            </w:r>
          </w:p>
        </w:tc>
        <w:tc>
          <w:tcPr>
            <w:tcW w:w="4980" w:type="dxa"/>
            <w:noWrap w:val="0"/>
            <w:vAlign w:val="center"/>
          </w:tcPr>
          <w:p w14:paraId="5F6F9B93">
            <w:pPr>
              <w:jc w:val="center"/>
              <w:rPr>
                <w:rFonts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B11988">
            <w:pPr>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36DD00BC">
            <w:pPr>
              <w:jc w:val="center"/>
              <w:rPr>
                <w:rFonts w:ascii="宋体" w:hAnsi="宋体"/>
              </w:rPr>
            </w:pPr>
            <w:r>
              <w:rPr>
                <w:rFonts w:hint="eastAsia" w:ascii="宋体" w:hAnsi="宋体"/>
              </w:rPr>
              <w:t>定标方法</w:t>
            </w:r>
          </w:p>
        </w:tc>
        <w:tc>
          <w:tcPr>
            <w:tcW w:w="4980" w:type="dxa"/>
            <w:noWrap w:val="0"/>
            <w:vAlign w:val="center"/>
          </w:tcPr>
          <w:p w14:paraId="0056E885">
            <w:pPr>
              <w:jc w:val="center"/>
              <w:rPr>
                <w:rFonts w:ascii="宋体" w:hAnsi="宋体"/>
              </w:rPr>
            </w:pPr>
            <w:r>
              <w:rPr>
                <w:rFonts w:hint="eastAsia"/>
              </w:rPr>
              <w:t>非评定分离/评定分离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1E875">
            <w:pPr>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416F3067">
            <w:pPr>
              <w:jc w:val="center"/>
              <w:rPr>
                <w:rFonts w:ascii="宋体" w:hAnsi="宋体"/>
              </w:rPr>
            </w:pPr>
            <w:r>
              <w:rPr>
                <w:rFonts w:hint="eastAsia" w:ascii="宋体" w:hAnsi="宋体"/>
              </w:rPr>
              <w:t>履约担保</w:t>
            </w:r>
          </w:p>
        </w:tc>
        <w:tc>
          <w:tcPr>
            <w:tcW w:w="4980" w:type="dxa"/>
            <w:noWrap w:val="0"/>
            <w:vAlign w:val="center"/>
          </w:tcPr>
          <w:p w14:paraId="45B9BFBE">
            <w:pPr>
              <w:jc w:val="center"/>
              <w:rPr>
                <w:rFonts w:ascii="宋体" w:hAnsi="宋体"/>
              </w:rPr>
            </w:pPr>
            <w:r>
              <w:rPr>
                <w:rFonts w:hint="eastAsia"/>
              </w:rPr>
              <w:t>不需要</w:t>
            </w:r>
          </w:p>
        </w:tc>
      </w:tr>
      <w:tr w14:paraId="510A2D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F229D8D">
            <w:pPr>
              <w:jc w:val="center"/>
              <w:rPr>
                <w:rFonts w:hint="eastAsia" w:ascii="宋体" w:hAnsi="宋体"/>
              </w:rPr>
            </w:pPr>
            <w:r>
              <w:rPr>
                <w:rFonts w:hint="eastAsia" w:ascii="宋体" w:hAnsi="宋体"/>
                <w:lang w:val="en-US" w:eastAsia="zh-CN"/>
              </w:rPr>
              <w:t>52.8</w:t>
            </w:r>
          </w:p>
        </w:tc>
        <w:tc>
          <w:tcPr>
            <w:tcW w:w="2409" w:type="dxa"/>
            <w:noWrap w:val="0"/>
            <w:vAlign w:val="center"/>
          </w:tcPr>
          <w:p w14:paraId="289524AC">
            <w:pPr>
              <w:jc w:val="center"/>
              <w:rPr>
                <w:rFonts w:hint="eastAsia" w:ascii="宋体" w:hAnsi="宋体"/>
              </w:rPr>
            </w:pPr>
            <w:r>
              <w:rPr>
                <w:rFonts w:hint="eastAsia" w:ascii="宋体" w:hAnsi="宋体"/>
                <w:lang w:val="en-US" w:eastAsia="zh-CN"/>
              </w:rPr>
              <w:t>投诉</w:t>
            </w:r>
          </w:p>
        </w:tc>
        <w:tc>
          <w:tcPr>
            <w:tcW w:w="4980" w:type="dxa"/>
            <w:noWrap w:val="0"/>
            <w:vAlign w:val="center"/>
          </w:tcPr>
          <w:p w14:paraId="5E6C3DE8">
            <w:pPr>
              <w:jc w:val="left"/>
              <w:rPr>
                <w:rFonts w:hint="eastAsi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2"/>
    <w:p w14:paraId="3E0042D4">
      <w:pPr>
        <w:pStyle w:val="5"/>
        <w:spacing w:before="120" w:beforeLines="50" w:after="120" w:afterLines="50"/>
        <w:jc w:val="center"/>
        <w:rPr>
          <w:szCs w:val="24"/>
        </w:rPr>
      </w:pPr>
      <w:bookmarkStart w:id="34" w:name="_Hlk72218117"/>
      <w:r>
        <w:rPr>
          <w:rFonts w:hint="eastAsia"/>
          <w:szCs w:val="24"/>
        </w:rPr>
        <w:t>二、其他关键信息</w:t>
      </w:r>
    </w:p>
    <w:p w14:paraId="76FF46B8">
      <w:pPr>
        <w:ind w:firstLine="422" w:firstLineChars="200"/>
        <w:rPr>
          <w:b/>
          <w:bCs/>
        </w:rPr>
      </w:pPr>
      <w:bookmarkStart w:id="35" w:name="_Hlk72579427"/>
      <w:r>
        <w:rPr>
          <w:rFonts w:hint="eastAsia"/>
          <w:b/>
          <w:bCs/>
        </w:rPr>
        <w:t>（一）与“对通用条款的补充内容”章节相关的事项</w:t>
      </w:r>
    </w:p>
    <w:p w14:paraId="74359C5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714063C">
            <w:pPr>
              <w:jc w:val="center"/>
            </w:pPr>
            <w:r>
              <w:rPr>
                <w:rFonts w:hint="eastAsia"/>
              </w:rPr>
              <w:t>评标方法</w:t>
            </w:r>
          </w:p>
        </w:tc>
        <w:tc>
          <w:tcPr>
            <w:tcW w:w="3235" w:type="dxa"/>
            <w:noWrap w:val="0"/>
            <w:vAlign w:val="top"/>
          </w:tcPr>
          <w:p w14:paraId="4D17BABD">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jc w:val="center"/>
            </w:pPr>
            <w:r>
              <w:rPr>
                <w:rFonts w:hint="eastAsia"/>
              </w:rPr>
              <w:t>候选中标供应商家数</w:t>
            </w:r>
          </w:p>
        </w:tc>
        <w:tc>
          <w:tcPr>
            <w:tcW w:w="3235" w:type="dxa"/>
            <w:noWrap w:val="0"/>
            <w:vAlign w:val="top"/>
          </w:tcPr>
          <w:p w14:paraId="5F6818D5">
            <w:pPr>
              <w:jc w:val="center"/>
              <w:rPr>
                <w:rFonts w:hint="default" w:eastAsia="宋体"/>
                <w:lang w:val="en-US" w:eastAsia="zh-CN"/>
              </w:rPr>
            </w:pPr>
            <w:r>
              <w:rPr>
                <w:rFonts w:hint="eastAsia"/>
              </w:rPr>
              <w:t>1</w:t>
            </w:r>
          </w:p>
        </w:tc>
        <w:tc>
          <w:tcPr>
            <w:tcW w:w="2450" w:type="dxa"/>
            <w:noWrap w:val="0"/>
            <w:vAlign w:val="top"/>
          </w:tcPr>
          <w:p w14:paraId="7884D400">
            <w:pPr>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jc w:val="center"/>
            </w:pPr>
            <w:r>
              <w:rPr>
                <w:rFonts w:hint="eastAsia"/>
              </w:rPr>
              <w:t>中标供应商家数</w:t>
            </w:r>
          </w:p>
        </w:tc>
        <w:tc>
          <w:tcPr>
            <w:tcW w:w="3235" w:type="dxa"/>
            <w:noWrap w:val="0"/>
            <w:vAlign w:val="top"/>
          </w:tcPr>
          <w:p w14:paraId="7378160A">
            <w:pPr>
              <w:jc w:val="center"/>
            </w:pPr>
            <w:r>
              <w:rPr>
                <w:rFonts w:hint="eastAsia"/>
              </w:rPr>
              <w:t>1</w:t>
            </w:r>
          </w:p>
        </w:tc>
        <w:tc>
          <w:tcPr>
            <w:tcW w:w="2450" w:type="dxa"/>
            <w:noWrap w:val="0"/>
            <w:vAlign w:val="top"/>
          </w:tcPr>
          <w:p w14:paraId="002A4D89">
            <w:pPr>
              <w:jc w:val="center"/>
              <w:rPr>
                <w:rFonts w:hint="eastAsia"/>
              </w:rPr>
            </w:pPr>
            <w:r>
              <w:rPr>
                <w:rFonts w:hint="eastAsia"/>
              </w:rPr>
              <w:t>1</w:t>
            </w:r>
          </w:p>
        </w:tc>
      </w:tr>
    </w:tbl>
    <w:p w14:paraId="3F6AEC34">
      <w:pPr>
        <w:pStyle w:val="14"/>
      </w:pPr>
    </w:p>
    <w:p w14:paraId="7DD56796">
      <w:pPr>
        <w:ind w:firstLine="422" w:firstLineChars="200"/>
        <w:rPr>
          <w:rFonts w:hint="eastAsia"/>
          <w:b/>
        </w:rPr>
      </w:pPr>
    </w:p>
    <w:p w14:paraId="42BC8533">
      <w:pPr>
        <w:ind w:firstLine="422" w:firstLineChars="200"/>
        <w:rPr>
          <w:b/>
        </w:rPr>
      </w:pPr>
      <w:r>
        <w:rPr>
          <w:rFonts w:hint="eastAsia"/>
          <w:b/>
        </w:rPr>
        <w:t>（二）其他事项</w:t>
      </w:r>
      <w:bookmarkEnd w:id="35"/>
    </w:p>
    <w:p w14:paraId="4C83EED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99040AF">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01F616D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widowControl/>
              <w:spacing w:line="360" w:lineRule="auto"/>
              <w:jc w:val="center"/>
            </w:pPr>
            <w:r>
              <w:rPr>
                <w:rFonts w:hint="eastAsia"/>
              </w:rPr>
              <w:t>货物采购</w:t>
            </w:r>
          </w:p>
        </w:tc>
        <w:tc>
          <w:tcPr>
            <w:tcW w:w="1799" w:type="dxa"/>
            <w:vAlign w:val="center"/>
          </w:tcPr>
          <w:p w14:paraId="51783A6F">
            <w:pPr>
              <w:widowControl/>
              <w:spacing w:line="360" w:lineRule="auto"/>
              <w:jc w:val="center"/>
            </w:pPr>
            <w:r>
              <w:rPr>
                <w:rFonts w:hint="eastAsia"/>
              </w:rPr>
              <w:t>服务采购</w:t>
            </w:r>
          </w:p>
        </w:tc>
        <w:tc>
          <w:tcPr>
            <w:tcW w:w="1799" w:type="dxa"/>
            <w:vAlign w:val="center"/>
          </w:tcPr>
          <w:p w14:paraId="4F4F410B">
            <w:pPr>
              <w:widowControl/>
              <w:spacing w:line="360" w:lineRule="auto"/>
              <w:jc w:val="cente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widowControl/>
              <w:spacing w:line="360" w:lineRule="auto"/>
              <w:jc w:val="center"/>
            </w:pPr>
            <w:r>
              <w:rPr>
                <w:rFonts w:hint="eastAsia"/>
              </w:rPr>
              <w:t>100万元以下</w:t>
            </w:r>
          </w:p>
        </w:tc>
        <w:tc>
          <w:tcPr>
            <w:tcW w:w="1799" w:type="dxa"/>
            <w:vAlign w:val="center"/>
          </w:tcPr>
          <w:p w14:paraId="4A1E04D4">
            <w:pPr>
              <w:widowControl/>
              <w:spacing w:line="360" w:lineRule="auto"/>
              <w:jc w:val="center"/>
            </w:pPr>
            <w:r>
              <w:rPr>
                <w:rFonts w:hint="eastAsia"/>
              </w:rPr>
              <w:t>1.5%</w:t>
            </w:r>
          </w:p>
        </w:tc>
        <w:tc>
          <w:tcPr>
            <w:tcW w:w="1799" w:type="dxa"/>
            <w:vAlign w:val="center"/>
          </w:tcPr>
          <w:p w14:paraId="7C75C9CF">
            <w:pPr>
              <w:widowControl/>
              <w:spacing w:line="360" w:lineRule="auto"/>
              <w:jc w:val="center"/>
            </w:pPr>
            <w:r>
              <w:rPr>
                <w:rFonts w:hint="eastAsia"/>
              </w:rPr>
              <w:t>1.5%</w:t>
            </w:r>
          </w:p>
        </w:tc>
        <w:tc>
          <w:tcPr>
            <w:tcW w:w="1799" w:type="dxa"/>
            <w:vAlign w:val="center"/>
          </w:tcPr>
          <w:p w14:paraId="189C6D5C">
            <w:pPr>
              <w:widowControl/>
              <w:spacing w:line="360" w:lineRule="auto"/>
              <w:jc w:val="cente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widowControl/>
              <w:spacing w:line="360" w:lineRule="auto"/>
              <w:jc w:val="center"/>
            </w:pPr>
            <w:r>
              <w:rPr>
                <w:rFonts w:hint="eastAsia"/>
              </w:rPr>
              <w:t>100万元（含）-500万元</w:t>
            </w:r>
          </w:p>
        </w:tc>
        <w:tc>
          <w:tcPr>
            <w:tcW w:w="1799" w:type="dxa"/>
            <w:vAlign w:val="center"/>
          </w:tcPr>
          <w:p w14:paraId="6A9DCA2A">
            <w:pPr>
              <w:widowControl/>
              <w:spacing w:line="360" w:lineRule="auto"/>
              <w:jc w:val="center"/>
            </w:pPr>
            <w:r>
              <w:rPr>
                <w:rFonts w:hint="eastAsia"/>
              </w:rPr>
              <w:t>1.1%</w:t>
            </w:r>
          </w:p>
        </w:tc>
        <w:tc>
          <w:tcPr>
            <w:tcW w:w="1799" w:type="dxa"/>
            <w:vAlign w:val="center"/>
          </w:tcPr>
          <w:p w14:paraId="7A700656">
            <w:pPr>
              <w:widowControl/>
              <w:spacing w:line="360" w:lineRule="auto"/>
              <w:jc w:val="center"/>
            </w:pPr>
            <w:r>
              <w:rPr>
                <w:rFonts w:hint="eastAsia"/>
              </w:rPr>
              <w:t>0.8%</w:t>
            </w:r>
          </w:p>
        </w:tc>
        <w:tc>
          <w:tcPr>
            <w:tcW w:w="1799" w:type="dxa"/>
            <w:vAlign w:val="center"/>
          </w:tcPr>
          <w:p w14:paraId="311B0B06">
            <w:pPr>
              <w:widowControl/>
              <w:spacing w:line="360" w:lineRule="auto"/>
              <w:jc w:val="cente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widowControl/>
              <w:spacing w:line="360" w:lineRule="auto"/>
              <w:jc w:val="center"/>
            </w:pPr>
            <w:r>
              <w:rPr>
                <w:rFonts w:hint="eastAsia"/>
              </w:rPr>
              <w:t>500万元（含）-1000万元</w:t>
            </w:r>
          </w:p>
        </w:tc>
        <w:tc>
          <w:tcPr>
            <w:tcW w:w="1799" w:type="dxa"/>
            <w:vAlign w:val="center"/>
          </w:tcPr>
          <w:p w14:paraId="0126FC62">
            <w:pPr>
              <w:widowControl/>
              <w:spacing w:line="360" w:lineRule="auto"/>
              <w:jc w:val="center"/>
            </w:pPr>
            <w:r>
              <w:rPr>
                <w:rFonts w:hint="eastAsia"/>
              </w:rPr>
              <w:t>0.8%</w:t>
            </w:r>
          </w:p>
        </w:tc>
        <w:tc>
          <w:tcPr>
            <w:tcW w:w="1799" w:type="dxa"/>
            <w:vAlign w:val="center"/>
          </w:tcPr>
          <w:p w14:paraId="3C005815">
            <w:pPr>
              <w:widowControl/>
              <w:spacing w:line="360" w:lineRule="auto"/>
              <w:jc w:val="center"/>
            </w:pPr>
            <w:r>
              <w:rPr>
                <w:rFonts w:hint="eastAsia"/>
              </w:rPr>
              <w:t>0.45%</w:t>
            </w:r>
          </w:p>
        </w:tc>
        <w:tc>
          <w:tcPr>
            <w:tcW w:w="1799" w:type="dxa"/>
            <w:vAlign w:val="center"/>
          </w:tcPr>
          <w:p w14:paraId="503295A1">
            <w:pPr>
              <w:widowControl/>
              <w:spacing w:line="360" w:lineRule="auto"/>
              <w:jc w:val="cente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widowControl/>
              <w:spacing w:line="360" w:lineRule="auto"/>
              <w:jc w:val="center"/>
            </w:pPr>
            <w:r>
              <w:rPr>
                <w:rFonts w:hint="eastAsia"/>
              </w:rPr>
              <w:t>1000万元（含）-5000万元</w:t>
            </w:r>
          </w:p>
        </w:tc>
        <w:tc>
          <w:tcPr>
            <w:tcW w:w="1799" w:type="dxa"/>
            <w:vAlign w:val="center"/>
          </w:tcPr>
          <w:p w14:paraId="14010A5F">
            <w:pPr>
              <w:widowControl/>
              <w:spacing w:line="360" w:lineRule="auto"/>
              <w:jc w:val="center"/>
            </w:pPr>
            <w:r>
              <w:rPr>
                <w:rFonts w:hint="eastAsia"/>
              </w:rPr>
              <w:t>0.5%</w:t>
            </w:r>
          </w:p>
        </w:tc>
        <w:tc>
          <w:tcPr>
            <w:tcW w:w="1799" w:type="dxa"/>
            <w:vAlign w:val="center"/>
          </w:tcPr>
          <w:p w14:paraId="442E582E">
            <w:pPr>
              <w:widowControl/>
              <w:spacing w:line="360" w:lineRule="auto"/>
              <w:jc w:val="center"/>
            </w:pPr>
            <w:r>
              <w:rPr>
                <w:rFonts w:hint="eastAsia"/>
              </w:rPr>
              <w:t>0.25%</w:t>
            </w:r>
          </w:p>
        </w:tc>
        <w:tc>
          <w:tcPr>
            <w:tcW w:w="1799" w:type="dxa"/>
            <w:vAlign w:val="center"/>
          </w:tcPr>
          <w:p w14:paraId="34CDD933">
            <w:pPr>
              <w:widowControl/>
              <w:spacing w:line="360" w:lineRule="auto"/>
              <w:jc w:val="cente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widowControl/>
              <w:spacing w:line="360" w:lineRule="auto"/>
              <w:jc w:val="center"/>
            </w:pPr>
            <w:r>
              <w:rPr>
                <w:rFonts w:hint="eastAsia"/>
              </w:rPr>
              <w:t>5000万元（含）-1亿元</w:t>
            </w:r>
          </w:p>
        </w:tc>
        <w:tc>
          <w:tcPr>
            <w:tcW w:w="1799" w:type="dxa"/>
            <w:vAlign w:val="center"/>
          </w:tcPr>
          <w:p w14:paraId="16A6FF46">
            <w:pPr>
              <w:widowControl/>
              <w:spacing w:line="360" w:lineRule="auto"/>
              <w:jc w:val="center"/>
            </w:pPr>
            <w:r>
              <w:rPr>
                <w:rFonts w:hint="eastAsia"/>
              </w:rPr>
              <w:t>0.25%</w:t>
            </w:r>
          </w:p>
        </w:tc>
        <w:tc>
          <w:tcPr>
            <w:tcW w:w="1799" w:type="dxa"/>
            <w:vAlign w:val="center"/>
          </w:tcPr>
          <w:p w14:paraId="4A3D9124">
            <w:pPr>
              <w:widowControl/>
              <w:spacing w:line="360" w:lineRule="auto"/>
              <w:jc w:val="center"/>
            </w:pPr>
            <w:r>
              <w:rPr>
                <w:rFonts w:hint="eastAsia"/>
              </w:rPr>
              <w:t>0.1%</w:t>
            </w:r>
          </w:p>
        </w:tc>
        <w:tc>
          <w:tcPr>
            <w:tcW w:w="1799" w:type="dxa"/>
            <w:vAlign w:val="center"/>
          </w:tcPr>
          <w:p w14:paraId="3BF9CD09">
            <w:pPr>
              <w:widowControl/>
              <w:spacing w:line="360" w:lineRule="auto"/>
              <w:jc w:val="cente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widowControl/>
              <w:spacing w:line="360" w:lineRule="auto"/>
              <w:jc w:val="center"/>
            </w:pPr>
            <w:r>
              <w:rPr>
                <w:rFonts w:hint="eastAsia"/>
              </w:rPr>
              <w:t>1亿元（含）-5亿元</w:t>
            </w:r>
          </w:p>
        </w:tc>
        <w:tc>
          <w:tcPr>
            <w:tcW w:w="1799" w:type="dxa"/>
            <w:vAlign w:val="center"/>
          </w:tcPr>
          <w:p w14:paraId="60F882A8">
            <w:pPr>
              <w:widowControl/>
              <w:spacing w:line="360" w:lineRule="auto"/>
              <w:jc w:val="center"/>
            </w:pPr>
            <w:r>
              <w:rPr>
                <w:rFonts w:hint="eastAsia"/>
              </w:rPr>
              <w:t>0.05%</w:t>
            </w:r>
          </w:p>
        </w:tc>
        <w:tc>
          <w:tcPr>
            <w:tcW w:w="1799" w:type="dxa"/>
            <w:vAlign w:val="center"/>
          </w:tcPr>
          <w:p w14:paraId="1BA7ED23">
            <w:pPr>
              <w:widowControl/>
              <w:spacing w:line="360" w:lineRule="auto"/>
              <w:jc w:val="center"/>
            </w:pPr>
            <w:r>
              <w:rPr>
                <w:rFonts w:hint="eastAsia"/>
              </w:rPr>
              <w:t>0.05%</w:t>
            </w:r>
          </w:p>
        </w:tc>
        <w:tc>
          <w:tcPr>
            <w:tcW w:w="1799" w:type="dxa"/>
            <w:vAlign w:val="center"/>
          </w:tcPr>
          <w:p w14:paraId="33BEB96D">
            <w:pPr>
              <w:widowControl/>
              <w:spacing w:line="360" w:lineRule="auto"/>
              <w:jc w:val="cente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widowControl/>
              <w:spacing w:line="360" w:lineRule="auto"/>
              <w:jc w:val="center"/>
            </w:pPr>
            <w:r>
              <w:rPr>
                <w:rFonts w:hint="eastAsia"/>
              </w:rPr>
              <w:t>5亿元（含）-10亿元</w:t>
            </w:r>
          </w:p>
        </w:tc>
        <w:tc>
          <w:tcPr>
            <w:tcW w:w="1799" w:type="dxa"/>
            <w:vAlign w:val="center"/>
          </w:tcPr>
          <w:p w14:paraId="7B8C1553">
            <w:pPr>
              <w:widowControl/>
              <w:spacing w:line="360" w:lineRule="auto"/>
              <w:jc w:val="center"/>
            </w:pPr>
            <w:r>
              <w:rPr>
                <w:rFonts w:hint="eastAsia"/>
              </w:rPr>
              <w:t>0.035%</w:t>
            </w:r>
          </w:p>
        </w:tc>
        <w:tc>
          <w:tcPr>
            <w:tcW w:w="1799" w:type="dxa"/>
            <w:vAlign w:val="center"/>
          </w:tcPr>
          <w:p w14:paraId="75958F66">
            <w:pPr>
              <w:widowControl/>
              <w:spacing w:line="360" w:lineRule="auto"/>
              <w:jc w:val="center"/>
            </w:pPr>
            <w:r>
              <w:rPr>
                <w:rFonts w:hint="eastAsia"/>
              </w:rPr>
              <w:t>0.035%</w:t>
            </w:r>
          </w:p>
        </w:tc>
        <w:tc>
          <w:tcPr>
            <w:tcW w:w="1799" w:type="dxa"/>
            <w:vAlign w:val="center"/>
          </w:tcPr>
          <w:p w14:paraId="7356B181">
            <w:pPr>
              <w:widowControl/>
              <w:spacing w:line="360" w:lineRule="auto"/>
              <w:jc w:val="cente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widowControl/>
              <w:spacing w:line="360" w:lineRule="auto"/>
              <w:jc w:val="center"/>
            </w:pPr>
            <w:r>
              <w:rPr>
                <w:rFonts w:hint="eastAsia"/>
              </w:rPr>
              <w:t>10亿元（含）-50亿元</w:t>
            </w:r>
          </w:p>
        </w:tc>
        <w:tc>
          <w:tcPr>
            <w:tcW w:w="1799" w:type="dxa"/>
            <w:vAlign w:val="center"/>
          </w:tcPr>
          <w:p w14:paraId="6CE2F253">
            <w:pPr>
              <w:widowControl/>
              <w:spacing w:line="360" w:lineRule="auto"/>
              <w:jc w:val="center"/>
            </w:pPr>
            <w:r>
              <w:rPr>
                <w:rFonts w:hint="eastAsia"/>
              </w:rPr>
              <w:t>0.008%</w:t>
            </w:r>
          </w:p>
        </w:tc>
        <w:tc>
          <w:tcPr>
            <w:tcW w:w="1799" w:type="dxa"/>
            <w:vAlign w:val="center"/>
          </w:tcPr>
          <w:p w14:paraId="53229CBF">
            <w:pPr>
              <w:widowControl/>
              <w:spacing w:line="360" w:lineRule="auto"/>
              <w:jc w:val="center"/>
            </w:pPr>
            <w:r>
              <w:rPr>
                <w:rFonts w:hint="eastAsia"/>
              </w:rPr>
              <w:t>0.008%</w:t>
            </w:r>
          </w:p>
        </w:tc>
        <w:tc>
          <w:tcPr>
            <w:tcW w:w="1799" w:type="dxa"/>
            <w:vAlign w:val="center"/>
          </w:tcPr>
          <w:p w14:paraId="026EA0B3">
            <w:pPr>
              <w:widowControl/>
              <w:spacing w:line="360" w:lineRule="auto"/>
              <w:jc w:val="cente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widowControl/>
              <w:spacing w:line="360" w:lineRule="auto"/>
              <w:jc w:val="center"/>
            </w:pPr>
            <w:r>
              <w:rPr>
                <w:rFonts w:hint="eastAsia"/>
              </w:rPr>
              <w:t>50亿元（含）-100亿元</w:t>
            </w:r>
          </w:p>
        </w:tc>
        <w:tc>
          <w:tcPr>
            <w:tcW w:w="1799" w:type="dxa"/>
            <w:vAlign w:val="center"/>
          </w:tcPr>
          <w:p w14:paraId="59C11838">
            <w:pPr>
              <w:widowControl/>
              <w:spacing w:line="360" w:lineRule="auto"/>
              <w:jc w:val="center"/>
            </w:pPr>
            <w:r>
              <w:rPr>
                <w:rFonts w:hint="eastAsia"/>
              </w:rPr>
              <w:t>0.006%</w:t>
            </w:r>
          </w:p>
        </w:tc>
        <w:tc>
          <w:tcPr>
            <w:tcW w:w="1799" w:type="dxa"/>
            <w:vAlign w:val="center"/>
          </w:tcPr>
          <w:p w14:paraId="62574022">
            <w:pPr>
              <w:widowControl/>
              <w:spacing w:line="360" w:lineRule="auto"/>
              <w:jc w:val="center"/>
            </w:pPr>
            <w:r>
              <w:rPr>
                <w:rFonts w:hint="eastAsia"/>
              </w:rPr>
              <w:t>0.006%</w:t>
            </w:r>
          </w:p>
        </w:tc>
        <w:tc>
          <w:tcPr>
            <w:tcW w:w="1799" w:type="dxa"/>
            <w:vAlign w:val="center"/>
          </w:tcPr>
          <w:p w14:paraId="1B303949">
            <w:pPr>
              <w:widowControl/>
              <w:spacing w:line="360" w:lineRule="auto"/>
              <w:jc w:val="cente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widowControl/>
              <w:spacing w:line="360" w:lineRule="auto"/>
              <w:jc w:val="center"/>
            </w:pPr>
            <w:r>
              <w:rPr>
                <w:rFonts w:hint="eastAsia"/>
              </w:rPr>
              <w:t>100亿元（含）以上</w:t>
            </w:r>
          </w:p>
        </w:tc>
        <w:tc>
          <w:tcPr>
            <w:tcW w:w="1799" w:type="dxa"/>
            <w:vAlign w:val="center"/>
          </w:tcPr>
          <w:p w14:paraId="56C40502">
            <w:pPr>
              <w:widowControl/>
              <w:spacing w:line="360" w:lineRule="auto"/>
              <w:jc w:val="center"/>
            </w:pPr>
            <w:r>
              <w:rPr>
                <w:rFonts w:hint="eastAsia"/>
              </w:rPr>
              <w:t>0.004%</w:t>
            </w:r>
          </w:p>
        </w:tc>
        <w:tc>
          <w:tcPr>
            <w:tcW w:w="1799" w:type="dxa"/>
            <w:vAlign w:val="center"/>
          </w:tcPr>
          <w:p w14:paraId="0321D96E">
            <w:pPr>
              <w:widowControl/>
              <w:spacing w:line="360" w:lineRule="auto"/>
              <w:jc w:val="center"/>
            </w:pPr>
            <w:r>
              <w:rPr>
                <w:rFonts w:hint="eastAsia"/>
              </w:rPr>
              <w:t>0.004%</w:t>
            </w:r>
          </w:p>
        </w:tc>
        <w:tc>
          <w:tcPr>
            <w:tcW w:w="1799" w:type="dxa"/>
            <w:vAlign w:val="center"/>
          </w:tcPr>
          <w:p w14:paraId="1A5435AE">
            <w:pPr>
              <w:widowControl/>
              <w:spacing w:line="360" w:lineRule="auto"/>
              <w:jc w:val="cente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1AC9A879">
      <w:pPr>
        <w:pStyle w:val="7"/>
        <w:rPr>
          <w:b/>
        </w:rPr>
      </w:pPr>
    </w:p>
    <w:p w14:paraId="7ECC2851">
      <w:pPr>
        <w:pStyle w:val="14"/>
        <w:rPr>
          <w:b/>
        </w:rPr>
      </w:pPr>
    </w:p>
    <w:p w14:paraId="646EADFC">
      <w:pPr>
        <w:pStyle w:val="14"/>
        <w:rPr>
          <w:b/>
        </w:rPr>
      </w:pPr>
    </w:p>
    <w:p w14:paraId="1F704D2D">
      <w:pPr>
        <w:pStyle w:val="14"/>
        <w:rPr>
          <w:b/>
        </w:rPr>
        <w:sectPr>
          <w:pgSz w:w="11907" w:h="16840"/>
          <w:pgMar w:top="1440" w:right="1797" w:bottom="1440" w:left="1797" w:header="851" w:footer="992" w:gutter="0"/>
          <w:cols w:space="425" w:num="1"/>
          <w:titlePg/>
          <w:docGrid w:linePitch="462" w:charSpace="0"/>
        </w:sectPr>
      </w:pPr>
    </w:p>
    <w:bookmarkEnd w:id="34"/>
    <w:p w14:paraId="0188490A">
      <w:pPr>
        <w:pStyle w:val="5"/>
        <w:jc w:val="center"/>
        <w:rPr>
          <w:sz w:val="28"/>
          <w:szCs w:val="28"/>
        </w:rPr>
      </w:pPr>
      <w:r>
        <w:rPr>
          <w:rFonts w:hint="eastAsia"/>
          <w:sz w:val="28"/>
          <w:szCs w:val="28"/>
        </w:rPr>
        <w:t>第三章 用户需求书</w:t>
      </w:r>
    </w:p>
    <w:p w14:paraId="43E0E67D">
      <w:pPr>
        <w:pStyle w:val="5"/>
        <w:spacing w:before="120" w:beforeLines="50" w:after="120" w:afterLines="50"/>
        <w:jc w:val="center"/>
        <w:rPr>
          <w:szCs w:val="24"/>
        </w:rPr>
      </w:pPr>
      <w:r>
        <w:rPr>
          <w:rFonts w:hint="eastAsia"/>
          <w:szCs w:val="24"/>
        </w:rPr>
        <w:t>一、项目基本信息</w:t>
      </w:r>
    </w:p>
    <w:tbl>
      <w:tblPr>
        <w:tblStyle w:val="17"/>
        <w:tblW w:w="8931" w:type="dxa"/>
        <w:jc w:val="center"/>
        <w:tblLayout w:type="fixed"/>
        <w:tblCellMar>
          <w:top w:w="15" w:type="dxa"/>
          <w:left w:w="15" w:type="dxa"/>
          <w:bottom w:w="15" w:type="dxa"/>
          <w:right w:w="15" w:type="dxa"/>
        </w:tblCellMar>
      </w:tblPr>
      <w:tblGrid>
        <w:gridCol w:w="710"/>
        <w:gridCol w:w="5599"/>
        <w:gridCol w:w="2622"/>
      </w:tblGrid>
      <w:tr w14:paraId="14C10579">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0" w:themeFill="text2" w:themeFillTint="33"/>
            <w:vAlign w:val="center"/>
          </w:tcPr>
          <w:p w14:paraId="5AA07901">
            <w:pPr>
              <w:jc w:val="center"/>
              <w:rPr>
                <w:b w:val="0"/>
                <w:bCs w:val="0"/>
              </w:rPr>
            </w:pPr>
            <w:r>
              <w:rPr>
                <w:rFonts w:hint="eastAsia"/>
                <w:b w:val="0"/>
                <w:bCs w:val="0"/>
              </w:rPr>
              <w:t>序号</w:t>
            </w:r>
          </w:p>
        </w:tc>
        <w:tc>
          <w:tcPr>
            <w:tcW w:w="5599" w:type="dxa"/>
            <w:tcBorders>
              <w:top w:val="single" w:color="000000" w:sz="4" w:space="0"/>
              <w:left w:val="single" w:color="auto" w:sz="4" w:space="0"/>
              <w:bottom w:val="single" w:color="000000" w:sz="4" w:space="0"/>
              <w:right w:val="single" w:color="000000" w:sz="4" w:space="0"/>
            </w:tcBorders>
            <w:shd w:val="clear" w:color="auto" w:fill="C6D9F0" w:themeFill="text2" w:themeFillTint="33"/>
            <w:vAlign w:val="center"/>
          </w:tcPr>
          <w:p w14:paraId="69BE677D">
            <w:pPr>
              <w:jc w:val="center"/>
              <w:rPr>
                <w:b w:val="0"/>
                <w:bCs w:val="0"/>
              </w:rPr>
            </w:pPr>
            <w:r>
              <w:rPr>
                <w:rFonts w:hint="eastAsia"/>
                <w:b w:val="0"/>
                <w:bCs w:val="0"/>
              </w:rPr>
              <w:t>采购项目名称</w:t>
            </w:r>
          </w:p>
        </w:tc>
        <w:tc>
          <w:tcPr>
            <w:tcW w:w="2622" w:type="dxa"/>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14:paraId="5CD9A1BD">
            <w:pPr>
              <w:jc w:val="center"/>
              <w:rPr>
                <w:b w:val="0"/>
                <w:bCs w:val="0"/>
              </w:rPr>
            </w:pPr>
            <w:r>
              <w:rPr>
                <w:rFonts w:hint="eastAsia"/>
                <w:b w:val="0"/>
                <w:bCs w:val="0"/>
              </w:rPr>
              <w:t>预算金额（元）</w:t>
            </w:r>
          </w:p>
        </w:tc>
      </w:tr>
      <w:tr w14:paraId="70E402C6">
        <w:tblPrEx>
          <w:tblCellMar>
            <w:top w:w="15" w:type="dxa"/>
            <w:left w:w="15" w:type="dxa"/>
            <w:bottom w:w="15" w:type="dxa"/>
            <w:right w:w="15" w:type="dxa"/>
          </w:tblCellMar>
        </w:tblPrEx>
        <w:trPr>
          <w:trHeight w:val="1036" w:hRule="atLeast"/>
          <w:jc w:val="center"/>
        </w:trPr>
        <w:tc>
          <w:tcPr>
            <w:tcW w:w="710" w:type="dxa"/>
            <w:tcBorders>
              <w:top w:val="single" w:color="000000" w:sz="4" w:space="0"/>
              <w:left w:val="single" w:color="000000" w:sz="4" w:space="0"/>
              <w:right w:val="single" w:color="auto" w:sz="4" w:space="0"/>
            </w:tcBorders>
            <w:vAlign w:val="center"/>
          </w:tcPr>
          <w:p w14:paraId="23223A72">
            <w:pPr>
              <w:jc w:val="center"/>
              <w:rPr>
                <w:rFonts w:hint="eastAsia" w:asciiTheme="minorEastAsia" w:hAnsiTheme="minorEastAsia" w:eastAsiaTheme="minorEastAsia"/>
                <w:b w:val="0"/>
                <w:bCs w:val="0"/>
                <w:sz w:val="24"/>
                <w:szCs w:val="24"/>
                <w:highlight w:val="none"/>
                <w:lang w:eastAsia="zh-CN"/>
              </w:rPr>
            </w:pPr>
            <w:r>
              <w:rPr>
                <w:rFonts w:hint="eastAsia" w:asciiTheme="minorEastAsia" w:hAnsiTheme="minorEastAsia"/>
                <w:b w:val="0"/>
                <w:bCs w:val="0"/>
                <w:sz w:val="24"/>
                <w:szCs w:val="24"/>
                <w:highlight w:val="none"/>
              </w:rPr>
              <w:t>1</w:t>
            </w:r>
          </w:p>
        </w:tc>
        <w:tc>
          <w:tcPr>
            <w:tcW w:w="5599" w:type="dxa"/>
            <w:tcBorders>
              <w:top w:val="single" w:color="000000" w:sz="4" w:space="0"/>
              <w:left w:val="single" w:color="auto" w:sz="4" w:space="0"/>
              <w:right w:val="single" w:color="000000" w:sz="4" w:space="0"/>
            </w:tcBorders>
            <w:vAlign w:val="center"/>
          </w:tcPr>
          <w:p w14:paraId="4ABDFB59">
            <w:pPr>
              <w:jc w:val="center"/>
              <w:rPr>
                <w:rFonts w:hint="eastAsia" w:eastAsiaTheme="minorEastAsia"/>
                <w:b w:val="0"/>
                <w:bCs w:val="0"/>
                <w:highlight w:val="none"/>
                <w:lang w:val="en-US" w:eastAsia="zh-CN"/>
              </w:rPr>
            </w:pPr>
            <w:r>
              <w:rPr>
                <w:rFonts w:hint="eastAsia" w:eastAsiaTheme="minorEastAsia"/>
                <w:b w:val="0"/>
                <w:bCs w:val="0"/>
                <w:highlight w:val="none"/>
                <w:lang w:val="en-US" w:eastAsia="zh-CN"/>
              </w:rPr>
              <w:t>深圳市宝安区清平实验学校东校区课桌椅采购项目</w:t>
            </w:r>
          </w:p>
        </w:tc>
        <w:tc>
          <w:tcPr>
            <w:tcW w:w="2622" w:type="dxa"/>
            <w:tcBorders>
              <w:top w:val="single" w:color="000000" w:sz="4" w:space="0"/>
              <w:left w:val="single" w:color="000000" w:sz="4" w:space="0"/>
              <w:bottom w:val="single" w:color="000000" w:sz="4" w:space="0"/>
              <w:right w:val="single" w:color="000000" w:sz="4" w:space="0"/>
            </w:tcBorders>
            <w:vAlign w:val="center"/>
          </w:tcPr>
          <w:p w14:paraId="0AB2A36E">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243000.00</w:t>
            </w:r>
          </w:p>
        </w:tc>
      </w:tr>
      <w:tr w14:paraId="442BFC33">
        <w:tblPrEx>
          <w:tblCellMar>
            <w:top w:w="15" w:type="dxa"/>
            <w:left w:w="15" w:type="dxa"/>
            <w:bottom w:w="15" w:type="dxa"/>
            <w:right w:w="15" w:type="dxa"/>
          </w:tblCellMar>
        </w:tblPrEx>
        <w:trPr>
          <w:trHeight w:val="172" w:hRule="atLeast"/>
          <w:jc w:val="center"/>
        </w:trPr>
        <w:tc>
          <w:tcPr>
            <w:tcW w:w="6309" w:type="dxa"/>
            <w:gridSpan w:val="2"/>
            <w:tcBorders>
              <w:top w:val="single" w:color="000000" w:sz="4" w:space="0"/>
              <w:left w:val="single" w:color="000000" w:sz="4" w:space="0"/>
              <w:bottom w:val="single" w:color="auto" w:sz="4" w:space="0"/>
              <w:right w:val="single" w:color="000000" w:sz="4" w:space="0"/>
            </w:tcBorders>
            <w:vAlign w:val="center"/>
          </w:tcPr>
          <w:p w14:paraId="4993CBC4">
            <w:pPr>
              <w:jc w:val="center"/>
              <w:rPr>
                <w:rFonts w:hint="eastAsia" w:eastAsiaTheme="minorEastAsia"/>
                <w:b w:val="0"/>
                <w:bCs w:val="0"/>
                <w:highlight w:val="none"/>
                <w:lang w:val="en-US" w:eastAsia="zh-CN"/>
              </w:rPr>
            </w:pPr>
            <w:r>
              <w:rPr>
                <w:rFonts w:hint="eastAsia"/>
                <w:b w:val="0"/>
                <w:bCs w:val="0"/>
                <w:highlight w:val="none"/>
                <w:lang w:val="en-US" w:eastAsia="zh-CN"/>
              </w:rPr>
              <w:t>合计（元）</w:t>
            </w:r>
          </w:p>
        </w:tc>
        <w:tc>
          <w:tcPr>
            <w:tcW w:w="2622" w:type="dxa"/>
            <w:tcBorders>
              <w:top w:val="single" w:color="000000" w:sz="4" w:space="0"/>
              <w:left w:val="single" w:color="000000" w:sz="4" w:space="0"/>
              <w:bottom w:val="single" w:color="auto" w:sz="4" w:space="0"/>
              <w:right w:val="single" w:color="000000" w:sz="4" w:space="0"/>
            </w:tcBorders>
            <w:vAlign w:val="center"/>
          </w:tcPr>
          <w:p w14:paraId="2100B46F">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243000.00</w:t>
            </w:r>
          </w:p>
        </w:tc>
      </w:tr>
    </w:tbl>
    <w:p w14:paraId="2C2776B9">
      <w:pPr>
        <w:rPr>
          <w:rFonts w:ascii="宋体" w:hAnsi="宋体"/>
          <w:b/>
          <w:color w:val="FF0000"/>
          <w:szCs w:val="21"/>
        </w:rPr>
      </w:pPr>
    </w:p>
    <w:p w14:paraId="60FBCEA9">
      <w:pPr>
        <w:rPr>
          <w:rFonts w:ascii="宋体" w:hAnsi="宋体"/>
          <w:b/>
          <w:color w:val="FF0000"/>
          <w:szCs w:val="21"/>
        </w:rPr>
      </w:pPr>
    </w:p>
    <w:p w14:paraId="6582FD86">
      <w:pPr>
        <w:rPr>
          <w:rFonts w:ascii="宋体" w:hAnsi="宋体"/>
          <w:b/>
          <w:color w:val="FF0000"/>
          <w:szCs w:val="21"/>
        </w:rPr>
      </w:pPr>
    </w:p>
    <w:p w14:paraId="310A84FA">
      <w:pPr>
        <w:pStyle w:val="5"/>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47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375"/>
        <w:gridCol w:w="605"/>
        <w:gridCol w:w="732"/>
        <w:gridCol w:w="1233"/>
        <w:gridCol w:w="1371"/>
        <w:gridCol w:w="1002"/>
      </w:tblGrid>
      <w:tr w14:paraId="7FE6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3F77F035">
            <w:pPr>
              <w:jc w:val="center"/>
              <w:rPr>
                <w:bCs/>
                <w:szCs w:val="21"/>
              </w:rPr>
            </w:pPr>
            <w:r>
              <w:rPr>
                <w:rFonts w:hint="eastAsia"/>
                <w:bCs/>
                <w:szCs w:val="21"/>
              </w:rPr>
              <w:t>序号</w:t>
            </w:r>
          </w:p>
        </w:tc>
        <w:tc>
          <w:tcPr>
            <w:tcW w:w="1469" w:type="pct"/>
            <w:vAlign w:val="center"/>
          </w:tcPr>
          <w:p w14:paraId="570C0342">
            <w:pPr>
              <w:jc w:val="center"/>
              <w:rPr>
                <w:bCs/>
                <w:szCs w:val="21"/>
              </w:rPr>
            </w:pPr>
            <w:r>
              <w:rPr>
                <w:rFonts w:hint="eastAsia"/>
                <w:bCs/>
                <w:szCs w:val="21"/>
              </w:rPr>
              <w:t>货物名称（标的名称）</w:t>
            </w:r>
          </w:p>
        </w:tc>
        <w:tc>
          <w:tcPr>
            <w:tcW w:w="374" w:type="pct"/>
            <w:vAlign w:val="center"/>
          </w:tcPr>
          <w:p w14:paraId="0B729EBB">
            <w:pPr>
              <w:jc w:val="center"/>
              <w:rPr>
                <w:bCs/>
                <w:szCs w:val="21"/>
              </w:rPr>
            </w:pPr>
            <w:r>
              <w:rPr>
                <w:rFonts w:hint="eastAsia"/>
                <w:bCs/>
                <w:szCs w:val="21"/>
              </w:rPr>
              <w:t>数量</w:t>
            </w:r>
          </w:p>
        </w:tc>
        <w:tc>
          <w:tcPr>
            <w:tcW w:w="452" w:type="pct"/>
            <w:vAlign w:val="center"/>
          </w:tcPr>
          <w:p w14:paraId="362252F4">
            <w:pPr>
              <w:jc w:val="center"/>
              <w:rPr>
                <w:bCs/>
                <w:szCs w:val="21"/>
              </w:rPr>
            </w:pPr>
            <w:r>
              <w:rPr>
                <w:rFonts w:hint="eastAsia"/>
                <w:bCs/>
                <w:szCs w:val="21"/>
              </w:rPr>
              <w:t>单位</w:t>
            </w:r>
          </w:p>
        </w:tc>
        <w:tc>
          <w:tcPr>
            <w:tcW w:w="762" w:type="pct"/>
            <w:vAlign w:val="center"/>
          </w:tcPr>
          <w:p w14:paraId="332C13A2">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848" w:type="pct"/>
            <w:vAlign w:val="center"/>
          </w:tcPr>
          <w:p w14:paraId="3340E352">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619" w:type="pct"/>
            <w:vAlign w:val="center"/>
          </w:tcPr>
          <w:p w14:paraId="72B6CC2A">
            <w:pPr>
              <w:jc w:val="center"/>
              <w:rPr>
                <w:rFonts w:hint="default"/>
                <w:b/>
                <w:bCs/>
                <w:color w:val="FF0000"/>
                <w:szCs w:val="21"/>
                <w:lang w:val="en-US" w:eastAsia="zh-CN"/>
              </w:rPr>
            </w:pPr>
            <w:r>
              <w:rPr>
                <w:rFonts w:hint="eastAsia"/>
                <w:b/>
                <w:bCs/>
                <w:color w:val="FF0000"/>
                <w:szCs w:val="21"/>
                <w:lang w:val="en-US" w:eastAsia="zh-CN"/>
              </w:rPr>
              <w:t>标的所属行业</w:t>
            </w:r>
          </w:p>
        </w:tc>
      </w:tr>
      <w:tr w14:paraId="461F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1B2BD7C4">
            <w:pPr>
              <w:jc w:val="center"/>
              <w:rPr>
                <w:bCs/>
                <w:szCs w:val="21"/>
              </w:rPr>
            </w:pPr>
            <w:r>
              <w:rPr>
                <w:rFonts w:hint="eastAsia"/>
                <w:bCs/>
                <w:szCs w:val="21"/>
              </w:rPr>
              <w:t>1</w:t>
            </w:r>
          </w:p>
        </w:tc>
        <w:tc>
          <w:tcPr>
            <w:tcW w:w="2375" w:type="dxa"/>
            <w:vAlign w:val="center"/>
          </w:tcPr>
          <w:p w14:paraId="0084CD6F">
            <w:pPr>
              <w:jc w:val="center"/>
              <w:rPr>
                <w:bCs/>
                <w:szCs w:val="21"/>
              </w:rPr>
            </w:pPr>
            <w:r>
              <w:rPr>
                <w:rFonts w:hint="eastAsia" w:ascii="宋体" w:hAnsi="宋体" w:eastAsia="宋体" w:cs="宋体"/>
                <w:b/>
                <w:bCs/>
                <w:i w:val="0"/>
                <w:iCs w:val="0"/>
                <w:color w:val="000000"/>
                <w:sz w:val="21"/>
                <w:szCs w:val="21"/>
                <w:u w:val="none"/>
                <w:lang w:val="en-US" w:eastAsia="zh-CN"/>
              </w:rPr>
              <w:t>升降课桌1</w:t>
            </w:r>
          </w:p>
        </w:tc>
        <w:tc>
          <w:tcPr>
            <w:tcW w:w="605" w:type="dxa"/>
            <w:vAlign w:val="center"/>
          </w:tcPr>
          <w:p w14:paraId="22CB14EC">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200</w:t>
            </w:r>
          </w:p>
        </w:tc>
        <w:tc>
          <w:tcPr>
            <w:tcW w:w="732" w:type="dxa"/>
            <w:vAlign w:val="center"/>
          </w:tcPr>
          <w:p w14:paraId="7A3CFB45">
            <w:pPr>
              <w:jc w:val="center"/>
              <w:rPr>
                <w:bCs/>
                <w:szCs w:val="21"/>
              </w:rPr>
            </w:pPr>
            <w:r>
              <w:rPr>
                <w:rFonts w:hint="eastAsia" w:ascii="宋体" w:hAnsi="宋体" w:eastAsia="宋体" w:cs="宋体"/>
                <w:i w:val="0"/>
                <w:iCs w:val="0"/>
                <w:color w:val="000000"/>
                <w:sz w:val="21"/>
                <w:szCs w:val="21"/>
                <w:u w:val="none"/>
                <w:lang w:val="en-US" w:eastAsia="zh-CN"/>
              </w:rPr>
              <w:t>张</w:t>
            </w:r>
          </w:p>
        </w:tc>
        <w:tc>
          <w:tcPr>
            <w:tcW w:w="762" w:type="pct"/>
            <w:vAlign w:val="center"/>
          </w:tcPr>
          <w:p w14:paraId="22F47440">
            <w:pPr>
              <w:jc w:val="center"/>
              <w:rPr>
                <w:b/>
                <w:bCs/>
                <w:color w:val="FF0000"/>
                <w:szCs w:val="21"/>
              </w:rPr>
            </w:pPr>
            <w:r>
              <w:rPr>
                <w:rFonts w:hint="eastAsia"/>
                <w:b/>
                <w:bCs/>
                <w:szCs w:val="21"/>
              </w:rPr>
              <w:t>拒绝进口</w:t>
            </w:r>
          </w:p>
        </w:tc>
        <w:tc>
          <w:tcPr>
            <w:tcW w:w="848" w:type="pct"/>
            <w:vAlign w:val="center"/>
          </w:tcPr>
          <w:p w14:paraId="5F2F3CAA">
            <w:pPr>
              <w:jc w:val="center"/>
              <w:rPr>
                <w:rFonts w:hint="default" w:eastAsia="宋体"/>
                <w:b/>
                <w:bCs/>
                <w:color w:val="FF0000"/>
                <w:szCs w:val="21"/>
                <w:lang w:val="en-US" w:eastAsia="zh-CN"/>
              </w:rPr>
            </w:pPr>
            <w:r>
              <w:rPr>
                <w:rFonts w:hint="eastAsia" w:eastAsia="宋体"/>
                <w:b/>
                <w:bCs/>
                <w:color w:val="FF0000"/>
                <w:szCs w:val="21"/>
                <w:lang w:val="en-US" w:eastAsia="zh-CN"/>
              </w:rPr>
              <w:t>是</w:t>
            </w:r>
          </w:p>
        </w:tc>
        <w:tc>
          <w:tcPr>
            <w:tcW w:w="619" w:type="pct"/>
            <w:vAlign w:val="center"/>
          </w:tcPr>
          <w:p w14:paraId="32983E8C">
            <w:pPr>
              <w:jc w:val="center"/>
              <w:rPr>
                <w:rFonts w:hint="default" w:eastAsia="宋体"/>
                <w:b/>
                <w:bCs/>
                <w:color w:val="FF0000"/>
                <w:szCs w:val="21"/>
                <w:lang w:val="en-US" w:eastAsia="zh-CN"/>
              </w:rPr>
            </w:pPr>
            <w:r>
              <w:rPr>
                <w:rFonts w:hint="eastAsia"/>
                <w:b/>
                <w:bCs/>
                <w:color w:val="FF0000"/>
                <w:szCs w:val="21"/>
                <w:lang w:val="en-US" w:eastAsia="zh-CN"/>
              </w:rPr>
              <w:t>工业</w:t>
            </w:r>
          </w:p>
        </w:tc>
      </w:tr>
      <w:tr w14:paraId="358A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7E8F271D">
            <w:pPr>
              <w:jc w:val="center"/>
              <w:rPr>
                <w:bCs/>
                <w:szCs w:val="21"/>
              </w:rPr>
            </w:pPr>
            <w:r>
              <w:rPr>
                <w:rFonts w:hint="eastAsia"/>
                <w:bCs/>
                <w:szCs w:val="21"/>
              </w:rPr>
              <w:t>2</w:t>
            </w:r>
          </w:p>
        </w:tc>
        <w:tc>
          <w:tcPr>
            <w:tcW w:w="2375" w:type="dxa"/>
            <w:vAlign w:val="center"/>
          </w:tcPr>
          <w:p w14:paraId="7B26DFAA">
            <w:pPr>
              <w:jc w:val="center"/>
              <w:rPr>
                <w:bCs/>
                <w:szCs w:val="21"/>
              </w:rPr>
            </w:pPr>
            <w:r>
              <w:rPr>
                <w:rFonts w:hint="eastAsia" w:ascii="宋体" w:hAnsi="宋体" w:eastAsia="宋体" w:cs="宋体"/>
                <w:i w:val="0"/>
                <w:iCs w:val="0"/>
                <w:color w:val="000000"/>
                <w:sz w:val="21"/>
                <w:szCs w:val="21"/>
                <w:u w:val="none"/>
                <w:lang w:val="en-US" w:eastAsia="zh-CN"/>
              </w:rPr>
              <w:t>升降课椅1</w:t>
            </w:r>
          </w:p>
        </w:tc>
        <w:tc>
          <w:tcPr>
            <w:tcW w:w="605" w:type="dxa"/>
            <w:vAlign w:val="center"/>
          </w:tcPr>
          <w:p w14:paraId="4CBD8E97">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200</w:t>
            </w:r>
          </w:p>
        </w:tc>
        <w:tc>
          <w:tcPr>
            <w:tcW w:w="732" w:type="dxa"/>
            <w:vAlign w:val="center"/>
          </w:tcPr>
          <w:p w14:paraId="126888B3">
            <w:pPr>
              <w:jc w:val="center"/>
              <w:rPr>
                <w:bCs/>
                <w:szCs w:val="21"/>
              </w:rPr>
            </w:pPr>
            <w:r>
              <w:rPr>
                <w:rFonts w:hint="eastAsia" w:ascii="宋体" w:hAnsi="宋体" w:eastAsia="宋体" w:cs="宋体"/>
                <w:i w:val="0"/>
                <w:iCs w:val="0"/>
                <w:color w:val="000000"/>
                <w:sz w:val="21"/>
                <w:szCs w:val="21"/>
                <w:u w:val="none"/>
                <w:lang w:val="en-US" w:eastAsia="zh-CN"/>
              </w:rPr>
              <w:t>张</w:t>
            </w:r>
          </w:p>
        </w:tc>
        <w:tc>
          <w:tcPr>
            <w:tcW w:w="762" w:type="pct"/>
            <w:vAlign w:val="center"/>
          </w:tcPr>
          <w:p w14:paraId="21E86677">
            <w:pPr>
              <w:jc w:val="center"/>
              <w:rPr>
                <w:b/>
                <w:bCs/>
                <w:color w:val="FF0000"/>
                <w:szCs w:val="21"/>
              </w:rPr>
            </w:pPr>
            <w:r>
              <w:rPr>
                <w:rFonts w:hint="eastAsia"/>
                <w:b/>
                <w:bCs/>
                <w:szCs w:val="21"/>
              </w:rPr>
              <w:t>拒绝进口</w:t>
            </w:r>
          </w:p>
        </w:tc>
        <w:tc>
          <w:tcPr>
            <w:tcW w:w="848" w:type="pct"/>
            <w:vAlign w:val="center"/>
          </w:tcPr>
          <w:p w14:paraId="096B0346">
            <w:pPr>
              <w:jc w:val="center"/>
              <w:rPr>
                <w:rFonts w:hint="eastAsia"/>
                <w:b/>
                <w:bCs/>
                <w:color w:val="FF0000"/>
                <w:szCs w:val="21"/>
              </w:rPr>
            </w:pPr>
            <w:r>
              <w:rPr>
                <w:rFonts w:hint="eastAsia" w:eastAsia="宋体"/>
                <w:b/>
                <w:bCs/>
                <w:color w:val="FF0000"/>
                <w:szCs w:val="21"/>
                <w:lang w:val="en-US" w:eastAsia="zh-CN"/>
              </w:rPr>
              <w:t>是</w:t>
            </w:r>
          </w:p>
        </w:tc>
        <w:tc>
          <w:tcPr>
            <w:tcW w:w="619" w:type="pct"/>
            <w:vAlign w:val="center"/>
          </w:tcPr>
          <w:p w14:paraId="6AF96D6F">
            <w:pPr>
              <w:jc w:val="center"/>
              <w:rPr>
                <w:rFonts w:hint="eastAsia"/>
                <w:b/>
                <w:bCs/>
                <w:color w:val="FF0000"/>
                <w:szCs w:val="21"/>
              </w:rPr>
            </w:pPr>
            <w:r>
              <w:rPr>
                <w:rFonts w:hint="eastAsia"/>
                <w:b/>
                <w:bCs/>
                <w:color w:val="FF0000"/>
                <w:szCs w:val="21"/>
                <w:lang w:val="en-US" w:eastAsia="zh-CN"/>
              </w:rPr>
              <w:t>工业</w:t>
            </w:r>
          </w:p>
        </w:tc>
      </w:tr>
      <w:tr w14:paraId="72C2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2007806C">
            <w:pPr>
              <w:jc w:val="center"/>
              <w:rPr>
                <w:bCs/>
                <w:szCs w:val="21"/>
              </w:rPr>
            </w:pPr>
            <w:r>
              <w:rPr>
                <w:rFonts w:hint="eastAsia"/>
                <w:bCs/>
                <w:szCs w:val="21"/>
              </w:rPr>
              <w:t>3</w:t>
            </w:r>
          </w:p>
        </w:tc>
        <w:tc>
          <w:tcPr>
            <w:tcW w:w="2375" w:type="dxa"/>
            <w:vAlign w:val="center"/>
          </w:tcPr>
          <w:p w14:paraId="2382B637">
            <w:pPr>
              <w:jc w:val="center"/>
              <w:rPr>
                <w:bCs/>
                <w:szCs w:val="21"/>
              </w:rPr>
            </w:pPr>
            <w:r>
              <w:rPr>
                <w:rFonts w:hint="eastAsia" w:ascii="宋体" w:hAnsi="宋体" w:eastAsia="宋体" w:cs="宋体"/>
                <w:i w:val="0"/>
                <w:iCs w:val="0"/>
                <w:color w:val="000000"/>
                <w:sz w:val="21"/>
                <w:szCs w:val="21"/>
                <w:u w:val="none"/>
                <w:lang w:val="en-US" w:eastAsia="zh-CN"/>
              </w:rPr>
              <w:t>升降课桌2</w:t>
            </w:r>
          </w:p>
        </w:tc>
        <w:tc>
          <w:tcPr>
            <w:tcW w:w="605" w:type="dxa"/>
            <w:vAlign w:val="center"/>
          </w:tcPr>
          <w:p w14:paraId="5E3BCAC5">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250</w:t>
            </w:r>
          </w:p>
        </w:tc>
        <w:tc>
          <w:tcPr>
            <w:tcW w:w="732" w:type="dxa"/>
            <w:vAlign w:val="center"/>
          </w:tcPr>
          <w:p w14:paraId="0230CB78">
            <w:pPr>
              <w:jc w:val="center"/>
              <w:rPr>
                <w:bCs/>
                <w:szCs w:val="21"/>
              </w:rPr>
            </w:pPr>
            <w:r>
              <w:rPr>
                <w:rFonts w:hint="eastAsia" w:ascii="宋体" w:hAnsi="宋体" w:eastAsia="宋体" w:cs="宋体"/>
                <w:i w:val="0"/>
                <w:iCs w:val="0"/>
                <w:color w:val="000000"/>
                <w:sz w:val="21"/>
                <w:szCs w:val="21"/>
                <w:u w:val="none"/>
                <w:lang w:val="en-US" w:eastAsia="zh-CN"/>
              </w:rPr>
              <w:t>张</w:t>
            </w:r>
          </w:p>
        </w:tc>
        <w:tc>
          <w:tcPr>
            <w:tcW w:w="762" w:type="pct"/>
            <w:vAlign w:val="center"/>
          </w:tcPr>
          <w:p w14:paraId="6C7BE8CA">
            <w:pPr>
              <w:jc w:val="center"/>
              <w:rPr>
                <w:b/>
                <w:bCs/>
                <w:szCs w:val="21"/>
              </w:rPr>
            </w:pPr>
            <w:r>
              <w:rPr>
                <w:rFonts w:hint="eastAsia"/>
                <w:b/>
                <w:bCs/>
                <w:szCs w:val="21"/>
              </w:rPr>
              <w:t>拒绝进口</w:t>
            </w:r>
          </w:p>
        </w:tc>
        <w:tc>
          <w:tcPr>
            <w:tcW w:w="848" w:type="pct"/>
            <w:vAlign w:val="center"/>
          </w:tcPr>
          <w:p w14:paraId="76075578">
            <w:pPr>
              <w:jc w:val="center"/>
              <w:rPr>
                <w:rFonts w:hint="eastAsia"/>
                <w:b/>
                <w:bCs/>
                <w:szCs w:val="21"/>
              </w:rPr>
            </w:pPr>
            <w:r>
              <w:rPr>
                <w:rFonts w:hint="eastAsia" w:eastAsia="宋体"/>
                <w:b/>
                <w:bCs/>
                <w:color w:val="FF0000"/>
                <w:szCs w:val="21"/>
                <w:lang w:val="en-US" w:eastAsia="zh-CN"/>
              </w:rPr>
              <w:t>是</w:t>
            </w:r>
          </w:p>
        </w:tc>
        <w:tc>
          <w:tcPr>
            <w:tcW w:w="619" w:type="pct"/>
            <w:vAlign w:val="center"/>
          </w:tcPr>
          <w:p w14:paraId="5FEE086C">
            <w:pPr>
              <w:jc w:val="center"/>
              <w:rPr>
                <w:rFonts w:hint="eastAsia"/>
                <w:b/>
                <w:bCs/>
                <w:szCs w:val="21"/>
              </w:rPr>
            </w:pPr>
            <w:r>
              <w:rPr>
                <w:rFonts w:hint="eastAsia"/>
                <w:b/>
                <w:bCs/>
                <w:color w:val="FF0000"/>
                <w:szCs w:val="21"/>
                <w:lang w:val="en-US" w:eastAsia="zh-CN"/>
              </w:rPr>
              <w:t>工业</w:t>
            </w:r>
          </w:p>
        </w:tc>
      </w:tr>
      <w:tr w14:paraId="30E5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313E7064">
            <w:pPr>
              <w:jc w:val="center"/>
              <w:rPr>
                <w:rFonts w:hint="eastAsia"/>
                <w:bCs/>
                <w:szCs w:val="21"/>
              </w:rPr>
            </w:pPr>
            <w:r>
              <w:rPr>
                <w:rFonts w:hint="eastAsia"/>
                <w:bCs/>
                <w:szCs w:val="21"/>
              </w:rPr>
              <w:t>4</w:t>
            </w:r>
          </w:p>
        </w:tc>
        <w:tc>
          <w:tcPr>
            <w:tcW w:w="2375" w:type="dxa"/>
            <w:vAlign w:val="center"/>
          </w:tcPr>
          <w:p w14:paraId="35EDEADD">
            <w:pPr>
              <w:jc w:val="center"/>
              <w:rPr>
                <w:rFonts w:hint="eastAsia"/>
                <w:bCs/>
                <w:szCs w:val="21"/>
              </w:rPr>
            </w:pPr>
            <w:r>
              <w:rPr>
                <w:rFonts w:hint="eastAsia" w:ascii="宋体" w:hAnsi="宋体" w:eastAsia="宋体" w:cs="宋体"/>
                <w:i w:val="0"/>
                <w:iCs w:val="0"/>
                <w:color w:val="000000"/>
                <w:sz w:val="21"/>
                <w:szCs w:val="21"/>
                <w:u w:val="none"/>
                <w:lang w:val="en-US" w:eastAsia="zh-CN"/>
              </w:rPr>
              <w:t>升降课椅2</w:t>
            </w:r>
          </w:p>
        </w:tc>
        <w:tc>
          <w:tcPr>
            <w:tcW w:w="605" w:type="dxa"/>
            <w:vAlign w:val="center"/>
          </w:tcPr>
          <w:p w14:paraId="631D9098">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250</w:t>
            </w:r>
          </w:p>
        </w:tc>
        <w:tc>
          <w:tcPr>
            <w:tcW w:w="732" w:type="dxa"/>
            <w:vAlign w:val="center"/>
          </w:tcPr>
          <w:p w14:paraId="5ECFBC9B">
            <w:pPr>
              <w:jc w:val="center"/>
              <w:rPr>
                <w:bCs/>
                <w:szCs w:val="21"/>
              </w:rPr>
            </w:pPr>
            <w:r>
              <w:rPr>
                <w:rFonts w:hint="eastAsia" w:ascii="宋体" w:hAnsi="宋体" w:eastAsia="宋体" w:cs="宋体"/>
                <w:i w:val="0"/>
                <w:iCs w:val="0"/>
                <w:color w:val="000000"/>
                <w:sz w:val="21"/>
                <w:szCs w:val="21"/>
                <w:u w:val="none"/>
                <w:lang w:val="en-US" w:eastAsia="zh-CN"/>
              </w:rPr>
              <w:t>张</w:t>
            </w:r>
          </w:p>
        </w:tc>
        <w:tc>
          <w:tcPr>
            <w:tcW w:w="762" w:type="pct"/>
            <w:vAlign w:val="center"/>
          </w:tcPr>
          <w:p w14:paraId="4AC4DE21">
            <w:pPr>
              <w:jc w:val="center"/>
              <w:rPr>
                <w:rFonts w:hint="eastAsia"/>
                <w:b/>
                <w:bCs/>
                <w:szCs w:val="21"/>
              </w:rPr>
            </w:pPr>
            <w:r>
              <w:rPr>
                <w:rFonts w:hint="eastAsia"/>
                <w:b/>
                <w:bCs/>
                <w:szCs w:val="21"/>
              </w:rPr>
              <w:t>拒绝进口</w:t>
            </w:r>
          </w:p>
        </w:tc>
        <w:tc>
          <w:tcPr>
            <w:tcW w:w="848" w:type="pct"/>
            <w:vAlign w:val="center"/>
          </w:tcPr>
          <w:p w14:paraId="1993329C">
            <w:pPr>
              <w:jc w:val="center"/>
              <w:rPr>
                <w:rFonts w:hint="eastAsia"/>
                <w:b/>
                <w:bCs/>
                <w:szCs w:val="21"/>
              </w:rPr>
            </w:pPr>
            <w:r>
              <w:rPr>
                <w:rFonts w:hint="eastAsia" w:eastAsia="宋体"/>
                <w:b/>
                <w:bCs/>
                <w:color w:val="FF0000"/>
                <w:szCs w:val="21"/>
                <w:lang w:val="en-US" w:eastAsia="zh-CN"/>
              </w:rPr>
              <w:t>是</w:t>
            </w:r>
          </w:p>
        </w:tc>
        <w:tc>
          <w:tcPr>
            <w:tcW w:w="619" w:type="pct"/>
            <w:vAlign w:val="center"/>
          </w:tcPr>
          <w:p w14:paraId="5ACB6174">
            <w:pPr>
              <w:jc w:val="center"/>
              <w:rPr>
                <w:rFonts w:hint="eastAsia"/>
                <w:b/>
                <w:bCs/>
                <w:szCs w:val="21"/>
              </w:rPr>
            </w:pPr>
            <w:r>
              <w:rPr>
                <w:rFonts w:hint="eastAsia"/>
                <w:b/>
                <w:bCs/>
                <w:color w:val="FF0000"/>
                <w:szCs w:val="21"/>
                <w:lang w:val="en-US" w:eastAsia="zh-CN"/>
              </w:rPr>
              <w:t>工业</w:t>
            </w:r>
          </w:p>
        </w:tc>
      </w:tr>
      <w:tr w14:paraId="25A3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7FFC74E0">
            <w:pPr>
              <w:jc w:val="center"/>
              <w:rPr>
                <w:rFonts w:hint="eastAsia"/>
                <w:bCs/>
                <w:szCs w:val="21"/>
              </w:rPr>
            </w:pPr>
            <w:r>
              <w:rPr>
                <w:rFonts w:hint="eastAsia"/>
                <w:bCs/>
                <w:szCs w:val="21"/>
              </w:rPr>
              <w:t>5</w:t>
            </w:r>
          </w:p>
        </w:tc>
        <w:tc>
          <w:tcPr>
            <w:tcW w:w="2375" w:type="dxa"/>
            <w:vAlign w:val="center"/>
          </w:tcPr>
          <w:p w14:paraId="39665DD8">
            <w:pPr>
              <w:jc w:val="center"/>
              <w:rPr>
                <w:rFonts w:hint="eastAsia"/>
                <w:bCs/>
                <w:szCs w:val="21"/>
              </w:rPr>
            </w:pPr>
            <w:r>
              <w:rPr>
                <w:rFonts w:hint="eastAsia" w:ascii="宋体" w:hAnsi="宋体" w:eastAsia="宋体" w:cs="宋体"/>
                <w:i w:val="0"/>
                <w:iCs w:val="0"/>
                <w:color w:val="000000"/>
                <w:sz w:val="21"/>
                <w:szCs w:val="21"/>
                <w:u w:val="none"/>
                <w:lang w:val="en-US" w:eastAsia="zh-CN"/>
              </w:rPr>
              <w:t>清洁剂</w:t>
            </w:r>
          </w:p>
        </w:tc>
        <w:tc>
          <w:tcPr>
            <w:tcW w:w="605" w:type="dxa"/>
            <w:vAlign w:val="center"/>
          </w:tcPr>
          <w:p w14:paraId="2A291E5A">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9</w:t>
            </w:r>
          </w:p>
        </w:tc>
        <w:tc>
          <w:tcPr>
            <w:tcW w:w="732" w:type="dxa"/>
            <w:vAlign w:val="center"/>
          </w:tcPr>
          <w:p w14:paraId="136E0574">
            <w:pPr>
              <w:jc w:val="center"/>
              <w:rPr>
                <w:bCs/>
                <w:szCs w:val="21"/>
              </w:rPr>
            </w:pPr>
            <w:r>
              <w:rPr>
                <w:rFonts w:hint="eastAsia" w:ascii="宋体" w:hAnsi="宋体" w:eastAsia="宋体" w:cs="宋体"/>
                <w:i w:val="0"/>
                <w:iCs w:val="0"/>
                <w:color w:val="000000"/>
                <w:sz w:val="21"/>
                <w:szCs w:val="21"/>
                <w:u w:val="none"/>
                <w:lang w:val="en-US" w:eastAsia="zh-CN"/>
              </w:rPr>
              <w:t>瓶</w:t>
            </w:r>
          </w:p>
        </w:tc>
        <w:tc>
          <w:tcPr>
            <w:tcW w:w="762" w:type="pct"/>
            <w:vAlign w:val="center"/>
          </w:tcPr>
          <w:p w14:paraId="0102B83A">
            <w:pPr>
              <w:jc w:val="center"/>
              <w:rPr>
                <w:rFonts w:hint="eastAsia"/>
                <w:b/>
                <w:bCs/>
                <w:szCs w:val="21"/>
              </w:rPr>
            </w:pPr>
            <w:r>
              <w:rPr>
                <w:rFonts w:hint="eastAsia"/>
                <w:b/>
                <w:bCs/>
                <w:szCs w:val="21"/>
              </w:rPr>
              <w:t>拒绝进口</w:t>
            </w:r>
          </w:p>
        </w:tc>
        <w:tc>
          <w:tcPr>
            <w:tcW w:w="848" w:type="pct"/>
            <w:vAlign w:val="center"/>
          </w:tcPr>
          <w:p w14:paraId="76C4FBB9">
            <w:pPr>
              <w:jc w:val="center"/>
              <w:rPr>
                <w:rFonts w:hint="eastAsia"/>
                <w:b/>
                <w:bCs/>
                <w:szCs w:val="21"/>
              </w:rPr>
            </w:pPr>
            <w:r>
              <w:rPr>
                <w:rFonts w:hint="eastAsia" w:eastAsia="宋体"/>
                <w:b/>
                <w:bCs/>
                <w:color w:val="FF0000"/>
                <w:szCs w:val="21"/>
                <w:lang w:val="en-US" w:eastAsia="zh-CN"/>
              </w:rPr>
              <w:t>是</w:t>
            </w:r>
          </w:p>
        </w:tc>
        <w:tc>
          <w:tcPr>
            <w:tcW w:w="619" w:type="pct"/>
            <w:vAlign w:val="center"/>
          </w:tcPr>
          <w:p w14:paraId="591FC542">
            <w:pPr>
              <w:jc w:val="center"/>
              <w:rPr>
                <w:rFonts w:hint="eastAsia"/>
                <w:b/>
                <w:bCs/>
                <w:szCs w:val="21"/>
              </w:rPr>
            </w:pPr>
            <w:r>
              <w:rPr>
                <w:rFonts w:hint="eastAsia"/>
                <w:b/>
                <w:bCs/>
                <w:color w:val="FF0000"/>
                <w:szCs w:val="21"/>
                <w:lang w:val="en-US" w:eastAsia="zh-CN"/>
              </w:rPr>
              <w:t>工业</w:t>
            </w:r>
          </w:p>
        </w:tc>
      </w:tr>
    </w:tbl>
    <w:p w14:paraId="3BA5EB42">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3E1C383E">
      <w:pPr>
        <w:numPr>
          <w:ilvl w:val="0"/>
          <w:numId w:val="2"/>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2C8857DB">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3A309C45">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3B603648">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宋体" w:hAnsi="宋体"/>
          <w:b/>
          <w:color w:val="FF0000"/>
          <w:szCs w:val="21"/>
          <w:highlight w:val="yellow"/>
          <w:u w:val="single"/>
        </w:rPr>
        <w:t xml:space="preserve"> 升降课桌1 </w:t>
      </w:r>
      <w:r>
        <w:rPr>
          <w:rFonts w:hint="eastAsia" w:ascii="宋体" w:hAnsi="宋体"/>
          <w:b/>
          <w:color w:val="FF0000"/>
          <w:szCs w:val="21"/>
          <w:u w:val="single"/>
        </w:rPr>
        <w:t xml:space="preserve">  </w:t>
      </w:r>
      <w:r>
        <w:rPr>
          <w:rFonts w:hint="eastAsia" w:ascii="宋体" w:hAnsi="宋体"/>
          <w:b/>
          <w:color w:val="FF0000"/>
          <w:szCs w:val="21"/>
        </w:rPr>
        <w:t>。</w:t>
      </w:r>
    </w:p>
    <w:bookmarkEnd w:id="37"/>
    <w:p w14:paraId="1867A013">
      <w:pPr>
        <w:rPr>
          <w:rFonts w:ascii="宋体" w:hAnsi="宋体"/>
          <w:b/>
          <w:color w:val="FF0000"/>
          <w:szCs w:val="21"/>
        </w:rPr>
      </w:pPr>
    </w:p>
    <w:p w14:paraId="7406D443">
      <w:pPr>
        <w:pStyle w:val="7"/>
      </w:pPr>
    </w:p>
    <w:p w14:paraId="0F6AB735">
      <w:pPr>
        <w:pStyle w:val="5"/>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2881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4A6A9EAC">
            <w:r>
              <w:rPr>
                <w:rFonts w:hint="eastAsia"/>
              </w:rPr>
              <w:t>序号</w:t>
            </w:r>
          </w:p>
        </w:tc>
        <w:tc>
          <w:tcPr>
            <w:tcW w:w="7832" w:type="dxa"/>
            <w:noWrap w:val="0"/>
            <w:vAlign w:val="center"/>
          </w:tcPr>
          <w:p w14:paraId="3BAFB0C1">
            <w:pPr>
              <w:jc w:val="center"/>
            </w:pPr>
            <w:r>
              <w:rPr>
                <w:rFonts w:hint="eastAsia"/>
              </w:rPr>
              <w:t>实质性条款具体内容</w:t>
            </w:r>
          </w:p>
        </w:tc>
      </w:tr>
      <w:tr w14:paraId="5ED7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7A7B9CCB">
            <w:pPr>
              <w:jc w:val="center"/>
            </w:pPr>
            <w:r>
              <w:rPr>
                <w:rFonts w:hint="eastAsia"/>
              </w:rPr>
              <w:t>1</w:t>
            </w:r>
          </w:p>
        </w:tc>
        <w:tc>
          <w:tcPr>
            <w:tcW w:w="7832" w:type="dxa"/>
            <w:noWrap w:val="0"/>
            <w:vAlign w:val="top"/>
          </w:tcPr>
          <w:p w14:paraId="48D36B44">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030A1D25">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14:paraId="57D8161A">
      <w:pPr>
        <w:spacing w:afterLines="25" w:line="300" w:lineRule="auto"/>
        <w:rPr>
          <w:rFonts w:ascii="Arial" w:hAnsi="Arial" w:eastAsia="宋体" w:cs="Times New Roman"/>
          <w:szCs w:val="24"/>
        </w:rPr>
      </w:pPr>
    </w:p>
    <w:p w14:paraId="72C13319">
      <w:pPr>
        <w:widowControl/>
        <w:jc w:val="left"/>
        <w:rPr>
          <w:rFonts w:ascii="Arial" w:hAnsi="Arial" w:eastAsia="宋体" w:cs="Times New Roman"/>
          <w:szCs w:val="24"/>
        </w:rPr>
      </w:pPr>
    </w:p>
    <w:p w14:paraId="1BE1BE54">
      <w:pPr>
        <w:pStyle w:val="7"/>
      </w:pPr>
    </w:p>
    <w:p w14:paraId="2EF04E75">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0F5374C1">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50638EB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6A7CA20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47086D9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24A636F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0251BFC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0DA1E91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373AFAE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7"/>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1"/>
        <w:gridCol w:w="1198"/>
        <w:gridCol w:w="6211"/>
      </w:tblGrid>
      <w:tr w14:paraId="30A33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41517">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0160"/>
                  <wp:effectExtent l="0" t="0" r="8890" b="3810"/>
                  <wp:wrapNone/>
                  <wp:docPr id="4" name="图片_1"/>
                  <wp:cNvGraphicFramePr/>
                  <a:graphic xmlns:a="http://schemas.openxmlformats.org/drawingml/2006/main">
                    <a:graphicData uri="http://schemas.openxmlformats.org/drawingml/2006/picture">
                      <pic:pic xmlns:pic="http://schemas.openxmlformats.org/drawingml/2006/picture">
                        <pic:nvPicPr>
                          <pic:cNvPr id="4" name="图片_1"/>
                          <pic:cNvPicPr/>
                        </pic:nvPicPr>
                        <pic:blipFill>
                          <a:blip r:embed="rId15"/>
                          <a:stretch>
                            <a:fillRect/>
                          </a:stretch>
                        </pic:blipFill>
                        <pic:spPr>
                          <a:xfrm>
                            <a:off x="0" y="0"/>
                            <a:ext cx="10160" cy="10160"/>
                          </a:xfrm>
                          <a:prstGeom prst="rect">
                            <a:avLst/>
                          </a:prstGeom>
                          <a:noFill/>
                          <a:ln>
                            <a:noFill/>
                          </a:ln>
                        </pic:spPr>
                      </pic:pic>
                    </a:graphicData>
                  </a:graphic>
                </wp:anchor>
              </w:drawing>
            </w:r>
            <w:r>
              <w:rPr>
                <w:rFonts w:hint="eastAsia" w:asciiTheme="majorEastAsia" w:hAnsiTheme="majorEastAsia" w:eastAsiaTheme="majorEastAsia" w:cstheme="majorEastAsia"/>
                <w:b/>
                <w:bCs/>
                <w:i w:val="0"/>
                <w:iCs w:val="0"/>
                <w:color w:val="000000"/>
                <w:kern w:val="0"/>
                <w:sz w:val="21"/>
                <w:szCs w:val="21"/>
                <w:u w:val="none"/>
                <w:lang w:val="en-US" w:eastAsia="zh-CN"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09DB8">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设备名称</w:t>
            </w: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180F5">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Theme="majorEastAsia" w:hAnsiTheme="majorEastAsia" w:eastAsiaTheme="majorEastAsia" w:cstheme="majorEastAsia"/>
                <w:b/>
                <w:bCs/>
                <w:i w:val="0"/>
                <w:iCs w:val="0"/>
                <w:color w:val="000000"/>
                <w:kern w:val="0"/>
                <w:sz w:val="21"/>
                <w:szCs w:val="21"/>
                <w:u w:val="none"/>
                <w:lang w:val="en-US" w:eastAsia="zh-CN" w:bidi="ar"/>
              </w:rPr>
              <w:t>技术参数要求</w:t>
            </w:r>
          </w:p>
        </w:tc>
      </w:tr>
      <w:tr w14:paraId="5BF03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7E7B4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2A543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升降课桌1</w:t>
            </w: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F6BB8">
            <w:pPr>
              <w:keepNext w:val="0"/>
              <w:keepLines w:val="0"/>
              <w:widowControl/>
              <w:suppressLineNumbers w:val="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A.桌面</w:t>
            </w:r>
          </w:p>
        </w:tc>
      </w:tr>
      <w:tr w14:paraId="69315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A7D44">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CBFD4">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F48CD">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Style w:val="38"/>
                <w:rFonts w:hint="eastAsia" w:asciiTheme="majorEastAsia" w:hAnsiTheme="majorEastAsia" w:eastAsiaTheme="majorEastAsia" w:cstheme="majorEastAsia"/>
                <w:sz w:val="21"/>
                <w:szCs w:val="21"/>
                <w:lang w:val="en-US" w:eastAsia="zh-CN" w:bidi="ar"/>
              </w:rPr>
              <w:t>1.</w:t>
            </w:r>
            <w:r>
              <w:rPr>
                <w:rStyle w:val="39"/>
                <w:rFonts w:hint="eastAsia" w:asciiTheme="majorEastAsia" w:hAnsiTheme="majorEastAsia" w:eastAsiaTheme="majorEastAsia" w:cstheme="majorEastAsia"/>
                <w:sz w:val="21"/>
                <w:szCs w:val="21"/>
                <w:lang w:val="en-US" w:eastAsia="zh-CN" w:bidi="ar"/>
              </w:rPr>
              <w:t>材质：ABS塑胶（塑料）一体注射成型。</w:t>
            </w:r>
          </w:p>
        </w:tc>
      </w:tr>
      <w:tr w14:paraId="5B7CF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87FE4">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D975E">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AFC9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highlight w:val="none"/>
                <w:u w:val="none"/>
              </w:rPr>
            </w:pPr>
            <w:r>
              <w:rPr>
                <w:rFonts w:hint="eastAsia" w:asciiTheme="majorEastAsia" w:hAnsiTheme="majorEastAsia" w:eastAsiaTheme="majorEastAsia" w:cstheme="majorEastAsia"/>
                <w:i w:val="0"/>
                <w:iCs w:val="0"/>
                <w:color w:val="auto"/>
                <w:kern w:val="0"/>
                <w:sz w:val="21"/>
                <w:szCs w:val="21"/>
                <w:highlight w:val="none"/>
                <w:u w:val="none"/>
                <w:lang w:val="en-US" w:eastAsia="zh-CN" w:bidi="ar"/>
              </w:rPr>
              <w:t>2.</w:t>
            </w:r>
            <w:r>
              <w:rPr>
                <w:rStyle w:val="40"/>
                <w:rFonts w:hint="eastAsia" w:asciiTheme="majorEastAsia" w:hAnsiTheme="majorEastAsia" w:eastAsiaTheme="majorEastAsia" w:cstheme="majorEastAsia"/>
                <w:color w:val="auto"/>
                <w:sz w:val="21"/>
                <w:szCs w:val="21"/>
                <w:highlight w:val="none"/>
                <w:lang w:val="en-US" w:eastAsia="zh-CN" w:bidi="ar"/>
              </w:rPr>
              <w:t>▲ABS塑料（塑胶）检验：【洛氏硬度(HRR)：≥90），测试方法GB/T 3398.2-2008】；【表面电阻率≥1.0x10</w:t>
            </w:r>
            <w:r>
              <w:rPr>
                <w:rStyle w:val="41"/>
                <w:rFonts w:hint="eastAsia" w:asciiTheme="majorEastAsia" w:hAnsiTheme="majorEastAsia" w:eastAsiaTheme="majorEastAsia" w:cstheme="majorEastAsia"/>
                <w:color w:val="auto"/>
                <w:sz w:val="21"/>
                <w:szCs w:val="21"/>
                <w:highlight w:val="none"/>
                <w:lang w:val="en-US" w:eastAsia="zh-CN" w:bidi="ar"/>
              </w:rPr>
              <w:t>12</w:t>
            </w:r>
            <w:r>
              <w:rPr>
                <w:rStyle w:val="40"/>
                <w:rFonts w:hint="eastAsia" w:asciiTheme="majorEastAsia" w:hAnsiTheme="majorEastAsia" w:eastAsiaTheme="majorEastAsia" w:cstheme="majorEastAsia"/>
                <w:color w:val="auto"/>
                <w:sz w:val="21"/>
                <w:szCs w:val="21"/>
                <w:highlight w:val="none"/>
                <w:lang w:val="en-US" w:eastAsia="zh-CN" w:bidi="ar"/>
              </w:rPr>
              <w:t>Ω，测试方法GB/T 31838.3-2019】；【拉伸强度（试验速度：50mm/min）≥40MPa；拉伸断裂伸长率（试验速度：50mm/min）≥1.0%；测试方法GB/T 1040.2-2022】；【简支梁缺口冲击强度：≥10KJ∕㎡</w:t>
            </w:r>
            <w:r>
              <w:rPr>
                <w:rStyle w:val="41"/>
                <w:rFonts w:hint="eastAsia" w:asciiTheme="majorEastAsia" w:hAnsiTheme="majorEastAsia" w:eastAsiaTheme="majorEastAsia" w:cstheme="majorEastAsia"/>
                <w:color w:val="auto"/>
                <w:sz w:val="21"/>
                <w:szCs w:val="21"/>
                <w:highlight w:val="none"/>
                <w:lang w:val="en-US" w:eastAsia="zh-CN" w:bidi="ar"/>
              </w:rPr>
              <w:t xml:space="preserve"> </w:t>
            </w:r>
            <w:r>
              <w:rPr>
                <w:rStyle w:val="40"/>
                <w:rFonts w:hint="eastAsia" w:asciiTheme="majorEastAsia" w:hAnsiTheme="majorEastAsia" w:eastAsiaTheme="majorEastAsia" w:cstheme="majorEastAsia"/>
                <w:color w:val="auto"/>
                <w:sz w:val="21"/>
                <w:szCs w:val="21"/>
                <w:highlight w:val="none"/>
                <w:lang w:val="en-US" w:eastAsia="zh-CN" w:bidi="ar"/>
              </w:rPr>
              <w:t>，测试方法GB/T 1043.1-2008】；【耐磨性(CS-17，750g，100r)≤0.01g，测试方法GB/T 5478-2008】；【热老化（60℃，100h）无龟裂、鼓泡现象，测试方法GB/T 7141-2008】；【盐雾老化（中性盐雾，100h）无锈蚀现象，测试方法GB/T 10125-2021】；【荧光紫外灯老化（100h</w:t>
            </w:r>
            <w:r>
              <w:rPr>
                <w:rStyle w:val="41"/>
                <w:rFonts w:hint="eastAsia" w:asciiTheme="majorEastAsia" w:hAnsiTheme="majorEastAsia" w:eastAsiaTheme="majorEastAsia" w:cstheme="majorEastAsia"/>
                <w:color w:val="auto"/>
                <w:sz w:val="21"/>
                <w:szCs w:val="21"/>
                <w:highlight w:val="none"/>
                <w:lang w:val="en-US" w:eastAsia="zh-CN" w:bidi="ar"/>
              </w:rPr>
              <w:t>1</w:t>
            </w:r>
            <w:r>
              <w:rPr>
                <w:rStyle w:val="40"/>
                <w:rFonts w:hint="eastAsia" w:asciiTheme="majorEastAsia" w:hAnsiTheme="majorEastAsia" w:eastAsiaTheme="majorEastAsia" w:cstheme="majorEastAsia"/>
                <w:color w:val="auto"/>
                <w:sz w:val="21"/>
                <w:szCs w:val="21"/>
                <w:highlight w:val="none"/>
                <w:lang w:val="en-US" w:eastAsia="zh-CN" w:bidi="ar"/>
              </w:rPr>
              <w:t>）（拉伸强度保持率≥60%、断裂伸长率保持率≥60%、外观变色评级≥3级），测试方法GB/T 16422.3-2022、GB/T 1040.2-2022、GB/T 250-2008】；【氧化诱导温度≥200℃，检测方法GB/T 19466.6-2009】；【熔融温度≥100℃，检测方法GB/T 19466.3-2004】；【结晶温度≥100℃，检测方法GB/T 19466.3-2004】；【热焓≥10kJ/kg，检测方法GB/T 19466.3-2004】；【苯酚不得检出，双酚A不得检出，检测方法SN/T 2407-2009】；【增塑剂，不得检出邻苯二甲酸二(2-乙基)己酯增塑剂，检测方法GB/T 37866-2019、GB/T 22048-2022】；【可分解芳香胺染料含量：邻甲苯胺≤5mg/kg；2,4-二甲基苯胺≤5mg/kg；2,6-二甲基苯胺≤5mg/kg；邻氨基苯甲醚≤5mg/kg；对氯苯胺≤5mg/kg；2-甲氧基-5-甲基苯胺≤5mg/kg；2,4,5-三甲基苯胺≤5mg/kg；4-氯邻甲苯胺≤5mg/kg；2,4-二氨基甲苯≤5mg/kg；2,4-二氨基苯甲醚≤5mg/kg；2-萘胺≤5mg/kg；5-硝基-邻甲苯胺≤5mg/kg；4-氨基联苯≤5mg/kg；4-氨基偶氮苯≤5mg/kg；4,4’-二氨基二苯醚≤5mg/kg；联苯胺≤5mg/kg；4,4’-二氨基二苯甲烷≤5mg/kg；邻氨基偶氮甲苯≤5mg/kg；3,3’-二甲基-4,4’-二氨基二苯甲烷≤5mg/kg；3,3’-二甲基联苯胺≤5mg/kg；4,4’-二氨基二苯硫醚≤5mg/kg；3,3’-二氯联苯胺≤5mg/kg；4,4’-亚甲基-二-(2-氯苯胺)≤5mg/kg；3,3’-二甲氧基联苯胺≤5mg/kg，检测方法GB/T 37866-2019】。</w:t>
            </w:r>
            <w:r>
              <w:rPr>
                <w:rStyle w:val="40"/>
                <w:rFonts w:hint="eastAsia" w:asciiTheme="majorEastAsia" w:hAnsiTheme="majorEastAsia" w:eastAsiaTheme="majorEastAsia" w:cstheme="majorEastAsia"/>
                <w:b/>
                <w:bCs/>
                <w:color w:val="auto"/>
                <w:sz w:val="21"/>
                <w:szCs w:val="21"/>
                <w:highlight w:val="none"/>
                <w:lang w:val="en-US" w:eastAsia="zh-CN" w:bidi="ar"/>
              </w:rPr>
              <w:t>单项判定均为合格</w:t>
            </w:r>
            <w:r>
              <w:rPr>
                <w:rStyle w:val="40"/>
                <w:rFonts w:hint="eastAsia" w:asciiTheme="majorEastAsia" w:hAnsiTheme="majorEastAsia" w:eastAsiaTheme="majorEastAsia" w:cstheme="majorEastAsia"/>
                <w:color w:val="auto"/>
                <w:sz w:val="21"/>
                <w:szCs w:val="21"/>
                <w:highlight w:val="none"/>
                <w:lang w:val="en-US" w:eastAsia="zh-CN" w:bidi="ar"/>
              </w:rPr>
              <w:t>。</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407C2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4C75E">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4D0DE">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58C33">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Style w:val="38"/>
                <w:rFonts w:hint="eastAsia" w:asciiTheme="majorEastAsia" w:hAnsiTheme="majorEastAsia" w:eastAsiaTheme="majorEastAsia" w:cstheme="majorEastAsia"/>
                <w:sz w:val="21"/>
                <w:szCs w:val="21"/>
                <w:lang w:val="en-US" w:eastAsia="zh-CN" w:bidi="ar"/>
              </w:rPr>
              <w:t>3.</w:t>
            </w:r>
            <w:r>
              <w:rPr>
                <w:rStyle w:val="39"/>
                <w:rFonts w:hint="eastAsia" w:asciiTheme="majorEastAsia" w:hAnsiTheme="majorEastAsia" w:eastAsiaTheme="majorEastAsia" w:cstheme="majorEastAsia"/>
                <w:sz w:val="21"/>
                <w:szCs w:val="21"/>
                <w:lang w:val="en-US" w:eastAsia="zh-CN" w:bidi="ar"/>
              </w:rPr>
              <w:t>在课桌面做塑面硬化处理以增加桌面的表面硬度，抗污防腐，耐磨抗划伤，防止肆意涂画，灰尘、水渍、汗渍造成桌面污浊不堪，不易清洁的问题，亦可更有效保护桌面不变色，不褪色。</w:t>
            </w:r>
          </w:p>
        </w:tc>
      </w:tr>
      <w:tr w14:paraId="08B1A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B973B">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1CD50">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CB67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highlight w:val="none"/>
                <w:u w:val="none"/>
              </w:rPr>
            </w:pPr>
            <w:r>
              <w:rPr>
                <w:rStyle w:val="38"/>
                <w:rFonts w:hint="eastAsia" w:asciiTheme="majorEastAsia" w:hAnsiTheme="majorEastAsia" w:eastAsiaTheme="majorEastAsia" w:cstheme="majorEastAsia"/>
                <w:color w:val="auto"/>
                <w:sz w:val="21"/>
                <w:szCs w:val="21"/>
                <w:highlight w:val="none"/>
                <w:lang w:val="en-US" w:eastAsia="zh-CN" w:bidi="ar"/>
              </w:rPr>
              <w:t>4.</w:t>
            </w:r>
            <w:r>
              <w:rPr>
                <w:rStyle w:val="40"/>
                <w:rFonts w:hint="eastAsia" w:asciiTheme="majorEastAsia" w:hAnsiTheme="majorEastAsia" w:eastAsiaTheme="majorEastAsia" w:cstheme="majorEastAsia"/>
                <w:color w:val="auto"/>
                <w:sz w:val="21"/>
                <w:szCs w:val="21"/>
                <w:highlight w:val="none"/>
                <w:lang w:val="en-US" w:eastAsia="zh-CN" w:bidi="ar"/>
              </w:rPr>
              <w:t>▲桌面抗污材料应满足以下要求：检验依据GB/T9274-1988《色漆和清漆 耐液体介质的测定》；检测要求：耐油性（200#溶剂油，24h）无异常；耐酸性（10g/L H</w:t>
            </w:r>
            <w:r>
              <w:rPr>
                <w:rStyle w:val="43"/>
                <w:rFonts w:hint="eastAsia" w:asciiTheme="majorEastAsia" w:hAnsiTheme="majorEastAsia" w:eastAsiaTheme="majorEastAsia" w:cstheme="majorEastAsia"/>
                <w:color w:val="auto"/>
                <w:sz w:val="21"/>
                <w:szCs w:val="21"/>
                <w:highlight w:val="none"/>
                <w:lang w:val="en-US" w:eastAsia="zh-CN" w:bidi="ar"/>
              </w:rPr>
              <w:t>2</w:t>
            </w:r>
            <w:r>
              <w:rPr>
                <w:rStyle w:val="40"/>
                <w:rFonts w:hint="eastAsia" w:asciiTheme="majorEastAsia" w:hAnsiTheme="majorEastAsia" w:eastAsiaTheme="majorEastAsia" w:cstheme="majorEastAsia"/>
                <w:color w:val="auto"/>
                <w:sz w:val="21"/>
                <w:szCs w:val="21"/>
                <w:highlight w:val="none"/>
                <w:lang w:val="en-US" w:eastAsia="zh-CN" w:bidi="ar"/>
              </w:rPr>
              <w:t>SO</w:t>
            </w:r>
            <w:r>
              <w:rPr>
                <w:rStyle w:val="43"/>
                <w:rFonts w:hint="eastAsia" w:asciiTheme="majorEastAsia" w:hAnsiTheme="majorEastAsia" w:eastAsiaTheme="majorEastAsia" w:cstheme="majorEastAsia"/>
                <w:color w:val="auto"/>
                <w:sz w:val="21"/>
                <w:szCs w:val="21"/>
                <w:highlight w:val="none"/>
                <w:lang w:val="en-US" w:eastAsia="zh-CN" w:bidi="ar"/>
              </w:rPr>
              <w:t>4</w:t>
            </w:r>
            <w:r>
              <w:rPr>
                <w:rStyle w:val="40"/>
                <w:rFonts w:hint="eastAsia" w:asciiTheme="majorEastAsia" w:hAnsiTheme="majorEastAsia" w:eastAsiaTheme="majorEastAsia" w:cstheme="majorEastAsia"/>
                <w:color w:val="auto"/>
                <w:sz w:val="21"/>
                <w:szCs w:val="21"/>
                <w:highlight w:val="none"/>
                <w:lang w:val="en-US" w:eastAsia="zh-CN" w:bidi="ar"/>
              </w:rPr>
              <w:t>，24h）无异常；耐碱性（50g/L NaHCO</w:t>
            </w:r>
            <w:r>
              <w:rPr>
                <w:rStyle w:val="43"/>
                <w:rFonts w:hint="eastAsia" w:asciiTheme="majorEastAsia" w:hAnsiTheme="majorEastAsia" w:eastAsiaTheme="majorEastAsia" w:cstheme="majorEastAsia"/>
                <w:color w:val="auto"/>
                <w:sz w:val="21"/>
                <w:szCs w:val="21"/>
                <w:highlight w:val="none"/>
                <w:lang w:val="en-US" w:eastAsia="zh-CN" w:bidi="ar"/>
              </w:rPr>
              <w:t>3</w:t>
            </w:r>
            <w:r>
              <w:rPr>
                <w:rStyle w:val="40"/>
                <w:rFonts w:hint="eastAsia" w:asciiTheme="majorEastAsia" w:hAnsiTheme="majorEastAsia" w:eastAsiaTheme="majorEastAsia" w:cstheme="majorEastAsia"/>
                <w:color w:val="auto"/>
                <w:sz w:val="21"/>
                <w:szCs w:val="21"/>
                <w:highlight w:val="none"/>
                <w:lang w:val="en-US" w:eastAsia="zh-CN" w:bidi="ar"/>
              </w:rPr>
              <w:t>，24h）无异常，</w:t>
            </w:r>
            <w:r>
              <w:rPr>
                <w:rStyle w:val="40"/>
                <w:rFonts w:hint="eastAsia" w:asciiTheme="majorEastAsia" w:hAnsiTheme="majorEastAsia" w:eastAsiaTheme="majorEastAsia" w:cstheme="majorEastAsia"/>
                <w:b/>
                <w:bCs/>
                <w:color w:val="auto"/>
                <w:sz w:val="21"/>
                <w:szCs w:val="21"/>
                <w:highlight w:val="none"/>
                <w:lang w:val="en-US" w:eastAsia="zh-CN" w:bidi="ar"/>
              </w:rPr>
              <w:t>单项判定均为合格</w:t>
            </w:r>
            <w:r>
              <w:rPr>
                <w:rStyle w:val="40"/>
                <w:rFonts w:hint="eastAsia" w:asciiTheme="majorEastAsia" w:hAnsiTheme="majorEastAsia" w:eastAsiaTheme="majorEastAsia" w:cstheme="majorEastAsia"/>
                <w:color w:val="auto"/>
                <w:sz w:val="21"/>
                <w:szCs w:val="21"/>
                <w:highlight w:val="none"/>
                <w:lang w:val="en-US" w:eastAsia="zh-CN" w:bidi="ar"/>
              </w:rPr>
              <w:t>。</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65DEF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64CB9">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18720">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55B9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highlight w:val="none"/>
                <w:u w:val="none"/>
              </w:rPr>
            </w:pPr>
            <w:r>
              <w:rPr>
                <w:rStyle w:val="38"/>
                <w:rFonts w:hint="eastAsia" w:asciiTheme="majorEastAsia" w:hAnsiTheme="majorEastAsia" w:eastAsiaTheme="majorEastAsia" w:cstheme="majorEastAsia"/>
                <w:sz w:val="21"/>
                <w:szCs w:val="21"/>
                <w:highlight w:val="none"/>
                <w:lang w:val="en-US" w:eastAsia="zh-CN" w:bidi="ar"/>
              </w:rPr>
              <w:t>5</w:t>
            </w:r>
            <w:r>
              <w:rPr>
                <w:rStyle w:val="38"/>
                <w:rFonts w:hint="eastAsia" w:asciiTheme="majorEastAsia" w:hAnsiTheme="majorEastAsia" w:eastAsiaTheme="majorEastAsia" w:cstheme="majorEastAsia"/>
                <w:color w:val="auto"/>
                <w:sz w:val="21"/>
                <w:szCs w:val="21"/>
                <w:highlight w:val="none"/>
                <w:lang w:val="en-US" w:eastAsia="zh-CN" w:bidi="ar"/>
              </w:rPr>
              <w:t>.</w:t>
            </w:r>
            <w:r>
              <w:rPr>
                <w:rStyle w:val="40"/>
                <w:rFonts w:hint="eastAsia" w:asciiTheme="majorEastAsia" w:hAnsiTheme="majorEastAsia" w:eastAsiaTheme="majorEastAsia" w:cstheme="majorEastAsia"/>
                <w:color w:val="auto"/>
                <w:sz w:val="21"/>
                <w:szCs w:val="21"/>
                <w:highlight w:val="none"/>
                <w:lang w:val="en-US" w:eastAsia="zh-CN" w:bidi="ar"/>
              </w:rPr>
              <w:t>▲塑料桌面耐污染应符合以下要求：耐污染[墨水(蓝色和红色)、印泥、水笔、圆珠笔、涂改液，24h]能被符合QB/T2309的普通橡皮擦拭；单项判定为合格。检测依据QB/T 4071-2021《课桌椅》。</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204CD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1B421">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84335">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27CD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Style w:val="38"/>
                <w:rFonts w:hint="eastAsia" w:asciiTheme="majorEastAsia" w:hAnsiTheme="majorEastAsia" w:eastAsiaTheme="majorEastAsia" w:cstheme="majorEastAsia"/>
                <w:sz w:val="21"/>
                <w:szCs w:val="21"/>
                <w:lang w:val="en-US" w:eastAsia="zh-CN" w:bidi="ar"/>
              </w:rPr>
              <w:t>6.</w:t>
            </w:r>
            <w:r>
              <w:rPr>
                <w:rStyle w:val="39"/>
                <w:rFonts w:hint="eastAsia" w:asciiTheme="majorEastAsia" w:hAnsiTheme="majorEastAsia" w:eastAsiaTheme="majorEastAsia" w:cstheme="majorEastAsia"/>
                <w:sz w:val="21"/>
                <w:szCs w:val="21"/>
                <w:lang w:val="en-US" w:eastAsia="zh-CN" w:bidi="ar"/>
              </w:rPr>
              <w:t>尺寸： (长650mm×宽450mm×厚25mm)±5mm。</w:t>
            </w:r>
          </w:p>
        </w:tc>
      </w:tr>
      <w:tr w14:paraId="6CF3B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A03AF">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34C49">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5AE8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Style w:val="38"/>
                <w:rFonts w:hint="eastAsia" w:asciiTheme="majorEastAsia" w:hAnsiTheme="majorEastAsia" w:eastAsiaTheme="majorEastAsia" w:cstheme="majorEastAsia"/>
                <w:sz w:val="21"/>
                <w:szCs w:val="21"/>
                <w:lang w:val="en-US" w:eastAsia="zh-CN" w:bidi="ar"/>
              </w:rPr>
              <w:t>7.</w:t>
            </w:r>
            <w:r>
              <w:rPr>
                <w:rStyle w:val="39"/>
                <w:rFonts w:hint="eastAsia" w:asciiTheme="majorEastAsia" w:hAnsiTheme="majorEastAsia" w:eastAsiaTheme="majorEastAsia" w:cstheme="majorEastAsia"/>
                <w:sz w:val="21"/>
                <w:szCs w:val="21"/>
                <w:lang w:val="en-US" w:eastAsia="zh-CN" w:bidi="ar"/>
              </w:rPr>
              <w:t>功能：桌面靠胸前端处有一內弧造型设计，靠胸侧两边角为鸭嘴斜边；表面有细蚀纹(咬花),不得有反光现象。桌面四周及底部完全不得有毛边，都得倒圆角光滑不刮手。面板底部有強化安全承重之设计。锁入双钢管支撑，并与面板底部平齐。面板底部外侧横向加强筋不少于8条、纵向加强筋不少于8条，加固桌面承重，不易变形</w:t>
            </w:r>
            <w:r>
              <w:rPr>
                <w:rStyle w:val="38"/>
                <w:rFonts w:hint="eastAsia" w:asciiTheme="majorEastAsia" w:hAnsiTheme="majorEastAsia" w:eastAsiaTheme="majorEastAsia" w:cstheme="majorEastAsia"/>
                <w:sz w:val="21"/>
                <w:szCs w:val="21"/>
                <w:lang w:val="en-US" w:eastAsia="zh-CN" w:bidi="ar"/>
              </w:rPr>
              <w:t>。</w:t>
            </w:r>
          </w:p>
        </w:tc>
      </w:tr>
      <w:tr w14:paraId="13D2B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1ED5C">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BC853">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6C3F9">
            <w:pPr>
              <w:keepNext w:val="0"/>
              <w:keepLines w:val="0"/>
              <w:widowControl/>
              <w:suppressLineNumbers w:val="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B.书箱</w:t>
            </w:r>
          </w:p>
        </w:tc>
      </w:tr>
      <w:tr w14:paraId="23104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58073">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79993">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5C5E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Style w:val="38"/>
                <w:rFonts w:hint="eastAsia" w:asciiTheme="majorEastAsia" w:hAnsiTheme="majorEastAsia" w:eastAsiaTheme="majorEastAsia" w:cstheme="majorEastAsia"/>
                <w:sz w:val="21"/>
                <w:szCs w:val="21"/>
                <w:lang w:val="en-US" w:eastAsia="zh-CN" w:bidi="ar"/>
              </w:rPr>
              <w:t>8.</w:t>
            </w:r>
            <w:r>
              <w:rPr>
                <w:rStyle w:val="39"/>
                <w:rFonts w:hint="eastAsia" w:asciiTheme="majorEastAsia" w:hAnsiTheme="majorEastAsia" w:eastAsiaTheme="majorEastAsia" w:cstheme="majorEastAsia"/>
                <w:sz w:val="21"/>
                <w:szCs w:val="21"/>
                <w:lang w:val="en-US" w:eastAsia="zh-CN" w:bidi="ar"/>
              </w:rPr>
              <w:t>材质：PP塑料（塑胶）</w:t>
            </w:r>
          </w:p>
        </w:tc>
      </w:tr>
      <w:tr w14:paraId="7F82E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62BF5">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67852">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313E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Style w:val="38"/>
                <w:rFonts w:hint="eastAsia" w:asciiTheme="majorEastAsia" w:hAnsiTheme="majorEastAsia" w:eastAsiaTheme="majorEastAsia" w:cstheme="majorEastAsia"/>
                <w:sz w:val="21"/>
                <w:szCs w:val="21"/>
                <w:lang w:val="en-US" w:eastAsia="zh-CN" w:bidi="ar"/>
              </w:rPr>
              <w:t>9.</w:t>
            </w:r>
            <w:r>
              <w:rPr>
                <w:rStyle w:val="39"/>
                <w:rFonts w:hint="eastAsia" w:asciiTheme="majorEastAsia" w:hAnsiTheme="majorEastAsia" w:eastAsiaTheme="majorEastAsia" w:cstheme="majorEastAsia"/>
                <w:sz w:val="21"/>
                <w:szCs w:val="21"/>
                <w:lang w:val="en-US" w:eastAsia="zh-CN" w:bidi="ar"/>
              </w:rPr>
              <w:t>规格：内径尺寸：(长450mm×宽330mm×高90mm)±5mm；外径尺寸：(长500mm×宽340mm×高100mm)±5mm。</w:t>
            </w:r>
          </w:p>
        </w:tc>
      </w:tr>
      <w:tr w14:paraId="3437B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1EC4B">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7C99D">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55138">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Style w:val="38"/>
                <w:rFonts w:hint="eastAsia" w:asciiTheme="majorEastAsia" w:hAnsiTheme="majorEastAsia" w:eastAsiaTheme="majorEastAsia" w:cstheme="majorEastAsia"/>
                <w:sz w:val="21"/>
                <w:szCs w:val="21"/>
                <w:lang w:val="en-US" w:eastAsia="zh-CN" w:bidi="ar"/>
              </w:rPr>
              <w:t>10.</w:t>
            </w:r>
            <w:r>
              <w:rPr>
                <w:rStyle w:val="39"/>
                <w:rFonts w:hint="eastAsia" w:asciiTheme="majorEastAsia" w:hAnsiTheme="majorEastAsia" w:eastAsiaTheme="majorEastAsia" w:cstheme="majorEastAsia"/>
                <w:sz w:val="21"/>
                <w:szCs w:val="21"/>
                <w:lang w:val="en-US" w:eastAsia="zh-CN" w:bidi="ar"/>
              </w:rPr>
              <w:t>书箱技术至少满足以下要求：a)书箱内部前沿设有凹槽储放笔和橡皮擦等小文具；b)书箱底部有排水槽缝设计（宽度≤5mm）；c)书箱三墙面为弧型设计，无尖角；d)书箱外围倒圆角光滑不刮手，无毛边；e)书箱左右两侧各有连体多功能塑料（塑胶）挂钩，书箱与挂钩一体成型设计。</w:t>
            </w:r>
          </w:p>
        </w:tc>
      </w:tr>
      <w:tr w14:paraId="3208B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3AF7C">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CAD81">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24A7B">
            <w:pPr>
              <w:keepNext w:val="0"/>
              <w:keepLines w:val="0"/>
              <w:widowControl/>
              <w:suppressLineNumbers w:val="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C.桌脚钢架</w:t>
            </w:r>
          </w:p>
        </w:tc>
      </w:tr>
      <w:tr w14:paraId="4416E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E3BA0">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08FC4">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2AFC9">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Style w:val="38"/>
                <w:rFonts w:hint="eastAsia" w:asciiTheme="majorEastAsia" w:hAnsiTheme="majorEastAsia" w:eastAsiaTheme="majorEastAsia" w:cstheme="majorEastAsia"/>
                <w:sz w:val="21"/>
                <w:szCs w:val="21"/>
                <w:lang w:val="en-US" w:eastAsia="zh-CN" w:bidi="ar"/>
              </w:rPr>
              <w:t>11.</w:t>
            </w:r>
            <w:r>
              <w:rPr>
                <w:rStyle w:val="39"/>
                <w:rFonts w:hint="eastAsia" w:asciiTheme="majorEastAsia" w:hAnsiTheme="majorEastAsia" w:eastAsiaTheme="majorEastAsia" w:cstheme="majorEastAsia"/>
                <w:sz w:val="21"/>
                <w:szCs w:val="21"/>
                <w:lang w:val="en-US" w:eastAsia="zh-CN" w:bidi="ar"/>
              </w:rPr>
              <w:t>材质及形状：采用符合标准异形亮光钢管、异包管亮光钢管组合焊接所有焊接部位满焊而成。焊接完成钢管架，焊接部位牢固，无脱焊、虚焊、焊穿；焊缝均匀，无毛棱、锐棱、飞溅、裂纹等缺陷。</w:t>
            </w:r>
          </w:p>
        </w:tc>
      </w:tr>
      <w:tr w14:paraId="658BA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7CC57">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D7CF8">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74AA3">
            <w:pPr>
              <w:keepNext w:val="0"/>
              <w:keepLines w:val="0"/>
              <w:widowControl/>
              <w:numPr>
                <w:ilvl w:val="0"/>
                <w:numId w:val="3"/>
              </w:numPr>
              <w:suppressLineNumbers w:val="0"/>
              <w:jc w:val="left"/>
              <w:textAlignment w:val="center"/>
              <w:rPr>
                <w:rStyle w:val="39"/>
                <w:rFonts w:hint="eastAsia" w:asciiTheme="majorEastAsia" w:hAnsiTheme="majorEastAsia" w:eastAsiaTheme="majorEastAsia" w:cstheme="majorEastAsia"/>
                <w:sz w:val="21"/>
                <w:szCs w:val="21"/>
                <w:highlight w:val="none"/>
                <w:lang w:val="en-US" w:eastAsia="zh-CN" w:bidi="ar"/>
              </w:rPr>
            </w:pPr>
            <w:r>
              <w:rPr>
                <w:rStyle w:val="39"/>
                <w:rFonts w:hint="eastAsia" w:asciiTheme="majorEastAsia" w:hAnsiTheme="majorEastAsia" w:eastAsiaTheme="majorEastAsia" w:cstheme="majorEastAsia"/>
                <w:sz w:val="21"/>
                <w:szCs w:val="21"/>
                <w:highlight w:val="none"/>
                <w:lang w:val="en-US" w:eastAsia="zh-CN" w:bidi="ar"/>
              </w:rPr>
              <w:t>尺寸：桌脚贴地部与上部弯管尺寸为椭圆形30mm×60mm±1mm×厚1.5mm,桌脚上部活动立管钢管尺寸为椭圆形23mm×50mm±1mm×厚1.5mm；</w:t>
            </w:r>
          </w:p>
          <w:p w14:paraId="3EC7EBEF">
            <w:pPr>
              <w:keepNext w:val="0"/>
              <w:keepLines w:val="0"/>
              <w:widowControl/>
              <w:numPr>
                <w:ilvl w:val="0"/>
                <w:numId w:val="0"/>
              </w:numPr>
              <w:suppressLineNumbers w:val="0"/>
              <w:jc w:val="left"/>
              <w:textAlignment w:val="center"/>
              <w:rPr>
                <w:rFonts w:hint="eastAsia" w:asciiTheme="majorEastAsia" w:hAnsiTheme="majorEastAsia" w:eastAsiaTheme="majorEastAsia" w:cstheme="majorEastAsia"/>
                <w:i w:val="0"/>
                <w:iCs w:val="0"/>
                <w:color w:val="000000"/>
                <w:sz w:val="21"/>
                <w:szCs w:val="21"/>
                <w:highlight w:val="none"/>
                <w:u w:val="none"/>
              </w:rPr>
            </w:pPr>
            <w:r>
              <w:rPr>
                <w:rStyle w:val="39"/>
                <w:rFonts w:hint="eastAsia" w:asciiTheme="majorEastAsia" w:hAnsiTheme="majorEastAsia" w:eastAsiaTheme="majorEastAsia" w:cstheme="majorEastAsia"/>
                <w:sz w:val="21"/>
                <w:szCs w:val="21"/>
                <w:highlight w:val="none"/>
                <w:lang w:val="en-US" w:eastAsia="zh-CN" w:bidi="ar"/>
              </w:rPr>
              <w:t>连接书箱L型支架钢管尺寸椭圆形23mm×50mm±1mm×厚1.5mm,二桌脚贴地连接横钢管尺寸为椭圆形20mm×40mm±1mm×厚1.2mm的白皮钢管，该横档管到桌面内沿间距须符合GB/T 3976-2014关于桌下净空深的要求。</w:t>
            </w:r>
          </w:p>
        </w:tc>
      </w:tr>
      <w:tr w14:paraId="76237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F0BF3">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FA8BE">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3F4B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Style w:val="38"/>
                <w:rFonts w:hint="eastAsia" w:asciiTheme="majorEastAsia" w:hAnsiTheme="majorEastAsia" w:eastAsiaTheme="majorEastAsia" w:cstheme="majorEastAsia"/>
                <w:sz w:val="21"/>
                <w:szCs w:val="21"/>
                <w:lang w:val="en-US" w:eastAsia="zh-CN" w:bidi="ar"/>
              </w:rPr>
              <w:t>13.</w:t>
            </w:r>
            <w:r>
              <w:rPr>
                <w:rStyle w:val="39"/>
                <w:rFonts w:hint="eastAsia" w:asciiTheme="majorEastAsia" w:hAnsiTheme="majorEastAsia" w:eastAsiaTheme="majorEastAsia" w:cstheme="majorEastAsia"/>
                <w:sz w:val="21"/>
                <w:szCs w:val="21"/>
                <w:lang w:val="en-US" w:eastAsia="zh-CN" w:bidi="ar"/>
              </w:rPr>
              <w:t>表面涂装：焊接完成后的钢管架，表面经除油、脱脂、磷化、皮膜处理。外表采用一级颗粒粉末，经高温粉体烤漆，不得有刮伤或脱漆现象。涂层无漏喷、锈蚀；涂层光滑均匀，色泽一致。涂层平整光滑。</w:t>
            </w:r>
          </w:p>
        </w:tc>
      </w:tr>
      <w:tr w14:paraId="2C612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267FB">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931A1">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A0C1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Style w:val="38"/>
                <w:rFonts w:hint="eastAsia" w:asciiTheme="majorEastAsia" w:hAnsiTheme="majorEastAsia" w:eastAsiaTheme="majorEastAsia" w:cstheme="majorEastAsia"/>
                <w:sz w:val="21"/>
                <w:szCs w:val="21"/>
                <w:lang w:val="en-US" w:eastAsia="zh-CN" w:bidi="ar"/>
              </w:rPr>
              <w:t>14.</w:t>
            </w:r>
            <w:r>
              <w:rPr>
                <w:rStyle w:val="39"/>
                <w:rFonts w:hint="eastAsia" w:asciiTheme="majorEastAsia" w:hAnsiTheme="majorEastAsia" w:eastAsiaTheme="majorEastAsia" w:cstheme="majorEastAsia"/>
                <w:sz w:val="21"/>
                <w:szCs w:val="21"/>
                <w:lang w:val="en-US" w:eastAsia="zh-CN" w:bidi="ar"/>
              </w:rPr>
              <w:t>底坐L字型弯管左右组合焊接外型。</w:t>
            </w:r>
          </w:p>
        </w:tc>
      </w:tr>
      <w:tr w14:paraId="06EDE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9D050">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1E755">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13F29">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Style w:val="38"/>
                <w:rFonts w:hint="eastAsia" w:asciiTheme="majorEastAsia" w:hAnsiTheme="majorEastAsia" w:eastAsiaTheme="majorEastAsia" w:cstheme="majorEastAsia"/>
                <w:sz w:val="21"/>
                <w:szCs w:val="21"/>
                <w:lang w:val="en-US" w:eastAsia="zh-CN" w:bidi="ar"/>
              </w:rPr>
              <w:t>15.</w:t>
            </w:r>
            <w:r>
              <w:rPr>
                <w:rStyle w:val="39"/>
                <w:rFonts w:hint="eastAsia" w:asciiTheme="majorEastAsia" w:hAnsiTheme="majorEastAsia" w:eastAsiaTheme="majorEastAsia" w:cstheme="majorEastAsia"/>
                <w:sz w:val="21"/>
                <w:szCs w:val="21"/>
                <w:lang w:val="en-US" w:eastAsia="zh-CN" w:bidi="ar"/>
              </w:rPr>
              <w:t>产品无断裂或豁裂, 手揿圧各部件无永久性松动, 零部件无严重影响使用功能的磨损或变形, 五金连接件不松动, 活动部件开关灵便。</w:t>
            </w:r>
          </w:p>
        </w:tc>
      </w:tr>
      <w:tr w14:paraId="07428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FA74B">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EA802">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EE9B0">
            <w:pPr>
              <w:keepNext w:val="0"/>
              <w:keepLines w:val="0"/>
              <w:widowControl/>
              <w:suppressLineNumbers w:val="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D.课桌椅标识：</w:t>
            </w:r>
          </w:p>
        </w:tc>
      </w:tr>
      <w:tr w14:paraId="5EB19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7BA7E">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B0133">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D580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Style w:val="38"/>
                <w:rFonts w:hint="eastAsia" w:asciiTheme="majorEastAsia" w:hAnsiTheme="majorEastAsia" w:eastAsiaTheme="majorEastAsia" w:cstheme="majorEastAsia"/>
                <w:sz w:val="21"/>
                <w:szCs w:val="21"/>
                <w:lang w:val="en-US" w:eastAsia="zh-CN" w:bidi="ar"/>
              </w:rPr>
              <w:t>16.</w:t>
            </w:r>
            <w:r>
              <w:rPr>
                <w:rStyle w:val="39"/>
                <w:rFonts w:hint="eastAsia" w:asciiTheme="majorEastAsia" w:hAnsiTheme="majorEastAsia" w:eastAsiaTheme="majorEastAsia" w:cstheme="majorEastAsia"/>
                <w:sz w:val="21"/>
                <w:szCs w:val="21"/>
                <w:lang w:val="en-US" w:eastAsia="zh-CN" w:bidi="ar"/>
              </w:rPr>
              <w:t>采用激光镭射标示，字体稳固不易脱落掉色，利于学校管理使用及产品维护。在可调节的钢制脚架上外侧标记，高度刻度尺用阿拉伯数字作标示。</w:t>
            </w:r>
          </w:p>
        </w:tc>
      </w:tr>
      <w:tr w14:paraId="05FBF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0F858">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CE356B">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581C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Style w:val="38"/>
                <w:rFonts w:hint="eastAsia" w:asciiTheme="majorEastAsia" w:hAnsiTheme="majorEastAsia" w:eastAsiaTheme="majorEastAsia" w:cstheme="majorEastAsia"/>
                <w:sz w:val="21"/>
                <w:szCs w:val="21"/>
                <w:lang w:val="en-US" w:eastAsia="zh-CN" w:bidi="ar"/>
              </w:rPr>
              <w:t>17.</w:t>
            </w:r>
            <w:r>
              <w:rPr>
                <w:rStyle w:val="39"/>
                <w:rFonts w:hint="eastAsia" w:asciiTheme="majorEastAsia" w:hAnsiTheme="majorEastAsia" w:eastAsiaTheme="majorEastAsia" w:cstheme="majorEastAsia"/>
                <w:sz w:val="21"/>
                <w:szCs w:val="21"/>
                <w:lang w:val="en-US" w:eastAsia="zh-CN" w:bidi="ar"/>
              </w:rPr>
              <w:t>在课桌桌腿立管(钢制脚架上)外侧上做如下标示：a)标示并标有统一的校名（简称）汉字或学校 LOGO，满足学校财产登记；b)标示并标有生产（出厂）年月日数字标识，保证设备保修售后；c)标示并标有产品序列号数字标识（编码从0001开始的四位流水号），满足学校财产登记；d)标示并标有高度刻度尺数字标识，满足标准要求。</w:t>
            </w:r>
          </w:p>
        </w:tc>
      </w:tr>
      <w:tr w14:paraId="13CFC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D09B9">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AE090">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05BBB">
            <w:pPr>
              <w:keepNext w:val="0"/>
              <w:keepLines w:val="0"/>
              <w:widowControl/>
              <w:suppressLineNumbers w:val="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E.脚垫</w:t>
            </w:r>
          </w:p>
        </w:tc>
      </w:tr>
      <w:tr w14:paraId="6DB85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BE76A">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78E5E">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8844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Style w:val="38"/>
                <w:rFonts w:hint="eastAsia" w:asciiTheme="majorEastAsia" w:hAnsiTheme="majorEastAsia" w:eastAsiaTheme="majorEastAsia" w:cstheme="majorEastAsia"/>
                <w:sz w:val="21"/>
                <w:szCs w:val="21"/>
                <w:lang w:val="en-US" w:eastAsia="zh-CN" w:bidi="ar"/>
              </w:rPr>
              <w:t>18.</w:t>
            </w:r>
            <w:r>
              <w:rPr>
                <w:rStyle w:val="39"/>
                <w:rFonts w:hint="eastAsia" w:asciiTheme="majorEastAsia" w:hAnsiTheme="majorEastAsia" w:eastAsiaTheme="majorEastAsia" w:cstheme="majorEastAsia"/>
                <w:sz w:val="21"/>
                <w:szCs w:val="21"/>
                <w:lang w:val="en-US" w:eastAsia="zh-CN" w:bidi="ar"/>
              </w:rPr>
              <w:t>材质：采用PP塑料（塑胶）一体射出成并用圆头十字自攻螺丝锁付。</w:t>
            </w:r>
          </w:p>
        </w:tc>
      </w:tr>
      <w:tr w14:paraId="305E3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547AD">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2A423">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9753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Style w:val="38"/>
                <w:rFonts w:hint="eastAsia" w:asciiTheme="majorEastAsia" w:hAnsiTheme="majorEastAsia" w:eastAsiaTheme="majorEastAsia" w:cstheme="majorEastAsia"/>
                <w:sz w:val="21"/>
                <w:szCs w:val="21"/>
                <w:lang w:val="en-US" w:eastAsia="zh-CN" w:bidi="ar"/>
              </w:rPr>
              <w:t>19</w:t>
            </w:r>
            <w:r>
              <w:rPr>
                <w:rStyle w:val="38"/>
                <w:rFonts w:hint="eastAsia" w:asciiTheme="majorEastAsia" w:hAnsiTheme="majorEastAsia" w:eastAsiaTheme="majorEastAsia" w:cstheme="majorEastAsia"/>
                <w:color w:val="auto"/>
                <w:sz w:val="21"/>
                <w:szCs w:val="21"/>
                <w:lang w:val="en-US" w:eastAsia="zh-CN" w:bidi="ar"/>
              </w:rPr>
              <w:t>.</w:t>
            </w:r>
            <w:r>
              <w:rPr>
                <w:rStyle w:val="40"/>
                <w:rFonts w:hint="eastAsia" w:asciiTheme="majorEastAsia" w:hAnsiTheme="majorEastAsia" w:eastAsiaTheme="majorEastAsia" w:cstheme="majorEastAsia"/>
                <w:color w:val="auto"/>
                <w:sz w:val="21"/>
                <w:szCs w:val="21"/>
                <w:lang w:val="en-US" w:eastAsia="zh-CN" w:bidi="ar"/>
              </w:rPr>
              <w:t>功能：脚垫采用固定螺丝和地平调节螺丝独立专用的安装模式：固定螺丝用于连接贴地管与脚垫，使脚垫不易脱落。地平调节螺丝可用螺丝刀旋转任意调节水平度的功能，同时还可以防止课桌倾斜。地平调节螺丝采用耐磨塑钢胶料POM材质螺纹制造、旋转顺滑且不生锈、质量轻且承重性强、防滑防震、耐磨降噪。</w:t>
            </w:r>
          </w:p>
        </w:tc>
      </w:tr>
      <w:tr w14:paraId="235B5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D3A0F">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8DF856">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E0E3C">
            <w:pPr>
              <w:keepNext w:val="0"/>
              <w:keepLines w:val="0"/>
              <w:widowControl/>
              <w:suppressLineNumbers w:val="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F.挂钩</w:t>
            </w:r>
          </w:p>
        </w:tc>
      </w:tr>
      <w:tr w14:paraId="205BD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00F41">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4AE43">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72FD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Style w:val="38"/>
                <w:rFonts w:hint="eastAsia" w:asciiTheme="majorEastAsia" w:hAnsiTheme="majorEastAsia" w:eastAsiaTheme="majorEastAsia" w:cstheme="majorEastAsia"/>
                <w:sz w:val="21"/>
                <w:szCs w:val="21"/>
                <w:lang w:val="en-US" w:eastAsia="zh-CN" w:bidi="ar"/>
              </w:rPr>
              <w:t>20.</w:t>
            </w:r>
            <w:r>
              <w:rPr>
                <w:rStyle w:val="39"/>
                <w:rFonts w:hint="eastAsia" w:asciiTheme="majorEastAsia" w:hAnsiTheme="majorEastAsia" w:eastAsiaTheme="majorEastAsia" w:cstheme="majorEastAsia"/>
                <w:sz w:val="21"/>
                <w:szCs w:val="21"/>
                <w:lang w:val="en-US" w:eastAsia="zh-CN" w:bidi="ar"/>
              </w:rPr>
              <w:t>材质：PP塑料（塑胶）。</w:t>
            </w:r>
            <w:r>
              <w:rPr>
                <w:rStyle w:val="38"/>
                <w:rFonts w:hint="eastAsia" w:asciiTheme="majorEastAsia" w:hAnsiTheme="majorEastAsia" w:eastAsiaTheme="majorEastAsia" w:cstheme="majorEastAsia"/>
                <w:sz w:val="21"/>
                <w:szCs w:val="21"/>
                <w:lang w:val="en-US" w:eastAsia="zh-CN" w:bidi="ar"/>
              </w:rPr>
              <w:t>挂钩与书箱一体成型设计。</w:t>
            </w:r>
            <w:r>
              <w:rPr>
                <w:rStyle w:val="39"/>
                <w:rFonts w:hint="eastAsia" w:asciiTheme="majorEastAsia" w:hAnsiTheme="majorEastAsia" w:eastAsiaTheme="majorEastAsia" w:cstheme="majorEastAsia"/>
                <w:sz w:val="21"/>
                <w:szCs w:val="21"/>
                <w:lang w:val="en-US" w:eastAsia="zh-CN" w:bidi="ar"/>
              </w:rPr>
              <w:t xml:space="preserve"> </w:t>
            </w:r>
          </w:p>
        </w:tc>
      </w:tr>
      <w:tr w14:paraId="6E33F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CDEEF">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EB39E">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88E5">
            <w:pPr>
              <w:keepNext w:val="0"/>
              <w:keepLines w:val="0"/>
              <w:widowControl/>
              <w:suppressLineNumbers w:val="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G.其他配件-</w:t>
            </w:r>
            <w:r>
              <w:rPr>
                <w:rStyle w:val="39"/>
                <w:rFonts w:hint="eastAsia" w:asciiTheme="majorEastAsia" w:hAnsiTheme="majorEastAsia" w:eastAsiaTheme="majorEastAsia" w:cstheme="majorEastAsia"/>
                <w:sz w:val="21"/>
                <w:szCs w:val="21"/>
                <w:lang w:val="en-US" w:eastAsia="zh-CN" w:bidi="ar"/>
              </w:rPr>
              <w:t>快速升降调节组件</w:t>
            </w:r>
          </w:p>
        </w:tc>
      </w:tr>
      <w:tr w14:paraId="0242A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5EAF7">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52528">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2709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Style w:val="38"/>
                <w:rFonts w:hint="eastAsia" w:asciiTheme="majorEastAsia" w:hAnsiTheme="majorEastAsia" w:eastAsiaTheme="majorEastAsia" w:cstheme="majorEastAsia"/>
                <w:sz w:val="21"/>
                <w:szCs w:val="21"/>
                <w:lang w:val="en-US" w:eastAsia="zh-CN" w:bidi="ar"/>
              </w:rPr>
              <w:t>21.</w:t>
            </w:r>
            <w:r>
              <w:rPr>
                <w:rStyle w:val="39"/>
                <w:rFonts w:hint="eastAsia" w:asciiTheme="majorEastAsia" w:hAnsiTheme="majorEastAsia" w:eastAsiaTheme="majorEastAsia" w:cstheme="majorEastAsia"/>
                <w:sz w:val="21"/>
                <w:szCs w:val="21"/>
                <w:lang w:val="en-US" w:eastAsia="zh-CN" w:bidi="ar"/>
              </w:rPr>
              <w:t>可调式升降结构：采用上下安全升降结构组合成，课桌桌腿升降器由中间传动轴连接课桌的左右腿活动立管，可以同时升降。组件装置安全性：桌腿外侧外观无外露螺丝五金件，左右腿都可以调整高度。</w:t>
            </w:r>
          </w:p>
        </w:tc>
      </w:tr>
      <w:tr w14:paraId="728A3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0D677">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783B4">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791A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Style w:val="38"/>
                <w:rFonts w:hint="eastAsia" w:asciiTheme="majorEastAsia" w:hAnsiTheme="majorEastAsia" w:eastAsiaTheme="majorEastAsia" w:cstheme="majorEastAsia"/>
                <w:sz w:val="21"/>
                <w:szCs w:val="21"/>
                <w:lang w:val="en-US" w:eastAsia="zh-CN" w:bidi="ar"/>
              </w:rPr>
              <w:t>22.</w:t>
            </w:r>
            <w:r>
              <w:rPr>
                <w:rStyle w:val="39"/>
                <w:rFonts w:hint="eastAsia" w:asciiTheme="majorEastAsia" w:hAnsiTheme="majorEastAsia" w:eastAsiaTheme="majorEastAsia" w:cstheme="majorEastAsia"/>
                <w:sz w:val="21"/>
                <w:szCs w:val="21"/>
                <w:lang w:val="en-US" w:eastAsia="zh-CN" w:bidi="ar"/>
              </w:rPr>
              <w:t>升降技术要求：手摇升降调节，每张课桌满足手摇升降调节行程不少于9cm,符合 0～3号、2～6号、6～9号学生课桌标准，可调节高度区间至少满足52cm-61cm、61cm-73cm、70cm-79cm，在区间内可通过手摇升降快速调节到任意的高度，满足不同学生身高体重个性需求（具体实际要求高度以学校要求为准）。升降刻度尺采用激光镭射打印。</w:t>
            </w:r>
          </w:p>
        </w:tc>
      </w:tr>
      <w:tr w14:paraId="479B5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4AD52">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2DCDC">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A6F89">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highlight w:val="none"/>
                <w:u w:val="none"/>
              </w:rPr>
            </w:pPr>
            <w:r>
              <w:rPr>
                <w:rFonts w:hint="eastAsia" w:ascii="宋体" w:hAnsi="宋体" w:eastAsia="宋体" w:cs="Times New Roman"/>
                <w:b/>
                <w:bCs/>
                <w:color w:val="FF0000"/>
                <w:szCs w:val="21"/>
              </w:rPr>
              <w:t>★</w:t>
            </w:r>
            <w:r>
              <w:rPr>
                <w:rFonts w:hint="eastAsia" w:asciiTheme="majorEastAsia" w:hAnsiTheme="majorEastAsia" w:eastAsiaTheme="majorEastAsia" w:cstheme="majorEastAsia"/>
                <w:i w:val="0"/>
                <w:iCs w:val="0"/>
                <w:color w:val="FF0000"/>
                <w:kern w:val="0"/>
                <w:sz w:val="21"/>
                <w:szCs w:val="21"/>
                <w:highlight w:val="none"/>
                <w:u w:val="none"/>
                <w:lang w:val="en-US" w:eastAsia="zh-CN" w:bidi="ar"/>
              </w:rPr>
              <w:t>23.</w:t>
            </w:r>
            <w:r>
              <w:rPr>
                <w:rStyle w:val="39"/>
                <w:rFonts w:hint="eastAsia" w:asciiTheme="majorEastAsia" w:hAnsiTheme="majorEastAsia" w:eastAsiaTheme="majorEastAsia" w:cstheme="majorEastAsia"/>
                <w:color w:val="FF0000"/>
                <w:sz w:val="21"/>
                <w:szCs w:val="21"/>
                <w:highlight w:val="none"/>
                <w:lang w:val="en-US" w:eastAsia="zh-CN" w:bidi="ar"/>
              </w:rPr>
              <w:t>一把手摇柄可以满足该批全部课桌椅调节，每班标配≥2把。</w:t>
            </w:r>
          </w:p>
        </w:tc>
      </w:tr>
      <w:tr w14:paraId="70C29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6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2D265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C2326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升降课椅1</w:t>
            </w: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AE838">
            <w:pPr>
              <w:keepNext w:val="0"/>
              <w:keepLines w:val="0"/>
              <w:widowControl/>
              <w:suppressLineNumbers w:val="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A.靠背</w:t>
            </w:r>
          </w:p>
        </w:tc>
      </w:tr>
      <w:tr w14:paraId="4694D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12635">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1C753">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FD8B4">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24.材质：PP塑料（塑胶）</w:t>
            </w:r>
          </w:p>
        </w:tc>
      </w:tr>
      <w:tr w14:paraId="243F6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D0F2B">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70B48">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6A13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25.尺寸：（长410mm×宽270mm）±5mm</w:t>
            </w:r>
          </w:p>
        </w:tc>
      </w:tr>
      <w:tr w14:paraId="2A08D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B7429">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74BE7">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6AF09">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26.样式：靠背与钢管结合方式，采用直插套管卡扣式紧固，无外露螺丝等紧固件。牢固稳定无摇晃、松动现象。靠背呈弯孤曲面，人体工程学设计，设有散热孔透气，孔直径均小于5mm。</w:t>
            </w:r>
          </w:p>
        </w:tc>
      </w:tr>
      <w:tr w14:paraId="62AEA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4C40E">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69A0F">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FE63A">
            <w:pPr>
              <w:keepNext w:val="0"/>
              <w:keepLines w:val="0"/>
              <w:widowControl/>
              <w:suppressLineNumbers w:val="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B.座垫</w:t>
            </w:r>
          </w:p>
        </w:tc>
      </w:tr>
      <w:tr w14:paraId="3B056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064AC">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9473D">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6F02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27.材质：PP塑料（塑胶）。</w:t>
            </w:r>
          </w:p>
        </w:tc>
      </w:tr>
      <w:tr w14:paraId="1C4DF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96D0C">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E501A">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A1A31">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28.尺寸：（长400mm×宽414mm）±5mm</w:t>
            </w:r>
          </w:p>
        </w:tc>
      </w:tr>
      <w:tr w14:paraId="41DD5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026AC">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2FAD7">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F0884">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29.样式：座垫前端有两处下凹设计，座垫深部有内陷设计，座垫曲面有散热孔设计，孔直径均小于5mm。</w:t>
            </w:r>
          </w:p>
        </w:tc>
      </w:tr>
      <w:tr w14:paraId="6B5CF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4CE94">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5FB76">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A982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30.▲座垫抗滑应满足以下要求：抗滑值((湿测)（BPN,20℃）检测结果≥72.4；抗滑值((干测)（BPN,20℃）检测结果≥104.8。</w:t>
            </w:r>
            <w:r>
              <w:rPr>
                <w:rFonts w:hint="eastAsia" w:asciiTheme="majorEastAsia" w:hAnsiTheme="majorEastAsia" w:eastAsiaTheme="majorEastAsia" w:cstheme="majorEastAsia"/>
                <w:b/>
                <w:bCs/>
                <w:i w:val="0"/>
                <w:iCs w:val="0"/>
                <w:color w:val="0000FF"/>
                <w:sz w:val="21"/>
                <w:szCs w:val="21"/>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3F9DC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0F9B7">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50A68">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F605D">
            <w:pPr>
              <w:keepNext w:val="0"/>
              <w:keepLines w:val="0"/>
              <w:widowControl/>
              <w:suppressLineNumbers w:val="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C.椅腿钢架</w:t>
            </w:r>
          </w:p>
        </w:tc>
      </w:tr>
      <w:tr w14:paraId="13453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86154">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13CD4">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456B8">
            <w:pPr>
              <w:keepNext w:val="0"/>
              <w:keepLines w:val="0"/>
              <w:widowControl/>
              <w:numPr>
                <w:ilvl w:val="-1"/>
                <w:numId w:val="0"/>
              </w:numPr>
              <w:suppressLineNumbers w:val="0"/>
              <w:jc w:val="left"/>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Theme="majorEastAsia" w:hAnsiTheme="majorEastAsia" w:eastAsiaTheme="majorEastAsia" w:cstheme="majorEastAsia"/>
                <w:i w:val="0"/>
                <w:iCs w:val="0"/>
                <w:color w:val="000000"/>
                <w:kern w:val="0"/>
                <w:sz w:val="21"/>
                <w:szCs w:val="21"/>
                <w:u w:val="none"/>
                <w:lang w:val="en-US" w:eastAsia="zh-CN" w:bidi="ar"/>
              </w:rPr>
              <w:t>材质及规格: 符合标准椭圆形钢管，主要支撑部件（厚度不小于1.5mm）。椅腿钢架贴地脚管采用30mm±1mm×60mm±1mm壁厚1.5mm的椭圆形白皮钢管；椅腿部横档采用20mm±1mm×40mm±1mm，壁厚1.2mm的椭圆形白皮钢管；</w:t>
            </w:r>
          </w:p>
          <w:p w14:paraId="1FB44FC4">
            <w:pPr>
              <w:keepNext w:val="0"/>
              <w:keepLines w:val="0"/>
              <w:widowControl/>
              <w:numPr>
                <w:ilvl w:val="-1"/>
                <w:numId w:val="0"/>
              </w:numPr>
              <w:suppressLineNumbers w:val="0"/>
              <w:jc w:val="left"/>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Theme="majorEastAsia" w:hAnsiTheme="majorEastAsia" w:eastAsiaTheme="majorEastAsia" w:cstheme="majorEastAsia"/>
                <w:i w:val="0"/>
                <w:iCs w:val="0"/>
                <w:color w:val="000000"/>
                <w:kern w:val="0"/>
                <w:sz w:val="21"/>
                <w:szCs w:val="21"/>
                <w:u w:val="none"/>
                <w:lang w:val="en-US" w:eastAsia="zh-CN" w:bidi="ar"/>
              </w:rPr>
              <w:t>椅脚上部固定立管采用30mm±1mm×60mm±1mm，壁厚1.5mm的椭圆形白皮钢管；椅脚上部活动立管采用23mm±1mm×50mm±1mm，壁厚1.5mm的椭圆形白皮钢管；</w:t>
            </w:r>
          </w:p>
          <w:p w14:paraId="5010C81E">
            <w:pPr>
              <w:keepNext w:val="0"/>
              <w:keepLines w:val="0"/>
              <w:widowControl/>
              <w:numPr>
                <w:ilvl w:val="-1"/>
                <w:numId w:val="0"/>
              </w:numPr>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靠背支撑弯管采用16.5 mm±1mm×34 mm×±1mm，壁厚1.2mm的椭圆形白皮钢管；椅座垫下设补强管采用16.5mm±1mm×34 mm±1mm，壁厚1.2mm的椭圆形白皮钢管。</w:t>
            </w:r>
          </w:p>
        </w:tc>
      </w:tr>
      <w:tr w14:paraId="0BB46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0E56C">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BC272">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2D92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32.工艺：采用上下安全升降结构，可调节区间（调节行程）不少于7cm，（具体实际要求高度以学校要求为准）。升降刻度尺采用激光镭射打印。</w:t>
            </w:r>
          </w:p>
        </w:tc>
      </w:tr>
      <w:tr w14:paraId="70E1A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2F7CA">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EF677">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A1563">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33.技术形状：底坐采用安全牢固的T字（或C字或工字)组合焊接外型结构，内配隐藏式上下升降结构。</w:t>
            </w:r>
          </w:p>
        </w:tc>
      </w:tr>
      <w:tr w14:paraId="0A77C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B1E9D">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4371A">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DBE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34.表面技术要求：焊接完成后的钢管架，表面经除油、脱脂、磷化、皮膜处理。外表采用一级颗粒粉末，经高温粉体烤漆，无刮伤或脱漆现象。涂层无漏喷、锈蚀涂层光滑均匀，色泽一致，无流挂、疙瘩、皱皮、飞漆等缺陷。涂层平整光滑，无明显粒子、涨边现象。</w:t>
            </w:r>
          </w:p>
        </w:tc>
      </w:tr>
      <w:tr w14:paraId="41432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E543D">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E167A">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6ED65">
            <w:pPr>
              <w:keepNext w:val="0"/>
              <w:keepLines w:val="0"/>
              <w:widowControl/>
              <w:suppressLineNumbers w:val="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D.课桌椅标识：</w:t>
            </w:r>
          </w:p>
        </w:tc>
      </w:tr>
      <w:tr w14:paraId="15A57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4B541">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2BD9E">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DF8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35.采用激光镭射标示，字体</w:t>
            </w:r>
            <w:r>
              <w:rPr>
                <w:rStyle w:val="39"/>
                <w:rFonts w:hint="default" w:asciiTheme="majorEastAsia" w:hAnsiTheme="majorEastAsia" w:eastAsiaTheme="majorEastAsia" w:cstheme="majorEastAsia"/>
                <w:lang w:bidi="ar"/>
              </w:rPr>
              <w:t>稳固不易</w:t>
            </w:r>
            <w:r>
              <w:rPr>
                <w:rFonts w:hint="eastAsia" w:asciiTheme="majorEastAsia" w:hAnsiTheme="majorEastAsia" w:eastAsiaTheme="majorEastAsia" w:cstheme="majorEastAsia"/>
                <w:i w:val="0"/>
                <w:iCs w:val="0"/>
                <w:color w:val="000000"/>
                <w:kern w:val="0"/>
                <w:sz w:val="21"/>
                <w:szCs w:val="21"/>
                <w:u w:val="none"/>
                <w:lang w:val="en-US" w:eastAsia="zh-CN" w:bidi="ar"/>
              </w:rPr>
              <w:t>脱落掉色，利于学校管理使用及产品维护。在可调节的钢制脚架上外侧标记，高度刻度尺用阿拉伯数字作标示。</w:t>
            </w:r>
          </w:p>
        </w:tc>
      </w:tr>
      <w:tr w14:paraId="36F7B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63E14">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81AED">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CF0BD">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36.表面标示至少满足以下要求：a)在课椅椅腿立管(钢制脚架上)外侧上做如下标示；b)标示并标有统一的校名（简称）标识，利于学校财产登记；c)并标示并标有生产（出厂）年月日数字标识，利于设备保修售后；d)标示并标有产品序列号数字标识（编号从0001开始的流水号），利于学校财产登记；e)标示并标有高度刻度尺数字标识，满足标准要求。</w:t>
            </w:r>
          </w:p>
        </w:tc>
      </w:tr>
      <w:tr w14:paraId="47272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71867">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1330C">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B31AC">
            <w:pPr>
              <w:keepNext w:val="0"/>
              <w:keepLines w:val="0"/>
              <w:widowControl/>
              <w:suppressLineNumbers w:val="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E.脚垫</w:t>
            </w:r>
          </w:p>
        </w:tc>
      </w:tr>
      <w:tr w14:paraId="10CE9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D71F9">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CF684">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B26C9">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37.材质：PP塑料（塑胶）。</w:t>
            </w:r>
          </w:p>
        </w:tc>
      </w:tr>
      <w:tr w14:paraId="1756E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D08DE">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E6969">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756C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38.功能：采用环保PP塑料一体射出注塑成型。并用圆头十字自攻螺丝紧固。课椅后侧两只脚垫底部有一只水平调节塑钢POM螺栓。当地面不平时，可通过调节水平螺栓，使座垫保持平衡不倾斜。表面光滑，无棱角。</w:t>
            </w:r>
          </w:p>
        </w:tc>
      </w:tr>
      <w:tr w14:paraId="46229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13F8A">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CB05C">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3256E">
            <w:pPr>
              <w:keepNext w:val="0"/>
              <w:keepLines w:val="0"/>
              <w:widowControl/>
              <w:suppressLineNumbers w:val="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F.其他配件</w:t>
            </w:r>
            <w:r>
              <w:rPr>
                <w:rFonts w:hint="eastAsia" w:asciiTheme="majorEastAsia" w:hAnsiTheme="majorEastAsia" w:eastAsiaTheme="majorEastAsia" w:cstheme="majorEastAsia"/>
                <w:i w:val="0"/>
                <w:iCs w:val="0"/>
                <w:color w:val="000000"/>
                <w:kern w:val="0"/>
                <w:sz w:val="21"/>
                <w:szCs w:val="21"/>
                <w:u w:val="none"/>
                <w:lang w:val="en-US" w:eastAsia="zh-CN" w:bidi="ar"/>
              </w:rPr>
              <w:t>快速升降调节组件：</w:t>
            </w:r>
          </w:p>
        </w:tc>
      </w:tr>
      <w:tr w14:paraId="59116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10D74">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3446E">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5857D">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39.手摇可调式结构：环保材料，轻便无噪音并有效防止长期使用生锈后活动受阻卡死。</w:t>
            </w:r>
          </w:p>
        </w:tc>
      </w:tr>
      <w:tr w14:paraId="2C58E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A703F">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E2BE4">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3338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40.手摇组件装置安全性：椅腿外侧外观无外露螺丝五金件，学生使用无安全隐患，左右腿都可以同时调整高度。</w:t>
            </w:r>
          </w:p>
        </w:tc>
      </w:tr>
      <w:tr w14:paraId="7D15E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D44E5">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7A719">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2354D">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41.升降技术要求：全手摇升降可调式调节，每张课椅满足手摇升降调节行程不少 于7cm，可调节高度区间至少满足29cm～36cm、34cm～44cm、36cm～46cm。</w:t>
            </w:r>
          </w:p>
        </w:tc>
      </w:tr>
      <w:tr w14:paraId="6A1FC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C343D">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552A5">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C764">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Times New Roman"/>
                <w:b/>
                <w:bCs/>
                <w:color w:val="FF0000"/>
                <w:szCs w:val="21"/>
              </w:rPr>
              <w:t>★</w:t>
            </w:r>
            <w:r>
              <w:rPr>
                <w:rFonts w:hint="eastAsia" w:asciiTheme="majorEastAsia" w:hAnsiTheme="majorEastAsia" w:eastAsiaTheme="majorEastAsia" w:cstheme="majorEastAsia"/>
                <w:i w:val="0"/>
                <w:iCs w:val="0"/>
                <w:color w:val="FF0000"/>
                <w:kern w:val="0"/>
                <w:sz w:val="21"/>
                <w:szCs w:val="21"/>
                <w:u w:val="none"/>
                <w:lang w:val="en-US" w:eastAsia="zh-CN" w:bidi="ar"/>
              </w:rPr>
              <w:t>42.一把手摇柄可以满足该批全部课桌椅调节，每班（50套）标配≥2把。</w:t>
            </w:r>
          </w:p>
        </w:tc>
      </w:tr>
      <w:tr w14:paraId="5E1C9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DEDB5">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4C252D">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8805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Times New Roman"/>
                <w:b/>
                <w:bCs/>
                <w:color w:val="FF0000"/>
                <w:szCs w:val="21"/>
              </w:rPr>
              <w:t>★</w:t>
            </w:r>
            <w:r>
              <w:rPr>
                <w:rFonts w:hint="eastAsia" w:asciiTheme="majorEastAsia" w:hAnsiTheme="majorEastAsia" w:eastAsiaTheme="majorEastAsia" w:cstheme="majorEastAsia"/>
                <w:i w:val="0"/>
                <w:iCs w:val="0"/>
                <w:color w:val="FF0000"/>
                <w:kern w:val="0"/>
                <w:sz w:val="21"/>
                <w:szCs w:val="21"/>
                <w:u w:val="none"/>
                <w:lang w:val="en-US" w:eastAsia="zh-CN" w:bidi="ar"/>
              </w:rPr>
              <w:t>43.课椅选择的具体调节型号范围，中标后可根据使用年级另行确定，存在不同调节范围的情况，中标供应商无条件配合。</w:t>
            </w:r>
          </w:p>
        </w:tc>
      </w:tr>
      <w:tr w14:paraId="4FA4C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DFE65">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680924">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6BF99">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auto"/>
                <w:sz w:val="21"/>
                <w:szCs w:val="21"/>
                <w:u w:val="none"/>
              </w:rPr>
              <w:t>44.▲升降课桌椅钢架检验：【化学成分：C≤0.22%，Si≤0.35%，Mn≤1.40%，P≤0.045%，S≤0.050%】；【力学性能：抗拉强度Rm370～560MPa，下屈服强</w:t>
            </w:r>
            <w:r>
              <w:rPr>
                <w:rFonts w:hint="eastAsia" w:asciiTheme="majorEastAsia" w:hAnsiTheme="majorEastAsia" w:eastAsiaTheme="majorEastAsia" w:cstheme="majorEastAsia"/>
                <w:i w:val="0"/>
                <w:iCs w:val="0"/>
                <w:color w:val="auto"/>
                <w:sz w:val="21"/>
                <w:szCs w:val="21"/>
                <w:highlight w:val="none"/>
                <w:u w:val="none"/>
              </w:rPr>
              <w:t>度ReL≥235MPa，断后伸长率A≥24%】；【维氏硬度HV5≥130】；【中性盐雾(18h)，符合 QB/T3832-1999标准中耐腐蚀等级≥9级】；【焊缝宏观和微观金相检验：焊缝宏观金相检验，焊缝不应有固体夹杂、未熔合及未焊透缺陷；焊缝微观金相检验，焊接后不应有固体夹杂、沉淀相、偏析、未熔合及未焊透缺陷;焊缝组织为索氏体和铁素体，呈柱状晶分布。】。检验依据GB/T 26955-2011《金属材料焊缝破坏性试验焊缝宏观和微观检验》、GB/T 4340.1-2024《金属材料维氏硬度试验第1部分:试验方法》、GB/T 6725-2017《冷弯型钢通用技术要求》、GB/T 10125-2021《人造气氛腐蚀试验 盐雾试验》、QB/T3832-1999《轻工产品金属镀层腐蚀试验结果的评价》；</w:t>
            </w:r>
            <w:r>
              <w:rPr>
                <w:rFonts w:hint="eastAsia" w:asciiTheme="majorEastAsia" w:hAnsiTheme="majorEastAsia" w:eastAsiaTheme="majorEastAsia" w:cstheme="majorEastAsia"/>
                <w:b/>
                <w:bCs/>
                <w:i w:val="0"/>
                <w:iCs w:val="0"/>
                <w:color w:val="auto"/>
                <w:sz w:val="21"/>
                <w:szCs w:val="21"/>
                <w:highlight w:val="none"/>
                <w:u w:val="none"/>
              </w:rPr>
              <w:t>单项判定均为合格</w:t>
            </w:r>
            <w:r>
              <w:rPr>
                <w:rFonts w:hint="eastAsia" w:asciiTheme="majorEastAsia" w:hAnsiTheme="majorEastAsia" w:eastAsiaTheme="majorEastAsia" w:cstheme="majorEastAsia"/>
                <w:i w:val="0"/>
                <w:iCs w:val="0"/>
                <w:color w:val="auto"/>
                <w:sz w:val="21"/>
                <w:szCs w:val="21"/>
                <w:highlight w:val="none"/>
                <w:u w:val="none"/>
              </w:rPr>
              <w:t>。</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w:t>
            </w:r>
            <w:r>
              <w:rPr>
                <w:rFonts w:hint="eastAsia" w:asciiTheme="majorEastAsia" w:hAnsiTheme="majorEastAsia" w:eastAsiaTheme="majorEastAsia" w:cstheme="majorEastAsia"/>
                <w:b/>
                <w:bCs/>
                <w:i w:val="0"/>
                <w:iCs w:val="0"/>
                <w:color w:val="0000FF"/>
                <w:sz w:val="21"/>
                <w:szCs w:val="21"/>
                <w:u w:val="none"/>
              </w:rPr>
              <w:t>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5F9AC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FF0C0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3</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16155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升降课桌2</w:t>
            </w: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D8CCC">
            <w:pPr>
              <w:keepNext w:val="0"/>
              <w:keepLines w:val="0"/>
              <w:widowControl/>
              <w:suppressLineNumbers w:val="0"/>
              <w:ind w:firstLine="422" w:firstLineChars="20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A.课桌桌面</w:t>
            </w:r>
          </w:p>
        </w:tc>
      </w:tr>
      <w:tr w14:paraId="0CB41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EE95D">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379D8">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CFA19">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45.材质：ABS塑料（塑胶）一体注射成型。</w:t>
            </w:r>
          </w:p>
        </w:tc>
      </w:tr>
      <w:tr w14:paraId="28DA2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708C9">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51C99">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9341A">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46.规格：（长650mm×宽450mm×厚25mm）±5mm</w:t>
            </w:r>
            <w:r>
              <w:rPr>
                <w:rFonts w:hint="eastAsia"/>
                <w:lang w:eastAsia="zh-CN"/>
              </w:rPr>
              <w:t>。</w:t>
            </w:r>
          </w:p>
        </w:tc>
      </w:tr>
      <w:tr w14:paraId="51A24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2EACC">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0EC0F">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05AA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47.功能：桌面靠胸前端处有一內弧造型设计，靠胸侧两边角为鸭嘴斜边；表面得有细蚀纹(咬花),不得有反光现象。桌面四周及底部完全不得有毛边，都得倒圆角光滑不刮手。面板底部有強化安全承重之设计。锁入双钢管支撑，并与面板底部平齐。面板底部外侧横向加强筋不少于8条、纵向加强筋不少于8条，加固桌面承重，不易变形。</w:t>
            </w:r>
          </w:p>
        </w:tc>
      </w:tr>
      <w:tr w14:paraId="356A6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5094C">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9F060">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CB678">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48.在课桌面做塑面硬化处理以增加桌面的表面硬度，抗污防腐，耐磨抗划伤，防止肆意涂画，灰尘、水渍、汗渍造成桌面污浊不堪，不易清洁的问题，保护桌面不变色，不褪色。</w:t>
            </w:r>
          </w:p>
        </w:tc>
      </w:tr>
      <w:tr w14:paraId="2A469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7E1BA">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5BBBB">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59FB6">
            <w:pPr>
              <w:keepNext w:val="0"/>
              <w:keepLines w:val="0"/>
              <w:widowControl/>
              <w:suppressLineNumbers w:val="0"/>
              <w:ind w:firstLine="422" w:firstLineChars="20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B.课桌书箱</w:t>
            </w:r>
          </w:p>
        </w:tc>
      </w:tr>
      <w:tr w14:paraId="526B1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874BB">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3A130">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B8961">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49.材质：采用环保PP塑料（塑胶）一体射出注塑成型。</w:t>
            </w:r>
          </w:p>
        </w:tc>
      </w:tr>
      <w:tr w14:paraId="577C7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54246">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ED81A">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7163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50.内径尺寸：(长450mm×宽330mm×高90mm）±5mm；外径尺寸：（长500mm×宽340mm×高100mm）±5mm。</w:t>
            </w:r>
          </w:p>
        </w:tc>
      </w:tr>
      <w:tr w14:paraId="2B531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779F1">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5ED45">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F296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51.书箱技术至少满足以下要求：书箱内部前沿设有370mm±5mm*60mm±5mm凹槽储放笔和橡皮擦等小文具。底部有排水槽缝设计（宽度≤5mm）不少于44条，清洗或擦拭底部易排水通风干燥。书箱三墙面为弧型设计，无尖角。书箱外围倒圆角光滑不刮手，无毛边。书箱底部外侧横向加强筋不少于6条、纵向加强筋不少于3条，加固承重，不易变形。左右两侧各有连体多功能挂钩，书箱与挂钩一体成型设计。</w:t>
            </w:r>
          </w:p>
        </w:tc>
      </w:tr>
      <w:tr w14:paraId="515D3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FF1AE">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94CD4">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ED44A">
            <w:pPr>
              <w:keepNext w:val="0"/>
              <w:keepLines w:val="0"/>
              <w:widowControl/>
              <w:suppressLineNumbers w:val="0"/>
              <w:ind w:firstLine="422" w:firstLineChars="20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C.桌脚钢架</w:t>
            </w:r>
          </w:p>
        </w:tc>
      </w:tr>
      <w:tr w14:paraId="181F5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AD6D8">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715A4">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D39A8">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52.材质及形状: 采用异形亮光钢管、异包管亮光钢管组合焊接所有焊接部位满焊而成，结构牢固，长时间使用不得产生摇晃 、松散的现象。焊接完成钢管架，焊接部位牢固，无脱焊、虚焊、焊穿；焊缝均匀，无毛棱、锐棱、飞溅、裂纹等缺陷。</w:t>
            </w:r>
          </w:p>
        </w:tc>
      </w:tr>
      <w:tr w14:paraId="3AD30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1B2DC">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3F757">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43B9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53.尺寸：桌脚贴地部与上部弯管尺寸为面包形30mm±1mm×45mm±1mm×厚1.5mm,桌脚上部活动立管钢管尺寸为面包形23mm±1mm×35mm±1mm×厚1.5mm；二桌脚贴地连接横钢管尺寸为面包形20mm±1mm×30mm±1mm×厚1.2mm。</w:t>
            </w:r>
          </w:p>
        </w:tc>
      </w:tr>
      <w:tr w14:paraId="4F78B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941F9">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74915">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A5CB8">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54.表面涂装：焊接完成后的钢管架，表面经除油、脱脂、磷化、皮膜处理。外表采用一级颗粒粉末，经高温粉体烤漆，不得有刮伤或脱漆现象。涂层无漏喷、锈蚀；涂层光滑均匀，色泽一致。涂层平整光滑。</w:t>
            </w:r>
          </w:p>
        </w:tc>
      </w:tr>
      <w:tr w14:paraId="19307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C9865">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2020D">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D0D51">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55.底坐C字型弯管左右组合焊接外型。</w:t>
            </w:r>
          </w:p>
        </w:tc>
      </w:tr>
      <w:tr w14:paraId="25359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0D1B0">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24C8F">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D0DF9">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56.产品无断裂或豁裂, 手揿圧各部件无永久性松动, 零部件无严重影响使用功能的磨损或变形, 五金连接件不松动, 活动部件开关灵便。</w:t>
            </w:r>
          </w:p>
        </w:tc>
      </w:tr>
      <w:tr w14:paraId="31B64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110B3">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01341">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E10B9">
            <w:pPr>
              <w:keepNext w:val="0"/>
              <w:keepLines w:val="0"/>
              <w:widowControl/>
              <w:suppressLineNumbers w:val="0"/>
              <w:ind w:firstLine="422" w:firstLineChars="20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D.课桌椅标识：</w:t>
            </w:r>
          </w:p>
        </w:tc>
      </w:tr>
      <w:tr w14:paraId="6226D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44B38">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9AE77">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51D4">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57.采用激光镭射标示，字体</w:t>
            </w:r>
            <w:r>
              <w:rPr>
                <w:rStyle w:val="39"/>
                <w:rFonts w:hint="eastAsia" w:asciiTheme="majorEastAsia" w:hAnsiTheme="majorEastAsia" w:eastAsiaTheme="majorEastAsia" w:cstheme="majorEastAsia"/>
                <w:sz w:val="21"/>
                <w:szCs w:val="21"/>
                <w:lang w:val="en-US" w:eastAsia="zh-CN" w:bidi="ar"/>
              </w:rPr>
              <w:t>稳固不易</w:t>
            </w:r>
            <w:r>
              <w:rPr>
                <w:rFonts w:hint="eastAsia" w:asciiTheme="majorEastAsia" w:hAnsiTheme="majorEastAsia" w:eastAsiaTheme="majorEastAsia" w:cstheme="majorEastAsia"/>
                <w:i w:val="0"/>
                <w:iCs w:val="0"/>
                <w:color w:val="000000"/>
                <w:kern w:val="0"/>
                <w:sz w:val="21"/>
                <w:szCs w:val="21"/>
                <w:u w:val="none"/>
                <w:lang w:val="en-US" w:eastAsia="zh-CN" w:bidi="ar"/>
              </w:rPr>
              <w:t>脱落掉色，利于学校管理使用及产品维护。在可调节的钢制脚架上外侧标记，高度刻度用阿拉伯数字作标示。</w:t>
            </w:r>
          </w:p>
        </w:tc>
      </w:tr>
      <w:tr w14:paraId="2EEA1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7FE82">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B0AF11">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821D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58.在课桌桌腿立管(钢制脚架上)外侧上做如下标示：a)标有统一的校名（简称）汉字或学校 LOGO，满足学校财产登记；b)标有生产（出厂）年月日数字标识，保证设备保修售后；c)标有产品序列号数字标识（编码从0001开始的四位流水号），满足学校财产登记；d)标有高度刻度尺数字标识，满足采购要求。</w:t>
            </w:r>
          </w:p>
        </w:tc>
      </w:tr>
      <w:tr w14:paraId="0D4A7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5B91EB">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D55DF">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59A0C">
            <w:pPr>
              <w:keepNext w:val="0"/>
              <w:keepLines w:val="0"/>
              <w:widowControl/>
              <w:suppressLineNumbers w:val="0"/>
              <w:ind w:firstLine="422" w:firstLineChars="20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E.脚垫</w:t>
            </w:r>
          </w:p>
        </w:tc>
      </w:tr>
      <w:tr w14:paraId="140AF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C6230">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3D642">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D43C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59.材质：采用PP塑料（塑胶）一体射出成型。</w:t>
            </w:r>
          </w:p>
        </w:tc>
      </w:tr>
      <w:tr w14:paraId="1E520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6A4C7">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62C10">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12EEA">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w:t>
            </w:r>
            <w:r>
              <w:rPr>
                <w:rFonts w:hint="eastAsia" w:asciiTheme="majorEastAsia" w:hAnsiTheme="majorEastAsia" w:eastAsiaTheme="majorEastAsia" w:cstheme="majorEastAsia"/>
                <w:i w:val="0"/>
                <w:iCs w:val="0"/>
                <w:color w:val="auto"/>
                <w:kern w:val="0"/>
                <w:sz w:val="21"/>
                <w:szCs w:val="21"/>
                <w:u w:val="none"/>
                <w:lang w:val="en-US" w:eastAsia="zh-CN" w:bidi="ar"/>
              </w:rPr>
              <w:t>0.功能：脚垫用圆头十字自攻螺丝锁</w:t>
            </w:r>
            <w:r>
              <w:rPr>
                <w:rFonts w:hint="eastAsia" w:asciiTheme="majorEastAsia" w:hAnsiTheme="majorEastAsia" w:eastAsiaTheme="majorEastAsia" w:cstheme="majorEastAsia"/>
                <w:i w:val="0"/>
                <w:iCs w:val="0"/>
                <w:color w:val="auto"/>
                <w:kern w:val="0"/>
                <w:sz w:val="21"/>
                <w:szCs w:val="21"/>
                <w:highlight w:val="none"/>
                <w:u w:val="none"/>
                <w:lang w:val="en-US" w:eastAsia="zh-CN" w:bidi="ar"/>
              </w:rPr>
              <w:t>付</w:t>
            </w:r>
            <w:r>
              <w:rPr>
                <w:rFonts w:hint="eastAsia" w:asciiTheme="majorEastAsia" w:hAnsiTheme="majorEastAsia" w:eastAsiaTheme="majorEastAsia" w:cstheme="majorEastAsia"/>
                <w:i w:val="0"/>
                <w:iCs w:val="0"/>
                <w:color w:val="auto"/>
                <w:kern w:val="0"/>
                <w:sz w:val="21"/>
                <w:szCs w:val="21"/>
                <w:u w:val="none"/>
                <w:lang w:val="en-US" w:eastAsia="zh-CN" w:bidi="ar"/>
              </w:rPr>
              <w:t>,桌子前脚垫左右各配1个水平调节*塑钢胶料POM螺丝，使桌面保持平衡不倾斜。</w:t>
            </w:r>
          </w:p>
        </w:tc>
      </w:tr>
      <w:tr w14:paraId="745D3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1BD34">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D3B11">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75DF">
            <w:pPr>
              <w:keepNext w:val="0"/>
              <w:keepLines w:val="0"/>
              <w:widowControl/>
              <w:suppressLineNumbers w:val="0"/>
              <w:ind w:firstLine="422" w:firstLineChars="20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F.挂钩</w:t>
            </w:r>
          </w:p>
        </w:tc>
      </w:tr>
      <w:tr w14:paraId="16622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8A980">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79616">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0F70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61.材质：采用环保PP塑料，与书箱一体成型。</w:t>
            </w:r>
          </w:p>
        </w:tc>
      </w:tr>
      <w:tr w14:paraId="56BAF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F5813">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E3756">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96A1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62.功能：书箱有挂钩设计，能挂书包、背包、中间半圆开口可以挂置矿泉水瓶，一钩多用途。</w:t>
            </w:r>
          </w:p>
        </w:tc>
      </w:tr>
      <w:tr w14:paraId="06712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A273E8">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8D973">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32608">
            <w:pPr>
              <w:keepNext w:val="0"/>
              <w:keepLines w:val="0"/>
              <w:widowControl/>
              <w:suppressLineNumbers w:val="0"/>
              <w:ind w:firstLine="422" w:firstLineChars="20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G.快速升降调节</w:t>
            </w:r>
          </w:p>
        </w:tc>
      </w:tr>
      <w:tr w14:paraId="12D6D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34D42">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91E18">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43C68">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快速升降调节组件</w:t>
            </w:r>
          </w:p>
        </w:tc>
      </w:tr>
      <w:tr w14:paraId="79678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199CC">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06338">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BAEF8">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63.可调式升降结构：采用上下安全升降结构组合成，课桌桌腿升降器由中间传动轴连接课桌的左右腿活动立管，可以同时升降。</w:t>
            </w:r>
          </w:p>
        </w:tc>
      </w:tr>
      <w:tr w14:paraId="1BF34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B440F">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64FFC">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D139">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64.组件装置安全性：桌腿外侧外观无外露螺丝五金件，左右腿都可以调整高度。</w:t>
            </w:r>
          </w:p>
        </w:tc>
      </w:tr>
      <w:tr w14:paraId="2A53F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B0ACF">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DFAEF">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265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65.升降技术要求：手摇升降调节，每张课桌满足手摇升降调节行程不少于120mm,符合 0～5号,5～9号学生课桌标准，可调节高度区间为520mm-640mm、640mm-790mm，在区间内可通过手摇升降快速调节到任意的高度，满足不同学生身高体重个性需求，（具体实际要求高度以学校要求为准）。升降刻度尺采用激光镭射打印。</w:t>
            </w:r>
          </w:p>
        </w:tc>
      </w:tr>
      <w:tr w14:paraId="6D98C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75C212">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0505D">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A76E">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Times New Roman"/>
                <w:b/>
                <w:bCs/>
                <w:color w:val="FF0000"/>
                <w:szCs w:val="21"/>
              </w:rPr>
              <w:t>★</w:t>
            </w:r>
            <w:r>
              <w:rPr>
                <w:rFonts w:hint="eastAsia" w:asciiTheme="majorEastAsia" w:hAnsiTheme="majorEastAsia" w:eastAsiaTheme="majorEastAsia" w:cstheme="majorEastAsia"/>
                <w:i w:val="0"/>
                <w:iCs w:val="0"/>
                <w:color w:val="FF0000"/>
                <w:kern w:val="0"/>
                <w:sz w:val="21"/>
                <w:szCs w:val="21"/>
                <w:u w:val="none"/>
                <w:lang w:val="en-US" w:eastAsia="zh-CN" w:bidi="ar"/>
              </w:rPr>
              <w:t>66.一把手摇柄可以满足该批全部课桌椅调节，每班标配</w:t>
            </w:r>
            <w:r>
              <w:rPr>
                <w:rFonts w:hint="eastAsia" w:asciiTheme="majorEastAsia" w:hAnsiTheme="majorEastAsia" w:eastAsiaTheme="majorEastAsia" w:cstheme="majorEastAsia"/>
                <w:i w:val="0"/>
                <w:iCs w:val="0"/>
                <w:color w:val="FF0000"/>
                <w:sz w:val="21"/>
                <w:szCs w:val="21"/>
                <w:u w:val="none"/>
              </w:rPr>
              <w:t>≥</w:t>
            </w:r>
            <w:r>
              <w:rPr>
                <w:rFonts w:hint="eastAsia" w:asciiTheme="majorEastAsia" w:hAnsiTheme="majorEastAsia" w:eastAsiaTheme="majorEastAsia" w:cstheme="majorEastAsia"/>
                <w:i w:val="0"/>
                <w:iCs w:val="0"/>
                <w:color w:val="FF0000"/>
                <w:kern w:val="0"/>
                <w:sz w:val="21"/>
                <w:szCs w:val="21"/>
                <w:u w:val="none"/>
                <w:lang w:val="en-US" w:eastAsia="zh-CN" w:bidi="ar"/>
              </w:rPr>
              <w:t>2把。</w:t>
            </w:r>
          </w:p>
        </w:tc>
      </w:tr>
      <w:tr w14:paraId="27213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2C2C4">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D63C2">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A345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Times New Roman"/>
                <w:b/>
                <w:bCs/>
                <w:color w:val="FF0000"/>
                <w:szCs w:val="21"/>
              </w:rPr>
              <w:t>★</w:t>
            </w:r>
            <w:r>
              <w:rPr>
                <w:rFonts w:hint="eastAsia" w:asciiTheme="majorEastAsia" w:hAnsiTheme="majorEastAsia" w:eastAsiaTheme="majorEastAsia" w:cstheme="majorEastAsia"/>
                <w:i w:val="0"/>
                <w:iCs w:val="0"/>
                <w:color w:val="FF0000"/>
                <w:kern w:val="0"/>
                <w:sz w:val="21"/>
                <w:szCs w:val="21"/>
                <w:u w:val="none"/>
                <w:lang w:val="en-US" w:eastAsia="zh-CN" w:bidi="ar"/>
              </w:rPr>
              <w:t>67.课桌选择的具体调节型号范围，中标后可根据使用年级另行确定，存在不同调节范围的情况，中标供应商无条件配合。</w:t>
            </w:r>
          </w:p>
        </w:tc>
      </w:tr>
      <w:tr w14:paraId="34F40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C83F1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4</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3BC0C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升降课椅2</w:t>
            </w: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18F5C">
            <w:pPr>
              <w:keepNext w:val="0"/>
              <w:keepLines w:val="0"/>
              <w:widowControl/>
              <w:suppressLineNumbers w:val="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A.靠背</w:t>
            </w:r>
          </w:p>
        </w:tc>
      </w:tr>
      <w:tr w14:paraId="35D3F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CFEBA">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47363">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302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68.材质：采用PP塑料（塑胶）一体射出注塑成型。</w:t>
            </w:r>
          </w:p>
        </w:tc>
      </w:tr>
      <w:tr w14:paraId="64AB5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C9A6B">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7986A">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3C72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69.尺寸：（长400mmmm×宽290mm）±5mm。</w:t>
            </w:r>
          </w:p>
        </w:tc>
      </w:tr>
      <w:tr w14:paraId="07049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C13BD">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C89DF">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853E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70.样式：靠背与钢管结合方式，采用直插套管卡扣式紧固，无外露螺丝等紧固件。牢固稳定无摇晃、松动现象。靠背呈向外弯孤曲面设计造型，符合人体功学要求。靠背曲面有散热孔设计，利于背部散热透气，孔直径均小于5mm。</w:t>
            </w:r>
          </w:p>
        </w:tc>
      </w:tr>
      <w:tr w14:paraId="491AC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0BD17">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6DD84">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085F7">
            <w:pPr>
              <w:keepNext w:val="0"/>
              <w:keepLines w:val="0"/>
              <w:widowControl/>
              <w:suppressLineNumbers w:val="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B.座垫</w:t>
            </w:r>
          </w:p>
        </w:tc>
      </w:tr>
      <w:tr w14:paraId="3EF73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C0044">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0AA2D">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7ECB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71.材质：采用PP塑料（塑胶）一体射出注塑成型。</w:t>
            </w:r>
          </w:p>
        </w:tc>
      </w:tr>
      <w:tr w14:paraId="05398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0F9CD">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C3364">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D117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72.尺寸：（长405mm×宽379mm）±5mm。</w:t>
            </w:r>
          </w:p>
        </w:tc>
      </w:tr>
      <w:tr w14:paraId="1D3CB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82149">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253A2">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488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73.样式：座垫前端有两处下凹设计；座垫深部有内陷设计。座垫曲面有蜂窝孔设计，孔直径均小于5mm。</w:t>
            </w:r>
          </w:p>
        </w:tc>
      </w:tr>
      <w:tr w14:paraId="69E7C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D0324">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3DE4D">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1ED0">
            <w:pPr>
              <w:keepNext w:val="0"/>
              <w:keepLines w:val="0"/>
              <w:widowControl/>
              <w:suppressLineNumbers w:val="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C.椅腿钢架</w:t>
            </w:r>
          </w:p>
        </w:tc>
      </w:tr>
      <w:tr w14:paraId="12B28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BF19A">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B2E76">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AAF4A">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74.材质及规格：采用符合标准面包形亮光钢管、面包管亮光钢管组合焊接。所有焊接部位必须满焊而成，结构牢固，长时间使用不得产生摇晃 、松散的现象。焊接完成钢管架，焊接部位牢固，无脱焊、虚焊、焊穿；焊缝均匀，无毛棱、锐棱、飞溅、裂纹等缺陷。主要支撑部件（厚度不小于1.5mm）。椅座贴地钢管尺寸为面包形30mm±1mm×45mm±1mm×厚1.5mm±0.1mm；椅子横杆尺寸为面包形20mm±1mm×28mm±1mm×厚1.2mm±0.1mm；椅脚上部活动立管钢管尺寸为椭圆形23mm±1mm×35mm±1mm×厚1.5mm±0.1mm；靠背弯管钢管尺寸为面包形20mm±1mm×30mm±1mm×厚1.2mm。</w:t>
            </w:r>
          </w:p>
        </w:tc>
      </w:tr>
      <w:tr w14:paraId="65347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A9D01">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0ABFE">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5BED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75.工艺：采用上下安全升降结构，可调节区间（调节行程）不少于7cm，升降刻度尺采用激光镭射打印。</w:t>
            </w:r>
          </w:p>
        </w:tc>
      </w:tr>
      <w:tr w14:paraId="5E228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B6533">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BE60A">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35B4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76.技术形状：底坐采用安全牢固的C字（或L字或工字)组合焊接外型结构，内配隐藏式上下升降结构。</w:t>
            </w:r>
          </w:p>
        </w:tc>
      </w:tr>
      <w:tr w14:paraId="2E96B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AFB86">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A6853">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4899E">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77.表面技术要求：焊接完成后的钢管架，表面经除油、脱脂、磷化、皮膜处理。外表采用一级颗粒粉末，经高温粉体烤漆，无刮伤或脱漆现象。涂层无漏喷、锈蚀涂层光滑均匀，色泽一致，无流挂、疙瘩、皱皮、飞漆等缺陷。涂层平整光滑，无明显粒子、涨边现象。</w:t>
            </w:r>
          </w:p>
        </w:tc>
      </w:tr>
      <w:tr w14:paraId="4DA58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79246">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51180">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E7E7B">
            <w:pPr>
              <w:keepNext w:val="0"/>
              <w:keepLines w:val="0"/>
              <w:widowControl/>
              <w:suppressLineNumbers w:val="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D.课桌椅标识：</w:t>
            </w:r>
          </w:p>
        </w:tc>
      </w:tr>
      <w:tr w14:paraId="7998D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844B2">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32A75">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A4E43">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78.采用激光镭射标示，字体</w:t>
            </w:r>
            <w:r>
              <w:rPr>
                <w:rStyle w:val="39"/>
                <w:rFonts w:hint="eastAsia" w:asciiTheme="majorEastAsia" w:hAnsiTheme="majorEastAsia" w:eastAsiaTheme="majorEastAsia" w:cstheme="majorEastAsia"/>
                <w:sz w:val="21"/>
                <w:szCs w:val="21"/>
                <w:lang w:val="en-US" w:eastAsia="zh-CN" w:bidi="ar"/>
              </w:rPr>
              <w:t>稳固不易</w:t>
            </w:r>
            <w:r>
              <w:rPr>
                <w:rFonts w:hint="eastAsia" w:asciiTheme="majorEastAsia" w:hAnsiTheme="majorEastAsia" w:eastAsiaTheme="majorEastAsia" w:cstheme="majorEastAsia"/>
                <w:i w:val="0"/>
                <w:iCs w:val="0"/>
                <w:color w:val="000000"/>
                <w:kern w:val="0"/>
                <w:sz w:val="21"/>
                <w:szCs w:val="21"/>
                <w:u w:val="none"/>
                <w:lang w:val="en-US" w:eastAsia="zh-CN" w:bidi="ar"/>
              </w:rPr>
              <w:t>脱落掉色，利于学校管理使用及产品维护。在可调节的钢制脚架上外侧标记，高度刻度用阿拉伯数字作标示。</w:t>
            </w:r>
          </w:p>
        </w:tc>
      </w:tr>
      <w:tr w14:paraId="303E6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4F8E2">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D3E1F">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342D9">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79.表面标示至少满足以下要求：a)在课椅椅腿立管(钢制脚架上)外侧上做如下标示；b)标示并标有统一的校名（简称）标识，利于学校财产登记；c)并标示并标有生产（出厂）年月日数字标识，利于设备保修售后；d)标示并标有产品序列号数字标识（编号从0001开始的流水号），利于学校财产</w:t>
            </w:r>
            <w:r>
              <w:rPr>
                <w:rFonts w:hint="eastAsia" w:asciiTheme="majorEastAsia" w:hAnsiTheme="majorEastAsia" w:eastAsiaTheme="majorEastAsia" w:cstheme="majorEastAsia"/>
                <w:i w:val="0"/>
                <w:iCs w:val="0"/>
                <w:color w:val="auto"/>
                <w:kern w:val="0"/>
                <w:sz w:val="21"/>
                <w:szCs w:val="21"/>
                <w:u w:val="none"/>
                <w:lang w:val="en-US" w:eastAsia="zh-CN" w:bidi="ar"/>
              </w:rPr>
              <w:t>登记；e)标示并标有高度刻度尺数字标识，满足标准要求</w:t>
            </w:r>
            <w:r>
              <w:rPr>
                <w:rFonts w:hint="eastAsia" w:asciiTheme="majorEastAsia" w:hAnsiTheme="majorEastAsia" w:eastAsiaTheme="majorEastAsia" w:cstheme="majorEastAsia"/>
                <w:i w:val="0"/>
                <w:iCs w:val="0"/>
                <w:color w:val="000000"/>
                <w:kern w:val="0"/>
                <w:sz w:val="21"/>
                <w:szCs w:val="21"/>
                <w:u w:val="none"/>
                <w:lang w:val="en-US" w:eastAsia="zh-CN" w:bidi="ar"/>
              </w:rPr>
              <w:t>。</w:t>
            </w:r>
          </w:p>
        </w:tc>
      </w:tr>
      <w:tr w14:paraId="3A0EF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EEE70">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AAAF9">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E75C6">
            <w:pPr>
              <w:keepNext w:val="0"/>
              <w:keepLines w:val="0"/>
              <w:widowControl/>
              <w:suppressLineNumbers w:val="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E.脚垫</w:t>
            </w:r>
          </w:p>
        </w:tc>
      </w:tr>
      <w:tr w14:paraId="68432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77C5A">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CD95B">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6D4DA">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80.材质：采用PP塑料（塑胶）一体射出成并用圆头十字自攻螺丝锁付。</w:t>
            </w:r>
          </w:p>
        </w:tc>
      </w:tr>
      <w:tr w14:paraId="65225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AC35B">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8FDC8">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0BFC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auto"/>
                <w:kern w:val="0"/>
                <w:sz w:val="21"/>
                <w:szCs w:val="21"/>
                <w:u w:val="none"/>
                <w:lang w:val="en-US" w:eastAsia="zh-CN" w:bidi="ar"/>
              </w:rPr>
              <w:t>81.功能：脚垫用圆头十字自攻螺丝锁付,椅子前脚垫左右各配1个水平调节*塑钢胶料POM螺丝，使椅面保持平衡不倾斜不可采用回收料生产。</w:t>
            </w:r>
          </w:p>
        </w:tc>
      </w:tr>
      <w:tr w14:paraId="75F50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6A186">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EBFF8">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3DDC0">
            <w:pPr>
              <w:keepNext w:val="0"/>
              <w:keepLines w:val="0"/>
              <w:widowControl/>
              <w:suppressLineNumbers w:val="0"/>
              <w:jc w:val="both"/>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F.其他配件-快速升降调节组件：</w:t>
            </w:r>
          </w:p>
        </w:tc>
      </w:tr>
      <w:tr w14:paraId="4017F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CBF59">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E93EF">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3F1E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82.手摇可调式结构：环保材料，轻便无噪音并有效防止长期使用生锈后活动受阻卡死。</w:t>
            </w:r>
          </w:p>
        </w:tc>
      </w:tr>
      <w:tr w14:paraId="1EA8A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22233">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D412A">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94379">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83.手摇组件装置安全性：椅腿外侧外观无外露螺丝五金件，学生使用无安全隐患，左右腿都可以同时调整高度。</w:t>
            </w:r>
          </w:p>
        </w:tc>
      </w:tr>
      <w:tr w14:paraId="6BC78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511C29">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C3769">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53F9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84.升降技术要求：全手摇升降可调式调节，每张课椅满足手摇升降调节行程不少于7cm，可调节高度区间至少满足36cm～46cm、29cm～36cm。</w:t>
            </w:r>
          </w:p>
        </w:tc>
      </w:tr>
      <w:tr w14:paraId="7EF36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FD9CA">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DBECD">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1241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Times New Roman"/>
                <w:b/>
                <w:bCs/>
                <w:color w:val="FF0000"/>
                <w:szCs w:val="21"/>
              </w:rPr>
              <w:t>★</w:t>
            </w:r>
            <w:r>
              <w:rPr>
                <w:rFonts w:hint="eastAsia" w:asciiTheme="majorEastAsia" w:hAnsiTheme="majorEastAsia" w:eastAsiaTheme="majorEastAsia" w:cstheme="majorEastAsia"/>
                <w:i w:val="0"/>
                <w:iCs w:val="0"/>
                <w:color w:val="FF0000"/>
                <w:kern w:val="0"/>
                <w:sz w:val="21"/>
                <w:szCs w:val="21"/>
                <w:u w:val="none"/>
                <w:lang w:val="en-US" w:eastAsia="zh-CN" w:bidi="ar"/>
              </w:rPr>
              <w:t>85.一把手摇柄可以满足该批全部课桌椅调节，每班（50套）标配</w:t>
            </w:r>
            <w:r>
              <w:rPr>
                <w:rFonts w:hint="eastAsia" w:asciiTheme="majorEastAsia" w:hAnsiTheme="majorEastAsia" w:eastAsiaTheme="majorEastAsia" w:cstheme="majorEastAsia"/>
                <w:i w:val="0"/>
                <w:iCs w:val="0"/>
                <w:color w:val="FF0000"/>
                <w:sz w:val="21"/>
                <w:szCs w:val="21"/>
                <w:u w:val="none"/>
              </w:rPr>
              <w:t>≥</w:t>
            </w:r>
            <w:r>
              <w:rPr>
                <w:rFonts w:hint="eastAsia" w:asciiTheme="majorEastAsia" w:hAnsiTheme="majorEastAsia" w:eastAsiaTheme="majorEastAsia" w:cstheme="majorEastAsia"/>
                <w:i w:val="0"/>
                <w:iCs w:val="0"/>
                <w:color w:val="FF0000"/>
                <w:kern w:val="0"/>
                <w:sz w:val="21"/>
                <w:szCs w:val="21"/>
                <w:u w:val="none"/>
                <w:lang w:val="en-US" w:eastAsia="zh-CN" w:bidi="ar"/>
              </w:rPr>
              <w:t>2把。</w:t>
            </w:r>
          </w:p>
        </w:tc>
      </w:tr>
      <w:tr w14:paraId="220DB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587C9">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803D8">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5491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Times New Roman"/>
                <w:b/>
                <w:bCs/>
                <w:color w:val="FF0000"/>
                <w:szCs w:val="21"/>
              </w:rPr>
              <w:t>★</w:t>
            </w:r>
            <w:r>
              <w:rPr>
                <w:rFonts w:hint="eastAsia" w:asciiTheme="majorEastAsia" w:hAnsiTheme="majorEastAsia" w:eastAsiaTheme="majorEastAsia" w:cstheme="majorEastAsia"/>
                <w:i w:val="0"/>
                <w:iCs w:val="0"/>
                <w:color w:val="FF0000"/>
                <w:kern w:val="0"/>
                <w:sz w:val="21"/>
                <w:szCs w:val="21"/>
                <w:u w:val="none"/>
                <w:lang w:val="en-US" w:eastAsia="zh-CN" w:bidi="ar"/>
              </w:rPr>
              <w:t>86.课椅选择的具体调节型号范围，中标后可根据使用年级另行确定，存在不同调节范围的情况，中标供应商无条件配合。</w:t>
            </w:r>
          </w:p>
        </w:tc>
      </w:tr>
      <w:tr w14:paraId="341A0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28B1C">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E62B5">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1800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highlight w:val="none"/>
                <w:u w:val="none"/>
              </w:rPr>
            </w:pPr>
            <w:r>
              <w:rPr>
                <w:rFonts w:hint="eastAsia" w:asciiTheme="majorEastAsia" w:hAnsiTheme="majorEastAsia" w:eastAsiaTheme="majorEastAsia" w:cstheme="majorEastAsia"/>
                <w:i w:val="0"/>
                <w:iCs w:val="0"/>
                <w:color w:val="000000"/>
                <w:kern w:val="0"/>
                <w:sz w:val="21"/>
                <w:szCs w:val="21"/>
                <w:highlight w:val="none"/>
                <w:u w:val="none"/>
                <w:lang w:val="en-US" w:eastAsia="zh-CN" w:bidi="ar"/>
              </w:rPr>
              <w:t>8</w:t>
            </w:r>
            <w:r>
              <w:rPr>
                <w:rFonts w:hint="eastAsia" w:asciiTheme="majorEastAsia" w:hAnsiTheme="majorEastAsia" w:eastAsiaTheme="majorEastAsia" w:cstheme="majorEastAsia"/>
                <w:i w:val="0"/>
                <w:iCs w:val="0"/>
                <w:color w:val="auto"/>
                <w:kern w:val="0"/>
                <w:sz w:val="21"/>
                <w:szCs w:val="21"/>
                <w:highlight w:val="none"/>
                <w:u w:val="none"/>
                <w:lang w:val="en-US" w:eastAsia="zh-CN" w:bidi="ar"/>
              </w:rPr>
              <w:t>7.▲升降课桌椅：烟密度≤75；氧指数≥20%；垂直燃烧V-1级；氯乙烯单体残留量≤3mg/kg。单项判定均为合格。检验依据GB/T 8627-2007《建筑材料燃烧或分解的烟密度试验方法》、GB/T 2406.2-2009塑料用氧指数法测定燃烧行为第2部分:室温试验》、GB/T 2408-2021《塑料 燃烧性能的测定 水平法和垂直法》、GB/T 37866-2019《绿色产品评价塑料制品》、GB/T 33284-2016《室内装饰装修材料门、窗用未增塑聚氣乙烯(PVC-U)型材有害物质限量》。</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3809B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73664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5</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1D9B1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清洁剂</w:t>
            </w: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F0E4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88.规格：</w:t>
            </w:r>
            <w:r>
              <w:rPr>
                <w:rFonts w:hint="eastAsia" w:asciiTheme="majorEastAsia" w:hAnsiTheme="majorEastAsia" w:eastAsiaTheme="majorEastAsia" w:cstheme="majorEastAsia"/>
                <w:i w:val="0"/>
                <w:iCs w:val="0"/>
                <w:color w:val="000000"/>
                <w:sz w:val="21"/>
                <w:szCs w:val="21"/>
                <w:u w:val="none"/>
              </w:rPr>
              <w:t>≥</w:t>
            </w:r>
            <w:r>
              <w:rPr>
                <w:rFonts w:hint="eastAsia" w:asciiTheme="majorEastAsia" w:hAnsiTheme="majorEastAsia" w:eastAsiaTheme="majorEastAsia" w:cstheme="majorEastAsia"/>
                <w:i w:val="0"/>
                <w:iCs w:val="0"/>
                <w:color w:val="000000"/>
                <w:kern w:val="0"/>
                <w:sz w:val="21"/>
                <w:szCs w:val="21"/>
                <w:u w:val="none"/>
                <w:lang w:val="en-US" w:eastAsia="zh-CN" w:bidi="ar"/>
              </w:rPr>
              <w:t>500mL</w:t>
            </w:r>
          </w:p>
        </w:tc>
      </w:tr>
      <w:tr w14:paraId="53DFB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1DFF5">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10CD6">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8B971">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89.功能：针对课桌椅整体翻新，祛除课桌表面的笔迹，涂鸦，涂改液，修正带，胶带纸（海绵）。课桌椅长时间的锈渍，锈迹。达到整体清洁保养防锈的功能。</w:t>
            </w:r>
          </w:p>
        </w:tc>
      </w:tr>
      <w:tr w14:paraId="3424B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79603">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F51DC">
            <w:pPr>
              <w:jc w:val="center"/>
              <w:rPr>
                <w:rFonts w:hint="eastAsia" w:asciiTheme="majorEastAsia" w:hAnsiTheme="majorEastAsia" w:eastAsiaTheme="majorEastAsia" w:cstheme="majorEastAsia"/>
                <w:i w:val="0"/>
                <w:iCs w:val="0"/>
                <w:color w:val="000000"/>
                <w:sz w:val="21"/>
                <w:szCs w:val="21"/>
                <w:u w:val="none"/>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F5AF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Theme="majorEastAsia" w:hAnsiTheme="majorEastAsia" w:eastAsiaTheme="majorEastAsia" w:cstheme="majorEastAsia"/>
                <w:i w:val="0"/>
                <w:iCs w:val="0"/>
                <w:color w:val="000000"/>
                <w:kern w:val="0"/>
                <w:sz w:val="21"/>
                <w:szCs w:val="21"/>
                <w:u w:val="none"/>
                <w:lang w:val="en-US" w:eastAsia="zh-CN" w:bidi="ar"/>
              </w:rPr>
              <w:t>90.产品应符合以下要求：外观（液体产品均匀，不分层，无悬浮物或沉淀）；稳定性（①于-5℃±2℃的冰箱中放置24h,取出恢复至室温后观察，液体产品无分层、无结晶、无沉淀和变色现象，透明产品不混浊。②于40℃±2℃的保温箱中放置24h,取出恢复至室温后观察，液体产品无分层和变色现象，透明产品不混浊）；总活性物含量≥1.0%；碱度(以Na₂O计)≤3.0%；pH值(25℃,1%水溶液 )≤11.8；腐蚀量(LY12硬铝)≤100mg；总五氧化二磷含量≤1.1%；净含量≥500mL。</w:t>
            </w:r>
            <w:r>
              <w:rPr>
                <w:rFonts w:hint="eastAsia" w:asciiTheme="majorEastAsia" w:hAnsiTheme="majorEastAsia" w:eastAsiaTheme="majorEastAsia" w:cstheme="majorEastAsia"/>
                <w:b/>
                <w:bCs/>
                <w:i w:val="0"/>
                <w:iCs w:val="0"/>
                <w:color w:val="000000"/>
                <w:kern w:val="0"/>
                <w:sz w:val="21"/>
                <w:szCs w:val="21"/>
                <w:u w:val="none"/>
                <w:lang w:val="en-US" w:eastAsia="zh-CN" w:bidi="ar"/>
              </w:rPr>
              <w:t>单项判定均为合格</w:t>
            </w:r>
            <w:r>
              <w:rPr>
                <w:rFonts w:hint="eastAsia" w:asciiTheme="majorEastAsia" w:hAnsiTheme="majorEastAsia" w:eastAsiaTheme="majorEastAsia" w:cstheme="majorEastAsia"/>
                <w:i w:val="0"/>
                <w:iCs w:val="0"/>
                <w:color w:val="000000"/>
                <w:kern w:val="0"/>
                <w:sz w:val="21"/>
                <w:szCs w:val="21"/>
                <w:u w:val="none"/>
                <w:lang w:val="en-US" w:eastAsia="zh-CN" w:bidi="ar"/>
              </w:rPr>
              <w:t>。</w:t>
            </w:r>
          </w:p>
        </w:tc>
      </w:tr>
    </w:tbl>
    <w:p w14:paraId="6CA0EF41">
      <w:pPr>
        <w:ind w:firstLine="422" w:firstLineChars="200"/>
        <w:rPr>
          <w:rFonts w:hint="eastAsia"/>
          <w:b/>
          <w:szCs w:val="21"/>
        </w:rPr>
      </w:pPr>
    </w:p>
    <w:bookmarkEnd w:id="40"/>
    <w:p w14:paraId="0B4DA8D7">
      <w:pPr>
        <w:rPr>
          <w:b/>
          <w:szCs w:val="21"/>
        </w:rPr>
      </w:pPr>
    </w:p>
    <w:p w14:paraId="312FF625">
      <w:pPr>
        <w:rPr>
          <w:b/>
          <w:szCs w:val="21"/>
        </w:rPr>
      </w:pPr>
    </w:p>
    <w:p w14:paraId="233F97A9">
      <w:pPr>
        <w:pStyle w:val="5"/>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71426584">
      <w:pPr>
        <w:pStyle w:val="10"/>
      </w:pPr>
      <w:r>
        <w:rPr>
          <w:rFonts w:hint="eastAsia"/>
          <w:b/>
          <w:color w:val="FF0000"/>
          <w:szCs w:val="21"/>
        </w:rPr>
        <w:t>说明：本部分内容为项目正常开展的基本要求，均为★号条款要求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14:paraId="41109587">
      <w:pPr>
        <w:ind w:firstLine="422" w:firstLineChars="200"/>
        <w:rPr>
          <w:b/>
          <w:szCs w:val="21"/>
        </w:rPr>
      </w:pPr>
    </w:p>
    <w:tbl>
      <w:tblPr>
        <w:tblStyle w:val="17"/>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336"/>
        <w:gridCol w:w="6102"/>
      </w:tblGrid>
      <w:tr w14:paraId="4382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6DADBE4">
            <w:pPr>
              <w:jc w:val="center"/>
              <w:rPr>
                <w:rFonts w:hint="eastAsia" w:ascii="宋体" w:hAnsi="宋体" w:eastAsia="宋体" w:cs="宋体"/>
                <w:b/>
                <w:color w:val="FF0000"/>
                <w:sz w:val="21"/>
                <w:szCs w:val="21"/>
              </w:rPr>
            </w:pPr>
            <w:bookmarkStart w:id="41" w:name="_Hlk72260973"/>
            <w:r>
              <w:rPr>
                <w:rFonts w:hint="eastAsia" w:ascii="宋体" w:hAnsi="宋体" w:eastAsia="宋体" w:cs="宋体"/>
                <w:b/>
                <w:color w:val="FF0000"/>
                <w:sz w:val="21"/>
                <w:szCs w:val="21"/>
              </w:rPr>
              <w:t>序号</w:t>
            </w:r>
          </w:p>
        </w:tc>
        <w:tc>
          <w:tcPr>
            <w:tcW w:w="1336" w:type="dxa"/>
            <w:vAlign w:val="center"/>
          </w:tcPr>
          <w:p w14:paraId="3387EE2D">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商务需求项</w:t>
            </w:r>
          </w:p>
        </w:tc>
        <w:tc>
          <w:tcPr>
            <w:tcW w:w="6102" w:type="dxa"/>
            <w:vAlign w:val="center"/>
          </w:tcPr>
          <w:p w14:paraId="01B8071E">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招标商务要求</w:t>
            </w:r>
          </w:p>
        </w:tc>
      </w:tr>
      <w:tr w14:paraId="6B2D5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top"/>
          </w:tcPr>
          <w:p w14:paraId="7A0D4CB8">
            <w:pP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（一）免费保修期内售后服务要求</w:t>
            </w:r>
          </w:p>
        </w:tc>
      </w:tr>
      <w:tr w14:paraId="755F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9B8C398">
            <w:pPr>
              <w:jc w:val="center"/>
              <w:rPr>
                <w:rFonts w:hint="eastAsia" w:ascii="宋体" w:hAnsi="宋体" w:eastAsia="宋体" w:cs="宋体"/>
                <w:b/>
                <w:color w:val="FF0000"/>
                <w:sz w:val="21"/>
                <w:szCs w:val="21"/>
              </w:rPr>
            </w:pPr>
            <w:r>
              <w:rPr>
                <w:rFonts w:hint="eastAsia" w:ascii="宋体" w:hAnsi="宋体" w:eastAsia="宋体" w:cs="宋体"/>
                <w:bCs/>
                <w:color w:val="FF0000"/>
                <w:sz w:val="21"/>
                <w:szCs w:val="21"/>
              </w:rPr>
              <w:t>1</w:t>
            </w:r>
          </w:p>
        </w:tc>
        <w:tc>
          <w:tcPr>
            <w:tcW w:w="1336" w:type="dxa"/>
            <w:vAlign w:val="top"/>
          </w:tcPr>
          <w:p w14:paraId="0C50A1BF">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维修响应及故障解决时间</w:t>
            </w:r>
          </w:p>
        </w:tc>
        <w:tc>
          <w:tcPr>
            <w:tcW w:w="6102" w:type="dxa"/>
            <w:vAlign w:val="top"/>
          </w:tcPr>
          <w:p w14:paraId="294D9BE3">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在免费保修期内，一旦发生质量问题，中标人保证在接到通知24小时内赶到现场进行修理或更换。</w:t>
            </w:r>
          </w:p>
        </w:tc>
      </w:tr>
      <w:tr w14:paraId="10CE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07D0C713">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2</w:t>
            </w:r>
          </w:p>
        </w:tc>
        <w:tc>
          <w:tcPr>
            <w:tcW w:w="1336" w:type="dxa"/>
            <w:vMerge w:val="restart"/>
            <w:vAlign w:val="center"/>
          </w:tcPr>
          <w:p w14:paraId="07D4F258">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免费保修期</w:t>
            </w:r>
          </w:p>
        </w:tc>
        <w:tc>
          <w:tcPr>
            <w:tcW w:w="6102" w:type="dxa"/>
            <w:vAlign w:val="top"/>
          </w:tcPr>
          <w:p w14:paraId="3C1D71AC">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1.货物免费保修期</w:t>
            </w:r>
            <w:r>
              <w:rPr>
                <w:rFonts w:hint="eastAsia" w:ascii="宋体" w:hAnsi="宋体" w:eastAsia="宋体" w:cs="宋体"/>
                <w:bCs/>
                <w:color w:val="FF0000"/>
                <w:sz w:val="21"/>
                <w:szCs w:val="21"/>
                <w:highlight w:val="yellow"/>
                <w:u w:val="single"/>
              </w:rPr>
              <w:t xml:space="preserve">  3  </w:t>
            </w:r>
            <w:r>
              <w:rPr>
                <w:rFonts w:hint="eastAsia" w:ascii="宋体" w:hAnsi="宋体" w:eastAsia="宋体" w:cs="宋体"/>
                <w:bCs/>
                <w:color w:val="FF0000"/>
                <w:sz w:val="21"/>
                <w:szCs w:val="21"/>
              </w:rPr>
              <w:t>年，时间自最终验收合格并交付使用之日起计算。</w:t>
            </w:r>
          </w:p>
        </w:tc>
      </w:tr>
      <w:tr w14:paraId="277B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013ECC8E">
            <w:pPr>
              <w:jc w:val="center"/>
              <w:rPr>
                <w:rFonts w:hint="eastAsia" w:ascii="宋体" w:hAnsi="宋体" w:eastAsia="宋体" w:cs="宋体"/>
                <w:b/>
                <w:color w:val="FF0000"/>
                <w:sz w:val="21"/>
                <w:szCs w:val="21"/>
              </w:rPr>
            </w:pPr>
          </w:p>
        </w:tc>
        <w:tc>
          <w:tcPr>
            <w:tcW w:w="1336" w:type="dxa"/>
            <w:vMerge w:val="continue"/>
            <w:vAlign w:val="center"/>
          </w:tcPr>
          <w:p w14:paraId="0F808574">
            <w:pPr>
              <w:rPr>
                <w:rFonts w:hint="eastAsia" w:ascii="宋体" w:hAnsi="宋体" w:eastAsia="宋体" w:cs="宋体"/>
                <w:color w:val="FF0000"/>
                <w:sz w:val="21"/>
                <w:szCs w:val="21"/>
                <w:lang w:val="en-US" w:eastAsia="zh-CN"/>
              </w:rPr>
            </w:pPr>
          </w:p>
        </w:tc>
        <w:tc>
          <w:tcPr>
            <w:tcW w:w="6102" w:type="dxa"/>
            <w:vAlign w:val="center"/>
          </w:tcPr>
          <w:p w14:paraId="6A9467FC">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2.免费保修期内，</w:t>
            </w:r>
            <w:r>
              <w:rPr>
                <w:rFonts w:hint="eastAsia" w:ascii="宋体" w:hAnsi="宋体" w:eastAsia="宋体" w:cs="宋体"/>
                <w:color w:val="FF0000"/>
                <w:sz w:val="21"/>
                <w:szCs w:val="21"/>
              </w:rPr>
              <w:t>所有服务及配件全部免费。</w:t>
            </w:r>
          </w:p>
        </w:tc>
      </w:tr>
      <w:tr w14:paraId="58E5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2BA75884">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3</w:t>
            </w:r>
          </w:p>
        </w:tc>
        <w:tc>
          <w:tcPr>
            <w:tcW w:w="1336" w:type="dxa"/>
            <w:vAlign w:val="center"/>
          </w:tcPr>
          <w:p w14:paraId="68332558">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技术</w:t>
            </w:r>
            <w:r>
              <w:rPr>
                <w:rFonts w:hint="eastAsia" w:ascii="宋体" w:hAnsi="宋体" w:eastAsia="宋体" w:cs="宋体"/>
                <w:color w:val="FF0000"/>
                <w:sz w:val="21"/>
                <w:szCs w:val="21"/>
                <w:lang w:val="en-US" w:eastAsia="zh-CN"/>
              </w:rPr>
              <w:t>要求</w:t>
            </w:r>
          </w:p>
        </w:tc>
        <w:tc>
          <w:tcPr>
            <w:tcW w:w="6102" w:type="dxa"/>
            <w:vAlign w:val="center"/>
          </w:tcPr>
          <w:p w14:paraId="2AE2EFC0">
            <w:pPr>
              <w:rPr>
                <w:rFonts w:hint="eastAsia" w:ascii="宋体" w:hAnsi="宋体" w:eastAsia="宋体" w:cs="宋体"/>
                <w:color w:val="FF0000"/>
                <w:sz w:val="21"/>
                <w:szCs w:val="21"/>
                <w:lang w:val="en-US" w:eastAsia="zh-CN"/>
              </w:rPr>
            </w:pPr>
            <w:r>
              <w:rPr>
                <w:rFonts w:hint="eastAsia" w:ascii="宋体" w:hAnsi="宋体" w:eastAsia="宋体" w:cs="宋体"/>
                <w:b w:val="0"/>
                <w:bCs w:val="0"/>
                <w:color w:val="FF0000"/>
                <w:sz w:val="21"/>
                <w:szCs w:val="21"/>
              </w:rPr>
              <w:t>要求投标人在工程完工后一周内，免费向用户方进行技术培训工作，直至用户能熟练操作设备。</w:t>
            </w:r>
          </w:p>
        </w:tc>
      </w:tr>
      <w:tr w14:paraId="2929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5C15207A">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（二）免费保修期外售后服务要求</w:t>
            </w:r>
          </w:p>
        </w:tc>
      </w:tr>
      <w:tr w14:paraId="6E41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F6ADE39">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Align w:val="center"/>
          </w:tcPr>
          <w:p w14:paraId="43285E6D">
            <w:pPr>
              <w:spacing w:line="360" w:lineRule="exact"/>
              <w:jc w:val="center"/>
              <w:rPr>
                <w:rFonts w:hint="eastAsia" w:ascii="宋体" w:hAnsi="宋体" w:eastAsia="宋体" w:cs="宋体"/>
                <w:color w:val="FF0000"/>
                <w:sz w:val="21"/>
                <w:szCs w:val="21"/>
                <w:lang w:val="en-US" w:eastAsia="zh-CN"/>
              </w:rPr>
            </w:pPr>
            <w:r>
              <w:rPr>
                <w:rStyle w:val="20"/>
                <w:rFonts w:hint="eastAsia" w:ascii="宋体" w:hAnsi="宋体" w:eastAsia="宋体" w:cs="宋体"/>
                <w:color w:val="FF0000"/>
                <w:sz w:val="21"/>
                <w:szCs w:val="21"/>
              </w:rPr>
              <w:t>维修零配件、消耗品和延续保修合同的报价</w:t>
            </w:r>
          </w:p>
        </w:tc>
        <w:tc>
          <w:tcPr>
            <w:tcW w:w="6102" w:type="dxa"/>
            <w:vAlign w:val="center"/>
          </w:tcPr>
          <w:p w14:paraId="5C42DA9B">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1.1由设备制造商提供售后服务，</w:t>
            </w:r>
            <w:r>
              <w:rPr>
                <w:rFonts w:hint="eastAsia" w:ascii="宋体" w:hAnsi="宋体" w:eastAsia="宋体" w:cs="宋体"/>
                <w:color w:val="FF0000"/>
                <w:sz w:val="21"/>
                <w:szCs w:val="21"/>
                <w:u w:val="single"/>
              </w:rPr>
              <w:t xml:space="preserve"> 1 </w:t>
            </w:r>
            <w:r>
              <w:rPr>
                <w:rFonts w:hint="eastAsia" w:ascii="宋体" w:hAnsi="宋体" w:eastAsia="宋体" w:cs="宋体"/>
                <w:color w:val="FF0000"/>
                <w:sz w:val="21"/>
                <w:szCs w:val="21"/>
              </w:rPr>
              <w:t>小时内响应，</w:t>
            </w:r>
            <w:r>
              <w:rPr>
                <w:rFonts w:hint="eastAsia" w:ascii="宋体" w:hAnsi="宋体" w:eastAsia="宋体" w:cs="宋体"/>
                <w:color w:val="FF0000"/>
                <w:sz w:val="21"/>
                <w:szCs w:val="21"/>
                <w:u w:val="single"/>
              </w:rPr>
              <w:t xml:space="preserve"> 24 </w:t>
            </w:r>
            <w:r>
              <w:rPr>
                <w:rFonts w:hint="eastAsia" w:ascii="宋体" w:hAnsi="宋体" w:eastAsia="宋体" w:cs="宋体"/>
                <w:color w:val="FF0000"/>
                <w:sz w:val="21"/>
                <w:szCs w:val="21"/>
              </w:rPr>
              <w:t>小时维修到位，并在48小时内消除故障（不可抗力情况除外）。消耗品和零配件供应及时，特殊情况下可提供备用机。在境内有相对应的零配件保税库，于中标后出具证明文件。</w:t>
            </w:r>
          </w:p>
        </w:tc>
      </w:tr>
      <w:tr w14:paraId="1044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3B891EDC">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（三）其他商务要求</w:t>
            </w:r>
          </w:p>
        </w:tc>
      </w:tr>
      <w:tr w14:paraId="553C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0BB8A508">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Merge w:val="restart"/>
            <w:vAlign w:val="center"/>
          </w:tcPr>
          <w:p w14:paraId="127B24D3">
            <w:pPr>
              <w:spacing w:line="360" w:lineRule="exact"/>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违约责任</w:t>
            </w:r>
          </w:p>
        </w:tc>
        <w:tc>
          <w:tcPr>
            <w:tcW w:w="6102" w:type="dxa"/>
            <w:vAlign w:val="top"/>
          </w:tcPr>
          <w:p w14:paraId="7E5229C2">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1.1中标人不能交货的，需偿付不能交货部分货款的</w:t>
            </w:r>
            <w:r>
              <w:rPr>
                <w:rFonts w:hint="eastAsia" w:ascii="宋体" w:hAnsi="宋体" w:eastAsia="宋体" w:cs="宋体"/>
                <w:color w:val="FF0000"/>
                <w:sz w:val="21"/>
                <w:szCs w:val="21"/>
                <w:u w:val="single"/>
              </w:rPr>
              <w:t xml:space="preserve"> 20 </w:t>
            </w:r>
            <w:r>
              <w:rPr>
                <w:rFonts w:hint="eastAsia" w:ascii="宋体" w:hAnsi="宋体" w:eastAsia="宋体" w:cs="宋体"/>
                <w:color w:val="FF0000"/>
                <w:sz w:val="21"/>
                <w:szCs w:val="21"/>
              </w:rPr>
              <w:t>%的违约金并按主管部门相关规定处理。</w:t>
            </w:r>
          </w:p>
        </w:tc>
      </w:tr>
      <w:tr w14:paraId="0AD44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27978341">
            <w:pPr>
              <w:spacing w:line="360" w:lineRule="exact"/>
              <w:jc w:val="center"/>
              <w:rPr>
                <w:rFonts w:hint="eastAsia" w:ascii="宋体" w:hAnsi="宋体" w:eastAsia="宋体" w:cs="宋体"/>
                <w:b/>
                <w:color w:val="FF0000"/>
                <w:sz w:val="21"/>
                <w:szCs w:val="21"/>
              </w:rPr>
            </w:pPr>
          </w:p>
        </w:tc>
        <w:tc>
          <w:tcPr>
            <w:tcW w:w="1336" w:type="dxa"/>
            <w:vMerge w:val="continue"/>
            <w:vAlign w:val="center"/>
          </w:tcPr>
          <w:p w14:paraId="7C4936E0">
            <w:pPr>
              <w:spacing w:line="360" w:lineRule="exact"/>
              <w:jc w:val="center"/>
              <w:rPr>
                <w:rFonts w:hint="eastAsia" w:ascii="宋体" w:hAnsi="宋体" w:eastAsia="宋体" w:cs="宋体"/>
                <w:color w:val="FF0000"/>
                <w:sz w:val="21"/>
                <w:szCs w:val="21"/>
                <w:lang w:val="en-US" w:eastAsia="zh-CN"/>
              </w:rPr>
            </w:pPr>
          </w:p>
        </w:tc>
        <w:tc>
          <w:tcPr>
            <w:tcW w:w="6102" w:type="dxa"/>
            <w:vAlign w:val="top"/>
          </w:tcPr>
          <w:p w14:paraId="7D7DC29C">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1.2中标人逾期交货的，应当承担继续履行、采取补救措施或者赔偿损失等违约责任</w:t>
            </w:r>
          </w:p>
        </w:tc>
      </w:tr>
      <w:tr w14:paraId="5432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4116AF82">
            <w:pPr>
              <w:spacing w:line="360" w:lineRule="exact"/>
              <w:jc w:val="center"/>
              <w:rPr>
                <w:rFonts w:hint="eastAsia" w:ascii="宋体" w:hAnsi="宋体" w:eastAsia="宋体" w:cs="宋体"/>
                <w:b/>
                <w:color w:val="FF0000"/>
                <w:sz w:val="21"/>
                <w:szCs w:val="21"/>
              </w:rPr>
            </w:pPr>
          </w:p>
        </w:tc>
        <w:tc>
          <w:tcPr>
            <w:tcW w:w="1336" w:type="dxa"/>
            <w:vMerge w:val="continue"/>
            <w:vAlign w:val="center"/>
          </w:tcPr>
          <w:p w14:paraId="6A348D47">
            <w:pPr>
              <w:spacing w:line="360" w:lineRule="exact"/>
              <w:jc w:val="center"/>
              <w:rPr>
                <w:rFonts w:hint="eastAsia" w:ascii="宋体" w:hAnsi="宋体" w:eastAsia="宋体" w:cs="宋体"/>
                <w:color w:val="FF0000"/>
                <w:sz w:val="21"/>
                <w:szCs w:val="21"/>
                <w:lang w:val="en-US" w:eastAsia="zh-CN"/>
              </w:rPr>
            </w:pPr>
          </w:p>
        </w:tc>
        <w:tc>
          <w:tcPr>
            <w:tcW w:w="6102" w:type="dxa"/>
            <w:vAlign w:val="top"/>
          </w:tcPr>
          <w:p w14:paraId="20AC967B">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w:t>
            </w:r>
            <w:r>
              <w:rPr>
                <w:rFonts w:hint="eastAsia" w:ascii="宋体" w:hAnsi="宋体" w:eastAsia="宋体" w:cs="宋体"/>
                <w:color w:val="FF0000"/>
                <w:sz w:val="21"/>
                <w:szCs w:val="21"/>
                <w:lang w:val="en-US" w:eastAsia="zh-CN"/>
              </w:rPr>
              <w:t>做</w:t>
            </w:r>
            <w:r>
              <w:rPr>
                <w:rFonts w:hint="eastAsia" w:ascii="宋体" w:hAnsi="宋体" w:eastAsia="宋体" w:cs="宋体"/>
                <w:color w:val="FF0000"/>
                <w:sz w:val="21"/>
                <w:szCs w:val="21"/>
              </w:rPr>
              <w:t>、退货、减少价款或者报酬等违约责任。</w:t>
            </w:r>
          </w:p>
        </w:tc>
      </w:tr>
      <w:tr w14:paraId="3370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0CBFD25">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2</w:t>
            </w:r>
          </w:p>
        </w:tc>
        <w:tc>
          <w:tcPr>
            <w:tcW w:w="1336" w:type="dxa"/>
            <w:vAlign w:val="center"/>
          </w:tcPr>
          <w:p w14:paraId="0BB8DDA0">
            <w:pPr>
              <w:spacing w:after="60" w:afterLines="25" w:line="300" w:lineRule="auto"/>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报价要求</w:t>
            </w:r>
          </w:p>
        </w:tc>
        <w:tc>
          <w:tcPr>
            <w:tcW w:w="6102" w:type="dxa"/>
          </w:tcPr>
          <w:p w14:paraId="0003EDFF">
            <w:pPr>
              <w:snapToGrid w:val="0"/>
              <w:rPr>
                <w:rFonts w:hint="eastAsia" w:ascii="宋体" w:hAnsi="宋体" w:eastAsia="宋体" w:cs="宋体"/>
                <w:color w:val="FF0000"/>
                <w:sz w:val="21"/>
                <w:szCs w:val="21"/>
              </w:rPr>
            </w:pPr>
            <w:r>
              <w:rPr>
                <w:rFonts w:hint="eastAsia" w:ascii="宋体" w:hAnsi="宋体" w:eastAsia="宋体" w:cs="宋体"/>
                <w:b/>
                <w:bCs/>
                <w:color w:val="FF0000"/>
                <w:sz w:val="21"/>
                <w:szCs w:val="21"/>
                <w:lang w:val="en-US" w:eastAsia="zh-CN"/>
              </w:rPr>
              <w:t>本项目报总价，</w:t>
            </w:r>
            <w:r>
              <w:rPr>
                <w:rFonts w:hint="eastAsia" w:ascii="宋体" w:hAnsi="宋体" w:eastAsia="宋体" w:cs="宋体"/>
                <w:color w:val="FF0000"/>
                <w:sz w:val="21"/>
                <w:szCs w:val="21"/>
              </w:rPr>
              <w:t>项目报价采用包干价格形式，各分项报价之和为本项目投标报价</w:t>
            </w:r>
            <w:r>
              <w:rPr>
                <w:rFonts w:hint="eastAsia" w:ascii="宋体" w:hAnsi="宋体" w:eastAsia="宋体" w:cs="宋体"/>
                <w:color w:val="FF0000"/>
                <w:sz w:val="21"/>
                <w:szCs w:val="21"/>
                <w:lang w:val="en-US" w:eastAsia="zh-CN"/>
              </w:rPr>
              <w:t>，投</w:t>
            </w:r>
            <w:r>
              <w:rPr>
                <w:rFonts w:hint="eastAsia" w:ascii="宋体" w:hAnsi="宋体" w:eastAsia="宋体" w:cs="宋体"/>
                <w:color w:val="FF0000"/>
                <w:sz w:val="21"/>
                <w:szCs w:val="21"/>
              </w:rPr>
              <w:t>标报价不得超过本项目预算。</w:t>
            </w:r>
          </w:p>
          <w:p w14:paraId="3BF41F4E">
            <w:pPr>
              <w:snapToGrid w:val="0"/>
              <w:rPr>
                <w:rFonts w:hint="eastAsia" w:ascii="宋体" w:hAnsi="宋体" w:eastAsia="宋体" w:cs="宋体"/>
                <w:color w:val="FF0000"/>
                <w:sz w:val="21"/>
                <w:szCs w:val="21"/>
              </w:rPr>
            </w:pPr>
            <w:r>
              <w:rPr>
                <w:rFonts w:hint="eastAsia" w:ascii="宋体" w:hAnsi="宋体" w:eastAsia="宋体" w:cs="宋体"/>
                <w:color w:val="FF0000"/>
                <w:sz w:val="21"/>
                <w:szCs w:val="21"/>
              </w:rPr>
              <w:t>投标报价以人民币报价，投标总价必须是完成该项目的一切费用总和，包括投标费、设备费、运输费、装卸费、保险费、技术培训费、设备安装费、调试费、检测费、国家规定的各项税费等。</w:t>
            </w:r>
          </w:p>
          <w:p w14:paraId="086B0D34">
            <w:pPr>
              <w:snapToGrid w:val="0"/>
              <w:rPr>
                <w:rFonts w:hint="eastAsia" w:ascii="宋体" w:hAnsi="宋体" w:eastAsia="宋体" w:cs="宋体"/>
                <w:b/>
                <w:color w:val="FF0000"/>
                <w:sz w:val="21"/>
                <w:szCs w:val="21"/>
              </w:rPr>
            </w:pPr>
            <w:r>
              <w:rPr>
                <w:rFonts w:hint="eastAsia" w:ascii="宋体" w:hAnsi="宋体" w:eastAsia="宋体" w:cs="宋体"/>
                <w:color w:val="FF0000"/>
                <w:sz w:val="21"/>
                <w:szCs w:val="21"/>
                <w:lang w:val="en-US" w:eastAsia="zh-CN"/>
              </w:rPr>
              <w:t>项目执行过程中中标方不得增加费用，因中标商考虑不周而造成费用增加，由中标商承担该部分费用。</w:t>
            </w:r>
          </w:p>
        </w:tc>
      </w:tr>
      <w:tr w14:paraId="27D5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E2DAFBB">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3</w:t>
            </w:r>
          </w:p>
        </w:tc>
        <w:tc>
          <w:tcPr>
            <w:tcW w:w="1336" w:type="dxa"/>
            <w:vAlign w:val="center"/>
          </w:tcPr>
          <w:p w14:paraId="6F0F8DD4">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交货地点</w:t>
            </w:r>
          </w:p>
        </w:tc>
        <w:tc>
          <w:tcPr>
            <w:tcW w:w="6102" w:type="dxa"/>
          </w:tcPr>
          <w:p w14:paraId="006BC76F">
            <w:pPr>
              <w:spacing w:after="60" w:afterLines="25" w:line="300" w:lineRule="auto"/>
              <w:rPr>
                <w:rFonts w:hint="eastAsia" w:ascii="宋体" w:hAnsi="宋体" w:eastAsia="宋体" w:cs="宋体"/>
                <w:b/>
                <w:color w:val="FF0000"/>
                <w:sz w:val="21"/>
                <w:szCs w:val="21"/>
              </w:rPr>
            </w:pPr>
            <w:r>
              <w:rPr>
                <w:rFonts w:hint="eastAsia" w:ascii="宋体" w:hAnsi="宋体" w:eastAsia="宋体" w:cs="宋体"/>
                <w:b/>
                <w:color w:val="FF0000"/>
                <w:sz w:val="21"/>
                <w:szCs w:val="21"/>
              </w:rPr>
              <w:t>深圳市宝安区清平实验学校东校区</w:t>
            </w:r>
          </w:p>
        </w:tc>
      </w:tr>
      <w:tr w14:paraId="07AB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5C231D5">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4</w:t>
            </w:r>
          </w:p>
        </w:tc>
        <w:tc>
          <w:tcPr>
            <w:tcW w:w="1336" w:type="dxa"/>
            <w:vAlign w:val="center"/>
          </w:tcPr>
          <w:p w14:paraId="7DBC2569">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交货期或完工期</w:t>
            </w:r>
          </w:p>
        </w:tc>
        <w:tc>
          <w:tcPr>
            <w:tcW w:w="6102" w:type="dxa"/>
          </w:tcPr>
          <w:p w14:paraId="3F46BB53">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sz w:val="21"/>
                <w:szCs w:val="21"/>
              </w:rPr>
              <w:t>本项目要求在进场施工日起</w:t>
            </w:r>
            <w:r>
              <w:rPr>
                <w:rFonts w:hint="eastAsia" w:ascii="宋体" w:hAnsi="宋体" w:eastAsia="宋体" w:cs="宋体"/>
                <w:color w:val="FF0000"/>
                <w:sz w:val="21"/>
                <w:szCs w:val="21"/>
                <w:highlight w:val="yellow"/>
                <w:lang w:val="en-US" w:eastAsia="zh-CN"/>
              </w:rPr>
              <w:t>2</w:t>
            </w:r>
            <w:r>
              <w:rPr>
                <w:rFonts w:hint="eastAsia" w:ascii="宋体" w:hAnsi="宋体" w:eastAsia="宋体" w:cs="宋体"/>
                <w:color w:val="FF0000"/>
                <w:sz w:val="21"/>
                <w:szCs w:val="21"/>
                <w:highlight w:val="yellow"/>
              </w:rPr>
              <w:t>0个日</w:t>
            </w:r>
            <w:r>
              <w:rPr>
                <w:rFonts w:hint="eastAsia" w:ascii="宋体" w:hAnsi="宋体" w:eastAsia="宋体" w:cs="宋体"/>
                <w:color w:val="FF0000"/>
                <w:sz w:val="21"/>
                <w:szCs w:val="21"/>
              </w:rPr>
              <w:t>历日内完工，进场施工时间由采购人确定。</w:t>
            </w:r>
          </w:p>
        </w:tc>
      </w:tr>
      <w:tr w14:paraId="0A96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6" w:type="dxa"/>
            <w:vAlign w:val="center"/>
          </w:tcPr>
          <w:p w14:paraId="5DEEDC56">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5</w:t>
            </w:r>
          </w:p>
        </w:tc>
        <w:tc>
          <w:tcPr>
            <w:tcW w:w="1336" w:type="dxa"/>
            <w:vAlign w:val="center"/>
          </w:tcPr>
          <w:p w14:paraId="0BDF3B51">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付款方式</w:t>
            </w:r>
          </w:p>
        </w:tc>
        <w:tc>
          <w:tcPr>
            <w:tcW w:w="6102" w:type="dxa"/>
          </w:tcPr>
          <w:p w14:paraId="5F52134C">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kern w:val="0"/>
                <w:sz w:val="21"/>
                <w:szCs w:val="21"/>
              </w:rPr>
              <w:t>本项目完成并经验收合格后，对于满足合同约定支付条件的，采购人应当自收到发票</w:t>
            </w:r>
            <w:r>
              <w:rPr>
                <w:rFonts w:hint="eastAsia" w:ascii="宋体" w:hAnsi="宋体" w:eastAsia="宋体" w:cs="宋体"/>
                <w:color w:val="FF0000"/>
                <w:kern w:val="0"/>
                <w:sz w:val="21"/>
                <w:szCs w:val="21"/>
                <w:highlight w:val="none"/>
              </w:rPr>
              <w:t>后</w:t>
            </w:r>
            <w:r>
              <w:rPr>
                <w:rFonts w:hint="eastAsia" w:ascii="宋体" w:hAnsi="宋体" w:eastAsia="宋体" w:cs="宋体"/>
                <w:color w:val="FF0000"/>
                <w:kern w:val="0"/>
                <w:sz w:val="21"/>
                <w:szCs w:val="21"/>
                <w:highlight w:val="yellow"/>
              </w:rPr>
              <w:t>15日</w:t>
            </w:r>
            <w:r>
              <w:rPr>
                <w:rFonts w:hint="eastAsia" w:ascii="宋体" w:hAnsi="宋体" w:eastAsia="宋体" w:cs="宋体"/>
                <w:color w:val="FF0000"/>
                <w:kern w:val="0"/>
                <w:sz w:val="21"/>
                <w:szCs w:val="21"/>
              </w:rPr>
              <w:t>内将资金支付到合同约定的中标供应商账户。</w:t>
            </w:r>
          </w:p>
        </w:tc>
      </w:tr>
      <w:tr w14:paraId="1254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99B0DAB">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6</w:t>
            </w:r>
          </w:p>
        </w:tc>
        <w:tc>
          <w:tcPr>
            <w:tcW w:w="1336" w:type="dxa"/>
            <w:vAlign w:val="center"/>
          </w:tcPr>
          <w:p w14:paraId="4C25AD87">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验收条件</w:t>
            </w:r>
          </w:p>
        </w:tc>
        <w:tc>
          <w:tcPr>
            <w:tcW w:w="6102" w:type="dxa"/>
          </w:tcPr>
          <w:p w14:paraId="40DCF096">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sz w:val="21"/>
                <w:szCs w:val="21"/>
              </w:rPr>
              <w:t>（1）</w:t>
            </w:r>
            <w:r>
              <w:rPr>
                <w:rFonts w:hint="eastAsia" w:ascii="宋体" w:hAnsi="宋体" w:eastAsia="宋体" w:cs="宋体"/>
                <w:color w:val="FF0000"/>
                <w:kern w:val="0"/>
                <w:sz w:val="21"/>
                <w:szCs w:val="21"/>
              </w:rPr>
              <w:t>投标供应商应在到货（安装、调试完成）后3日内向甲方发出验收申请。甲方应当在收到申请3日内组织验收，验收合格的，由甲方向投标供应商签署货物验收单。甲方逾期未组织验收，也未提出异议的，视为验收合格。需要安装调试的，安装调试完毕验收合格后才视为最终验收合格和满足付款条件。</w:t>
            </w:r>
          </w:p>
        </w:tc>
      </w:tr>
      <w:tr w14:paraId="05F9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4096C2EE">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7</w:t>
            </w:r>
          </w:p>
        </w:tc>
        <w:tc>
          <w:tcPr>
            <w:tcW w:w="1336" w:type="dxa"/>
            <w:vAlign w:val="center"/>
          </w:tcPr>
          <w:p w14:paraId="17C2A11E">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包装及运输要求</w:t>
            </w:r>
          </w:p>
        </w:tc>
        <w:tc>
          <w:tcPr>
            <w:tcW w:w="6102" w:type="dxa"/>
          </w:tcPr>
          <w:p w14:paraId="67EF9CCF">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本次采购的设备和材料必须是全新的，包装方式按照原厂出厂原标准，中标人应确保运抵采购人处货物的完好性，包装费用由中标人承担。中标人承担由于其包装或其防护措施不妥而引起货物锈蚀、损坏和丢失等任何损失，并承担因此而发生的违约责任。</w:t>
            </w:r>
          </w:p>
        </w:tc>
      </w:tr>
      <w:tr w14:paraId="40B1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E6AFAFC">
            <w:pPr>
              <w:spacing w:line="360" w:lineRule="exact"/>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8</w:t>
            </w:r>
          </w:p>
        </w:tc>
        <w:tc>
          <w:tcPr>
            <w:tcW w:w="1336" w:type="dxa"/>
            <w:vAlign w:val="center"/>
          </w:tcPr>
          <w:p w14:paraId="0B24747B">
            <w:pPr>
              <w:spacing w:line="360" w:lineRule="exact"/>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争议解决方法</w:t>
            </w:r>
          </w:p>
        </w:tc>
        <w:tc>
          <w:tcPr>
            <w:tcW w:w="6102" w:type="dxa"/>
            <w:vAlign w:val="center"/>
          </w:tcPr>
          <w:p w14:paraId="62CD5310">
            <w:pPr>
              <w:spacing w:line="360" w:lineRule="exact"/>
              <w:rPr>
                <w:rFonts w:hint="eastAsia" w:ascii="宋体" w:hAnsi="宋体" w:eastAsia="宋体" w:cs="宋体"/>
                <w:b w:val="0"/>
                <w:bCs w:val="0"/>
                <w:color w:val="FF0000"/>
                <w:sz w:val="21"/>
                <w:szCs w:val="21"/>
              </w:rPr>
            </w:pPr>
            <w:r>
              <w:rPr>
                <w:rFonts w:hint="eastAsia" w:ascii="宋体" w:hAnsi="宋体" w:eastAsia="宋体" w:cs="宋体"/>
                <w:color w:val="FF0000"/>
                <w:sz w:val="21"/>
                <w:szCs w:val="21"/>
              </w:rPr>
              <w:t>因货物的质量问题发生争议的，应当邀请国家认可的质量检测机构对货物质量进行鉴定。货物符合标准的，鉴定费由甲方承担；货物不符合质量标准的，鉴定费由乙方承担。</w:t>
            </w:r>
          </w:p>
        </w:tc>
      </w:tr>
      <w:bookmarkEnd w:id="41"/>
      <w:tr w14:paraId="1A0E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06" w:type="dxa"/>
            <w:shd w:val="clear" w:color="auto" w:fill="auto"/>
            <w:vAlign w:val="center"/>
          </w:tcPr>
          <w:p w14:paraId="4D9770D5">
            <w:pPr>
              <w:spacing w:after="60" w:afterLines="25" w:line="300" w:lineRule="auto"/>
              <w:jc w:val="center"/>
              <w:rPr>
                <w:rFonts w:hint="eastAsia"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9</w:t>
            </w:r>
          </w:p>
        </w:tc>
        <w:tc>
          <w:tcPr>
            <w:tcW w:w="1336" w:type="dxa"/>
            <w:vAlign w:val="center"/>
          </w:tcPr>
          <w:p w14:paraId="3C552AEE">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其他要求</w:t>
            </w:r>
          </w:p>
        </w:tc>
        <w:tc>
          <w:tcPr>
            <w:tcW w:w="6102" w:type="dxa"/>
          </w:tcPr>
          <w:p w14:paraId="19FDA87F">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（1）中标供应商在签订合同时应提供投标文件打印稿贰份，并加盖公章（一份交给监理公司，一份交给学校），同时提供投标文件的OFFICE文档。</w:t>
            </w:r>
          </w:p>
          <w:p w14:paraId="485079AB">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2）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14:paraId="07FAE9C6">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3）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p w14:paraId="50B1FFFD">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（4）投标商必须确保中标后提供的货物为正规渠道供货，不存在违反国家法律、法规的情况。</w:t>
            </w:r>
          </w:p>
          <w:p w14:paraId="56E5909E">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（5）特别条款：对于单纯家具（含课桌椅）项目、含家具或装修的功能室项目及教室照明设备在验收时还需提供以下材料：</w:t>
            </w:r>
          </w:p>
          <w:p w14:paraId="7528DFD1">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①家具（含课桌椅）类货物应提供有害物质检测报告。根据深圳经济特区技术规范《家具成品及原辅材料中有害物质限量》（SZJG52-2016）的规定，</w:t>
            </w:r>
            <w:bookmarkStart w:id="42" w:name="_Hlk81842105"/>
            <w:r>
              <w:rPr>
                <w:rFonts w:hint="eastAsia" w:ascii="宋体" w:hAnsi="宋体" w:eastAsia="宋体" w:cs="宋体"/>
                <w:color w:val="FF0000"/>
                <w:sz w:val="21"/>
                <w:szCs w:val="21"/>
              </w:rPr>
              <w:t>需根据现场抽样并对以下项目进行检验且合格</w:t>
            </w:r>
            <w:bookmarkEnd w:id="42"/>
            <w:r>
              <w:rPr>
                <w:rFonts w:hint="eastAsia" w:ascii="宋体" w:hAnsi="宋体" w:eastAsia="宋体" w:cs="宋体"/>
                <w:color w:val="FF0000"/>
                <w:sz w:val="21"/>
                <w:szCs w:val="21"/>
              </w:rPr>
              <w:t>：</w:t>
            </w:r>
          </w:p>
          <w:tbl>
            <w:tblPr>
              <w:tblStyle w:val="17"/>
              <w:tblpPr w:leftFromText="180" w:rightFromText="180" w:vertAnchor="text" w:horzAnchor="page" w:tblpX="60" w:tblpY="217"/>
              <w:tblOverlap w:val="never"/>
              <w:tblW w:w="6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280"/>
              <w:gridCol w:w="1568"/>
              <w:gridCol w:w="1120"/>
              <w:gridCol w:w="1832"/>
            </w:tblGrid>
            <w:tr w14:paraId="11BB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tblHeader/>
              </w:trPr>
              <w:tc>
                <w:tcPr>
                  <w:tcW w:w="437" w:type="dxa"/>
                  <w:vAlign w:val="center"/>
                </w:tcPr>
                <w:p w14:paraId="352A01E4">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1280" w:type="dxa"/>
                  <w:vAlign w:val="center"/>
                </w:tcPr>
                <w:p w14:paraId="72E49110">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检验项目</w:t>
                  </w:r>
                </w:p>
              </w:tc>
              <w:tc>
                <w:tcPr>
                  <w:tcW w:w="1568" w:type="dxa"/>
                  <w:vAlign w:val="center"/>
                </w:tcPr>
                <w:p w14:paraId="1AE14F8E">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依据法律法规或标准条款</w:t>
                  </w:r>
                </w:p>
              </w:tc>
              <w:tc>
                <w:tcPr>
                  <w:tcW w:w="1120" w:type="dxa"/>
                  <w:vAlign w:val="center"/>
                </w:tcPr>
                <w:p w14:paraId="7DC6E923">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强制性/推荐性</w:t>
                  </w:r>
                </w:p>
              </w:tc>
              <w:tc>
                <w:tcPr>
                  <w:tcW w:w="1832" w:type="dxa"/>
                  <w:vAlign w:val="center"/>
                </w:tcPr>
                <w:p w14:paraId="4B58A9C9">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检测方法</w:t>
                  </w:r>
                </w:p>
              </w:tc>
            </w:tr>
            <w:tr w14:paraId="70F7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02B9237F">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1280" w:type="dxa"/>
                  <w:vAlign w:val="center"/>
                </w:tcPr>
                <w:p w14:paraId="32EB3F30">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甲醛释放量</w:t>
                  </w:r>
                </w:p>
              </w:tc>
              <w:tc>
                <w:tcPr>
                  <w:tcW w:w="1568" w:type="dxa"/>
                  <w:vAlign w:val="center"/>
                </w:tcPr>
                <w:p w14:paraId="52DB83A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7F4269F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1470B475">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345E6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687747FF">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1280" w:type="dxa"/>
                  <w:vAlign w:val="center"/>
                </w:tcPr>
                <w:p w14:paraId="31FA4A37">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苯释放量</w:t>
                  </w:r>
                </w:p>
              </w:tc>
              <w:tc>
                <w:tcPr>
                  <w:tcW w:w="1568" w:type="dxa"/>
                  <w:vAlign w:val="center"/>
                </w:tcPr>
                <w:p w14:paraId="5AF9D536">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45187415">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75429934">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4FC87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1657BE87">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1280" w:type="dxa"/>
                  <w:vAlign w:val="center"/>
                </w:tcPr>
                <w:p w14:paraId="6ECF073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甲苯释放量</w:t>
                  </w:r>
                </w:p>
              </w:tc>
              <w:tc>
                <w:tcPr>
                  <w:tcW w:w="1568" w:type="dxa"/>
                  <w:vAlign w:val="center"/>
                </w:tcPr>
                <w:p w14:paraId="7850CD9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54B51E73">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2BA46307">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4848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4642AD0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1280" w:type="dxa"/>
                  <w:vAlign w:val="center"/>
                </w:tcPr>
                <w:p w14:paraId="3F5227A6">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二甲苯释放量</w:t>
                  </w:r>
                </w:p>
              </w:tc>
              <w:tc>
                <w:tcPr>
                  <w:tcW w:w="1568" w:type="dxa"/>
                  <w:vAlign w:val="center"/>
                </w:tcPr>
                <w:p w14:paraId="02DE0A38">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332C783E">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78A234E8">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136D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5" w:hRule="atLeast"/>
              </w:trPr>
              <w:tc>
                <w:tcPr>
                  <w:tcW w:w="437" w:type="dxa"/>
                </w:tcPr>
                <w:p w14:paraId="539B343B">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1280" w:type="dxa"/>
                  <w:vAlign w:val="center"/>
                </w:tcPr>
                <w:p w14:paraId="5B0A081F">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总挥发性有机化合物（TVOC）释放量</w:t>
                  </w:r>
                </w:p>
              </w:tc>
              <w:tc>
                <w:tcPr>
                  <w:tcW w:w="1568" w:type="dxa"/>
                  <w:vAlign w:val="center"/>
                </w:tcPr>
                <w:p w14:paraId="247B10C6">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0F34A26A">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424E1787">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bl>
          <w:p w14:paraId="1BEC3A5E">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②含家具或装修的功能室应当另行提供室内环境污染检测报告。按照国家《室内空气质量标准》（GB/T 18883-2022）中的标准进行检测并合格（至少包括以下五项，如有更新则以最新标准为准）：</w:t>
            </w:r>
          </w:p>
          <w:tbl>
            <w:tblPr>
              <w:tblStyle w:val="17"/>
              <w:tblW w:w="5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655"/>
              <w:gridCol w:w="2343"/>
            </w:tblGrid>
            <w:tr w14:paraId="1AE9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blHeader/>
                <w:jc w:val="center"/>
              </w:trPr>
              <w:tc>
                <w:tcPr>
                  <w:tcW w:w="721" w:type="dxa"/>
                  <w:vAlign w:val="center"/>
                </w:tcPr>
                <w:p w14:paraId="2F555D39">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2655" w:type="dxa"/>
                  <w:vAlign w:val="center"/>
                </w:tcPr>
                <w:p w14:paraId="1538F907">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检验项目</w:t>
                  </w:r>
                </w:p>
              </w:tc>
              <w:tc>
                <w:tcPr>
                  <w:tcW w:w="2343" w:type="dxa"/>
                  <w:vAlign w:val="center"/>
                </w:tcPr>
                <w:p w14:paraId="118B7C41">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依据法律法规或标准条款</w:t>
                  </w:r>
                </w:p>
              </w:tc>
            </w:tr>
            <w:tr w14:paraId="0CA4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4A03123F">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2655" w:type="dxa"/>
                  <w:vAlign w:val="center"/>
                </w:tcPr>
                <w:p w14:paraId="3DB4EE1F">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甲醛</w:t>
                  </w:r>
                </w:p>
              </w:tc>
              <w:tc>
                <w:tcPr>
                  <w:tcW w:w="2343" w:type="dxa"/>
                  <w:vAlign w:val="center"/>
                </w:tcPr>
                <w:p w14:paraId="31F037F9">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7A88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36943AD3">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2655" w:type="dxa"/>
                  <w:vAlign w:val="center"/>
                </w:tcPr>
                <w:p w14:paraId="1D0A53E8">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苯</w:t>
                  </w:r>
                </w:p>
              </w:tc>
              <w:tc>
                <w:tcPr>
                  <w:tcW w:w="2343" w:type="dxa"/>
                  <w:vAlign w:val="center"/>
                </w:tcPr>
                <w:p w14:paraId="1C32887C">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7AD8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3D600A3A">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2655" w:type="dxa"/>
                  <w:vAlign w:val="center"/>
                </w:tcPr>
                <w:p w14:paraId="4549C898">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甲苯</w:t>
                  </w:r>
                </w:p>
              </w:tc>
              <w:tc>
                <w:tcPr>
                  <w:tcW w:w="2343" w:type="dxa"/>
                  <w:vAlign w:val="center"/>
                </w:tcPr>
                <w:p w14:paraId="0B43CC05">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7DA5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70F2A282">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2655" w:type="dxa"/>
                  <w:vAlign w:val="center"/>
                </w:tcPr>
                <w:p w14:paraId="59A89E8B">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二甲苯</w:t>
                  </w:r>
                </w:p>
              </w:tc>
              <w:tc>
                <w:tcPr>
                  <w:tcW w:w="2343" w:type="dxa"/>
                  <w:vAlign w:val="center"/>
                </w:tcPr>
                <w:p w14:paraId="799B11D5">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203A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721" w:type="dxa"/>
                </w:tcPr>
                <w:p w14:paraId="0674C9B5">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2655" w:type="dxa"/>
                  <w:vAlign w:val="center"/>
                </w:tcPr>
                <w:p w14:paraId="20A8E11A">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总挥发性有机化合物（TVOC）</w:t>
                  </w:r>
                </w:p>
              </w:tc>
              <w:tc>
                <w:tcPr>
                  <w:tcW w:w="2343" w:type="dxa"/>
                  <w:vAlign w:val="center"/>
                </w:tcPr>
                <w:p w14:paraId="38385544">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bl>
          <w:p w14:paraId="7716FE71">
            <w:pPr>
              <w:widowControl/>
              <w:jc w:val="left"/>
              <w:rPr>
                <w:rFonts w:hint="eastAsia" w:ascii="宋体" w:hAnsi="宋体" w:eastAsia="宋体" w:cs="宋体"/>
                <w:color w:val="FF0000"/>
                <w:sz w:val="21"/>
                <w:szCs w:val="21"/>
              </w:rPr>
            </w:pPr>
          </w:p>
        </w:tc>
      </w:tr>
    </w:tbl>
    <w:p w14:paraId="30C5CDFB">
      <w:pPr>
        <w:rPr>
          <w:b/>
        </w:rPr>
      </w:pPr>
    </w:p>
    <w:p w14:paraId="4709B3C6">
      <w:pPr>
        <w:pStyle w:val="6"/>
        <w:spacing w:before="60" w:beforeLines="25" w:after="60" w:afterLines="25"/>
        <w:ind w:firstLine="0" w:firstLineChars="0"/>
        <w:rPr>
          <w:rFonts w:ascii="宋体" w:hAnsi="宋体"/>
          <w:szCs w:val="21"/>
        </w:rPr>
      </w:pPr>
    </w:p>
    <w:p w14:paraId="6128B53E">
      <w:pPr>
        <w:pStyle w:val="6"/>
        <w:spacing w:before="60" w:beforeLines="25" w:after="60" w:afterLines="25"/>
        <w:ind w:firstLine="0" w:firstLineChars="0"/>
        <w:rPr>
          <w:rFonts w:ascii="宋体" w:hAnsi="宋体"/>
          <w:szCs w:val="21"/>
        </w:rPr>
      </w:pPr>
    </w:p>
    <w:p w14:paraId="6C1B5105">
      <w:pPr>
        <w:pStyle w:val="6"/>
        <w:spacing w:before="60" w:beforeLines="25" w:after="60" w:afterLines="25"/>
        <w:ind w:firstLine="0" w:firstLineChars="0"/>
        <w:rPr>
          <w:rFonts w:ascii="宋体" w:hAnsi="宋体"/>
          <w:szCs w:val="21"/>
        </w:rPr>
      </w:pPr>
    </w:p>
    <w:p w14:paraId="0049F071">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A8A49A8">
      <w:pPr>
        <w:rPr>
          <w:rFonts w:ascii="宋体" w:hAnsi="宋体"/>
        </w:rPr>
      </w:pPr>
    </w:p>
    <w:p w14:paraId="4B895BFE">
      <w:pPr>
        <w:pStyle w:val="7"/>
        <w:rPr>
          <w:rFonts w:ascii="宋体" w:hAnsi="宋体"/>
        </w:rPr>
      </w:pPr>
    </w:p>
    <w:p w14:paraId="0D698FFD">
      <w:pPr>
        <w:pStyle w:val="14"/>
      </w:pPr>
    </w:p>
    <w:p w14:paraId="5C6C34FF">
      <w:pPr>
        <w:pStyle w:val="7"/>
        <w:rPr>
          <w:rFonts w:ascii="宋体" w:hAnsi="宋体"/>
        </w:rPr>
        <w:sectPr>
          <w:pgSz w:w="11907" w:h="16840"/>
          <w:pgMar w:top="1440" w:right="1797" w:bottom="1440" w:left="1797" w:header="851" w:footer="992" w:gutter="0"/>
          <w:cols w:space="425" w:num="1"/>
          <w:titlePg/>
          <w:docGrid w:linePitch="462" w:charSpace="0"/>
        </w:sectPr>
      </w:pPr>
    </w:p>
    <w:p w14:paraId="2CAC7D65">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rPr>
          <w:rStyle w:val="35"/>
          <w:sz w:val="24"/>
        </w:rPr>
      </w:pPr>
      <w:r>
        <w:rPr>
          <w:rStyle w:val="35"/>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6"/>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43"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3"/>
    <w:p w14:paraId="3B2D1DBF">
      <w:pPr>
        <w:ind w:firstLine="420" w:firstLineChars="200"/>
        <w:rPr>
          <w:rFonts w:ascii="宋体" w:hAnsi="宋体"/>
          <w:szCs w:val="21"/>
        </w:rPr>
      </w:pPr>
    </w:p>
    <w:p w14:paraId="0886BC42">
      <w:pPr>
        <w:ind w:firstLine="480" w:firstLineChars="200"/>
        <w:rPr>
          <w:rFonts w:ascii="仿宋_GB2312" w:eastAsia="仿宋_GB2312"/>
          <w:sz w:val="24"/>
        </w:rPr>
      </w:pPr>
    </w:p>
    <w:p w14:paraId="769BFBBA">
      <w:pPr>
        <w:rPr>
          <w:rFonts w:ascii="仿宋_GB2312" w:eastAsia="仿宋_GB2312"/>
          <w:sz w:val="24"/>
        </w:rPr>
      </w:pPr>
    </w:p>
    <w:p w14:paraId="332479B8">
      <w:pPr>
        <w:rPr>
          <w:rFonts w:ascii="宋体" w:hAnsi="宋体"/>
          <w:sz w:val="24"/>
        </w:rPr>
      </w:pPr>
      <w:bookmarkStart w:id="44" w:name="_Hlk72257771"/>
      <w:bookmarkStart w:id="45" w:name="_Hlk72263559"/>
      <w:r>
        <w:rPr>
          <w:rFonts w:hint="eastAsia" w:ascii="宋体" w:hAnsi="宋体"/>
          <w:sz w:val="24"/>
        </w:rPr>
        <w:t>投标文件组成：</w:t>
      </w:r>
    </w:p>
    <w:p w14:paraId="5432A614">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535E0678">
      <w:pPr>
        <w:ind w:left="718" w:leftChars="342" w:firstLine="1417" w:firstLineChars="675"/>
        <w:rPr>
          <w:rFonts w:hint="eastAsia" w:eastAsia="宋体"/>
          <w:szCs w:val="21"/>
          <w:lang w:eastAsia="zh-CN"/>
        </w:rPr>
      </w:pPr>
      <w:r>
        <w:rPr>
          <w:rFonts w:hint="eastAsia"/>
          <w:szCs w:val="21"/>
        </w:rPr>
        <w:t>（1）</w:t>
      </w:r>
      <w:bookmarkStart w:id="46" w:name="_Hlk72070784"/>
      <w:r>
        <w:rPr>
          <w:rFonts w:hint="eastAsia"/>
          <w:szCs w:val="21"/>
        </w:rPr>
        <w:t>投标函</w:t>
      </w:r>
      <w:bookmarkEnd w:id="46"/>
      <w:r>
        <w:rPr>
          <w:rFonts w:hint="eastAsia"/>
          <w:szCs w:val="21"/>
          <w:lang w:eastAsia="zh-CN"/>
        </w:rPr>
        <w:t>；</w:t>
      </w:r>
    </w:p>
    <w:p w14:paraId="03BC4379">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6E578CBF">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3538B92F">
      <w:pPr>
        <w:ind w:left="718" w:leftChars="342" w:firstLine="1417" w:firstLineChars="675"/>
        <w:rPr>
          <w:rFonts w:hint="eastAsia"/>
          <w:szCs w:val="21"/>
          <w:lang w:eastAsia="zh-CN"/>
        </w:rPr>
      </w:pPr>
      <w:bookmarkStart w:id="47" w:name="_Hlk72257201"/>
      <w:r>
        <w:rPr>
          <w:rFonts w:hint="eastAsia"/>
          <w:szCs w:val="21"/>
        </w:rPr>
        <w:t>（</w:t>
      </w:r>
      <w:r>
        <w:rPr>
          <w:szCs w:val="21"/>
        </w:rPr>
        <w:t>4</w:t>
      </w:r>
      <w:r>
        <w:rPr>
          <w:rFonts w:hint="eastAsia"/>
          <w:szCs w:val="21"/>
        </w:rPr>
        <w:t>）</w:t>
      </w:r>
      <w:bookmarkEnd w:id="47"/>
      <w:r>
        <w:rPr>
          <w:rFonts w:hint="eastAsia"/>
          <w:szCs w:val="21"/>
        </w:rPr>
        <w:t>项目详细报价</w:t>
      </w:r>
      <w:r>
        <w:rPr>
          <w:rFonts w:hint="eastAsia"/>
          <w:szCs w:val="21"/>
          <w:lang w:eastAsia="zh-CN"/>
        </w:rPr>
        <w:t>；</w:t>
      </w:r>
    </w:p>
    <w:p w14:paraId="0541CD54">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r>
        <w:rPr>
          <w:rFonts w:hint="eastAsia" w:asciiTheme="minorEastAsia" w:hAnsiTheme="minorEastAsia" w:eastAsiaTheme="minorEastAsia" w:cstheme="minorEastAsia"/>
          <w:szCs w:val="21"/>
        </w:rPr>
        <w:t>同类业绩情况</w:t>
      </w:r>
      <w:r>
        <w:rPr>
          <w:rFonts w:hint="eastAsia"/>
          <w:szCs w:val="21"/>
          <w:lang w:eastAsia="zh-CN"/>
        </w:rPr>
        <w:t>；</w:t>
      </w:r>
    </w:p>
    <w:p w14:paraId="2716AF6A">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szCs w:val="21"/>
          <w:lang w:eastAsia="zh-CN"/>
        </w:rPr>
        <w:t>投标供应商</w:t>
      </w:r>
      <w:r>
        <w:rPr>
          <w:rFonts w:hint="eastAsia"/>
          <w:szCs w:val="21"/>
        </w:rPr>
        <w:t>认为需要加以说明的其他内容</w:t>
      </w:r>
      <w:r>
        <w:rPr>
          <w:rFonts w:hint="eastAsia"/>
          <w:szCs w:val="21"/>
          <w:lang w:eastAsia="zh-CN"/>
        </w:rPr>
        <w:t>；</w:t>
      </w:r>
    </w:p>
    <w:p w14:paraId="78A69470">
      <w:pPr>
        <w:ind w:left="718" w:leftChars="342" w:firstLine="1627" w:firstLineChars="775"/>
        <w:rPr>
          <w:szCs w:val="21"/>
        </w:rPr>
      </w:pPr>
    </w:p>
    <w:p w14:paraId="701AD1CE">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5A554614">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14:paraId="44A73255">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699BCE1C">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14:paraId="5D0D58D2">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283D5A67">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14:paraId="1E57F91F">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asciiTheme="minorEastAsia" w:hAnsiTheme="minorEastAsia" w:eastAsiaTheme="minorEastAsia" w:cstheme="minorEastAsia"/>
          <w:szCs w:val="21"/>
        </w:rPr>
        <w:t>项目实施方案</w:t>
      </w:r>
      <w:r>
        <w:rPr>
          <w:rFonts w:hint="eastAsia"/>
          <w:szCs w:val="21"/>
          <w:lang w:eastAsia="zh-CN"/>
        </w:rPr>
        <w:t>；</w:t>
      </w:r>
    </w:p>
    <w:p w14:paraId="181E13DA">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Theme="minorEastAsia" w:hAnsiTheme="minorEastAsia" w:eastAsiaTheme="minorEastAsia" w:cstheme="minorEastAsia"/>
          <w:szCs w:val="21"/>
        </w:rPr>
        <w:t>售后服务方案</w:t>
      </w:r>
      <w:r>
        <w:rPr>
          <w:rFonts w:hint="eastAsia"/>
          <w:szCs w:val="21"/>
          <w:lang w:eastAsia="zh-CN"/>
        </w:rPr>
        <w:t>；</w:t>
      </w:r>
    </w:p>
    <w:p w14:paraId="3E018194">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asciiTheme="minorEastAsia" w:hAnsiTheme="minorEastAsia" w:eastAsiaTheme="minorEastAsia" w:cstheme="minorEastAsia"/>
          <w:szCs w:val="21"/>
        </w:rPr>
        <w:t>绿色采购情况</w:t>
      </w:r>
      <w:r>
        <w:rPr>
          <w:rFonts w:hint="eastAsia"/>
          <w:szCs w:val="21"/>
          <w:lang w:eastAsia="zh-CN"/>
        </w:rPr>
        <w:t>；</w:t>
      </w:r>
    </w:p>
    <w:p w14:paraId="6064C709">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asciiTheme="minorEastAsia" w:hAnsiTheme="minorEastAsia" w:eastAsiaTheme="minorEastAsia" w:cstheme="minorEastAsia"/>
          <w:szCs w:val="21"/>
        </w:rPr>
        <w:t>政府采购节能环保产品情况</w:t>
      </w:r>
      <w:r>
        <w:rPr>
          <w:rFonts w:hint="eastAsia"/>
          <w:szCs w:val="21"/>
          <w:lang w:eastAsia="zh-CN"/>
        </w:rPr>
        <w:t>；</w:t>
      </w:r>
    </w:p>
    <w:p w14:paraId="790D4A19">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）投标供应商</w:t>
      </w:r>
      <w:r>
        <w:rPr>
          <w:rFonts w:hint="eastAsia"/>
          <w:szCs w:val="21"/>
        </w:rPr>
        <w:t>认为需要加以说明的其他内容</w:t>
      </w:r>
      <w:r>
        <w:rPr>
          <w:rFonts w:hint="eastAsia"/>
          <w:szCs w:val="21"/>
          <w:lang w:eastAsia="zh-CN"/>
        </w:rPr>
        <w:t>；</w:t>
      </w:r>
    </w:p>
    <w:p w14:paraId="59EB4653">
      <w:pPr>
        <w:pStyle w:val="7"/>
      </w:pPr>
    </w:p>
    <w:p w14:paraId="476B6EED">
      <w:pPr>
        <w:pStyle w:val="6"/>
        <w:ind w:left="210" w:leftChars="100" w:firstLine="781" w:firstLineChars="372"/>
        <w:rPr>
          <w:rFonts w:ascii="宋体" w:hAnsi="宋体"/>
          <w:szCs w:val="21"/>
        </w:rPr>
      </w:pP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4"/>
      <w:bookmarkEnd w:id="45"/>
    </w:p>
    <w:p w14:paraId="61F14CC8">
      <w:pPr>
        <w:rPr>
          <w:rFonts w:ascii="宋体" w:hAnsi="宋体"/>
          <w:color w:val="FF0000"/>
          <w:sz w:val="24"/>
        </w:rPr>
      </w:pPr>
    </w:p>
    <w:p w14:paraId="33613FF9">
      <w:pPr>
        <w:rPr>
          <w:rFonts w:ascii="宋体" w:hAnsi="宋体"/>
          <w:color w:val="FF0000"/>
          <w:sz w:val="24"/>
        </w:rPr>
      </w:pPr>
    </w:p>
    <w:p w14:paraId="62FF34CC">
      <w:pPr>
        <w:rPr>
          <w:rFonts w:ascii="宋体" w:hAnsi="宋体"/>
          <w:color w:val="FF0000"/>
          <w:sz w:val="24"/>
        </w:rPr>
      </w:pPr>
    </w:p>
    <w:p w14:paraId="286A54AC">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3"/>
        <w:jc w:val="center"/>
        <w:rPr>
          <w:rFonts w:ascii="黑体" w:eastAsia="黑体"/>
          <w:b w:val="0"/>
          <w:sz w:val="24"/>
        </w:rPr>
      </w:pPr>
      <w:r>
        <w:rPr>
          <w:rFonts w:hint="eastAsia" w:ascii="黑体" w:eastAsia="黑体"/>
          <w:b w:val="0"/>
          <w:sz w:val="24"/>
        </w:rPr>
        <w:t>一、投标函</w:t>
      </w:r>
    </w:p>
    <w:p w14:paraId="31C9F0A8">
      <w:pPr>
        <w:spacing w:line="360" w:lineRule="auto"/>
        <w:rPr>
          <w:rFonts w:ascii="宋体" w:hAnsi="宋体"/>
          <w:szCs w:val="21"/>
        </w:rPr>
      </w:pPr>
      <w:bookmarkStart w:id="48"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49" w:name="_Hlk73818812"/>
      <w:r>
        <w:rPr>
          <w:rFonts w:hint="eastAsia"/>
          <w:szCs w:val="21"/>
        </w:rPr>
        <w:t>1、根据已收到贵单位的项目编号为</w:t>
      </w:r>
      <w:r>
        <w:rPr>
          <w:rFonts w:hint="eastAsia"/>
          <w:szCs w:val="21"/>
          <w:u w:val="thick"/>
        </w:rPr>
        <w:t xml:space="preserve">    </w:t>
      </w:r>
      <w:r>
        <w:rPr>
          <w:rFonts w:hint="eastAsia"/>
          <w:sz w:val="21"/>
          <w:szCs w:val="21"/>
          <w:u w:val="thick"/>
        </w:rPr>
        <w:t xml:space="preserve"> BAZXCG-2025-000</w:t>
      </w:r>
      <w:r>
        <w:rPr>
          <w:rFonts w:hint="eastAsia"/>
          <w:sz w:val="21"/>
          <w:szCs w:val="21"/>
          <w:u w:val="thick"/>
          <w:lang w:val="en-US" w:eastAsia="zh-CN"/>
        </w:rPr>
        <w:t>61</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深圳市宝安区清平实验学校东校区课桌椅采购项目</w:t>
      </w:r>
      <w:r>
        <w:rPr>
          <w:rFonts w:hint="eastAsia"/>
          <w:sz w:val="21"/>
          <w:szCs w:val="21"/>
          <w:u w:val="thick"/>
        </w:rPr>
        <w:t xml:space="preserve"> </w:t>
      </w:r>
      <w:r>
        <w:rPr>
          <w:rFonts w:hint="eastAsia"/>
          <w:szCs w:val="21"/>
          <w:u w:val="thick"/>
        </w:rPr>
        <w:t xml:space="preserve"> </w:t>
      </w:r>
      <w:r>
        <w:rPr>
          <w:rFonts w:hint="eastAsia"/>
          <w:szCs w:val="21"/>
        </w:rPr>
        <w:t>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50" w:name="_Hlk72263588"/>
      <w:r>
        <w:rPr>
          <w:rFonts w:hint="eastAsia"/>
          <w:szCs w:val="21"/>
        </w:rPr>
        <w:t>愿意按照招标文件要求承包上述项目并修补其任何缺陷。</w:t>
      </w:r>
      <w:bookmarkEnd w:id="50"/>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51" w:name="_Hlk73819847"/>
      <w:r>
        <w:rPr>
          <w:rFonts w:hint="eastAsia" w:ascii="宋体" w:hAnsi="宋体"/>
          <w:szCs w:val="21"/>
        </w:rPr>
        <w:t>投标价格见</w:t>
      </w:r>
      <w:r>
        <w:rPr>
          <w:rFonts w:hint="eastAsia"/>
          <w:szCs w:val="21"/>
        </w:rPr>
        <w:t>投标书编制软件中《开标一览表》中填写的投标总价。</w:t>
      </w:r>
      <w:bookmarkEnd w:id="51"/>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9"/>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rFonts w:hint="eastAsia"/>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ascii="黑体" w:hAnsi="宋体" w:eastAsia="黑体"/>
        </w:rPr>
      </w:pPr>
    </w:p>
    <w:p w14:paraId="095E881B">
      <w:pPr>
        <w:rPr>
          <w:rFonts w:ascii="黑体" w:hAnsi="宋体" w:eastAsia="黑体"/>
        </w:rPr>
      </w:pPr>
    </w:p>
    <w:bookmarkEnd w:id="48"/>
    <w:p w14:paraId="6810F58E">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rPr>
          <w:rFonts w:ascii="宋体" w:hAnsi="宋体"/>
          <w:color w:val="FF0000"/>
          <w:szCs w:val="21"/>
        </w:rPr>
      </w:pPr>
      <w:bookmarkStart w:id="52"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3" w:name="_Hlk72587269"/>
      <w:bookmarkStart w:id="54"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3"/>
      <w:r>
        <w:rPr>
          <w:rFonts w:hint="eastAsia" w:ascii="宋体" w:hAnsi="宋体"/>
          <w:szCs w:val="21"/>
        </w:rPr>
        <w:t>。</w:t>
      </w:r>
    </w:p>
    <w:bookmarkEnd w:id="54"/>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2"/>
    <w:p w14:paraId="0EC491FC">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ind w:firstLine="645"/>
        <w:rPr>
          <w:rFonts w:ascii="宋体" w:hAnsi="宋体"/>
          <w:szCs w:val="21"/>
        </w:rPr>
      </w:pPr>
    </w:p>
    <w:p w14:paraId="401C4B70">
      <w:pPr>
        <w:rPr>
          <w:rFonts w:ascii="宋体"/>
          <w:b/>
          <w:szCs w:val="21"/>
        </w:rPr>
      </w:pPr>
    </w:p>
    <w:p w14:paraId="412AD627">
      <w:pPr>
        <w:ind w:firstLine="482" w:firstLineChars="200"/>
        <w:jc w:val="center"/>
        <w:rPr>
          <w:rFonts w:hAnsi="宋体"/>
          <w:b/>
          <w:bCs/>
          <w:sz w:val="24"/>
        </w:rPr>
      </w:pPr>
    </w:p>
    <w:p w14:paraId="56E503B6">
      <w:pPr>
        <w:pStyle w:val="3"/>
        <w:jc w:val="center"/>
        <w:rPr>
          <w:rFonts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ascii="黑体" w:hAnsi="宋体" w:eastAsia="黑体"/>
          <w:bCs/>
          <w:kern w:val="0"/>
          <w:sz w:val="24"/>
          <w:szCs w:val="32"/>
        </w:rPr>
      </w:pPr>
      <w:bookmarkStart w:id="55"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rPr>
          <w:b/>
          <w:bCs/>
          <w:sz w:val="24"/>
        </w:rPr>
      </w:pPr>
    </w:p>
    <w:bookmarkEnd w:id="55"/>
    <w:p w14:paraId="6CBAF581">
      <w:pPr>
        <w:ind w:firstLine="480" w:firstLineChars="200"/>
        <w:outlineLvl w:val="3"/>
        <w:rPr>
          <w:rFonts w:ascii="黑体" w:hAnsi="宋体" w:eastAsia="黑体"/>
          <w:bCs/>
          <w:kern w:val="0"/>
          <w:sz w:val="24"/>
          <w:szCs w:val="32"/>
        </w:rPr>
      </w:pPr>
      <w:bookmarkStart w:id="56" w:name="_Hlk72257908"/>
      <w:bookmarkStart w:id="57" w:name="_Hlk72259976"/>
      <w:r>
        <w:rPr>
          <w:rFonts w:hint="eastAsia" w:ascii="黑体" w:hAnsi="宋体" w:eastAsia="黑体"/>
          <w:bCs/>
          <w:kern w:val="0"/>
          <w:sz w:val="24"/>
          <w:szCs w:val="32"/>
        </w:rPr>
        <w:t>（二）中小企业声明函、残疾人福利性单位声明函及监狱企业声明函</w:t>
      </w:r>
    </w:p>
    <w:p w14:paraId="2FA131BB">
      <w:pPr>
        <w:jc w:val="left"/>
        <w:outlineLvl w:val="9"/>
        <w:rPr>
          <w:rFonts w:ascii="黑体" w:hAnsi="宋体" w:eastAsia="黑体"/>
          <w:bCs/>
          <w:kern w:val="0"/>
          <w:sz w:val="24"/>
          <w:szCs w:val="32"/>
        </w:rPr>
      </w:pPr>
    </w:p>
    <w:p w14:paraId="7DA78798">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14:paraId="61FB1B2A">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4F85821">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14:paraId="4829C49A">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0D8A198E">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10083715">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0EB3690B">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5431F3A5">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2B1CC2E9">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6FF9E5B7">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479BB8F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7E80D3E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78515235">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044E8676">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31E0FE9">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65A67B67">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3F4BD18">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0051DD2D">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702808AE">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3A32F060">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0568DE49">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0106CDB0">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627C6648">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62328B90">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761590C1">
      <w:pPr>
        <w:ind w:firstLine="420" w:firstLineChars="200"/>
      </w:pPr>
    </w:p>
    <w:p w14:paraId="438D4A7F">
      <w:pPr>
        <w:numPr>
          <w:ilvl w:val="0"/>
          <w:numId w:val="4"/>
        </w:numPr>
        <w:jc w:val="center"/>
        <w:outlineLvl w:val="9"/>
        <w:rPr>
          <w:b/>
          <w:sz w:val="24"/>
        </w:rPr>
      </w:pPr>
      <w:r>
        <w:rPr>
          <w:b/>
          <w:sz w:val="24"/>
        </w:rPr>
        <w:t>中小企业声明函（货物）</w:t>
      </w:r>
    </w:p>
    <w:p w14:paraId="0BBE3237">
      <w:pPr>
        <w:pStyle w:val="7"/>
        <w:widowControl w:val="0"/>
        <w:numPr>
          <w:ilvl w:val="0"/>
          <w:numId w:val="0"/>
        </w:numPr>
        <w:spacing w:line="360" w:lineRule="auto"/>
        <w:jc w:val="both"/>
      </w:pPr>
    </w:p>
    <w:p w14:paraId="391A479A">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6579328">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66C756AF">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1989B992">
      <w:pPr>
        <w:pStyle w:val="14"/>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34BF5CD6">
      <w:pPr>
        <w:pStyle w:val="14"/>
        <w:ind w:firstLine="420" w:firstLineChars="200"/>
        <w:rPr>
          <w:rFonts w:hint="eastAsia" w:asciiTheme="minorEastAsia" w:hAnsiTheme="minorEastAsia" w:eastAsiaTheme="minorEastAsia" w:cstheme="minorEastAsia"/>
          <w:sz w:val="21"/>
          <w:szCs w:val="21"/>
          <w:lang w:val="en-US" w:eastAsia="zh-CN"/>
        </w:rPr>
      </w:pPr>
    </w:p>
    <w:p w14:paraId="5EAC64A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315E2A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8"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76B49D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8"/>
    </w:p>
    <w:p w14:paraId="14250052">
      <w:pPr>
        <w:ind w:firstLine="420" w:firstLineChars="200"/>
        <w:outlineLvl w:val="9"/>
        <w:rPr>
          <w:rFonts w:ascii="宋体" w:hAnsi="宋体"/>
          <w:bCs/>
          <w:color w:val="FF0000"/>
          <w:kern w:val="0"/>
          <w:szCs w:val="21"/>
        </w:rPr>
      </w:pPr>
    </w:p>
    <w:p w14:paraId="2B612467"/>
    <w:p w14:paraId="0A608420">
      <w:pPr>
        <w:ind w:firstLine="420" w:firstLineChars="200"/>
      </w:pPr>
    </w:p>
    <w:p w14:paraId="0FC1817D">
      <w:pPr>
        <w:jc w:val="center"/>
        <w:outlineLvl w:val="9"/>
        <w:rPr>
          <w:b/>
          <w:sz w:val="24"/>
        </w:rPr>
      </w:pPr>
      <w:r>
        <w:rPr>
          <w:rFonts w:hint="eastAsia"/>
          <w:b/>
          <w:sz w:val="24"/>
        </w:rPr>
        <w:t>2、残疾人福利性单位声明函（货物类）</w:t>
      </w:r>
    </w:p>
    <w:p w14:paraId="2EBC0E7A">
      <w:pPr>
        <w:rPr>
          <w:b/>
          <w:bCs/>
        </w:rPr>
      </w:pPr>
    </w:p>
    <w:p w14:paraId="7A9D92F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9" w:name="_Hlk73562331"/>
      <w:bookmarkStart w:id="60"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27536A3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146733E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9"/>
    </w:p>
    <w:bookmarkEnd w:id="60"/>
    <w:p w14:paraId="58C12E52">
      <w:pPr>
        <w:ind w:firstLine="420" w:firstLineChars="200"/>
        <w:rPr>
          <w:rFonts w:ascii="宋体" w:hAnsi="宋体"/>
          <w:szCs w:val="21"/>
        </w:rPr>
      </w:pPr>
    </w:p>
    <w:p w14:paraId="50E54835">
      <w:pPr>
        <w:ind w:firstLine="420" w:firstLineChars="200"/>
        <w:rPr>
          <w:rFonts w:ascii="宋体" w:hAnsi="宋体"/>
          <w:szCs w:val="21"/>
        </w:rPr>
      </w:pPr>
    </w:p>
    <w:p w14:paraId="2490005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2E064A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B297E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66078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02D3F6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6E155F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3609EC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6"/>
    </w:p>
    <w:p w14:paraId="7A602B57">
      <w:pPr>
        <w:pStyle w:val="3"/>
        <w:jc w:val="center"/>
        <w:rPr>
          <w:rFonts w:ascii="黑体" w:eastAsia="黑体"/>
          <w:b w:val="0"/>
          <w:sz w:val="24"/>
          <w:szCs w:val="24"/>
        </w:rPr>
      </w:pPr>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7"/>
        <w:tblpPr w:leftFromText="180" w:rightFromText="180" w:vertAnchor="text" w:horzAnchor="page" w:tblpX="1804" w:tblpY="469"/>
        <w:tblOverlap w:val="never"/>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324"/>
        <w:gridCol w:w="788"/>
        <w:gridCol w:w="788"/>
        <w:gridCol w:w="584"/>
        <w:gridCol w:w="822"/>
        <w:gridCol w:w="580"/>
        <w:gridCol w:w="449"/>
        <w:gridCol w:w="799"/>
        <w:gridCol w:w="767"/>
        <w:gridCol w:w="1171"/>
      </w:tblGrid>
      <w:tr w14:paraId="56E5AAE0">
        <w:tblPrEx>
          <w:tblCellMar>
            <w:top w:w="0" w:type="dxa"/>
            <w:left w:w="108" w:type="dxa"/>
            <w:bottom w:w="0" w:type="dxa"/>
            <w:right w:w="108" w:type="dxa"/>
          </w:tblCellMar>
        </w:tblPrEx>
        <w:trPr>
          <w:trHeight w:val="0" w:hRule="atLeast"/>
        </w:trPr>
        <w:tc>
          <w:tcPr>
            <w:tcW w:w="262" w:type="pct"/>
            <w:vAlign w:val="center"/>
          </w:tcPr>
          <w:p w14:paraId="53648A39">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776" w:type="pct"/>
            <w:vAlign w:val="center"/>
          </w:tcPr>
          <w:p w14:paraId="4BB38AF4">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462" w:type="pct"/>
            <w:vAlign w:val="center"/>
          </w:tcPr>
          <w:p w14:paraId="247097BE">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462" w:type="pct"/>
            <w:vAlign w:val="center"/>
          </w:tcPr>
          <w:p w14:paraId="2D1A5EC6">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342" w:type="pct"/>
            <w:vAlign w:val="center"/>
          </w:tcPr>
          <w:p w14:paraId="321EC5BB">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482" w:type="pct"/>
            <w:vAlign w:val="center"/>
          </w:tcPr>
          <w:p w14:paraId="0AD3CC66">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340" w:type="pct"/>
            <w:vAlign w:val="center"/>
          </w:tcPr>
          <w:p w14:paraId="7DF58826">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263" w:type="pct"/>
            <w:vAlign w:val="center"/>
          </w:tcPr>
          <w:p w14:paraId="18F5D2A4">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468" w:type="pct"/>
            <w:vAlign w:val="center"/>
          </w:tcPr>
          <w:p w14:paraId="4DA185EF">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450" w:type="pct"/>
            <w:vAlign w:val="center"/>
          </w:tcPr>
          <w:p w14:paraId="01432F01">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687" w:type="pct"/>
            <w:vAlign w:val="center"/>
          </w:tcPr>
          <w:p w14:paraId="32ED6BF4">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3ED8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177F5210">
            <w:pPr>
              <w:jc w:val="center"/>
              <w:rPr>
                <w:rFonts w:ascii="Times New Roman" w:hAnsi="Times New Roman" w:eastAsia="宋体" w:cs="Times New Roman"/>
                <w:bCs/>
                <w:szCs w:val="21"/>
              </w:rPr>
            </w:pPr>
            <w:r>
              <w:rPr>
                <w:rFonts w:hint="eastAsia"/>
                <w:bCs/>
                <w:szCs w:val="21"/>
              </w:rPr>
              <w:t>1</w:t>
            </w:r>
          </w:p>
        </w:tc>
        <w:tc>
          <w:tcPr>
            <w:tcW w:w="776" w:type="pct"/>
            <w:vAlign w:val="center"/>
          </w:tcPr>
          <w:p w14:paraId="17696178">
            <w:pPr>
              <w:jc w:val="center"/>
              <w:rPr>
                <w:rFonts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升降课桌1</w:t>
            </w:r>
          </w:p>
        </w:tc>
        <w:tc>
          <w:tcPr>
            <w:tcW w:w="462" w:type="pct"/>
            <w:vAlign w:val="center"/>
          </w:tcPr>
          <w:p w14:paraId="656A516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200</w:t>
            </w:r>
          </w:p>
        </w:tc>
        <w:tc>
          <w:tcPr>
            <w:tcW w:w="462" w:type="pct"/>
            <w:vAlign w:val="center"/>
          </w:tcPr>
          <w:p w14:paraId="54E77931">
            <w:pPr>
              <w:jc w:val="center"/>
              <w:rPr>
                <w:rFonts w:ascii="Times New Roman" w:hAnsi="Times New Roman" w:eastAsia="宋体" w:cs="Times New Roman"/>
                <w:bCs/>
                <w:szCs w:val="21"/>
              </w:rPr>
            </w:pPr>
          </w:p>
        </w:tc>
        <w:tc>
          <w:tcPr>
            <w:tcW w:w="342" w:type="pct"/>
            <w:vAlign w:val="center"/>
          </w:tcPr>
          <w:p w14:paraId="4791B0C6">
            <w:pPr>
              <w:jc w:val="center"/>
              <w:rPr>
                <w:rFonts w:ascii="Times New Roman" w:hAnsi="Times New Roman" w:eastAsia="宋体" w:cs="Times New Roman"/>
                <w:bCs/>
                <w:szCs w:val="21"/>
              </w:rPr>
            </w:pPr>
          </w:p>
        </w:tc>
        <w:tc>
          <w:tcPr>
            <w:tcW w:w="482" w:type="pct"/>
            <w:vAlign w:val="center"/>
          </w:tcPr>
          <w:p w14:paraId="5691A15D">
            <w:pPr>
              <w:jc w:val="center"/>
              <w:rPr>
                <w:rFonts w:ascii="Times New Roman" w:hAnsi="Times New Roman" w:eastAsia="宋体" w:cs="Times New Roman"/>
                <w:bCs/>
                <w:szCs w:val="21"/>
              </w:rPr>
            </w:pPr>
          </w:p>
        </w:tc>
        <w:tc>
          <w:tcPr>
            <w:tcW w:w="340" w:type="pct"/>
            <w:vAlign w:val="center"/>
          </w:tcPr>
          <w:p w14:paraId="1E6AA7C7">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200</w:t>
            </w:r>
          </w:p>
        </w:tc>
        <w:tc>
          <w:tcPr>
            <w:tcW w:w="449" w:type="dxa"/>
            <w:vAlign w:val="center"/>
          </w:tcPr>
          <w:p w14:paraId="39DF1B4C">
            <w:pPr>
              <w:jc w:val="center"/>
              <w:rPr>
                <w:rFonts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张</w:t>
            </w:r>
          </w:p>
        </w:tc>
        <w:tc>
          <w:tcPr>
            <w:tcW w:w="468" w:type="pct"/>
            <w:vAlign w:val="center"/>
          </w:tcPr>
          <w:p w14:paraId="5708C525">
            <w:pPr>
              <w:jc w:val="center"/>
              <w:rPr>
                <w:rFonts w:ascii="Times New Roman" w:hAnsi="Times New Roman" w:eastAsia="宋体" w:cs="Times New Roman"/>
                <w:bCs/>
                <w:szCs w:val="21"/>
              </w:rPr>
            </w:pPr>
          </w:p>
        </w:tc>
        <w:tc>
          <w:tcPr>
            <w:tcW w:w="450" w:type="pct"/>
            <w:vAlign w:val="center"/>
          </w:tcPr>
          <w:p w14:paraId="5927074A">
            <w:pPr>
              <w:jc w:val="center"/>
              <w:rPr>
                <w:rFonts w:ascii="Times New Roman" w:hAnsi="Times New Roman" w:eastAsia="宋体" w:cs="Times New Roman"/>
                <w:bCs/>
                <w:szCs w:val="21"/>
              </w:rPr>
            </w:pPr>
          </w:p>
        </w:tc>
        <w:tc>
          <w:tcPr>
            <w:tcW w:w="687" w:type="pct"/>
            <w:vMerge w:val="restart"/>
            <w:vAlign w:val="center"/>
          </w:tcPr>
          <w:p w14:paraId="62E9C3E8">
            <w:pPr>
              <w:jc w:val="center"/>
              <w:rPr>
                <w:rFonts w:ascii="Times New Roman" w:hAnsi="Times New Roman" w:eastAsia="宋体" w:cs="Times New Roman"/>
                <w:b/>
                <w:bCs/>
                <w:szCs w:val="21"/>
              </w:rPr>
            </w:pPr>
            <w:r>
              <w:rPr>
                <w:rFonts w:hint="eastAsia" w:ascii="仿宋_GB2312" w:hAnsi="华文仿宋" w:eastAsia="仿宋_GB2312"/>
                <w:b/>
                <w:bCs/>
                <w:sz w:val="21"/>
                <w:szCs w:val="21"/>
                <w:lang w:val="en-US" w:eastAsia="zh-CN"/>
              </w:rPr>
              <w:t>243000.00</w:t>
            </w:r>
          </w:p>
        </w:tc>
      </w:tr>
      <w:tr w14:paraId="39C3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704790D6">
            <w:pPr>
              <w:jc w:val="center"/>
              <w:rPr>
                <w:rFonts w:hint="eastAsia" w:ascii="Times New Roman" w:hAnsi="Times New Roman" w:eastAsia="宋体" w:cs="Times New Roman"/>
                <w:bCs/>
                <w:szCs w:val="21"/>
              </w:rPr>
            </w:pPr>
            <w:r>
              <w:rPr>
                <w:rFonts w:hint="eastAsia"/>
                <w:bCs/>
                <w:szCs w:val="21"/>
              </w:rPr>
              <w:t>2</w:t>
            </w:r>
          </w:p>
        </w:tc>
        <w:tc>
          <w:tcPr>
            <w:tcW w:w="776" w:type="pct"/>
            <w:vAlign w:val="center"/>
          </w:tcPr>
          <w:p w14:paraId="2E6D8DBE">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升降课椅1</w:t>
            </w:r>
          </w:p>
        </w:tc>
        <w:tc>
          <w:tcPr>
            <w:tcW w:w="462" w:type="pct"/>
            <w:vAlign w:val="center"/>
          </w:tcPr>
          <w:p w14:paraId="5957306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200</w:t>
            </w:r>
          </w:p>
        </w:tc>
        <w:tc>
          <w:tcPr>
            <w:tcW w:w="462" w:type="pct"/>
            <w:vAlign w:val="center"/>
          </w:tcPr>
          <w:p w14:paraId="594FF0C7">
            <w:pPr>
              <w:jc w:val="center"/>
              <w:rPr>
                <w:rFonts w:ascii="Times New Roman" w:hAnsi="Times New Roman" w:eastAsia="宋体" w:cs="Times New Roman"/>
                <w:bCs/>
                <w:szCs w:val="21"/>
              </w:rPr>
            </w:pPr>
          </w:p>
        </w:tc>
        <w:tc>
          <w:tcPr>
            <w:tcW w:w="342" w:type="pct"/>
            <w:vAlign w:val="center"/>
          </w:tcPr>
          <w:p w14:paraId="0288CD39">
            <w:pPr>
              <w:jc w:val="center"/>
              <w:rPr>
                <w:rFonts w:ascii="Times New Roman" w:hAnsi="Times New Roman" w:eastAsia="宋体" w:cs="Times New Roman"/>
                <w:bCs/>
                <w:szCs w:val="21"/>
              </w:rPr>
            </w:pPr>
          </w:p>
        </w:tc>
        <w:tc>
          <w:tcPr>
            <w:tcW w:w="482" w:type="pct"/>
            <w:vAlign w:val="center"/>
          </w:tcPr>
          <w:p w14:paraId="5EFD66EF">
            <w:pPr>
              <w:jc w:val="center"/>
              <w:rPr>
                <w:rFonts w:ascii="Times New Roman" w:hAnsi="Times New Roman" w:eastAsia="宋体" w:cs="Times New Roman"/>
                <w:bCs/>
                <w:szCs w:val="21"/>
              </w:rPr>
            </w:pPr>
          </w:p>
        </w:tc>
        <w:tc>
          <w:tcPr>
            <w:tcW w:w="340" w:type="pct"/>
            <w:vAlign w:val="center"/>
          </w:tcPr>
          <w:p w14:paraId="00E1BCB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200</w:t>
            </w:r>
          </w:p>
        </w:tc>
        <w:tc>
          <w:tcPr>
            <w:tcW w:w="449" w:type="dxa"/>
            <w:vAlign w:val="center"/>
          </w:tcPr>
          <w:p w14:paraId="69216328">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张</w:t>
            </w:r>
          </w:p>
        </w:tc>
        <w:tc>
          <w:tcPr>
            <w:tcW w:w="468" w:type="pct"/>
            <w:vAlign w:val="center"/>
          </w:tcPr>
          <w:p w14:paraId="231513AB">
            <w:pPr>
              <w:jc w:val="center"/>
              <w:rPr>
                <w:rFonts w:ascii="Times New Roman" w:hAnsi="Times New Roman" w:eastAsia="宋体" w:cs="Times New Roman"/>
                <w:bCs/>
                <w:szCs w:val="21"/>
              </w:rPr>
            </w:pPr>
          </w:p>
        </w:tc>
        <w:tc>
          <w:tcPr>
            <w:tcW w:w="450" w:type="pct"/>
            <w:vAlign w:val="center"/>
          </w:tcPr>
          <w:p w14:paraId="6559D0EB">
            <w:pPr>
              <w:jc w:val="center"/>
              <w:rPr>
                <w:rFonts w:ascii="Times New Roman" w:hAnsi="Times New Roman" w:eastAsia="宋体" w:cs="Times New Roman"/>
                <w:bCs/>
                <w:szCs w:val="21"/>
              </w:rPr>
            </w:pPr>
          </w:p>
        </w:tc>
        <w:tc>
          <w:tcPr>
            <w:tcW w:w="687" w:type="pct"/>
            <w:vMerge w:val="continue"/>
            <w:vAlign w:val="center"/>
          </w:tcPr>
          <w:p w14:paraId="5A82788F">
            <w:pPr>
              <w:jc w:val="center"/>
              <w:rPr>
                <w:rFonts w:ascii="Times New Roman" w:hAnsi="Times New Roman" w:eastAsia="宋体" w:cs="Times New Roman"/>
                <w:b/>
                <w:bCs/>
                <w:color w:val="FF0000"/>
                <w:szCs w:val="21"/>
              </w:rPr>
            </w:pPr>
          </w:p>
        </w:tc>
      </w:tr>
      <w:tr w14:paraId="643E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1F3CB033">
            <w:pPr>
              <w:jc w:val="center"/>
              <w:rPr>
                <w:rFonts w:hint="eastAsia" w:ascii="Times New Roman" w:hAnsi="Times New Roman" w:eastAsia="宋体" w:cs="Times New Roman"/>
                <w:bCs/>
                <w:szCs w:val="21"/>
              </w:rPr>
            </w:pPr>
            <w:r>
              <w:rPr>
                <w:rFonts w:hint="eastAsia"/>
                <w:bCs/>
                <w:szCs w:val="21"/>
              </w:rPr>
              <w:t>3</w:t>
            </w:r>
          </w:p>
        </w:tc>
        <w:tc>
          <w:tcPr>
            <w:tcW w:w="776" w:type="pct"/>
            <w:vAlign w:val="center"/>
          </w:tcPr>
          <w:p w14:paraId="32346DCE">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升降课桌2</w:t>
            </w:r>
          </w:p>
        </w:tc>
        <w:tc>
          <w:tcPr>
            <w:tcW w:w="462" w:type="pct"/>
            <w:vAlign w:val="center"/>
          </w:tcPr>
          <w:p w14:paraId="23BAD17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250</w:t>
            </w:r>
          </w:p>
        </w:tc>
        <w:tc>
          <w:tcPr>
            <w:tcW w:w="462" w:type="pct"/>
            <w:vAlign w:val="center"/>
          </w:tcPr>
          <w:p w14:paraId="7CDB2A74">
            <w:pPr>
              <w:jc w:val="center"/>
              <w:rPr>
                <w:rFonts w:ascii="Times New Roman" w:hAnsi="Times New Roman" w:eastAsia="宋体" w:cs="Times New Roman"/>
                <w:bCs/>
                <w:szCs w:val="21"/>
              </w:rPr>
            </w:pPr>
          </w:p>
        </w:tc>
        <w:tc>
          <w:tcPr>
            <w:tcW w:w="342" w:type="pct"/>
            <w:vAlign w:val="center"/>
          </w:tcPr>
          <w:p w14:paraId="50394F83">
            <w:pPr>
              <w:jc w:val="center"/>
              <w:rPr>
                <w:rFonts w:ascii="Times New Roman" w:hAnsi="Times New Roman" w:eastAsia="宋体" w:cs="Times New Roman"/>
                <w:bCs/>
                <w:szCs w:val="21"/>
              </w:rPr>
            </w:pPr>
          </w:p>
        </w:tc>
        <w:tc>
          <w:tcPr>
            <w:tcW w:w="482" w:type="pct"/>
            <w:vAlign w:val="center"/>
          </w:tcPr>
          <w:p w14:paraId="1DA4E131">
            <w:pPr>
              <w:jc w:val="center"/>
              <w:rPr>
                <w:rFonts w:ascii="Times New Roman" w:hAnsi="Times New Roman" w:eastAsia="宋体" w:cs="Times New Roman"/>
                <w:bCs/>
                <w:szCs w:val="21"/>
              </w:rPr>
            </w:pPr>
          </w:p>
        </w:tc>
        <w:tc>
          <w:tcPr>
            <w:tcW w:w="340" w:type="pct"/>
            <w:vAlign w:val="center"/>
          </w:tcPr>
          <w:p w14:paraId="3F00313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250</w:t>
            </w:r>
          </w:p>
        </w:tc>
        <w:tc>
          <w:tcPr>
            <w:tcW w:w="449" w:type="dxa"/>
            <w:vAlign w:val="center"/>
          </w:tcPr>
          <w:p w14:paraId="732403FF">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张</w:t>
            </w:r>
          </w:p>
        </w:tc>
        <w:tc>
          <w:tcPr>
            <w:tcW w:w="468" w:type="pct"/>
            <w:vAlign w:val="center"/>
          </w:tcPr>
          <w:p w14:paraId="0E1CE3A9">
            <w:pPr>
              <w:jc w:val="center"/>
              <w:rPr>
                <w:rFonts w:ascii="Times New Roman" w:hAnsi="Times New Roman" w:eastAsia="宋体" w:cs="Times New Roman"/>
                <w:bCs/>
                <w:szCs w:val="21"/>
              </w:rPr>
            </w:pPr>
          </w:p>
        </w:tc>
        <w:tc>
          <w:tcPr>
            <w:tcW w:w="450" w:type="pct"/>
            <w:vAlign w:val="center"/>
          </w:tcPr>
          <w:p w14:paraId="725C36C1">
            <w:pPr>
              <w:jc w:val="center"/>
              <w:rPr>
                <w:rFonts w:ascii="Times New Roman" w:hAnsi="Times New Roman" w:eastAsia="宋体" w:cs="Times New Roman"/>
                <w:bCs/>
                <w:szCs w:val="21"/>
              </w:rPr>
            </w:pPr>
          </w:p>
        </w:tc>
        <w:tc>
          <w:tcPr>
            <w:tcW w:w="687" w:type="pct"/>
            <w:vMerge w:val="continue"/>
            <w:vAlign w:val="center"/>
          </w:tcPr>
          <w:p w14:paraId="1BDA1BF9">
            <w:pPr>
              <w:jc w:val="center"/>
              <w:rPr>
                <w:rFonts w:ascii="Times New Roman" w:hAnsi="Times New Roman" w:eastAsia="宋体" w:cs="Times New Roman"/>
                <w:b/>
                <w:bCs/>
                <w:color w:val="FF0000"/>
                <w:szCs w:val="21"/>
              </w:rPr>
            </w:pPr>
          </w:p>
        </w:tc>
      </w:tr>
      <w:tr w14:paraId="651D9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564EBAC1">
            <w:pPr>
              <w:jc w:val="center"/>
              <w:rPr>
                <w:rFonts w:hint="eastAsia" w:ascii="Times New Roman" w:hAnsi="Times New Roman" w:eastAsia="宋体" w:cs="Times New Roman"/>
                <w:bCs/>
                <w:szCs w:val="21"/>
              </w:rPr>
            </w:pPr>
            <w:r>
              <w:rPr>
                <w:rFonts w:hint="eastAsia"/>
                <w:bCs/>
                <w:szCs w:val="21"/>
              </w:rPr>
              <w:t>4</w:t>
            </w:r>
          </w:p>
        </w:tc>
        <w:tc>
          <w:tcPr>
            <w:tcW w:w="776" w:type="pct"/>
            <w:vAlign w:val="center"/>
          </w:tcPr>
          <w:p w14:paraId="2B8C0174">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升降课椅2</w:t>
            </w:r>
          </w:p>
        </w:tc>
        <w:tc>
          <w:tcPr>
            <w:tcW w:w="462" w:type="pct"/>
            <w:vAlign w:val="center"/>
          </w:tcPr>
          <w:p w14:paraId="0380344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250</w:t>
            </w:r>
          </w:p>
        </w:tc>
        <w:tc>
          <w:tcPr>
            <w:tcW w:w="462" w:type="pct"/>
            <w:vAlign w:val="center"/>
          </w:tcPr>
          <w:p w14:paraId="38638F5D">
            <w:pPr>
              <w:jc w:val="center"/>
              <w:rPr>
                <w:rFonts w:ascii="Times New Roman" w:hAnsi="Times New Roman" w:eastAsia="宋体" w:cs="Times New Roman"/>
                <w:bCs/>
                <w:szCs w:val="21"/>
              </w:rPr>
            </w:pPr>
          </w:p>
        </w:tc>
        <w:tc>
          <w:tcPr>
            <w:tcW w:w="342" w:type="pct"/>
            <w:vAlign w:val="center"/>
          </w:tcPr>
          <w:p w14:paraId="1EC00464">
            <w:pPr>
              <w:jc w:val="center"/>
              <w:rPr>
                <w:rFonts w:ascii="Times New Roman" w:hAnsi="Times New Roman" w:eastAsia="宋体" w:cs="Times New Roman"/>
                <w:bCs/>
                <w:szCs w:val="21"/>
              </w:rPr>
            </w:pPr>
          </w:p>
        </w:tc>
        <w:tc>
          <w:tcPr>
            <w:tcW w:w="482" w:type="pct"/>
            <w:vAlign w:val="center"/>
          </w:tcPr>
          <w:p w14:paraId="71E73CC5">
            <w:pPr>
              <w:jc w:val="center"/>
              <w:rPr>
                <w:rFonts w:ascii="Times New Roman" w:hAnsi="Times New Roman" w:eastAsia="宋体" w:cs="Times New Roman"/>
                <w:bCs/>
                <w:szCs w:val="21"/>
              </w:rPr>
            </w:pPr>
          </w:p>
        </w:tc>
        <w:tc>
          <w:tcPr>
            <w:tcW w:w="340" w:type="pct"/>
            <w:vAlign w:val="center"/>
          </w:tcPr>
          <w:p w14:paraId="0E3CC5B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250</w:t>
            </w:r>
          </w:p>
        </w:tc>
        <w:tc>
          <w:tcPr>
            <w:tcW w:w="449" w:type="dxa"/>
            <w:vAlign w:val="center"/>
          </w:tcPr>
          <w:p w14:paraId="352FF1AA">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张</w:t>
            </w:r>
          </w:p>
        </w:tc>
        <w:tc>
          <w:tcPr>
            <w:tcW w:w="468" w:type="pct"/>
            <w:vAlign w:val="center"/>
          </w:tcPr>
          <w:p w14:paraId="72BC86F5">
            <w:pPr>
              <w:jc w:val="center"/>
              <w:rPr>
                <w:rFonts w:ascii="Times New Roman" w:hAnsi="Times New Roman" w:eastAsia="宋体" w:cs="Times New Roman"/>
                <w:bCs/>
                <w:szCs w:val="21"/>
              </w:rPr>
            </w:pPr>
          </w:p>
        </w:tc>
        <w:tc>
          <w:tcPr>
            <w:tcW w:w="450" w:type="pct"/>
            <w:vAlign w:val="center"/>
          </w:tcPr>
          <w:p w14:paraId="129E2242">
            <w:pPr>
              <w:jc w:val="center"/>
              <w:rPr>
                <w:rFonts w:ascii="Times New Roman" w:hAnsi="Times New Roman" w:eastAsia="宋体" w:cs="Times New Roman"/>
                <w:bCs/>
                <w:szCs w:val="21"/>
              </w:rPr>
            </w:pPr>
          </w:p>
        </w:tc>
        <w:tc>
          <w:tcPr>
            <w:tcW w:w="687" w:type="pct"/>
            <w:vMerge w:val="continue"/>
            <w:vAlign w:val="center"/>
          </w:tcPr>
          <w:p w14:paraId="0117F2EF">
            <w:pPr>
              <w:jc w:val="center"/>
              <w:rPr>
                <w:rFonts w:ascii="Times New Roman" w:hAnsi="Times New Roman" w:eastAsia="宋体" w:cs="Times New Roman"/>
                <w:b/>
                <w:bCs/>
                <w:color w:val="FF0000"/>
                <w:szCs w:val="21"/>
              </w:rPr>
            </w:pPr>
          </w:p>
        </w:tc>
      </w:tr>
      <w:tr w14:paraId="5AD2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439000C8">
            <w:pPr>
              <w:jc w:val="center"/>
              <w:rPr>
                <w:rFonts w:hint="eastAsia" w:ascii="Times New Roman" w:hAnsi="Times New Roman" w:eastAsia="宋体" w:cs="Times New Roman"/>
                <w:bCs/>
                <w:szCs w:val="21"/>
              </w:rPr>
            </w:pPr>
            <w:r>
              <w:rPr>
                <w:rFonts w:hint="eastAsia"/>
                <w:bCs/>
                <w:szCs w:val="21"/>
              </w:rPr>
              <w:t>5</w:t>
            </w:r>
          </w:p>
        </w:tc>
        <w:tc>
          <w:tcPr>
            <w:tcW w:w="776" w:type="pct"/>
            <w:vAlign w:val="center"/>
          </w:tcPr>
          <w:p w14:paraId="16423554">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清洁剂</w:t>
            </w:r>
          </w:p>
        </w:tc>
        <w:tc>
          <w:tcPr>
            <w:tcW w:w="462" w:type="pct"/>
            <w:vAlign w:val="center"/>
          </w:tcPr>
          <w:p w14:paraId="29AD439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w:t>
            </w:r>
          </w:p>
        </w:tc>
        <w:tc>
          <w:tcPr>
            <w:tcW w:w="462" w:type="pct"/>
            <w:vAlign w:val="center"/>
          </w:tcPr>
          <w:p w14:paraId="4B7EC1A8">
            <w:pPr>
              <w:jc w:val="center"/>
              <w:rPr>
                <w:rFonts w:ascii="Times New Roman" w:hAnsi="Times New Roman" w:eastAsia="宋体" w:cs="Times New Roman"/>
                <w:bCs/>
                <w:szCs w:val="21"/>
              </w:rPr>
            </w:pPr>
          </w:p>
        </w:tc>
        <w:tc>
          <w:tcPr>
            <w:tcW w:w="342" w:type="pct"/>
            <w:vAlign w:val="center"/>
          </w:tcPr>
          <w:p w14:paraId="1C578462">
            <w:pPr>
              <w:jc w:val="center"/>
              <w:rPr>
                <w:rFonts w:ascii="Times New Roman" w:hAnsi="Times New Roman" w:eastAsia="宋体" w:cs="Times New Roman"/>
                <w:bCs/>
                <w:szCs w:val="21"/>
              </w:rPr>
            </w:pPr>
          </w:p>
        </w:tc>
        <w:tc>
          <w:tcPr>
            <w:tcW w:w="482" w:type="pct"/>
            <w:vAlign w:val="center"/>
          </w:tcPr>
          <w:p w14:paraId="17D59C39">
            <w:pPr>
              <w:jc w:val="center"/>
              <w:rPr>
                <w:rFonts w:ascii="Times New Roman" w:hAnsi="Times New Roman" w:eastAsia="宋体" w:cs="Times New Roman"/>
                <w:bCs/>
                <w:szCs w:val="21"/>
              </w:rPr>
            </w:pPr>
          </w:p>
        </w:tc>
        <w:tc>
          <w:tcPr>
            <w:tcW w:w="340" w:type="pct"/>
            <w:vAlign w:val="center"/>
          </w:tcPr>
          <w:p w14:paraId="7E21C72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w:t>
            </w:r>
          </w:p>
        </w:tc>
        <w:tc>
          <w:tcPr>
            <w:tcW w:w="449" w:type="dxa"/>
            <w:vAlign w:val="center"/>
          </w:tcPr>
          <w:p w14:paraId="5C98675A">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瓶</w:t>
            </w:r>
          </w:p>
        </w:tc>
        <w:tc>
          <w:tcPr>
            <w:tcW w:w="468" w:type="pct"/>
            <w:vAlign w:val="center"/>
          </w:tcPr>
          <w:p w14:paraId="284DEC33">
            <w:pPr>
              <w:jc w:val="center"/>
              <w:rPr>
                <w:rFonts w:ascii="Times New Roman" w:hAnsi="Times New Roman" w:eastAsia="宋体" w:cs="Times New Roman"/>
                <w:bCs/>
                <w:szCs w:val="21"/>
              </w:rPr>
            </w:pPr>
          </w:p>
        </w:tc>
        <w:tc>
          <w:tcPr>
            <w:tcW w:w="450" w:type="pct"/>
            <w:vAlign w:val="center"/>
          </w:tcPr>
          <w:p w14:paraId="0BA0DDD9">
            <w:pPr>
              <w:jc w:val="center"/>
              <w:rPr>
                <w:rFonts w:ascii="Times New Roman" w:hAnsi="Times New Roman" w:eastAsia="宋体" w:cs="Times New Roman"/>
                <w:bCs/>
                <w:szCs w:val="21"/>
              </w:rPr>
            </w:pPr>
          </w:p>
        </w:tc>
        <w:tc>
          <w:tcPr>
            <w:tcW w:w="687" w:type="pct"/>
            <w:vMerge w:val="continue"/>
            <w:vAlign w:val="center"/>
          </w:tcPr>
          <w:p w14:paraId="4AB98AE3">
            <w:pPr>
              <w:jc w:val="center"/>
              <w:rPr>
                <w:rFonts w:ascii="Times New Roman" w:hAnsi="Times New Roman" w:eastAsia="宋体" w:cs="Times New Roman"/>
                <w:b/>
                <w:bCs/>
                <w:color w:val="FF0000"/>
                <w:szCs w:val="21"/>
              </w:rPr>
            </w:pPr>
          </w:p>
        </w:tc>
      </w:tr>
      <w:tr w14:paraId="7236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11"/>
            <w:vAlign w:val="center"/>
          </w:tcPr>
          <w:p w14:paraId="61F6735F">
            <w:pPr>
              <w:jc w:val="center"/>
              <w:rPr>
                <w:rFonts w:ascii="Times New Roman" w:hAnsi="Times New Roman" w:eastAsia="宋体" w:cs="Times New Roman"/>
                <w:b/>
                <w:bCs/>
                <w:color w:val="FF0000"/>
                <w:szCs w:val="21"/>
              </w:rPr>
            </w:pPr>
            <w:r>
              <w:rPr>
                <w:rFonts w:hint="eastAsia" w:ascii="Times New Roman" w:hAnsi="Times New Roman" w:eastAsia="宋体" w:cs="Times New Roman"/>
                <w:bCs/>
                <w:szCs w:val="21"/>
              </w:rPr>
              <w:t>合计（即</w:t>
            </w:r>
            <w:r>
              <w:rPr>
                <w:rFonts w:hint="eastAsia" w:ascii="Times New Roman" w:hAnsi="Times New Roman" w:eastAsia="宋体" w:cs="Times New Roman"/>
                <w:bCs/>
                <w:szCs w:val="21"/>
                <w:highlight w:val="yellow"/>
                <w:lang w:eastAsia="zh-CN"/>
              </w:rPr>
              <w:t>投标（响应）</w:t>
            </w:r>
            <w:r>
              <w:rPr>
                <w:rFonts w:hint="eastAsia" w:ascii="Times New Roman" w:hAnsi="Times New Roman" w:eastAsia="宋体" w:cs="Times New Roman"/>
                <w:bCs/>
                <w:szCs w:val="21"/>
                <w:highlight w:val="yellow"/>
              </w:rPr>
              <w:t>总价</w:t>
            </w:r>
            <w:r>
              <w:rPr>
                <w:rFonts w:hint="eastAsia" w:ascii="Times New Roman" w:hAnsi="Times New Roman" w:eastAsia="宋体" w:cs="Times New Roman"/>
                <w:bCs/>
                <w:szCs w:val="21"/>
              </w:rPr>
              <w:t>；币种：人民币；单位：元） 小写：        大写：</w:t>
            </w:r>
          </w:p>
        </w:tc>
      </w:tr>
    </w:tbl>
    <w:p w14:paraId="08035FEF">
      <w:pPr>
        <w:ind w:firstLine="482" w:firstLineChars="200"/>
        <w:rPr>
          <w:rFonts w:hint="eastAsia" w:ascii="宋体" w:hAnsi="宋体"/>
          <w:b/>
          <w:sz w:val="24"/>
        </w:rPr>
      </w:pPr>
    </w:p>
    <w:p w14:paraId="7A6EE7B9">
      <w:pPr>
        <w:ind w:firstLine="482" w:firstLineChars="200"/>
        <w:rPr>
          <w:rFonts w:ascii="宋体" w:hAnsi="宋体"/>
          <w:b/>
          <w:sz w:val="24"/>
        </w:rPr>
      </w:pPr>
      <w:r>
        <w:rPr>
          <w:rFonts w:hint="eastAsia" w:ascii="宋体" w:hAnsi="宋体"/>
          <w:b/>
          <w:sz w:val="24"/>
        </w:rPr>
        <w:t>注：1.本表可按同样格式扩展。</w:t>
      </w:r>
    </w:p>
    <w:p w14:paraId="3A91E42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1"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1"/>
    </w:p>
    <w:p w14:paraId="68DDFD75">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ascii="宋体" w:hAnsi="宋体"/>
          <w:b/>
          <w:color w:val="FF0000"/>
          <w:sz w:val="24"/>
        </w:rPr>
      </w:pPr>
    </w:p>
    <w:p w14:paraId="51773417">
      <w:pPr>
        <w:ind w:firstLine="482" w:firstLineChars="200"/>
        <w:rPr>
          <w:rFonts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ascii="宋体" w:hAnsi="宋体"/>
          <w:b/>
          <w:color w:val="FF0000"/>
          <w:sz w:val="24"/>
        </w:rPr>
      </w:pPr>
    </w:p>
    <w:p w14:paraId="0194E18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ascii="宋体" w:hAnsi="宋体"/>
          <w:b/>
          <w:color w:val="FF0000"/>
          <w:sz w:val="24"/>
        </w:rPr>
      </w:pPr>
    </w:p>
    <w:p w14:paraId="5A6BDBE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ind w:firstLine="482" w:firstLineChars="200"/>
        <w:rPr>
          <w:rFonts w:ascii="宋体" w:hAnsi="宋体"/>
          <w:b/>
          <w:color w:val="FF0000"/>
          <w:sz w:val="24"/>
        </w:rPr>
      </w:pPr>
    </w:p>
    <w:p w14:paraId="78E112FC">
      <w:pPr>
        <w:ind w:firstLine="482" w:firstLineChars="200"/>
        <w:rPr>
          <w:rFonts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Ansi="宋体"/>
          <w:b/>
          <w:bCs/>
          <w:sz w:val="24"/>
        </w:rPr>
      </w:pPr>
    </w:p>
    <w:p w14:paraId="1875FBD1">
      <w:pPr>
        <w:ind w:firstLine="482" w:firstLineChars="200"/>
        <w:rPr>
          <w:rFonts w:hAnsi="宋体"/>
          <w:b/>
          <w:bCs/>
          <w:sz w:val="24"/>
        </w:rPr>
      </w:pPr>
    </w:p>
    <w:p w14:paraId="264D1301">
      <w:pPr>
        <w:tabs>
          <w:tab w:val="left" w:pos="720"/>
        </w:tabs>
        <w:jc w:val="center"/>
        <w:rPr>
          <w:b/>
          <w:sz w:val="24"/>
        </w:rPr>
      </w:pPr>
      <w:r>
        <w:rPr>
          <w:rFonts w:hint="eastAsia"/>
          <w:b/>
          <w:sz w:val="24"/>
        </w:rPr>
        <w:t>（四）</w:t>
      </w:r>
      <w:bookmarkStart w:id="62" w:name="_Hlk72073235"/>
      <w:r>
        <w:rPr>
          <w:rFonts w:hint="eastAsia"/>
          <w:b/>
          <w:sz w:val="24"/>
        </w:rPr>
        <w:t>投标人认为需要涉及的其他内容报价清单</w:t>
      </w:r>
      <w:bookmarkEnd w:id="62"/>
    </w:p>
    <w:p w14:paraId="77CC0BCE">
      <w:pPr>
        <w:rPr>
          <w:b/>
          <w:bCs/>
        </w:rPr>
      </w:pPr>
    </w:p>
    <w:p w14:paraId="35DDC2A3"/>
    <w:p w14:paraId="32F1FD17">
      <w:pPr>
        <w:pStyle w:val="3"/>
        <w:bidi w:val="0"/>
        <w:jc w:val="center"/>
        <w:rPr>
          <w:rFonts w:hint="eastAsia" w:ascii="黑体" w:hAnsi="宋体" w:eastAsia="黑体" w:cstheme="minorBidi"/>
          <w:b w:val="0"/>
          <w:bCs/>
          <w:kern w:val="2"/>
          <w:sz w:val="24"/>
          <w:szCs w:val="24"/>
          <w:lang w:val="en-US" w:eastAsia="zh-CN" w:bidi="ar-SA"/>
        </w:rPr>
      </w:pPr>
      <w:r>
        <w:rPr>
          <w:rFonts w:hint="eastAsia" w:ascii="黑体" w:hAnsi="宋体" w:cstheme="minorBidi"/>
          <w:b w:val="0"/>
          <w:bCs/>
          <w:kern w:val="2"/>
          <w:sz w:val="24"/>
          <w:szCs w:val="24"/>
          <w:lang w:val="en-US" w:eastAsia="zh-CN" w:bidi="ar-SA"/>
        </w:rPr>
        <w:t>五、</w:t>
      </w:r>
      <w:r>
        <w:rPr>
          <w:rFonts w:hint="eastAsia" w:ascii="黑体" w:hAnsi="宋体" w:eastAsia="黑体" w:cstheme="minorBidi"/>
          <w:b w:val="0"/>
          <w:bCs/>
          <w:kern w:val="2"/>
          <w:sz w:val="24"/>
          <w:szCs w:val="24"/>
          <w:lang w:val="en-US" w:eastAsia="zh-CN" w:bidi="ar-SA"/>
        </w:rPr>
        <w:t>同类业绩情况</w:t>
      </w:r>
    </w:p>
    <w:tbl>
      <w:tblPr>
        <w:tblStyle w:val="17"/>
        <w:tblpPr w:leftFromText="180" w:rightFromText="180" w:vertAnchor="text" w:horzAnchor="page" w:tblpX="2213" w:tblpY="175"/>
        <w:tblOverlap w:val="never"/>
        <w:tblW w:w="4906" w:type="pct"/>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108" w:type="dxa"/>
          <w:bottom w:w="0" w:type="dxa"/>
          <w:right w:w="108" w:type="dxa"/>
        </w:tblCellMar>
      </w:tblPr>
      <w:tblGrid>
        <w:gridCol w:w="737"/>
        <w:gridCol w:w="1703"/>
        <w:gridCol w:w="2101"/>
        <w:gridCol w:w="1227"/>
        <w:gridCol w:w="1279"/>
        <w:gridCol w:w="1322"/>
      </w:tblGrid>
      <w:tr w14:paraId="415565A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40" w:type="pct"/>
            <w:vAlign w:val="center"/>
          </w:tcPr>
          <w:p w14:paraId="10573E4C">
            <w:pPr>
              <w:snapToGrid w:val="0"/>
              <w:jc w:val="center"/>
              <w:rPr>
                <w:rFonts w:ascii="宋体" w:hAnsi="宋体" w:eastAsia="宋体" w:cs="Times New Roman"/>
                <w:b/>
                <w:sz w:val="24"/>
                <w:szCs w:val="24"/>
              </w:rPr>
            </w:pPr>
            <w:r>
              <w:rPr>
                <w:rFonts w:hint="eastAsia" w:ascii="宋体" w:hAnsi="宋体" w:eastAsia="宋体" w:cs="Times New Roman"/>
                <w:b/>
                <w:sz w:val="24"/>
                <w:szCs w:val="24"/>
              </w:rPr>
              <w:t>序号</w:t>
            </w:r>
          </w:p>
        </w:tc>
        <w:tc>
          <w:tcPr>
            <w:tcW w:w="1017" w:type="pct"/>
            <w:vAlign w:val="center"/>
          </w:tcPr>
          <w:p w14:paraId="52D578A5">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tc>
        <w:tc>
          <w:tcPr>
            <w:tcW w:w="1255" w:type="pct"/>
            <w:vAlign w:val="center"/>
          </w:tcPr>
          <w:p w14:paraId="713B1D1E">
            <w:pPr>
              <w:snapToGrid w:val="0"/>
              <w:jc w:val="center"/>
              <w:rPr>
                <w:rFonts w:ascii="宋体" w:hAnsi="宋体" w:eastAsia="宋体" w:cs="Times New Roman"/>
                <w:b/>
                <w:sz w:val="24"/>
                <w:szCs w:val="24"/>
              </w:rPr>
            </w:pPr>
            <w:r>
              <w:rPr>
                <w:rFonts w:hint="eastAsia" w:ascii="Arial" w:hAnsi="Arial" w:eastAsia="宋体" w:cs="Arial"/>
                <w:b/>
                <w:sz w:val="24"/>
                <w:szCs w:val="24"/>
              </w:rPr>
              <w:t>项目</w:t>
            </w:r>
            <w:r>
              <w:rPr>
                <w:rFonts w:hint="eastAsia" w:ascii="宋体" w:hAnsi="宋体" w:eastAsia="宋体" w:cs="Times New Roman"/>
                <w:b/>
                <w:sz w:val="24"/>
                <w:szCs w:val="24"/>
              </w:rPr>
              <w:t>名称</w:t>
            </w:r>
          </w:p>
        </w:tc>
        <w:tc>
          <w:tcPr>
            <w:tcW w:w="733" w:type="pct"/>
            <w:vAlign w:val="center"/>
          </w:tcPr>
          <w:p w14:paraId="52DC2F8B">
            <w:pPr>
              <w:snapToGrid w:val="0"/>
              <w:jc w:val="center"/>
              <w:rPr>
                <w:rFonts w:ascii="宋体" w:hAnsi="宋体" w:eastAsia="宋体" w:cs="Times New Roman"/>
                <w:b/>
                <w:sz w:val="24"/>
                <w:szCs w:val="24"/>
              </w:rPr>
            </w:pPr>
            <w:r>
              <w:rPr>
                <w:rFonts w:hint="eastAsia" w:ascii="宋体" w:hAnsi="宋体" w:eastAsia="宋体" w:cs="Times New Roman"/>
                <w:b/>
                <w:sz w:val="24"/>
                <w:szCs w:val="24"/>
              </w:rPr>
              <w:t>时间</w:t>
            </w:r>
          </w:p>
        </w:tc>
        <w:tc>
          <w:tcPr>
            <w:tcW w:w="764" w:type="pct"/>
            <w:vAlign w:val="center"/>
          </w:tcPr>
          <w:p w14:paraId="37898F88">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p w14:paraId="19CE32EB">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联系人</w:t>
            </w:r>
          </w:p>
        </w:tc>
        <w:tc>
          <w:tcPr>
            <w:tcW w:w="789" w:type="pct"/>
            <w:vAlign w:val="center"/>
          </w:tcPr>
          <w:p w14:paraId="27EC5648">
            <w:pPr>
              <w:snapToGrid w:val="0"/>
              <w:jc w:val="center"/>
              <w:rPr>
                <w:rFonts w:hint="eastAsia" w:ascii="宋体" w:hAnsi="宋体" w:eastAsia="宋体" w:cs="Times New Roman"/>
                <w:b/>
                <w:sz w:val="24"/>
                <w:szCs w:val="24"/>
                <w:lang w:eastAsia="zh-CN"/>
              </w:rPr>
            </w:pPr>
            <w:r>
              <w:rPr>
                <w:rFonts w:hint="eastAsia" w:ascii="宋体" w:hAnsi="宋体" w:eastAsia="宋体" w:cs="Times New Roman"/>
                <w:b/>
                <w:sz w:val="24"/>
                <w:szCs w:val="24"/>
              </w:rPr>
              <w:t>用户单位</w:t>
            </w:r>
          </w:p>
          <w:p w14:paraId="18C75655">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联系电话</w:t>
            </w:r>
          </w:p>
        </w:tc>
      </w:tr>
      <w:tr w14:paraId="35F3120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251025F7">
            <w:pPr>
              <w:spacing w:afterLines="25" w:line="300" w:lineRule="auto"/>
              <w:rPr>
                <w:rFonts w:ascii="宋体" w:hAnsi="宋体" w:eastAsia="宋体" w:cs="Arial"/>
                <w:sz w:val="24"/>
                <w:szCs w:val="24"/>
              </w:rPr>
            </w:pPr>
          </w:p>
        </w:tc>
        <w:tc>
          <w:tcPr>
            <w:tcW w:w="1017" w:type="pct"/>
          </w:tcPr>
          <w:p w14:paraId="31A2E996">
            <w:pPr>
              <w:spacing w:afterLines="25" w:line="300" w:lineRule="auto"/>
              <w:rPr>
                <w:rFonts w:ascii="宋体" w:hAnsi="宋体" w:eastAsia="宋体" w:cs="Arial"/>
                <w:sz w:val="24"/>
                <w:szCs w:val="24"/>
              </w:rPr>
            </w:pPr>
          </w:p>
        </w:tc>
        <w:tc>
          <w:tcPr>
            <w:tcW w:w="1255" w:type="pct"/>
          </w:tcPr>
          <w:p w14:paraId="4FA559FB">
            <w:pPr>
              <w:spacing w:afterLines="25" w:line="300" w:lineRule="auto"/>
              <w:rPr>
                <w:rFonts w:ascii="宋体" w:hAnsi="宋体" w:eastAsia="宋体" w:cs="Arial"/>
                <w:sz w:val="24"/>
                <w:szCs w:val="24"/>
              </w:rPr>
            </w:pPr>
          </w:p>
        </w:tc>
        <w:tc>
          <w:tcPr>
            <w:tcW w:w="733" w:type="pct"/>
          </w:tcPr>
          <w:p w14:paraId="192E7F2C">
            <w:pPr>
              <w:spacing w:afterLines="25" w:line="300" w:lineRule="auto"/>
              <w:rPr>
                <w:rFonts w:ascii="宋体" w:hAnsi="宋体" w:eastAsia="宋体" w:cs="Arial"/>
                <w:sz w:val="24"/>
                <w:szCs w:val="24"/>
              </w:rPr>
            </w:pPr>
          </w:p>
        </w:tc>
        <w:tc>
          <w:tcPr>
            <w:tcW w:w="764" w:type="pct"/>
          </w:tcPr>
          <w:p w14:paraId="22AAF149">
            <w:pPr>
              <w:spacing w:afterLines="25" w:line="300" w:lineRule="auto"/>
              <w:rPr>
                <w:rFonts w:ascii="宋体" w:hAnsi="宋体" w:eastAsia="宋体" w:cs="Arial"/>
                <w:sz w:val="24"/>
                <w:szCs w:val="24"/>
              </w:rPr>
            </w:pPr>
          </w:p>
        </w:tc>
        <w:tc>
          <w:tcPr>
            <w:tcW w:w="789" w:type="pct"/>
          </w:tcPr>
          <w:p w14:paraId="32BF8E91">
            <w:pPr>
              <w:spacing w:afterLines="25" w:line="300" w:lineRule="auto"/>
              <w:rPr>
                <w:rFonts w:ascii="宋体" w:hAnsi="宋体" w:eastAsia="宋体" w:cs="Arial"/>
                <w:sz w:val="24"/>
                <w:szCs w:val="24"/>
              </w:rPr>
            </w:pPr>
          </w:p>
        </w:tc>
      </w:tr>
      <w:tr w14:paraId="7DB7D06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0A284C29">
            <w:pPr>
              <w:spacing w:afterLines="25" w:line="300" w:lineRule="auto"/>
              <w:rPr>
                <w:rFonts w:ascii="宋体" w:hAnsi="宋体" w:eastAsia="宋体" w:cs="Arial"/>
                <w:sz w:val="24"/>
                <w:szCs w:val="24"/>
              </w:rPr>
            </w:pPr>
          </w:p>
        </w:tc>
        <w:tc>
          <w:tcPr>
            <w:tcW w:w="1017" w:type="pct"/>
          </w:tcPr>
          <w:p w14:paraId="30335F50">
            <w:pPr>
              <w:spacing w:afterLines="25" w:line="300" w:lineRule="auto"/>
              <w:rPr>
                <w:rFonts w:ascii="宋体" w:hAnsi="宋体" w:eastAsia="宋体" w:cs="Arial"/>
                <w:sz w:val="24"/>
                <w:szCs w:val="24"/>
              </w:rPr>
            </w:pPr>
          </w:p>
        </w:tc>
        <w:tc>
          <w:tcPr>
            <w:tcW w:w="1255" w:type="pct"/>
          </w:tcPr>
          <w:p w14:paraId="4539E2CA">
            <w:pPr>
              <w:spacing w:afterLines="25" w:line="300" w:lineRule="auto"/>
              <w:rPr>
                <w:rFonts w:ascii="宋体" w:hAnsi="宋体" w:eastAsia="宋体" w:cs="Arial"/>
                <w:sz w:val="24"/>
                <w:szCs w:val="24"/>
              </w:rPr>
            </w:pPr>
          </w:p>
        </w:tc>
        <w:tc>
          <w:tcPr>
            <w:tcW w:w="733" w:type="pct"/>
          </w:tcPr>
          <w:p w14:paraId="4BFBB59E">
            <w:pPr>
              <w:spacing w:afterLines="25" w:line="300" w:lineRule="auto"/>
              <w:rPr>
                <w:rFonts w:ascii="宋体" w:hAnsi="宋体" w:eastAsia="宋体" w:cs="Arial"/>
                <w:sz w:val="24"/>
                <w:szCs w:val="24"/>
              </w:rPr>
            </w:pPr>
          </w:p>
        </w:tc>
        <w:tc>
          <w:tcPr>
            <w:tcW w:w="764" w:type="pct"/>
          </w:tcPr>
          <w:p w14:paraId="0BD671E5">
            <w:pPr>
              <w:spacing w:afterLines="25" w:line="300" w:lineRule="auto"/>
              <w:rPr>
                <w:rFonts w:ascii="宋体" w:hAnsi="宋体" w:eastAsia="宋体" w:cs="Arial"/>
                <w:sz w:val="24"/>
                <w:szCs w:val="24"/>
              </w:rPr>
            </w:pPr>
          </w:p>
        </w:tc>
        <w:tc>
          <w:tcPr>
            <w:tcW w:w="789" w:type="pct"/>
          </w:tcPr>
          <w:p w14:paraId="71EF8928">
            <w:pPr>
              <w:spacing w:afterLines="25" w:line="300" w:lineRule="auto"/>
              <w:rPr>
                <w:rFonts w:ascii="宋体" w:hAnsi="宋体" w:eastAsia="宋体" w:cs="Arial"/>
                <w:sz w:val="24"/>
                <w:szCs w:val="24"/>
              </w:rPr>
            </w:pPr>
          </w:p>
        </w:tc>
      </w:tr>
      <w:tr w14:paraId="2C19CD8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0FBAD1A1">
            <w:pPr>
              <w:spacing w:afterLines="25" w:line="300" w:lineRule="auto"/>
              <w:rPr>
                <w:rFonts w:ascii="宋体" w:hAnsi="宋体" w:eastAsia="宋体" w:cs="Arial"/>
                <w:sz w:val="24"/>
                <w:szCs w:val="24"/>
              </w:rPr>
            </w:pPr>
          </w:p>
        </w:tc>
        <w:tc>
          <w:tcPr>
            <w:tcW w:w="1017" w:type="pct"/>
          </w:tcPr>
          <w:p w14:paraId="793218D5">
            <w:pPr>
              <w:spacing w:afterLines="25" w:line="300" w:lineRule="auto"/>
              <w:rPr>
                <w:rFonts w:ascii="宋体" w:hAnsi="宋体" w:eastAsia="宋体" w:cs="Arial"/>
                <w:sz w:val="24"/>
                <w:szCs w:val="24"/>
              </w:rPr>
            </w:pPr>
          </w:p>
        </w:tc>
        <w:tc>
          <w:tcPr>
            <w:tcW w:w="1255" w:type="pct"/>
          </w:tcPr>
          <w:p w14:paraId="22203686">
            <w:pPr>
              <w:spacing w:afterLines="25" w:line="300" w:lineRule="auto"/>
              <w:rPr>
                <w:rFonts w:ascii="宋体" w:hAnsi="宋体" w:eastAsia="宋体" w:cs="Arial"/>
                <w:sz w:val="24"/>
                <w:szCs w:val="24"/>
              </w:rPr>
            </w:pPr>
          </w:p>
        </w:tc>
        <w:tc>
          <w:tcPr>
            <w:tcW w:w="733" w:type="pct"/>
          </w:tcPr>
          <w:p w14:paraId="2925A5E8">
            <w:pPr>
              <w:spacing w:afterLines="25" w:line="300" w:lineRule="auto"/>
              <w:rPr>
                <w:rFonts w:ascii="宋体" w:hAnsi="宋体" w:eastAsia="宋体" w:cs="Arial"/>
                <w:sz w:val="24"/>
                <w:szCs w:val="24"/>
              </w:rPr>
            </w:pPr>
          </w:p>
        </w:tc>
        <w:tc>
          <w:tcPr>
            <w:tcW w:w="764" w:type="pct"/>
          </w:tcPr>
          <w:p w14:paraId="75C3D99D">
            <w:pPr>
              <w:spacing w:afterLines="25" w:line="300" w:lineRule="auto"/>
              <w:rPr>
                <w:rFonts w:ascii="宋体" w:hAnsi="宋体" w:eastAsia="宋体" w:cs="Arial"/>
                <w:sz w:val="24"/>
                <w:szCs w:val="24"/>
              </w:rPr>
            </w:pPr>
          </w:p>
        </w:tc>
        <w:tc>
          <w:tcPr>
            <w:tcW w:w="789" w:type="pct"/>
          </w:tcPr>
          <w:p w14:paraId="68C5C7ED">
            <w:pPr>
              <w:spacing w:afterLines="25" w:line="300" w:lineRule="auto"/>
              <w:rPr>
                <w:rFonts w:ascii="宋体" w:hAnsi="宋体" w:eastAsia="宋体" w:cs="Arial"/>
                <w:sz w:val="24"/>
                <w:szCs w:val="24"/>
              </w:rPr>
            </w:pPr>
          </w:p>
        </w:tc>
      </w:tr>
    </w:tbl>
    <w:p w14:paraId="37E78985">
      <w:pPr>
        <w:spacing w:line="300" w:lineRule="auto"/>
        <w:rPr>
          <w:rFonts w:hint="eastAsia" w:ascii="Arial" w:hAnsi="Arial" w:eastAsia="宋体" w:cs="Times New Roman"/>
          <w:sz w:val="24"/>
          <w:szCs w:val="24"/>
        </w:rPr>
      </w:pPr>
    </w:p>
    <w:p w14:paraId="174C9D82">
      <w:pPr>
        <w:spacing w:line="300" w:lineRule="auto"/>
        <w:rPr>
          <w:rFonts w:ascii="Arial" w:hAnsi="Arial" w:eastAsia="宋体" w:cs="Times New Roman"/>
          <w:sz w:val="24"/>
          <w:szCs w:val="24"/>
        </w:rPr>
      </w:pPr>
      <w:r>
        <w:rPr>
          <w:rFonts w:hint="eastAsia" w:ascii="Arial" w:hAnsi="Arial" w:eastAsia="宋体" w:cs="Times New Roman"/>
          <w:sz w:val="24"/>
          <w:szCs w:val="24"/>
        </w:rPr>
        <w:t>此表格式可根据评分准则要求进行调整，并将要求提供的证明材料扫描件附后。</w:t>
      </w:r>
    </w:p>
    <w:p w14:paraId="732310ED">
      <w:pPr>
        <w:spacing w:afterLines="25" w:line="300" w:lineRule="auto"/>
        <w:rPr>
          <w:rFonts w:ascii="Arial" w:hAnsi="Arial" w:eastAsia="宋体" w:cs="Times New Roman"/>
          <w:sz w:val="24"/>
          <w:szCs w:val="24"/>
        </w:rPr>
      </w:pPr>
    </w:p>
    <w:p w14:paraId="47CE5457">
      <w:pPr>
        <w:spacing w:afterLines="25" w:line="300" w:lineRule="auto"/>
        <w:rPr>
          <w:rFonts w:ascii="Arial" w:hAnsi="Arial" w:eastAsia="宋体" w:cs="Times New Roman"/>
          <w:sz w:val="24"/>
          <w:szCs w:val="24"/>
        </w:rPr>
      </w:pPr>
    </w:p>
    <w:p w14:paraId="3287FB45">
      <w:pPr>
        <w:pStyle w:val="3"/>
        <w:bidi w:val="0"/>
        <w:jc w:val="center"/>
        <w:rPr>
          <w:rFonts w:hint="eastAsia"/>
          <w:b w:val="0"/>
          <w:bCs w:val="0"/>
          <w:lang w:val="en-US" w:eastAsia="zh-CN"/>
        </w:rPr>
      </w:pPr>
      <w:r>
        <w:rPr>
          <w:rFonts w:hint="eastAsia" w:ascii="黑体" w:hAnsi="宋体" w:eastAsia="宋体" w:cstheme="minorBidi"/>
          <w:b w:val="0"/>
          <w:bCs/>
          <w:kern w:val="2"/>
          <w:sz w:val="24"/>
          <w:szCs w:val="24"/>
          <w:lang w:val="en-US" w:eastAsia="zh-CN" w:bidi="ar-SA"/>
        </w:rPr>
        <w:t>六、投标供应商认为需要加以说明的其他内容</w:t>
      </w:r>
    </w:p>
    <w:p w14:paraId="3E6DC62E"/>
    <w:p w14:paraId="3B5899DA">
      <w:pPr>
        <w:ind w:firstLine="723" w:firstLineChars="300"/>
        <w:rPr>
          <w:b/>
          <w:color w:val="FF0000"/>
          <w:sz w:val="24"/>
        </w:rPr>
      </w:pPr>
      <w:r>
        <w:rPr>
          <w:rFonts w:hint="eastAsia"/>
          <w:b/>
          <w:color w:val="FF0000"/>
          <w:sz w:val="24"/>
        </w:rPr>
        <w:t>（信息公开部分的内容到此为止！以下为信息不公开部分。）</w:t>
      </w:r>
    </w:p>
    <w:bookmarkEnd w:id="57"/>
    <w:p w14:paraId="00F0B4CB">
      <w:r>
        <w:br w:type="page"/>
      </w:r>
    </w:p>
    <w:p w14:paraId="55F154C2">
      <w:pPr>
        <w:outlineLvl w:val="1"/>
        <w:rPr>
          <w:rFonts w:ascii="宋体" w:hAnsi="宋体"/>
          <w:b/>
          <w:color w:val="FF0000"/>
          <w:sz w:val="28"/>
          <w:szCs w:val="28"/>
        </w:rPr>
      </w:pPr>
      <w:bookmarkStart w:id="63" w:name="_Hlk72260530"/>
      <w:r>
        <w:rPr>
          <w:rFonts w:hint="eastAsia" w:ascii="宋体" w:hAnsi="宋体"/>
          <w:b/>
          <w:color w:val="FF0000"/>
          <w:sz w:val="28"/>
          <w:szCs w:val="28"/>
        </w:rPr>
        <w:t>投标文件附件（信息不公开部分）</w:t>
      </w:r>
    </w:p>
    <w:p w14:paraId="0F918F8D">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0779F0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rPr>
          <w:rFonts w:hint="eastAsia" w:ascii="黑体" w:eastAsia="黑体"/>
          <w:b w:val="0"/>
          <w:sz w:val="24"/>
        </w:rPr>
      </w:pPr>
      <w:r>
        <w:rPr>
          <w:rFonts w:hint="eastAsia" w:ascii="黑体" w:eastAsia="黑体"/>
          <w:b w:val="0"/>
          <w:sz w:val="24"/>
        </w:rPr>
        <w:br w:type="page"/>
      </w:r>
    </w:p>
    <w:p w14:paraId="3459467B">
      <w:pPr>
        <w:pStyle w:val="3"/>
        <w:spacing w:before="120" w:after="120"/>
        <w:jc w:val="center"/>
        <w:rPr>
          <w:rFonts w:ascii="黑体" w:eastAsia="黑体"/>
          <w:b w:val="0"/>
          <w:sz w:val="24"/>
        </w:rPr>
      </w:pPr>
      <w:r>
        <w:rPr>
          <w:rFonts w:hint="eastAsia" w:ascii="黑体" w:eastAsia="黑体"/>
          <w:b w:val="0"/>
          <w:sz w:val="24"/>
        </w:rPr>
        <w:t>二、</w:t>
      </w:r>
      <w:bookmarkStart w:id="64" w:name="_Hlk72092499"/>
      <w:r>
        <w:rPr>
          <w:rFonts w:hint="eastAsia" w:ascii="黑体" w:eastAsia="黑体"/>
          <w:b w:val="0"/>
          <w:sz w:val="24"/>
        </w:rPr>
        <w:t>法定代表人（负责人）证明书</w:t>
      </w:r>
      <w:bookmarkEnd w:id="64"/>
    </w:p>
    <w:p w14:paraId="72B1773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numPr>
          <w:ilvl w:val="0"/>
          <w:numId w:val="5"/>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numPr>
          <w:ilvl w:val="0"/>
          <w:numId w:val="5"/>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numPr>
          <w:ilvl w:val="0"/>
          <w:numId w:val="5"/>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198AB21">
            <w:pPr>
              <w:jc w:val="center"/>
              <w:rPr>
                <w:rFonts w:hint="eastAsia"/>
                <w:lang w:val="en-US" w:eastAsia="zh-CN"/>
              </w:rPr>
            </w:pPr>
            <w:r>
              <w:rPr>
                <w:rFonts w:hint="eastAsia"/>
                <w:lang w:val="en-US" w:eastAsia="zh-CN"/>
              </w:rPr>
              <w:t>证件扫描件正面</w:t>
            </w:r>
          </w:p>
          <w:p w14:paraId="5EA26376">
            <w:pPr>
              <w:pStyle w:val="7"/>
              <w:jc w:val="center"/>
              <w:rPr>
                <w:rFonts w:hint="eastAsia"/>
                <w:lang w:val="en-US" w:eastAsia="zh-CN"/>
              </w:rPr>
            </w:pPr>
          </w:p>
          <w:p w14:paraId="1ABF9A11">
            <w:pPr>
              <w:pStyle w:val="14"/>
              <w:jc w:val="center"/>
              <w:rPr>
                <w:rFonts w:hint="default"/>
                <w:lang w:val="en-US" w:eastAsia="zh-CN"/>
              </w:rPr>
            </w:pPr>
          </w:p>
          <w:p w14:paraId="0AC45D52">
            <w:pPr>
              <w:pStyle w:val="14"/>
              <w:jc w:val="center"/>
              <w:rPr>
                <w:rFonts w:hint="default"/>
                <w:lang w:val="en-US" w:eastAsia="zh-CN"/>
              </w:rPr>
            </w:pPr>
          </w:p>
          <w:p w14:paraId="054A6F8D">
            <w:pPr>
              <w:pStyle w:val="14"/>
              <w:jc w:val="center"/>
              <w:rPr>
                <w:rFonts w:hint="default"/>
                <w:lang w:val="en-US" w:eastAsia="zh-CN"/>
              </w:rPr>
            </w:pPr>
          </w:p>
          <w:p w14:paraId="669058A6">
            <w:pPr>
              <w:pStyle w:val="14"/>
              <w:jc w:val="center"/>
              <w:rPr>
                <w:rFonts w:hint="default"/>
                <w:lang w:val="en-US" w:eastAsia="zh-CN"/>
              </w:rPr>
            </w:pPr>
          </w:p>
          <w:p w14:paraId="2AE9B887">
            <w:pPr>
              <w:pStyle w:val="14"/>
              <w:jc w:val="center"/>
              <w:rPr>
                <w:rFonts w:hint="default"/>
                <w:lang w:val="en-US" w:eastAsia="zh-CN"/>
              </w:rPr>
            </w:pPr>
          </w:p>
          <w:p w14:paraId="3CA4CF04">
            <w:pPr>
              <w:pStyle w:val="14"/>
              <w:jc w:val="center"/>
              <w:rPr>
                <w:rFonts w:hint="default"/>
                <w:lang w:val="en-US" w:eastAsia="zh-CN"/>
              </w:rPr>
            </w:pPr>
          </w:p>
        </w:tc>
        <w:tc>
          <w:tcPr>
            <w:tcW w:w="4265" w:type="dxa"/>
            <w:vAlign w:val="top"/>
          </w:tcPr>
          <w:p w14:paraId="2754C916">
            <w:pPr>
              <w:jc w:val="center"/>
              <w:rPr>
                <w:rFonts w:hint="eastAsia"/>
                <w:lang w:val="en-US" w:eastAsia="zh-CN"/>
              </w:rPr>
            </w:pPr>
            <w:r>
              <w:rPr>
                <w:rFonts w:hint="eastAsia"/>
                <w:lang w:val="en-US" w:eastAsia="zh-CN"/>
              </w:rPr>
              <w:t>证件扫描件反面</w:t>
            </w:r>
          </w:p>
          <w:p w14:paraId="1F6A0E57">
            <w:pPr>
              <w:pStyle w:val="7"/>
              <w:jc w:val="center"/>
              <w:rPr>
                <w:rFonts w:hint="eastAsia"/>
                <w:lang w:val="en-US" w:eastAsia="zh-CN"/>
              </w:rPr>
            </w:pPr>
          </w:p>
          <w:p w14:paraId="0243F9B2">
            <w:pPr>
              <w:pStyle w:val="14"/>
              <w:jc w:val="center"/>
              <w:rPr>
                <w:rFonts w:hint="eastAsia"/>
                <w:sz w:val="24"/>
                <w:vertAlign w:val="baseline"/>
                <w:lang w:val="en-US" w:eastAsia="zh-CN"/>
              </w:rPr>
            </w:pPr>
          </w:p>
        </w:tc>
      </w:tr>
    </w:tbl>
    <w:p w14:paraId="251DD46B">
      <w:pPr>
        <w:rPr>
          <w:sz w:val="24"/>
        </w:rPr>
      </w:pPr>
    </w:p>
    <w:p w14:paraId="1DEB0E7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rPr>
          <w:rFonts w:hint="eastAsia" w:ascii="黑体" w:eastAsia="黑体"/>
          <w:b w:val="0"/>
          <w:kern w:val="0"/>
          <w:sz w:val="24"/>
          <w:szCs w:val="24"/>
        </w:rPr>
      </w:pPr>
      <w:r>
        <w:rPr>
          <w:rFonts w:hint="eastAsia" w:ascii="黑体" w:eastAsia="黑体"/>
          <w:b w:val="0"/>
          <w:kern w:val="0"/>
          <w:sz w:val="24"/>
          <w:szCs w:val="24"/>
        </w:rPr>
        <w:br w:type="page"/>
      </w:r>
    </w:p>
    <w:p w14:paraId="2B4324F8">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szCs w:val="22"/>
        </w:rPr>
      </w:pPr>
    </w:p>
    <w:bookmarkEnd w:id="63"/>
    <w:p w14:paraId="531CD94E">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rFonts w:hint="eastAsia"/>
          <w:szCs w:val="21"/>
        </w:rPr>
      </w:pPr>
      <w:r>
        <w:rPr>
          <w:rFonts w:hint="eastAsia"/>
          <w:szCs w:val="21"/>
        </w:rPr>
        <w:t>代理人无转委托权，特此委托。</w:t>
      </w:r>
    </w:p>
    <w:p w14:paraId="1D51C199">
      <w:pPr>
        <w:spacing w:line="360" w:lineRule="auto"/>
        <w:ind w:firstLine="420" w:firstLineChars="200"/>
        <w:rPr>
          <w:rFonts w:hint="eastAsia"/>
          <w:szCs w:val="21"/>
        </w:rPr>
      </w:pPr>
    </w:p>
    <w:p w14:paraId="5BD8D3AB">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jc w:val="center"/>
              <w:rPr>
                <w:rFonts w:hint="eastAsia"/>
                <w:lang w:val="en-US" w:eastAsia="zh-CN"/>
              </w:rPr>
            </w:pPr>
            <w:r>
              <w:rPr>
                <w:rFonts w:hint="eastAsia" w:ascii="Times New Roman" w:eastAsia="宋体"/>
                <w:lang w:val="en-US" w:eastAsia="zh-CN"/>
              </w:rPr>
              <w:t>证件扫描件正面</w:t>
            </w:r>
          </w:p>
          <w:p w14:paraId="175DFC09">
            <w:pPr>
              <w:pStyle w:val="7"/>
              <w:jc w:val="center"/>
              <w:rPr>
                <w:rFonts w:hint="eastAsia"/>
                <w:lang w:val="en-US" w:eastAsia="zh-CN"/>
              </w:rPr>
            </w:pPr>
          </w:p>
          <w:p w14:paraId="55F9D637">
            <w:pPr>
              <w:pStyle w:val="14"/>
              <w:jc w:val="center"/>
              <w:rPr>
                <w:rFonts w:hint="default"/>
                <w:lang w:val="en-US" w:eastAsia="zh-CN"/>
              </w:rPr>
            </w:pPr>
          </w:p>
          <w:p w14:paraId="2E1CBD99">
            <w:pPr>
              <w:pStyle w:val="14"/>
              <w:jc w:val="center"/>
              <w:rPr>
                <w:rFonts w:hint="default"/>
                <w:lang w:val="en-US" w:eastAsia="zh-CN"/>
              </w:rPr>
            </w:pPr>
          </w:p>
          <w:p w14:paraId="77724F5B">
            <w:pPr>
              <w:pStyle w:val="14"/>
              <w:jc w:val="center"/>
              <w:rPr>
                <w:rFonts w:hint="default"/>
                <w:lang w:val="en-US" w:eastAsia="zh-CN"/>
              </w:rPr>
            </w:pPr>
          </w:p>
          <w:p w14:paraId="79E84714">
            <w:pPr>
              <w:pStyle w:val="14"/>
              <w:jc w:val="center"/>
              <w:rPr>
                <w:rFonts w:hint="default"/>
                <w:lang w:val="en-US" w:eastAsia="zh-CN"/>
              </w:rPr>
            </w:pPr>
          </w:p>
          <w:p w14:paraId="74E2C056">
            <w:pPr>
              <w:pStyle w:val="14"/>
              <w:jc w:val="center"/>
              <w:rPr>
                <w:rFonts w:hint="default"/>
                <w:lang w:val="en-US" w:eastAsia="zh-CN"/>
              </w:rPr>
            </w:pPr>
          </w:p>
          <w:p w14:paraId="479B8A42">
            <w:pPr>
              <w:pStyle w:val="14"/>
              <w:jc w:val="center"/>
              <w:rPr>
                <w:rFonts w:hint="default"/>
                <w:lang w:val="en-US" w:eastAsia="zh-CN"/>
              </w:rPr>
            </w:pPr>
          </w:p>
        </w:tc>
        <w:tc>
          <w:tcPr>
            <w:tcW w:w="4265" w:type="dxa"/>
            <w:vAlign w:val="top"/>
          </w:tcPr>
          <w:p w14:paraId="10E9A284">
            <w:pPr>
              <w:jc w:val="center"/>
              <w:rPr>
                <w:rFonts w:hint="eastAsia"/>
                <w:lang w:val="en-US" w:eastAsia="zh-CN"/>
              </w:rPr>
            </w:pPr>
            <w:r>
              <w:rPr>
                <w:rFonts w:hint="eastAsia" w:ascii="Times New Roman" w:eastAsia="宋体"/>
                <w:lang w:val="en-US" w:eastAsia="zh-CN"/>
              </w:rPr>
              <w:t>证件扫描件反面</w:t>
            </w:r>
          </w:p>
          <w:p w14:paraId="56C6002A">
            <w:pPr>
              <w:pStyle w:val="7"/>
              <w:jc w:val="center"/>
              <w:rPr>
                <w:rFonts w:hint="eastAsia"/>
                <w:lang w:val="en-US" w:eastAsia="zh-CN"/>
              </w:rPr>
            </w:pPr>
          </w:p>
          <w:p w14:paraId="2029252A">
            <w:pPr>
              <w:pStyle w:val="14"/>
              <w:jc w:val="center"/>
              <w:rPr>
                <w:rFonts w:hint="eastAsia"/>
                <w:sz w:val="24"/>
                <w:vertAlign w:val="baseline"/>
                <w:lang w:val="en-US" w:eastAsia="zh-CN"/>
              </w:rPr>
            </w:pPr>
          </w:p>
        </w:tc>
      </w:tr>
    </w:tbl>
    <w:p w14:paraId="2AF8262D">
      <w:pPr>
        <w:widowControl w:val="0"/>
        <w:jc w:val="both"/>
        <w:rPr>
          <w:rFonts w:hint="eastAsia" w:ascii="黑体" w:hAnsi="黑体" w:eastAsia="黑体" w:cs="黑体"/>
          <w:b/>
          <w:bCs/>
          <w:color w:val="auto"/>
          <w:kern w:val="2"/>
          <w:sz w:val="24"/>
          <w:szCs w:val="24"/>
          <w:u w:val="none"/>
          <w:lang w:val="en-US" w:eastAsia="zh-CN" w:bidi="ar-SA"/>
        </w:rPr>
      </w:pPr>
    </w:p>
    <w:p w14:paraId="6447D28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 w14:paraId="350C5C74">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8"/>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adjustRightInd w:val="0"/>
              <w:snapToGrid w:val="0"/>
              <w:spacing w:line="360" w:lineRule="auto"/>
              <w:jc w:val="center"/>
              <w:rPr>
                <w:rFonts w:ascii="宋体" w:hAnsi="宋体"/>
                <w:kern w:val="0"/>
                <w:szCs w:val="21"/>
              </w:rPr>
            </w:pPr>
            <w:bookmarkStart w:id="65" w:name="_Hlk72092651"/>
            <w:r>
              <w:rPr>
                <w:rFonts w:hint="eastAsia" w:ascii="宋体" w:hAnsi="宋体"/>
                <w:kern w:val="0"/>
                <w:szCs w:val="21"/>
              </w:rPr>
              <w:t>序号</w:t>
            </w:r>
          </w:p>
        </w:tc>
        <w:tc>
          <w:tcPr>
            <w:tcW w:w="2664" w:type="dxa"/>
            <w:vAlign w:val="center"/>
          </w:tcPr>
          <w:p w14:paraId="58736A78">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183CE4F5">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734AA0EB">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DD4E2D9">
            <w:pPr>
              <w:adjustRightInd w:val="0"/>
              <w:snapToGrid w:val="0"/>
              <w:spacing w:line="360" w:lineRule="auto"/>
              <w:jc w:val="center"/>
              <w:rPr>
                <w:rFonts w:ascii="宋体" w:hAnsi="宋体"/>
                <w:kern w:val="0"/>
                <w:szCs w:val="21"/>
              </w:rPr>
            </w:pPr>
            <w:r>
              <w:rPr>
                <w:rFonts w:hint="eastAsia"/>
              </w:rPr>
              <w:t>说明</w:t>
            </w:r>
          </w:p>
        </w:tc>
      </w:tr>
      <w:bookmarkEnd w:id="65"/>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10F7DC00">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16FBB242">
            <w:pPr>
              <w:adjustRightInd w:val="0"/>
              <w:snapToGrid w:val="0"/>
              <w:spacing w:line="360" w:lineRule="auto"/>
              <w:rPr>
                <w:rFonts w:ascii="宋体" w:hAnsi="宋体"/>
                <w:kern w:val="0"/>
                <w:szCs w:val="21"/>
              </w:rPr>
            </w:pPr>
          </w:p>
        </w:tc>
        <w:tc>
          <w:tcPr>
            <w:tcW w:w="1842" w:type="dxa"/>
          </w:tcPr>
          <w:p w14:paraId="3D05EF7B">
            <w:pPr>
              <w:adjustRightInd w:val="0"/>
              <w:snapToGrid w:val="0"/>
              <w:spacing w:line="360" w:lineRule="auto"/>
              <w:rPr>
                <w:rFonts w:ascii="宋体" w:hAnsi="宋体"/>
                <w:kern w:val="0"/>
                <w:szCs w:val="21"/>
              </w:rPr>
            </w:pPr>
          </w:p>
        </w:tc>
        <w:tc>
          <w:tcPr>
            <w:tcW w:w="1418" w:type="dxa"/>
          </w:tcPr>
          <w:p w14:paraId="5159FD1A">
            <w:pPr>
              <w:adjustRightInd w:val="0"/>
              <w:snapToGrid w:val="0"/>
              <w:spacing w:line="360" w:lineRule="auto"/>
              <w:rPr>
                <w:rFonts w:ascii="宋体" w:hAnsi="宋体"/>
                <w:kern w:val="0"/>
                <w:szCs w:val="21"/>
              </w:rPr>
            </w:pPr>
          </w:p>
        </w:tc>
      </w:tr>
    </w:tbl>
    <w:p w14:paraId="0716FC4B">
      <w:pPr>
        <w:ind w:firstLine="482" w:firstLineChars="200"/>
        <w:rPr>
          <w:b/>
          <w:sz w:val="24"/>
          <w:szCs w:val="22"/>
        </w:rPr>
      </w:pPr>
    </w:p>
    <w:p w14:paraId="5CC8FE31">
      <w:pPr>
        <w:ind w:firstLine="482" w:firstLineChars="200"/>
        <w:rPr>
          <w:b/>
          <w:sz w:val="24"/>
          <w:szCs w:val="22"/>
        </w:rPr>
      </w:pPr>
      <w:r>
        <w:rPr>
          <w:rFonts w:hint="eastAsia"/>
          <w:b/>
          <w:sz w:val="24"/>
          <w:szCs w:val="22"/>
        </w:rPr>
        <w:t>注：1.上表所列各项均为不可负偏离条款。</w:t>
      </w:r>
    </w:p>
    <w:p w14:paraId="26D24A7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8754"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72"/>
        <w:gridCol w:w="5446"/>
        <w:gridCol w:w="972"/>
        <w:gridCol w:w="710"/>
        <w:gridCol w:w="390"/>
      </w:tblGrid>
      <w:tr w14:paraId="12E7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64" w:type="dxa"/>
            <w:vAlign w:val="center"/>
          </w:tcPr>
          <w:p w14:paraId="1E045A89">
            <w:pPr>
              <w:jc w:val="center"/>
              <w:rPr>
                <w:color w:val="000000" w:themeColor="text1"/>
                <w:szCs w:val="21"/>
                <w14:textFill>
                  <w14:solidFill>
                    <w14:schemeClr w14:val="tx1"/>
                  </w14:solidFill>
                </w14:textFill>
              </w:rPr>
            </w:pPr>
            <w:r>
              <w:rPr>
                <w:rFonts w:hint="eastAsia"/>
                <w:sz w:val="24"/>
              </w:rPr>
              <w:t>序号</w:t>
            </w:r>
          </w:p>
        </w:tc>
        <w:tc>
          <w:tcPr>
            <w:tcW w:w="772" w:type="dxa"/>
            <w:vAlign w:val="center"/>
          </w:tcPr>
          <w:p w14:paraId="0AA9B39D">
            <w:pPr>
              <w:jc w:val="center"/>
              <w:rPr>
                <w:color w:val="000000" w:themeColor="text1"/>
                <w:szCs w:val="21"/>
                <w14:textFill>
                  <w14:solidFill>
                    <w14:schemeClr w14:val="tx1"/>
                  </w14:solidFill>
                </w14:textFill>
              </w:rPr>
            </w:pPr>
            <w:r>
              <w:rPr>
                <w:rFonts w:hint="eastAsia"/>
                <w:sz w:val="24"/>
              </w:rPr>
              <w:t>货物名称</w:t>
            </w:r>
          </w:p>
        </w:tc>
        <w:tc>
          <w:tcPr>
            <w:tcW w:w="5446" w:type="dxa"/>
            <w:vAlign w:val="center"/>
          </w:tcPr>
          <w:p w14:paraId="526E1349">
            <w:pPr>
              <w:jc w:val="center"/>
              <w:rPr>
                <w:color w:val="000000" w:themeColor="text1"/>
                <w:szCs w:val="21"/>
                <w14:textFill>
                  <w14:solidFill>
                    <w14:schemeClr w14:val="tx1"/>
                  </w14:solidFill>
                </w14:textFill>
              </w:rPr>
            </w:pPr>
            <w:r>
              <w:rPr>
                <w:rFonts w:hint="eastAsia"/>
                <w:sz w:val="24"/>
                <w:lang w:val="en-US" w:eastAsia="zh-CN"/>
              </w:rPr>
              <w:t>采购</w:t>
            </w:r>
            <w:r>
              <w:rPr>
                <w:rFonts w:hint="eastAsia"/>
                <w:sz w:val="24"/>
              </w:rPr>
              <w:t>技术要求</w:t>
            </w:r>
          </w:p>
        </w:tc>
        <w:tc>
          <w:tcPr>
            <w:tcW w:w="972" w:type="dxa"/>
            <w:vAlign w:val="center"/>
          </w:tcPr>
          <w:p w14:paraId="1E0CE353">
            <w:pPr>
              <w:jc w:val="center"/>
              <w:rPr>
                <w:rFonts w:hint="eastAsia" w:eastAsiaTheme="minorEastAsia"/>
                <w:color w:val="000000" w:themeColor="text1"/>
                <w:szCs w:val="21"/>
                <w:lang w:eastAsia="zh-CN"/>
                <w14:textFill>
                  <w14:solidFill>
                    <w14:schemeClr w14:val="tx1"/>
                  </w14:solidFill>
                </w14:textFill>
              </w:rPr>
            </w:pPr>
            <w:r>
              <w:rPr>
                <w:rFonts w:hint="eastAsia"/>
                <w:sz w:val="24"/>
                <w:lang w:eastAsia="zh-CN"/>
              </w:rPr>
              <w:t>技术响应情况</w:t>
            </w:r>
          </w:p>
        </w:tc>
        <w:tc>
          <w:tcPr>
            <w:tcW w:w="710" w:type="dxa"/>
            <w:vAlign w:val="center"/>
          </w:tcPr>
          <w:p w14:paraId="2CDCEA76">
            <w:pPr>
              <w:jc w:val="center"/>
              <w:rPr>
                <w:color w:val="000000" w:themeColor="text1"/>
                <w:szCs w:val="21"/>
                <w14:textFill>
                  <w14:solidFill>
                    <w14:schemeClr w14:val="tx1"/>
                  </w14:solidFill>
                </w14:textFill>
              </w:rPr>
            </w:pPr>
            <w:r>
              <w:rPr>
                <w:rFonts w:hint="eastAsia"/>
                <w:sz w:val="24"/>
              </w:rPr>
              <w:t>偏离情况</w:t>
            </w:r>
          </w:p>
        </w:tc>
        <w:tc>
          <w:tcPr>
            <w:tcW w:w="390" w:type="dxa"/>
            <w:vAlign w:val="center"/>
          </w:tcPr>
          <w:p w14:paraId="2B10FC6A">
            <w:pPr>
              <w:jc w:val="center"/>
              <w:rPr>
                <w:color w:val="000000" w:themeColor="text1"/>
                <w:szCs w:val="21"/>
                <w14:textFill>
                  <w14:solidFill>
                    <w14:schemeClr w14:val="tx1"/>
                  </w14:solidFill>
                </w14:textFill>
              </w:rPr>
            </w:pPr>
            <w:r>
              <w:rPr>
                <w:rFonts w:hint="eastAsia"/>
                <w:sz w:val="24"/>
              </w:rPr>
              <w:t>说明</w:t>
            </w:r>
          </w:p>
        </w:tc>
      </w:tr>
      <w:tr w14:paraId="6FF1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4B75A277">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Theme="majorEastAsia" w:hAnsiTheme="majorEastAsia" w:eastAsiaTheme="majorEastAsia" w:cstheme="majorEastAsia"/>
                <w:i w:val="0"/>
                <w:iCs w:val="0"/>
                <w:color w:val="000000"/>
                <w:kern w:val="0"/>
                <w:sz w:val="21"/>
                <w:szCs w:val="21"/>
                <w:u w:val="none"/>
                <w:lang w:val="en-US" w:eastAsia="zh-CN" w:bidi="ar"/>
              </w:rPr>
              <w:t>1</w:t>
            </w:r>
          </w:p>
        </w:tc>
        <w:tc>
          <w:tcPr>
            <w:tcW w:w="772" w:type="dxa"/>
            <w:vMerge w:val="restart"/>
            <w:vAlign w:val="center"/>
          </w:tcPr>
          <w:p w14:paraId="69DA4B22">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Theme="majorEastAsia" w:hAnsiTheme="majorEastAsia" w:eastAsiaTheme="majorEastAsia" w:cstheme="majorEastAsia"/>
                <w:i w:val="0"/>
                <w:iCs w:val="0"/>
                <w:color w:val="000000"/>
                <w:kern w:val="0"/>
                <w:sz w:val="21"/>
                <w:szCs w:val="21"/>
                <w:u w:val="none"/>
                <w:lang w:val="en-US" w:eastAsia="zh-CN" w:bidi="ar"/>
              </w:rPr>
              <w:t>升降课桌1</w:t>
            </w:r>
          </w:p>
        </w:tc>
        <w:tc>
          <w:tcPr>
            <w:tcW w:w="5446" w:type="dxa"/>
            <w:vAlign w:val="center"/>
          </w:tcPr>
          <w:p w14:paraId="38C3FCB7">
            <w:pPr>
              <w:keepNext w:val="0"/>
              <w:keepLines w:val="0"/>
              <w:widowControl/>
              <w:suppressLineNumbers w:val="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A.桌面</w:t>
            </w:r>
          </w:p>
        </w:tc>
        <w:tc>
          <w:tcPr>
            <w:tcW w:w="972" w:type="dxa"/>
          </w:tcPr>
          <w:p w14:paraId="05118937">
            <w:pPr>
              <w:rPr>
                <w:color w:val="000000" w:themeColor="text1"/>
                <w:szCs w:val="21"/>
                <w14:textFill>
                  <w14:solidFill>
                    <w14:schemeClr w14:val="tx1"/>
                  </w14:solidFill>
                </w14:textFill>
              </w:rPr>
            </w:pPr>
          </w:p>
        </w:tc>
        <w:tc>
          <w:tcPr>
            <w:tcW w:w="710" w:type="dxa"/>
          </w:tcPr>
          <w:p w14:paraId="7D3EFB2E">
            <w:pPr>
              <w:rPr>
                <w:color w:val="000000" w:themeColor="text1"/>
                <w:szCs w:val="21"/>
                <w14:textFill>
                  <w14:solidFill>
                    <w14:schemeClr w14:val="tx1"/>
                  </w14:solidFill>
                </w14:textFill>
              </w:rPr>
            </w:pPr>
          </w:p>
        </w:tc>
        <w:tc>
          <w:tcPr>
            <w:tcW w:w="390" w:type="dxa"/>
          </w:tcPr>
          <w:p w14:paraId="18891DD9">
            <w:pPr>
              <w:rPr>
                <w:color w:val="000000" w:themeColor="text1"/>
                <w:szCs w:val="21"/>
                <w14:textFill>
                  <w14:solidFill>
                    <w14:schemeClr w14:val="tx1"/>
                  </w14:solidFill>
                </w14:textFill>
              </w:rPr>
            </w:pPr>
          </w:p>
        </w:tc>
      </w:tr>
      <w:tr w14:paraId="05639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8B3C057">
            <w:pPr>
              <w:jc w:val="center"/>
              <w:rPr>
                <w:color w:val="000000" w:themeColor="text1"/>
                <w:szCs w:val="21"/>
                <w14:textFill>
                  <w14:solidFill>
                    <w14:schemeClr w14:val="tx1"/>
                  </w14:solidFill>
                </w14:textFill>
              </w:rPr>
            </w:pPr>
          </w:p>
        </w:tc>
        <w:tc>
          <w:tcPr>
            <w:tcW w:w="772" w:type="dxa"/>
            <w:vMerge w:val="continue"/>
            <w:vAlign w:val="center"/>
          </w:tcPr>
          <w:p w14:paraId="0EC1C551">
            <w:pPr>
              <w:jc w:val="center"/>
              <w:rPr>
                <w:rFonts w:hint="eastAsia"/>
                <w:color w:val="000000" w:themeColor="text1"/>
                <w:szCs w:val="21"/>
                <w14:textFill>
                  <w14:solidFill>
                    <w14:schemeClr w14:val="tx1"/>
                  </w14:solidFill>
                </w14:textFill>
              </w:rPr>
            </w:pPr>
          </w:p>
        </w:tc>
        <w:tc>
          <w:tcPr>
            <w:tcW w:w="5446" w:type="dxa"/>
            <w:vAlign w:val="center"/>
          </w:tcPr>
          <w:p w14:paraId="5A68F74A">
            <w:pPr>
              <w:keepNext w:val="0"/>
              <w:keepLines w:val="0"/>
              <w:widowControl/>
              <w:suppressLineNumbers w:val="0"/>
              <w:jc w:val="left"/>
              <w:textAlignment w:val="center"/>
              <w:rPr>
                <w:rFonts w:hint="eastAsia"/>
              </w:rPr>
            </w:pPr>
            <w:r>
              <w:rPr>
                <w:rStyle w:val="38"/>
                <w:rFonts w:hint="eastAsia" w:asciiTheme="majorEastAsia" w:hAnsiTheme="majorEastAsia" w:eastAsiaTheme="majorEastAsia" w:cstheme="majorEastAsia"/>
                <w:sz w:val="21"/>
                <w:szCs w:val="21"/>
                <w:lang w:val="en-US" w:eastAsia="zh-CN" w:bidi="ar"/>
              </w:rPr>
              <w:t>1.</w:t>
            </w:r>
            <w:r>
              <w:rPr>
                <w:rStyle w:val="39"/>
                <w:rFonts w:hint="eastAsia" w:asciiTheme="majorEastAsia" w:hAnsiTheme="majorEastAsia" w:eastAsiaTheme="majorEastAsia" w:cstheme="majorEastAsia"/>
                <w:sz w:val="21"/>
                <w:szCs w:val="21"/>
                <w:lang w:val="en-US" w:eastAsia="zh-CN" w:bidi="ar"/>
              </w:rPr>
              <w:t>材质：ABS塑胶（塑料）一体注射成型。</w:t>
            </w:r>
          </w:p>
        </w:tc>
        <w:tc>
          <w:tcPr>
            <w:tcW w:w="972" w:type="dxa"/>
          </w:tcPr>
          <w:p w14:paraId="7109546C">
            <w:pPr>
              <w:rPr>
                <w:color w:val="000000" w:themeColor="text1"/>
                <w:szCs w:val="21"/>
                <w14:textFill>
                  <w14:solidFill>
                    <w14:schemeClr w14:val="tx1"/>
                  </w14:solidFill>
                </w14:textFill>
              </w:rPr>
            </w:pPr>
          </w:p>
        </w:tc>
        <w:tc>
          <w:tcPr>
            <w:tcW w:w="710" w:type="dxa"/>
          </w:tcPr>
          <w:p w14:paraId="37E572A0">
            <w:pPr>
              <w:rPr>
                <w:color w:val="000000" w:themeColor="text1"/>
                <w:szCs w:val="21"/>
                <w14:textFill>
                  <w14:solidFill>
                    <w14:schemeClr w14:val="tx1"/>
                  </w14:solidFill>
                </w14:textFill>
              </w:rPr>
            </w:pPr>
          </w:p>
        </w:tc>
        <w:tc>
          <w:tcPr>
            <w:tcW w:w="390" w:type="dxa"/>
          </w:tcPr>
          <w:p w14:paraId="0960D90A">
            <w:pPr>
              <w:rPr>
                <w:color w:val="000000" w:themeColor="text1"/>
                <w:szCs w:val="21"/>
                <w14:textFill>
                  <w14:solidFill>
                    <w14:schemeClr w14:val="tx1"/>
                  </w14:solidFill>
                </w14:textFill>
              </w:rPr>
            </w:pPr>
          </w:p>
        </w:tc>
      </w:tr>
      <w:tr w14:paraId="63013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6283104">
            <w:pPr>
              <w:jc w:val="center"/>
              <w:rPr>
                <w:color w:val="000000" w:themeColor="text1"/>
                <w:szCs w:val="21"/>
                <w14:textFill>
                  <w14:solidFill>
                    <w14:schemeClr w14:val="tx1"/>
                  </w14:solidFill>
                </w14:textFill>
              </w:rPr>
            </w:pPr>
          </w:p>
        </w:tc>
        <w:tc>
          <w:tcPr>
            <w:tcW w:w="772" w:type="dxa"/>
            <w:vMerge w:val="continue"/>
            <w:vAlign w:val="center"/>
          </w:tcPr>
          <w:p w14:paraId="68329CB5">
            <w:pPr>
              <w:jc w:val="center"/>
              <w:rPr>
                <w:rFonts w:hint="eastAsia"/>
                <w:color w:val="000000" w:themeColor="text1"/>
                <w:szCs w:val="21"/>
                <w14:textFill>
                  <w14:solidFill>
                    <w14:schemeClr w14:val="tx1"/>
                  </w14:solidFill>
                </w14:textFill>
              </w:rPr>
            </w:pPr>
          </w:p>
        </w:tc>
        <w:tc>
          <w:tcPr>
            <w:tcW w:w="5446" w:type="dxa"/>
            <w:vAlign w:val="center"/>
          </w:tcPr>
          <w:p w14:paraId="1CE2E7DB">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auto"/>
                <w:kern w:val="0"/>
                <w:sz w:val="21"/>
                <w:szCs w:val="21"/>
                <w:highlight w:val="none"/>
                <w:u w:val="none"/>
                <w:lang w:val="en-US" w:eastAsia="zh-CN" w:bidi="ar"/>
              </w:rPr>
              <w:t>2.</w:t>
            </w:r>
            <w:r>
              <w:rPr>
                <w:rStyle w:val="40"/>
                <w:rFonts w:hint="eastAsia" w:asciiTheme="majorEastAsia" w:hAnsiTheme="majorEastAsia" w:eastAsiaTheme="majorEastAsia" w:cstheme="majorEastAsia"/>
                <w:color w:val="auto"/>
                <w:sz w:val="21"/>
                <w:szCs w:val="21"/>
                <w:highlight w:val="none"/>
                <w:lang w:val="en-US" w:eastAsia="zh-CN" w:bidi="ar"/>
              </w:rPr>
              <w:t>▲ABS塑料（塑胶）检验：【洛氏硬度(HRR)：≥90），测试方法GB/T 3398.2-2008】；【表面电阻率≥1.0x10</w:t>
            </w:r>
            <w:r>
              <w:rPr>
                <w:rStyle w:val="41"/>
                <w:rFonts w:hint="eastAsia" w:asciiTheme="majorEastAsia" w:hAnsiTheme="majorEastAsia" w:eastAsiaTheme="majorEastAsia" w:cstheme="majorEastAsia"/>
                <w:color w:val="auto"/>
                <w:sz w:val="21"/>
                <w:szCs w:val="21"/>
                <w:highlight w:val="none"/>
                <w:lang w:val="en-US" w:eastAsia="zh-CN" w:bidi="ar"/>
              </w:rPr>
              <w:t>12</w:t>
            </w:r>
            <w:r>
              <w:rPr>
                <w:rStyle w:val="40"/>
                <w:rFonts w:hint="eastAsia" w:asciiTheme="majorEastAsia" w:hAnsiTheme="majorEastAsia" w:eastAsiaTheme="majorEastAsia" w:cstheme="majorEastAsia"/>
                <w:color w:val="auto"/>
                <w:sz w:val="21"/>
                <w:szCs w:val="21"/>
                <w:highlight w:val="none"/>
                <w:lang w:val="en-US" w:eastAsia="zh-CN" w:bidi="ar"/>
              </w:rPr>
              <w:t>Ω，测试方法GB/T 31838.3-2019】；【拉伸强度（试验速度：50mm/min）≥40MPa；拉伸断裂伸长率（试验速度：50mm/min）≥1.0%；测试方法GB/T 1040.2-2022】；【简支梁缺口冲击强度：≥10KJ∕㎡</w:t>
            </w:r>
            <w:r>
              <w:rPr>
                <w:rStyle w:val="41"/>
                <w:rFonts w:hint="eastAsia" w:asciiTheme="majorEastAsia" w:hAnsiTheme="majorEastAsia" w:eastAsiaTheme="majorEastAsia" w:cstheme="majorEastAsia"/>
                <w:color w:val="auto"/>
                <w:sz w:val="21"/>
                <w:szCs w:val="21"/>
                <w:highlight w:val="none"/>
                <w:lang w:val="en-US" w:eastAsia="zh-CN" w:bidi="ar"/>
              </w:rPr>
              <w:t xml:space="preserve"> </w:t>
            </w:r>
            <w:r>
              <w:rPr>
                <w:rStyle w:val="40"/>
                <w:rFonts w:hint="eastAsia" w:asciiTheme="majorEastAsia" w:hAnsiTheme="majorEastAsia" w:eastAsiaTheme="majorEastAsia" w:cstheme="majorEastAsia"/>
                <w:color w:val="auto"/>
                <w:sz w:val="21"/>
                <w:szCs w:val="21"/>
                <w:highlight w:val="none"/>
                <w:lang w:val="en-US" w:eastAsia="zh-CN" w:bidi="ar"/>
              </w:rPr>
              <w:t>，测试方法GB/T 1043.1-2008】；【耐磨性(CS-17，750g，100r)≤0.01g，测试方法GB/T 5478-2008】；【热老化（60℃，100h）无龟裂、鼓泡现象，测试方法GB/T 7141-2008】；【盐雾老化（中性盐雾，100h）无锈蚀现象，测试方法GB/T 10125-2021】；【荧光紫外灯老化（100h</w:t>
            </w:r>
            <w:r>
              <w:rPr>
                <w:rStyle w:val="41"/>
                <w:rFonts w:hint="eastAsia" w:asciiTheme="majorEastAsia" w:hAnsiTheme="majorEastAsia" w:eastAsiaTheme="majorEastAsia" w:cstheme="majorEastAsia"/>
                <w:color w:val="auto"/>
                <w:sz w:val="21"/>
                <w:szCs w:val="21"/>
                <w:highlight w:val="none"/>
                <w:lang w:val="en-US" w:eastAsia="zh-CN" w:bidi="ar"/>
              </w:rPr>
              <w:t>1</w:t>
            </w:r>
            <w:r>
              <w:rPr>
                <w:rStyle w:val="40"/>
                <w:rFonts w:hint="eastAsia" w:asciiTheme="majorEastAsia" w:hAnsiTheme="majorEastAsia" w:eastAsiaTheme="majorEastAsia" w:cstheme="majorEastAsia"/>
                <w:color w:val="auto"/>
                <w:sz w:val="21"/>
                <w:szCs w:val="21"/>
                <w:highlight w:val="none"/>
                <w:lang w:val="en-US" w:eastAsia="zh-CN" w:bidi="ar"/>
              </w:rPr>
              <w:t>）（拉伸强度保持率≥60%、断裂伸长率保持率≥60%、外观变色评级≥3级），测试方法GB/T 16422.3-2022、GB/T 1040.2-2022、GB/T 250-2008】；【氧化诱导温度≥200℃，检测方法GB/T 19466.6-2009】；【熔融温度≥100℃，检测方法GB/T 19466.3-2004】；【结晶温度≥100℃，检测方法GB/T 19466.3-2004】；【热焓≥10kJ/kg，检测方法GB/T 19466.3-2004】；【苯酚不得检出，双酚A不得检出，检测方法SN/T 2407-2009】；【增塑剂，不得检出邻苯二甲酸二(2-乙基)己酯增塑剂，检测方法GB/T 37866-2019、GB/T 22048-2022】；【可分解芳香胺染料含量：邻甲苯胺≤5mg/kg；2,4-二甲基苯胺≤5mg/kg；2,6-二甲基苯胺≤5mg/kg；邻氨基苯甲醚≤5mg/kg；对氯苯胺≤5mg/kg；2-甲氧基-5-甲基苯胺≤5mg/kg；2,4,5-三甲基苯胺≤5mg/kg；4-氯邻甲苯胺≤5mg/kg；2,4-二氨基甲苯≤5mg/kg；2,4-二氨基苯甲醚≤5mg/kg；2-萘胺≤5mg/kg；5-硝基-邻甲苯胺≤5mg/kg；4-氨基联苯≤5mg/kg；4-氨基偶氮苯≤5mg/kg；4,4’-二氨基二苯醚≤5mg/kg；联苯胺≤5mg/kg；4,4’-二氨基二苯甲烷≤5mg/kg；邻氨基偶氮甲苯≤5mg/kg；3,3’-二甲基-4,4’-二氨基二苯甲烷≤5mg/kg；3,3’-二甲基联苯胺≤5mg/kg；4,4’-二氨基二苯硫醚≤5mg/kg；3,3’-二氯联苯胺≤5mg/kg；4,4’-亚甲基-二-(2-氯苯胺)≤5mg/kg；3,3’-二甲氧基联苯胺≤5mg/kg，检测方法GB/T 37866-2019】。</w:t>
            </w:r>
            <w:r>
              <w:rPr>
                <w:rStyle w:val="40"/>
                <w:rFonts w:hint="eastAsia" w:asciiTheme="majorEastAsia" w:hAnsiTheme="majorEastAsia" w:eastAsiaTheme="majorEastAsia" w:cstheme="majorEastAsia"/>
                <w:b/>
                <w:bCs/>
                <w:color w:val="auto"/>
                <w:sz w:val="21"/>
                <w:szCs w:val="21"/>
                <w:highlight w:val="none"/>
                <w:lang w:val="en-US" w:eastAsia="zh-CN" w:bidi="ar"/>
              </w:rPr>
              <w:t>单项判定均为合格</w:t>
            </w:r>
            <w:r>
              <w:rPr>
                <w:rStyle w:val="40"/>
                <w:rFonts w:hint="eastAsia" w:asciiTheme="majorEastAsia" w:hAnsiTheme="majorEastAsia" w:eastAsiaTheme="majorEastAsia" w:cstheme="majorEastAsia"/>
                <w:color w:val="auto"/>
                <w:sz w:val="21"/>
                <w:szCs w:val="21"/>
                <w:highlight w:val="none"/>
                <w:lang w:val="en-US" w:eastAsia="zh-CN" w:bidi="ar"/>
              </w:rPr>
              <w:t>。</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7D8F3E64">
            <w:pPr>
              <w:rPr>
                <w:color w:val="000000" w:themeColor="text1"/>
                <w:szCs w:val="21"/>
                <w14:textFill>
                  <w14:solidFill>
                    <w14:schemeClr w14:val="tx1"/>
                  </w14:solidFill>
                </w14:textFill>
              </w:rPr>
            </w:pPr>
          </w:p>
        </w:tc>
        <w:tc>
          <w:tcPr>
            <w:tcW w:w="710" w:type="dxa"/>
          </w:tcPr>
          <w:p w14:paraId="087E830C">
            <w:pPr>
              <w:rPr>
                <w:color w:val="000000" w:themeColor="text1"/>
                <w:szCs w:val="21"/>
                <w14:textFill>
                  <w14:solidFill>
                    <w14:schemeClr w14:val="tx1"/>
                  </w14:solidFill>
                </w14:textFill>
              </w:rPr>
            </w:pPr>
          </w:p>
        </w:tc>
        <w:tc>
          <w:tcPr>
            <w:tcW w:w="390" w:type="dxa"/>
          </w:tcPr>
          <w:p w14:paraId="1401D315">
            <w:pPr>
              <w:rPr>
                <w:color w:val="000000" w:themeColor="text1"/>
                <w:szCs w:val="21"/>
                <w14:textFill>
                  <w14:solidFill>
                    <w14:schemeClr w14:val="tx1"/>
                  </w14:solidFill>
                </w14:textFill>
              </w:rPr>
            </w:pPr>
          </w:p>
        </w:tc>
      </w:tr>
      <w:tr w14:paraId="4AC2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7246372">
            <w:pPr>
              <w:jc w:val="center"/>
              <w:rPr>
                <w:color w:val="000000" w:themeColor="text1"/>
                <w:szCs w:val="21"/>
                <w14:textFill>
                  <w14:solidFill>
                    <w14:schemeClr w14:val="tx1"/>
                  </w14:solidFill>
                </w14:textFill>
              </w:rPr>
            </w:pPr>
          </w:p>
        </w:tc>
        <w:tc>
          <w:tcPr>
            <w:tcW w:w="772" w:type="dxa"/>
            <w:vMerge w:val="continue"/>
            <w:vAlign w:val="center"/>
          </w:tcPr>
          <w:p w14:paraId="0198B79B">
            <w:pPr>
              <w:jc w:val="center"/>
              <w:rPr>
                <w:rFonts w:hint="eastAsia"/>
                <w:color w:val="000000" w:themeColor="text1"/>
                <w:szCs w:val="21"/>
                <w14:textFill>
                  <w14:solidFill>
                    <w14:schemeClr w14:val="tx1"/>
                  </w14:solidFill>
                </w14:textFill>
              </w:rPr>
            </w:pPr>
          </w:p>
        </w:tc>
        <w:tc>
          <w:tcPr>
            <w:tcW w:w="5446" w:type="dxa"/>
            <w:vAlign w:val="center"/>
          </w:tcPr>
          <w:p w14:paraId="2AD59FAE">
            <w:pPr>
              <w:keepNext w:val="0"/>
              <w:keepLines w:val="0"/>
              <w:widowControl/>
              <w:suppressLineNumbers w:val="0"/>
              <w:jc w:val="left"/>
              <w:textAlignment w:val="center"/>
              <w:rPr>
                <w:rFonts w:hint="eastAsia"/>
              </w:rPr>
            </w:pPr>
            <w:r>
              <w:rPr>
                <w:rStyle w:val="38"/>
                <w:rFonts w:hint="eastAsia" w:asciiTheme="majorEastAsia" w:hAnsiTheme="majorEastAsia" w:eastAsiaTheme="majorEastAsia" w:cstheme="majorEastAsia"/>
                <w:sz w:val="21"/>
                <w:szCs w:val="21"/>
                <w:lang w:val="en-US" w:eastAsia="zh-CN" w:bidi="ar"/>
              </w:rPr>
              <w:t>3.</w:t>
            </w:r>
            <w:r>
              <w:rPr>
                <w:rStyle w:val="39"/>
                <w:rFonts w:hint="eastAsia" w:asciiTheme="majorEastAsia" w:hAnsiTheme="majorEastAsia" w:eastAsiaTheme="majorEastAsia" w:cstheme="majorEastAsia"/>
                <w:sz w:val="21"/>
                <w:szCs w:val="21"/>
                <w:lang w:val="en-US" w:eastAsia="zh-CN" w:bidi="ar"/>
              </w:rPr>
              <w:t>在课桌面做塑面硬化处理以增加桌面的表面硬度，抗污防腐，耐磨抗划伤，防止肆意涂画，灰尘、水渍、汗渍造成桌面污浊不堪，不易清洁的问题，亦可更有效保护桌面不变色，不褪色。</w:t>
            </w:r>
          </w:p>
        </w:tc>
        <w:tc>
          <w:tcPr>
            <w:tcW w:w="972" w:type="dxa"/>
          </w:tcPr>
          <w:p w14:paraId="5BDE56E2">
            <w:pPr>
              <w:rPr>
                <w:color w:val="000000" w:themeColor="text1"/>
                <w:szCs w:val="21"/>
                <w14:textFill>
                  <w14:solidFill>
                    <w14:schemeClr w14:val="tx1"/>
                  </w14:solidFill>
                </w14:textFill>
              </w:rPr>
            </w:pPr>
          </w:p>
        </w:tc>
        <w:tc>
          <w:tcPr>
            <w:tcW w:w="710" w:type="dxa"/>
          </w:tcPr>
          <w:p w14:paraId="6495D16F">
            <w:pPr>
              <w:rPr>
                <w:color w:val="000000" w:themeColor="text1"/>
                <w:szCs w:val="21"/>
                <w14:textFill>
                  <w14:solidFill>
                    <w14:schemeClr w14:val="tx1"/>
                  </w14:solidFill>
                </w14:textFill>
              </w:rPr>
            </w:pPr>
          </w:p>
        </w:tc>
        <w:tc>
          <w:tcPr>
            <w:tcW w:w="390" w:type="dxa"/>
          </w:tcPr>
          <w:p w14:paraId="2111ED1D">
            <w:pPr>
              <w:rPr>
                <w:color w:val="000000" w:themeColor="text1"/>
                <w:szCs w:val="21"/>
                <w14:textFill>
                  <w14:solidFill>
                    <w14:schemeClr w14:val="tx1"/>
                  </w14:solidFill>
                </w14:textFill>
              </w:rPr>
            </w:pPr>
          </w:p>
        </w:tc>
      </w:tr>
      <w:tr w14:paraId="15185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6EFB79A">
            <w:pPr>
              <w:jc w:val="center"/>
              <w:rPr>
                <w:color w:val="000000" w:themeColor="text1"/>
                <w:szCs w:val="21"/>
                <w14:textFill>
                  <w14:solidFill>
                    <w14:schemeClr w14:val="tx1"/>
                  </w14:solidFill>
                </w14:textFill>
              </w:rPr>
            </w:pPr>
          </w:p>
        </w:tc>
        <w:tc>
          <w:tcPr>
            <w:tcW w:w="772" w:type="dxa"/>
            <w:vMerge w:val="continue"/>
            <w:vAlign w:val="center"/>
          </w:tcPr>
          <w:p w14:paraId="03CD3FE4">
            <w:pPr>
              <w:jc w:val="center"/>
              <w:rPr>
                <w:rFonts w:hint="eastAsia"/>
                <w:color w:val="000000" w:themeColor="text1"/>
                <w:szCs w:val="21"/>
                <w14:textFill>
                  <w14:solidFill>
                    <w14:schemeClr w14:val="tx1"/>
                  </w14:solidFill>
                </w14:textFill>
              </w:rPr>
            </w:pPr>
          </w:p>
        </w:tc>
        <w:tc>
          <w:tcPr>
            <w:tcW w:w="5446" w:type="dxa"/>
            <w:vAlign w:val="center"/>
          </w:tcPr>
          <w:p w14:paraId="3A162A3E">
            <w:pPr>
              <w:keepNext w:val="0"/>
              <w:keepLines w:val="0"/>
              <w:widowControl/>
              <w:suppressLineNumbers w:val="0"/>
              <w:jc w:val="left"/>
              <w:textAlignment w:val="center"/>
              <w:rPr>
                <w:rFonts w:hint="eastAsia"/>
              </w:rPr>
            </w:pPr>
            <w:r>
              <w:rPr>
                <w:rStyle w:val="38"/>
                <w:rFonts w:hint="eastAsia" w:asciiTheme="majorEastAsia" w:hAnsiTheme="majorEastAsia" w:eastAsiaTheme="majorEastAsia" w:cstheme="majorEastAsia"/>
                <w:color w:val="auto"/>
                <w:sz w:val="21"/>
                <w:szCs w:val="21"/>
                <w:highlight w:val="none"/>
                <w:lang w:val="en-US" w:eastAsia="zh-CN" w:bidi="ar"/>
              </w:rPr>
              <w:t>4.</w:t>
            </w:r>
            <w:r>
              <w:rPr>
                <w:rStyle w:val="40"/>
                <w:rFonts w:hint="eastAsia" w:asciiTheme="majorEastAsia" w:hAnsiTheme="majorEastAsia" w:eastAsiaTheme="majorEastAsia" w:cstheme="majorEastAsia"/>
                <w:color w:val="auto"/>
                <w:sz w:val="21"/>
                <w:szCs w:val="21"/>
                <w:highlight w:val="none"/>
                <w:lang w:val="en-US" w:eastAsia="zh-CN" w:bidi="ar"/>
              </w:rPr>
              <w:t>▲桌面抗污材料应满足以下要求：检验依据GB/T9274-1988《色漆和清漆 耐液体介质的测定》；检测要求：耐油性（200#溶剂油，24h）无异常；耐酸性（10g/L H</w:t>
            </w:r>
            <w:r>
              <w:rPr>
                <w:rStyle w:val="43"/>
                <w:rFonts w:hint="eastAsia" w:asciiTheme="majorEastAsia" w:hAnsiTheme="majorEastAsia" w:eastAsiaTheme="majorEastAsia" w:cstheme="majorEastAsia"/>
                <w:color w:val="auto"/>
                <w:sz w:val="21"/>
                <w:szCs w:val="21"/>
                <w:highlight w:val="none"/>
                <w:lang w:val="en-US" w:eastAsia="zh-CN" w:bidi="ar"/>
              </w:rPr>
              <w:t>2</w:t>
            </w:r>
            <w:r>
              <w:rPr>
                <w:rStyle w:val="40"/>
                <w:rFonts w:hint="eastAsia" w:asciiTheme="majorEastAsia" w:hAnsiTheme="majorEastAsia" w:eastAsiaTheme="majorEastAsia" w:cstheme="majorEastAsia"/>
                <w:color w:val="auto"/>
                <w:sz w:val="21"/>
                <w:szCs w:val="21"/>
                <w:highlight w:val="none"/>
                <w:lang w:val="en-US" w:eastAsia="zh-CN" w:bidi="ar"/>
              </w:rPr>
              <w:t>SO</w:t>
            </w:r>
            <w:r>
              <w:rPr>
                <w:rStyle w:val="43"/>
                <w:rFonts w:hint="eastAsia" w:asciiTheme="majorEastAsia" w:hAnsiTheme="majorEastAsia" w:eastAsiaTheme="majorEastAsia" w:cstheme="majorEastAsia"/>
                <w:color w:val="auto"/>
                <w:sz w:val="21"/>
                <w:szCs w:val="21"/>
                <w:highlight w:val="none"/>
                <w:lang w:val="en-US" w:eastAsia="zh-CN" w:bidi="ar"/>
              </w:rPr>
              <w:t>4</w:t>
            </w:r>
            <w:r>
              <w:rPr>
                <w:rStyle w:val="40"/>
                <w:rFonts w:hint="eastAsia" w:asciiTheme="majorEastAsia" w:hAnsiTheme="majorEastAsia" w:eastAsiaTheme="majorEastAsia" w:cstheme="majorEastAsia"/>
                <w:color w:val="auto"/>
                <w:sz w:val="21"/>
                <w:szCs w:val="21"/>
                <w:highlight w:val="none"/>
                <w:lang w:val="en-US" w:eastAsia="zh-CN" w:bidi="ar"/>
              </w:rPr>
              <w:t>，24h）无异常；耐碱性（50g/L NaHCO</w:t>
            </w:r>
            <w:r>
              <w:rPr>
                <w:rStyle w:val="43"/>
                <w:rFonts w:hint="eastAsia" w:asciiTheme="majorEastAsia" w:hAnsiTheme="majorEastAsia" w:eastAsiaTheme="majorEastAsia" w:cstheme="majorEastAsia"/>
                <w:color w:val="auto"/>
                <w:sz w:val="21"/>
                <w:szCs w:val="21"/>
                <w:highlight w:val="none"/>
                <w:lang w:val="en-US" w:eastAsia="zh-CN" w:bidi="ar"/>
              </w:rPr>
              <w:t>3</w:t>
            </w:r>
            <w:r>
              <w:rPr>
                <w:rStyle w:val="40"/>
                <w:rFonts w:hint="eastAsia" w:asciiTheme="majorEastAsia" w:hAnsiTheme="majorEastAsia" w:eastAsiaTheme="majorEastAsia" w:cstheme="majorEastAsia"/>
                <w:color w:val="auto"/>
                <w:sz w:val="21"/>
                <w:szCs w:val="21"/>
                <w:highlight w:val="none"/>
                <w:lang w:val="en-US" w:eastAsia="zh-CN" w:bidi="ar"/>
              </w:rPr>
              <w:t>，24h）无异常，</w:t>
            </w:r>
            <w:r>
              <w:rPr>
                <w:rStyle w:val="40"/>
                <w:rFonts w:hint="eastAsia" w:asciiTheme="majorEastAsia" w:hAnsiTheme="majorEastAsia" w:eastAsiaTheme="majorEastAsia" w:cstheme="majorEastAsia"/>
                <w:b/>
                <w:bCs/>
                <w:color w:val="auto"/>
                <w:sz w:val="21"/>
                <w:szCs w:val="21"/>
                <w:highlight w:val="none"/>
                <w:lang w:val="en-US" w:eastAsia="zh-CN" w:bidi="ar"/>
              </w:rPr>
              <w:t>单项判定均为合格</w:t>
            </w:r>
            <w:r>
              <w:rPr>
                <w:rStyle w:val="40"/>
                <w:rFonts w:hint="eastAsia" w:asciiTheme="majorEastAsia" w:hAnsiTheme="majorEastAsia" w:eastAsiaTheme="majorEastAsia" w:cstheme="majorEastAsia"/>
                <w:color w:val="auto"/>
                <w:sz w:val="21"/>
                <w:szCs w:val="21"/>
                <w:highlight w:val="none"/>
                <w:lang w:val="en-US" w:eastAsia="zh-CN" w:bidi="ar"/>
              </w:rPr>
              <w:t>。</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20CF7B33">
            <w:pPr>
              <w:rPr>
                <w:color w:val="000000" w:themeColor="text1"/>
                <w:szCs w:val="21"/>
                <w14:textFill>
                  <w14:solidFill>
                    <w14:schemeClr w14:val="tx1"/>
                  </w14:solidFill>
                </w14:textFill>
              </w:rPr>
            </w:pPr>
          </w:p>
        </w:tc>
        <w:tc>
          <w:tcPr>
            <w:tcW w:w="710" w:type="dxa"/>
          </w:tcPr>
          <w:p w14:paraId="780DB668">
            <w:pPr>
              <w:rPr>
                <w:color w:val="000000" w:themeColor="text1"/>
                <w:szCs w:val="21"/>
                <w14:textFill>
                  <w14:solidFill>
                    <w14:schemeClr w14:val="tx1"/>
                  </w14:solidFill>
                </w14:textFill>
              </w:rPr>
            </w:pPr>
          </w:p>
        </w:tc>
        <w:tc>
          <w:tcPr>
            <w:tcW w:w="390" w:type="dxa"/>
          </w:tcPr>
          <w:p w14:paraId="666E77F2">
            <w:pPr>
              <w:rPr>
                <w:color w:val="000000" w:themeColor="text1"/>
                <w:szCs w:val="21"/>
                <w14:textFill>
                  <w14:solidFill>
                    <w14:schemeClr w14:val="tx1"/>
                  </w14:solidFill>
                </w14:textFill>
              </w:rPr>
            </w:pPr>
          </w:p>
        </w:tc>
      </w:tr>
      <w:tr w14:paraId="262E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C683A14">
            <w:pPr>
              <w:jc w:val="center"/>
              <w:rPr>
                <w:color w:val="000000" w:themeColor="text1"/>
                <w:szCs w:val="21"/>
                <w14:textFill>
                  <w14:solidFill>
                    <w14:schemeClr w14:val="tx1"/>
                  </w14:solidFill>
                </w14:textFill>
              </w:rPr>
            </w:pPr>
          </w:p>
        </w:tc>
        <w:tc>
          <w:tcPr>
            <w:tcW w:w="772" w:type="dxa"/>
            <w:vMerge w:val="continue"/>
            <w:vAlign w:val="center"/>
          </w:tcPr>
          <w:p w14:paraId="626F4CDC">
            <w:pPr>
              <w:jc w:val="center"/>
              <w:rPr>
                <w:rFonts w:hint="eastAsia"/>
                <w:color w:val="000000" w:themeColor="text1"/>
                <w:szCs w:val="21"/>
                <w14:textFill>
                  <w14:solidFill>
                    <w14:schemeClr w14:val="tx1"/>
                  </w14:solidFill>
                </w14:textFill>
              </w:rPr>
            </w:pPr>
          </w:p>
        </w:tc>
        <w:tc>
          <w:tcPr>
            <w:tcW w:w="5446" w:type="dxa"/>
            <w:vAlign w:val="center"/>
          </w:tcPr>
          <w:p w14:paraId="15B58A30">
            <w:pPr>
              <w:keepNext w:val="0"/>
              <w:keepLines w:val="0"/>
              <w:widowControl/>
              <w:suppressLineNumbers w:val="0"/>
              <w:jc w:val="left"/>
              <w:textAlignment w:val="center"/>
              <w:rPr>
                <w:rFonts w:hint="eastAsia"/>
              </w:rPr>
            </w:pPr>
            <w:r>
              <w:rPr>
                <w:rStyle w:val="38"/>
                <w:rFonts w:hint="eastAsia" w:asciiTheme="majorEastAsia" w:hAnsiTheme="majorEastAsia" w:eastAsiaTheme="majorEastAsia" w:cstheme="majorEastAsia"/>
                <w:sz w:val="21"/>
                <w:szCs w:val="21"/>
                <w:highlight w:val="none"/>
                <w:lang w:val="en-US" w:eastAsia="zh-CN" w:bidi="ar"/>
              </w:rPr>
              <w:t>5</w:t>
            </w:r>
            <w:r>
              <w:rPr>
                <w:rStyle w:val="38"/>
                <w:rFonts w:hint="eastAsia" w:asciiTheme="majorEastAsia" w:hAnsiTheme="majorEastAsia" w:eastAsiaTheme="majorEastAsia" w:cstheme="majorEastAsia"/>
                <w:color w:val="auto"/>
                <w:sz w:val="21"/>
                <w:szCs w:val="21"/>
                <w:highlight w:val="none"/>
                <w:lang w:val="en-US" w:eastAsia="zh-CN" w:bidi="ar"/>
              </w:rPr>
              <w:t>.</w:t>
            </w:r>
            <w:r>
              <w:rPr>
                <w:rStyle w:val="40"/>
                <w:rFonts w:hint="eastAsia" w:asciiTheme="majorEastAsia" w:hAnsiTheme="majorEastAsia" w:eastAsiaTheme="majorEastAsia" w:cstheme="majorEastAsia"/>
                <w:color w:val="auto"/>
                <w:sz w:val="21"/>
                <w:szCs w:val="21"/>
                <w:highlight w:val="none"/>
                <w:lang w:val="en-US" w:eastAsia="zh-CN" w:bidi="ar"/>
              </w:rPr>
              <w:t>▲塑料桌面耐污染应符合以下要求：耐污染[墨水(蓝色和红色)、印泥、水笔、圆珠笔、涂改液，24h]能被符合QB/T2309的普通橡皮擦拭；单项判定为合格。检测依据QB/T 4071-2021《课桌椅》。</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4DFADE85">
            <w:pPr>
              <w:rPr>
                <w:color w:val="000000" w:themeColor="text1"/>
                <w:szCs w:val="21"/>
                <w14:textFill>
                  <w14:solidFill>
                    <w14:schemeClr w14:val="tx1"/>
                  </w14:solidFill>
                </w14:textFill>
              </w:rPr>
            </w:pPr>
          </w:p>
        </w:tc>
        <w:tc>
          <w:tcPr>
            <w:tcW w:w="710" w:type="dxa"/>
          </w:tcPr>
          <w:p w14:paraId="723D830C">
            <w:pPr>
              <w:rPr>
                <w:color w:val="000000" w:themeColor="text1"/>
                <w:szCs w:val="21"/>
                <w14:textFill>
                  <w14:solidFill>
                    <w14:schemeClr w14:val="tx1"/>
                  </w14:solidFill>
                </w14:textFill>
              </w:rPr>
            </w:pPr>
          </w:p>
        </w:tc>
        <w:tc>
          <w:tcPr>
            <w:tcW w:w="390" w:type="dxa"/>
          </w:tcPr>
          <w:p w14:paraId="67C8E800">
            <w:pPr>
              <w:rPr>
                <w:color w:val="000000" w:themeColor="text1"/>
                <w:szCs w:val="21"/>
                <w14:textFill>
                  <w14:solidFill>
                    <w14:schemeClr w14:val="tx1"/>
                  </w14:solidFill>
                </w14:textFill>
              </w:rPr>
            </w:pPr>
          </w:p>
        </w:tc>
      </w:tr>
      <w:tr w14:paraId="5C8C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1FA422E">
            <w:pPr>
              <w:jc w:val="center"/>
              <w:rPr>
                <w:color w:val="000000" w:themeColor="text1"/>
                <w:szCs w:val="21"/>
                <w14:textFill>
                  <w14:solidFill>
                    <w14:schemeClr w14:val="tx1"/>
                  </w14:solidFill>
                </w14:textFill>
              </w:rPr>
            </w:pPr>
          </w:p>
        </w:tc>
        <w:tc>
          <w:tcPr>
            <w:tcW w:w="772" w:type="dxa"/>
            <w:vMerge w:val="continue"/>
            <w:vAlign w:val="center"/>
          </w:tcPr>
          <w:p w14:paraId="57899249">
            <w:pPr>
              <w:jc w:val="center"/>
              <w:rPr>
                <w:rFonts w:hint="eastAsia"/>
                <w:color w:val="000000" w:themeColor="text1"/>
                <w:szCs w:val="21"/>
                <w14:textFill>
                  <w14:solidFill>
                    <w14:schemeClr w14:val="tx1"/>
                  </w14:solidFill>
                </w14:textFill>
              </w:rPr>
            </w:pPr>
          </w:p>
        </w:tc>
        <w:tc>
          <w:tcPr>
            <w:tcW w:w="5446" w:type="dxa"/>
            <w:vAlign w:val="center"/>
          </w:tcPr>
          <w:p w14:paraId="5BBBA7A7">
            <w:pPr>
              <w:keepNext w:val="0"/>
              <w:keepLines w:val="0"/>
              <w:widowControl/>
              <w:suppressLineNumbers w:val="0"/>
              <w:jc w:val="left"/>
              <w:textAlignment w:val="center"/>
              <w:rPr>
                <w:rFonts w:hint="eastAsia"/>
              </w:rPr>
            </w:pPr>
            <w:r>
              <w:rPr>
                <w:rStyle w:val="38"/>
                <w:rFonts w:hint="eastAsia" w:asciiTheme="majorEastAsia" w:hAnsiTheme="majorEastAsia" w:eastAsiaTheme="majorEastAsia" w:cstheme="majorEastAsia"/>
                <w:sz w:val="21"/>
                <w:szCs w:val="21"/>
                <w:lang w:val="en-US" w:eastAsia="zh-CN" w:bidi="ar"/>
              </w:rPr>
              <w:t>6.</w:t>
            </w:r>
            <w:r>
              <w:rPr>
                <w:rStyle w:val="39"/>
                <w:rFonts w:hint="eastAsia" w:asciiTheme="majorEastAsia" w:hAnsiTheme="majorEastAsia" w:eastAsiaTheme="majorEastAsia" w:cstheme="majorEastAsia"/>
                <w:sz w:val="21"/>
                <w:szCs w:val="21"/>
                <w:lang w:val="en-US" w:eastAsia="zh-CN" w:bidi="ar"/>
              </w:rPr>
              <w:t>尺寸： (长650mm×宽450mm×厚25mm)±5mm。</w:t>
            </w:r>
          </w:p>
        </w:tc>
        <w:tc>
          <w:tcPr>
            <w:tcW w:w="972" w:type="dxa"/>
          </w:tcPr>
          <w:p w14:paraId="2C2F0064">
            <w:pPr>
              <w:rPr>
                <w:color w:val="000000" w:themeColor="text1"/>
                <w:szCs w:val="21"/>
                <w14:textFill>
                  <w14:solidFill>
                    <w14:schemeClr w14:val="tx1"/>
                  </w14:solidFill>
                </w14:textFill>
              </w:rPr>
            </w:pPr>
          </w:p>
        </w:tc>
        <w:tc>
          <w:tcPr>
            <w:tcW w:w="710" w:type="dxa"/>
          </w:tcPr>
          <w:p w14:paraId="70D8CA89">
            <w:pPr>
              <w:rPr>
                <w:color w:val="000000" w:themeColor="text1"/>
                <w:szCs w:val="21"/>
                <w14:textFill>
                  <w14:solidFill>
                    <w14:schemeClr w14:val="tx1"/>
                  </w14:solidFill>
                </w14:textFill>
              </w:rPr>
            </w:pPr>
          </w:p>
        </w:tc>
        <w:tc>
          <w:tcPr>
            <w:tcW w:w="390" w:type="dxa"/>
          </w:tcPr>
          <w:p w14:paraId="775C048D">
            <w:pPr>
              <w:rPr>
                <w:color w:val="000000" w:themeColor="text1"/>
                <w:szCs w:val="21"/>
                <w14:textFill>
                  <w14:solidFill>
                    <w14:schemeClr w14:val="tx1"/>
                  </w14:solidFill>
                </w14:textFill>
              </w:rPr>
            </w:pPr>
          </w:p>
        </w:tc>
      </w:tr>
      <w:tr w14:paraId="1472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FE56768">
            <w:pPr>
              <w:jc w:val="center"/>
              <w:rPr>
                <w:color w:val="000000" w:themeColor="text1"/>
                <w:szCs w:val="21"/>
                <w14:textFill>
                  <w14:solidFill>
                    <w14:schemeClr w14:val="tx1"/>
                  </w14:solidFill>
                </w14:textFill>
              </w:rPr>
            </w:pPr>
          </w:p>
        </w:tc>
        <w:tc>
          <w:tcPr>
            <w:tcW w:w="772" w:type="dxa"/>
            <w:vMerge w:val="continue"/>
            <w:vAlign w:val="center"/>
          </w:tcPr>
          <w:p w14:paraId="13E8B398">
            <w:pPr>
              <w:jc w:val="center"/>
              <w:rPr>
                <w:rFonts w:hint="eastAsia"/>
                <w:color w:val="000000" w:themeColor="text1"/>
                <w:szCs w:val="21"/>
                <w14:textFill>
                  <w14:solidFill>
                    <w14:schemeClr w14:val="tx1"/>
                  </w14:solidFill>
                </w14:textFill>
              </w:rPr>
            </w:pPr>
          </w:p>
        </w:tc>
        <w:tc>
          <w:tcPr>
            <w:tcW w:w="5446" w:type="dxa"/>
            <w:vAlign w:val="center"/>
          </w:tcPr>
          <w:p w14:paraId="3B24F092">
            <w:pPr>
              <w:keepNext w:val="0"/>
              <w:keepLines w:val="0"/>
              <w:widowControl/>
              <w:suppressLineNumbers w:val="0"/>
              <w:jc w:val="left"/>
              <w:textAlignment w:val="center"/>
              <w:rPr>
                <w:rFonts w:hint="eastAsia"/>
              </w:rPr>
            </w:pPr>
            <w:r>
              <w:rPr>
                <w:rStyle w:val="38"/>
                <w:rFonts w:hint="eastAsia" w:asciiTheme="majorEastAsia" w:hAnsiTheme="majorEastAsia" w:eastAsiaTheme="majorEastAsia" w:cstheme="majorEastAsia"/>
                <w:sz w:val="21"/>
                <w:szCs w:val="21"/>
                <w:lang w:val="en-US" w:eastAsia="zh-CN" w:bidi="ar"/>
              </w:rPr>
              <w:t>7.</w:t>
            </w:r>
            <w:r>
              <w:rPr>
                <w:rStyle w:val="39"/>
                <w:rFonts w:hint="eastAsia" w:asciiTheme="majorEastAsia" w:hAnsiTheme="majorEastAsia" w:eastAsiaTheme="majorEastAsia" w:cstheme="majorEastAsia"/>
                <w:sz w:val="21"/>
                <w:szCs w:val="21"/>
                <w:lang w:val="en-US" w:eastAsia="zh-CN" w:bidi="ar"/>
              </w:rPr>
              <w:t>功能：桌面靠胸前端处有一內弧造型设计，靠胸侧两边角为鸭嘴斜边；表面有细蚀纹(咬花),不得有反光现象。桌面四周及底部完全不得有毛边，都得倒圆角光滑不刮手。面板底部有強化安全承重之设计。锁入双钢管支撑，并与面板底部平齐。面板底部外侧横向加强筋不少于8条、纵向加强筋不少于8条，加固桌面承重，不易变形</w:t>
            </w:r>
            <w:r>
              <w:rPr>
                <w:rStyle w:val="38"/>
                <w:rFonts w:hint="eastAsia" w:asciiTheme="majorEastAsia" w:hAnsiTheme="majorEastAsia" w:eastAsiaTheme="majorEastAsia" w:cstheme="majorEastAsia"/>
                <w:sz w:val="21"/>
                <w:szCs w:val="21"/>
                <w:lang w:val="en-US" w:eastAsia="zh-CN" w:bidi="ar"/>
              </w:rPr>
              <w:t>。</w:t>
            </w:r>
          </w:p>
        </w:tc>
        <w:tc>
          <w:tcPr>
            <w:tcW w:w="972" w:type="dxa"/>
          </w:tcPr>
          <w:p w14:paraId="636369FC">
            <w:pPr>
              <w:rPr>
                <w:color w:val="000000" w:themeColor="text1"/>
                <w:szCs w:val="21"/>
                <w14:textFill>
                  <w14:solidFill>
                    <w14:schemeClr w14:val="tx1"/>
                  </w14:solidFill>
                </w14:textFill>
              </w:rPr>
            </w:pPr>
          </w:p>
        </w:tc>
        <w:tc>
          <w:tcPr>
            <w:tcW w:w="710" w:type="dxa"/>
          </w:tcPr>
          <w:p w14:paraId="29D4F8CB">
            <w:pPr>
              <w:rPr>
                <w:color w:val="000000" w:themeColor="text1"/>
                <w:szCs w:val="21"/>
                <w14:textFill>
                  <w14:solidFill>
                    <w14:schemeClr w14:val="tx1"/>
                  </w14:solidFill>
                </w14:textFill>
              </w:rPr>
            </w:pPr>
          </w:p>
        </w:tc>
        <w:tc>
          <w:tcPr>
            <w:tcW w:w="390" w:type="dxa"/>
          </w:tcPr>
          <w:p w14:paraId="2DDEBBB6">
            <w:pPr>
              <w:rPr>
                <w:color w:val="000000" w:themeColor="text1"/>
                <w:szCs w:val="21"/>
                <w14:textFill>
                  <w14:solidFill>
                    <w14:schemeClr w14:val="tx1"/>
                  </w14:solidFill>
                </w14:textFill>
              </w:rPr>
            </w:pPr>
          </w:p>
        </w:tc>
      </w:tr>
      <w:tr w14:paraId="23D6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8ABE071">
            <w:pPr>
              <w:jc w:val="center"/>
              <w:rPr>
                <w:color w:val="000000" w:themeColor="text1"/>
                <w:szCs w:val="21"/>
                <w14:textFill>
                  <w14:solidFill>
                    <w14:schemeClr w14:val="tx1"/>
                  </w14:solidFill>
                </w14:textFill>
              </w:rPr>
            </w:pPr>
          </w:p>
        </w:tc>
        <w:tc>
          <w:tcPr>
            <w:tcW w:w="772" w:type="dxa"/>
            <w:vMerge w:val="continue"/>
            <w:vAlign w:val="center"/>
          </w:tcPr>
          <w:p w14:paraId="01A529F5">
            <w:pPr>
              <w:jc w:val="center"/>
              <w:rPr>
                <w:rFonts w:hint="eastAsia"/>
                <w:color w:val="000000" w:themeColor="text1"/>
                <w:szCs w:val="21"/>
                <w14:textFill>
                  <w14:solidFill>
                    <w14:schemeClr w14:val="tx1"/>
                  </w14:solidFill>
                </w14:textFill>
              </w:rPr>
            </w:pPr>
          </w:p>
        </w:tc>
        <w:tc>
          <w:tcPr>
            <w:tcW w:w="5446" w:type="dxa"/>
            <w:vAlign w:val="center"/>
          </w:tcPr>
          <w:p w14:paraId="111BF648">
            <w:pPr>
              <w:keepNext w:val="0"/>
              <w:keepLines w:val="0"/>
              <w:widowControl/>
              <w:suppressLineNumbers w:val="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B.书箱</w:t>
            </w:r>
          </w:p>
        </w:tc>
        <w:tc>
          <w:tcPr>
            <w:tcW w:w="972" w:type="dxa"/>
          </w:tcPr>
          <w:p w14:paraId="6CFA3CCD">
            <w:pPr>
              <w:rPr>
                <w:color w:val="000000" w:themeColor="text1"/>
                <w:szCs w:val="21"/>
                <w14:textFill>
                  <w14:solidFill>
                    <w14:schemeClr w14:val="tx1"/>
                  </w14:solidFill>
                </w14:textFill>
              </w:rPr>
            </w:pPr>
          </w:p>
        </w:tc>
        <w:tc>
          <w:tcPr>
            <w:tcW w:w="710" w:type="dxa"/>
          </w:tcPr>
          <w:p w14:paraId="4E848A99">
            <w:pPr>
              <w:rPr>
                <w:color w:val="000000" w:themeColor="text1"/>
                <w:szCs w:val="21"/>
                <w14:textFill>
                  <w14:solidFill>
                    <w14:schemeClr w14:val="tx1"/>
                  </w14:solidFill>
                </w14:textFill>
              </w:rPr>
            </w:pPr>
          </w:p>
        </w:tc>
        <w:tc>
          <w:tcPr>
            <w:tcW w:w="390" w:type="dxa"/>
          </w:tcPr>
          <w:p w14:paraId="5B848831">
            <w:pPr>
              <w:rPr>
                <w:color w:val="000000" w:themeColor="text1"/>
                <w:szCs w:val="21"/>
                <w14:textFill>
                  <w14:solidFill>
                    <w14:schemeClr w14:val="tx1"/>
                  </w14:solidFill>
                </w14:textFill>
              </w:rPr>
            </w:pPr>
          </w:p>
        </w:tc>
      </w:tr>
      <w:tr w14:paraId="50519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6F06BCE">
            <w:pPr>
              <w:jc w:val="center"/>
              <w:rPr>
                <w:color w:val="000000" w:themeColor="text1"/>
                <w:szCs w:val="21"/>
                <w14:textFill>
                  <w14:solidFill>
                    <w14:schemeClr w14:val="tx1"/>
                  </w14:solidFill>
                </w14:textFill>
              </w:rPr>
            </w:pPr>
          </w:p>
        </w:tc>
        <w:tc>
          <w:tcPr>
            <w:tcW w:w="772" w:type="dxa"/>
            <w:vMerge w:val="continue"/>
            <w:vAlign w:val="center"/>
          </w:tcPr>
          <w:p w14:paraId="3B12574D">
            <w:pPr>
              <w:jc w:val="center"/>
              <w:rPr>
                <w:rFonts w:hint="eastAsia"/>
                <w:color w:val="000000" w:themeColor="text1"/>
                <w:szCs w:val="21"/>
                <w14:textFill>
                  <w14:solidFill>
                    <w14:schemeClr w14:val="tx1"/>
                  </w14:solidFill>
                </w14:textFill>
              </w:rPr>
            </w:pPr>
          </w:p>
        </w:tc>
        <w:tc>
          <w:tcPr>
            <w:tcW w:w="5446" w:type="dxa"/>
            <w:vAlign w:val="center"/>
          </w:tcPr>
          <w:p w14:paraId="368C095E">
            <w:pPr>
              <w:keepNext w:val="0"/>
              <w:keepLines w:val="0"/>
              <w:widowControl/>
              <w:suppressLineNumbers w:val="0"/>
              <w:jc w:val="left"/>
              <w:textAlignment w:val="center"/>
              <w:rPr>
                <w:rFonts w:hint="eastAsia"/>
              </w:rPr>
            </w:pPr>
            <w:r>
              <w:rPr>
                <w:rStyle w:val="38"/>
                <w:rFonts w:hint="eastAsia" w:asciiTheme="majorEastAsia" w:hAnsiTheme="majorEastAsia" w:eastAsiaTheme="majorEastAsia" w:cstheme="majorEastAsia"/>
                <w:sz w:val="21"/>
                <w:szCs w:val="21"/>
                <w:lang w:val="en-US" w:eastAsia="zh-CN" w:bidi="ar"/>
              </w:rPr>
              <w:t>8.</w:t>
            </w:r>
            <w:r>
              <w:rPr>
                <w:rStyle w:val="39"/>
                <w:rFonts w:hint="eastAsia" w:asciiTheme="majorEastAsia" w:hAnsiTheme="majorEastAsia" w:eastAsiaTheme="majorEastAsia" w:cstheme="majorEastAsia"/>
                <w:sz w:val="21"/>
                <w:szCs w:val="21"/>
                <w:lang w:val="en-US" w:eastAsia="zh-CN" w:bidi="ar"/>
              </w:rPr>
              <w:t>材质：PP塑料（塑胶）</w:t>
            </w:r>
          </w:p>
        </w:tc>
        <w:tc>
          <w:tcPr>
            <w:tcW w:w="972" w:type="dxa"/>
          </w:tcPr>
          <w:p w14:paraId="52CCA50F">
            <w:pPr>
              <w:rPr>
                <w:color w:val="000000" w:themeColor="text1"/>
                <w:szCs w:val="21"/>
                <w14:textFill>
                  <w14:solidFill>
                    <w14:schemeClr w14:val="tx1"/>
                  </w14:solidFill>
                </w14:textFill>
              </w:rPr>
            </w:pPr>
          </w:p>
        </w:tc>
        <w:tc>
          <w:tcPr>
            <w:tcW w:w="710" w:type="dxa"/>
          </w:tcPr>
          <w:p w14:paraId="217BAFCE">
            <w:pPr>
              <w:rPr>
                <w:color w:val="000000" w:themeColor="text1"/>
                <w:szCs w:val="21"/>
                <w14:textFill>
                  <w14:solidFill>
                    <w14:schemeClr w14:val="tx1"/>
                  </w14:solidFill>
                </w14:textFill>
              </w:rPr>
            </w:pPr>
          </w:p>
        </w:tc>
        <w:tc>
          <w:tcPr>
            <w:tcW w:w="390" w:type="dxa"/>
          </w:tcPr>
          <w:p w14:paraId="3020E8B2">
            <w:pPr>
              <w:rPr>
                <w:color w:val="000000" w:themeColor="text1"/>
                <w:szCs w:val="21"/>
                <w14:textFill>
                  <w14:solidFill>
                    <w14:schemeClr w14:val="tx1"/>
                  </w14:solidFill>
                </w14:textFill>
              </w:rPr>
            </w:pPr>
          </w:p>
        </w:tc>
      </w:tr>
      <w:tr w14:paraId="12CF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67B4096">
            <w:pPr>
              <w:jc w:val="center"/>
              <w:rPr>
                <w:color w:val="000000" w:themeColor="text1"/>
                <w:szCs w:val="21"/>
                <w14:textFill>
                  <w14:solidFill>
                    <w14:schemeClr w14:val="tx1"/>
                  </w14:solidFill>
                </w14:textFill>
              </w:rPr>
            </w:pPr>
          </w:p>
        </w:tc>
        <w:tc>
          <w:tcPr>
            <w:tcW w:w="772" w:type="dxa"/>
            <w:vMerge w:val="continue"/>
            <w:vAlign w:val="center"/>
          </w:tcPr>
          <w:p w14:paraId="4480624A">
            <w:pPr>
              <w:jc w:val="center"/>
              <w:rPr>
                <w:rFonts w:hint="eastAsia"/>
                <w:color w:val="000000" w:themeColor="text1"/>
                <w:szCs w:val="21"/>
                <w14:textFill>
                  <w14:solidFill>
                    <w14:schemeClr w14:val="tx1"/>
                  </w14:solidFill>
                </w14:textFill>
              </w:rPr>
            </w:pPr>
          </w:p>
        </w:tc>
        <w:tc>
          <w:tcPr>
            <w:tcW w:w="5446" w:type="dxa"/>
            <w:vAlign w:val="center"/>
          </w:tcPr>
          <w:p w14:paraId="0E08E664">
            <w:pPr>
              <w:keepNext w:val="0"/>
              <w:keepLines w:val="0"/>
              <w:widowControl/>
              <w:suppressLineNumbers w:val="0"/>
              <w:jc w:val="left"/>
              <w:textAlignment w:val="center"/>
              <w:rPr>
                <w:rFonts w:hint="eastAsia"/>
              </w:rPr>
            </w:pPr>
            <w:r>
              <w:rPr>
                <w:rStyle w:val="38"/>
                <w:rFonts w:hint="eastAsia" w:asciiTheme="majorEastAsia" w:hAnsiTheme="majorEastAsia" w:eastAsiaTheme="majorEastAsia" w:cstheme="majorEastAsia"/>
                <w:sz w:val="21"/>
                <w:szCs w:val="21"/>
                <w:lang w:val="en-US" w:eastAsia="zh-CN" w:bidi="ar"/>
              </w:rPr>
              <w:t>9.</w:t>
            </w:r>
            <w:r>
              <w:rPr>
                <w:rStyle w:val="39"/>
                <w:rFonts w:hint="eastAsia" w:asciiTheme="majorEastAsia" w:hAnsiTheme="majorEastAsia" w:eastAsiaTheme="majorEastAsia" w:cstheme="majorEastAsia"/>
                <w:sz w:val="21"/>
                <w:szCs w:val="21"/>
                <w:lang w:val="en-US" w:eastAsia="zh-CN" w:bidi="ar"/>
              </w:rPr>
              <w:t>规格：内径尺寸：(长450mm×宽330mm×高90mm)±5mm；外径尺寸：(长500mm×宽340mm×高100mm)±5mm。</w:t>
            </w:r>
          </w:p>
        </w:tc>
        <w:tc>
          <w:tcPr>
            <w:tcW w:w="972" w:type="dxa"/>
          </w:tcPr>
          <w:p w14:paraId="469B88C0">
            <w:pPr>
              <w:rPr>
                <w:color w:val="000000" w:themeColor="text1"/>
                <w:szCs w:val="21"/>
                <w14:textFill>
                  <w14:solidFill>
                    <w14:schemeClr w14:val="tx1"/>
                  </w14:solidFill>
                </w14:textFill>
              </w:rPr>
            </w:pPr>
          </w:p>
        </w:tc>
        <w:tc>
          <w:tcPr>
            <w:tcW w:w="710" w:type="dxa"/>
          </w:tcPr>
          <w:p w14:paraId="4AA07671">
            <w:pPr>
              <w:rPr>
                <w:color w:val="000000" w:themeColor="text1"/>
                <w:szCs w:val="21"/>
                <w14:textFill>
                  <w14:solidFill>
                    <w14:schemeClr w14:val="tx1"/>
                  </w14:solidFill>
                </w14:textFill>
              </w:rPr>
            </w:pPr>
          </w:p>
        </w:tc>
        <w:tc>
          <w:tcPr>
            <w:tcW w:w="390" w:type="dxa"/>
          </w:tcPr>
          <w:p w14:paraId="776EE1A1">
            <w:pPr>
              <w:rPr>
                <w:color w:val="000000" w:themeColor="text1"/>
                <w:szCs w:val="21"/>
                <w14:textFill>
                  <w14:solidFill>
                    <w14:schemeClr w14:val="tx1"/>
                  </w14:solidFill>
                </w14:textFill>
              </w:rPr>
            </w:pPr>
          </w:p>
        </w:tc>
      </w:tr>
      <w:tr w14:paraId="183C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B99CAF5">
            <w:pPr>
              <w:jc w:val="center"/>
              <w:rPr>
                <w:color w:val="000000" w:themeColor="text1"/>
                <w:szCs w:val="21"/>
                <w14:textFill>
                  <w14:solidFill>
                    <w14:schemeClr w14:val="tx1"/>
                  </w14:solidFill>
                </w14:textFill>
              </w:rPr>
            </w:pPr>
          </w:p>
        </w:tc>
        <w:tc>
          <w:tcPr>
            <w:tcW w:w="772" w:type="dxa"/>
            <w:vMerge w:val="continue"/>
            <w:vAlign w:val="center"/>
          </w:tcPr>
          <w:p w14:paraId="02CF527B">
            <w:pPr>
              <w:jc w:val="center"/>
              <w:rPr>
                <w:rFonts w:hint="eastAsia"/>
                <w:color w:val="000000" w:themeColor="text1"/>
                <w:szCs w:val="21"/>
                <w14:textFill>
                  <w14:solidFill>
                    <w14:schemeClr w14:val="tx1"/>
                  </w14:solidFill>
                </w14:textFill>
              </w:rPr>
            </w:pPr>
          </w:p>
        </w:tc>
        <w:tc>
          <w:tcPr>
            <w:tcW w:w="5446" w:type="dxa"/>
            <w:vAlign w:val="center"/>
          </w:tcPr>
          <w:p w14:paraId="40A36297">
            <w:pPr>
              <w:keepNext w:val="0"/>
              <w:keepLines w:val="0"/>
              <w:widowControl/>
              <w:suppressLineNumbers w:val="0"/>
              <w:jc w:val="left"/>
              <w:textAlignment w:val="center"/>
              <w:rPr>
                <w:rFonts w:hint="eastAsia"/>
              </w:rPr>
            </w:pPr>
            <w:r>
              <w:rPr>
                <w:rStyle w:val="38"/>
                <w:rFonts w:hint="eastAsia" w:asciiTheme="majorEastAsia" w:hAnsiTheme="majorEastAsia" w:eastAsiaTheme="majorEastAsia" w:cstheme="majorEastAsia"/>
                <w:sz w:val="21"/>
                <w:szCs w:val="21"/>
                <w:lang w:val="en-US" w:eastAsia="zh-CN" w:bidi="ar"/>
              </w:rPr>
              <w:t>10.</w:t>
            </w:r>
            <w:r>
              <w:rPr>
                <w:rStyle w:val="39"/>
                <w:rFonts w:hint="eastAsia" w:asciiTheme="majorEastAsia" w:hAnsiTheme="majorEastAsia" w:eastAsiaTheme="majorEastAsia" w:cstheme="majorEastAsia"/>
                <w:sz w:val="21"/>
                <w:szCs w:val="21"/>
                <w:lang w:val="en-US" w:eastAsia="zh-CN" w:bidi="ar"/>
              </w:rPr>
              <w:t>书箱技术至少满足以下要求：a)书箱内部前沿设有凹槽储放笔和橡皮擦等小文具；b)书箱底部有排水槽缝设计（宽度≤5mm）；c)书箱三墙面为弧型设计，无尖角；d)书箱外围倒圆角光滑不刮手，无毛边；e)书箱左右两侧各有连体多功能塑料（塑胶）挂钩，书箱与挂钩一体成型设计。</w:t>
            </w:r>
          </w:p>
        </w:tc>
        <w:tc>
          <w:tcPr>
            <w:tcW w:w="972" w:type="dxa"/>
          </w:tcPr>
          <w:p w14:paraId="1CC35124">
            <w:pPr>
              <w:rPr>
                <w:color w:val="000000" w:themeColor="text1"/>
                <w:szCs w:val="21"/>
                <w14:textFill>
                  <w14:solidFill>
                    <w14:schemeClr w14:val="tx1"/>
                  </w14:solidFill>
                </w14:textFill>
              </w:rPr>
            </w:pPr>
          </w:p>
        </w:tc>
        <w:tc>
          <w:tcPr>
            <w:tcW w:w="710" w:type="dxa"/>
          </w:tcPr>
          <w:p w14:paraId="5550FAE1">
            <w:pPr>
              <w:rPr>
                <w:color w:val="000000" w:themeColor="text1"/>
                <w:szCs w:val="21"/>
                <w14:textFill>
                  <w14:solidFill>
                    <w14:schemeClr w14:val="tx1"/>
                  </w14:solidFill>
                </w14:textFill>
              </w:rPr>
            </w:pPr>
          </w:p>
        </w:tc>
        <w:tc>
          <w:tcPr>
            <w:tcW w:w="390" w:type="dxa"/>
          </w:tcPr>
          <w:p w14:paraId="63474A4A">
            <w:pPr>
              <w:rPr>
                <w:color w:val="000000" w:themeColor="text1"/>
                <w:szCs w:val="21"/>
                <w14:textFill>
                  <w14:solidFill>
                    <w14:schemeClr w14:val="tx1"/>
                  </w14:solidFill>
                </w14:textFill>
              </w:rPr>
            </w:pPr>
          </w:p>
        </w:tc>
      </w:tr>
      <w:tr w14:paraId="1292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2E4C517">
            <w:pPr>
              <w:jc w:val="center"/>
              <w:rPr>
                <w:color w:val="000000" w:themeColor="text1"/>
                <w:szCs w:val="21"/>
                <w14:textFill>
                  <w14:solidFill>
                    <w14:schemeClr w14:val="tx1"/>
                  </w14:solidFill>
                </w14:textFill>
              </w:rPr>
            </w:pPr>
          </w:p>
        </w:tc>
        <w:tc>
          <w:tcPr>
            <w:tcW w:w="772" w:type="dxa"/>
            <w:vMerge w:val="continue"/>
            <w:vAlign w:val="center"/>
          </w:tcPr>
          <w:p w14:paraId="0EACFC8C">
            <w:pPr>
              <w:jc w:val="center"/>
              <w:rPr>
                <w:rFonts w:hint="eastAsia"/>
                <w:color w:val="000000" w:themeColor="text1"/>
                <w:szCs w:val="21"/>
                <w14:textFill>
                  <w14:solidFill>
                    <w14:schemeClr w14:val="tx1"/>
                  </w14:solidFill>
                </w14:textFill>
              </w:rPr>
            </w:pPr>
          </w:p>
        </w:tc>
        <w:tc>
          <w:tcPr>
            <w:tcW w:w="5446" w:type="dxa"/>
            <w:vAlign w:val="center"/>
          </w:tcPr>
          <w:p w14:paraId="0160FB75">
            <w:pPr>
              <w:keepNext w:val="0"/>
              <w:keepLines w:val="0"/>
              <w:widowControl/>
              <w:suppressLineNumbers w:val="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C.桌脚钢架</w:t>
            </w:r>
          </w:p>
        </w:tc>
        <w:tc>
          <w:tcPr>
            <w:tcW w:w="972" w:type="dxa"/>
          </w:tcPr>
          <w:p w14:paraId="60BD38E6">
            <w:pPr>
              <w:rPr>
                <w:color w:val="000000" w:themeColor="text1"/>
                <w:szCs w:val="21"/>
                <w14:textFill>
                  <w14:solidFill>
                    <w14:schemeClr w14:val="tx1"/>
                  </w14:solidFill>
                </w14:textFill>
              </w:rPr>
            </w:pPr>
          </w:p>
        </w:tc>
        <w:tc>
          <w:tcPr>
            <w:tcW w:w="710" w:type="dxa"/>
          </w:tcPr>
          <w:p w14:paraId="28B00767">
            <w:pPr>
              <w:rPr>
                <w:color w:val="000000" w:themeColor="text1"/>
                <w:szCs w:val="21"/>
                <w14:textFill>
                  <w14:solidFill>
                    <w14:schemeClr w14:val="tx1"/>
                  </w14:solidFill>
                </w14:textFill>
              </w:rPr>
            </w:pPr>
          </w:p>
        </w:tc>
        <w:tc>
          <w:tcPr>
            <w:tcW w:w="390" w:type="dxa"/>
          </w:tcPr>
          <w:p w14:paraId="67F1C495">
            <w:pPr>
              <w:rPr>
                <w:color w:val="000000" w:themeColor="text1"/>
                <w:szCs w:val="21"/>
                <w14:textFill>
                  <w14:solidFill>
                    <w14:schemeClr w14:val="tx1"/>
                  </w14:solidFill>
                </w14:textFill>
              </w:rPr>
            </w:pPr>
          </w:p>
        </w:tc>
      </w:tr>
      <w:tr w14:paraId="46BC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7E12D79">
            <w:pPr>
              <w:jc w:val="center"/>
              <w:rPr>
                <w:color w:val="000000" w:themeColor="text1"/>
                <w:szCs w:val="21"/>
                <w14:textFill>
                  <w14:solidFill>
                    <w14:schemeClr w14:val="tx1"/>
                  </w14:solidFill>
                </w14:textFill>
              </w:rPr>
            </w:pPr>
          </w:p>
        </w:tc>
        <w:tc>
          <w:tcPr>
            <w:tcW w:w="772" w:type="dxa"/>
            <w:vMerge w:val="continue"/>
            <w:vAlign w:val="center"/>
          </w:tcPr>
          <w:p w14:paraId="45A8FED2">
            <w:pPr>
              <w:jc w:val="center"/>
              <w:rPr>
                <w:rFonts w:hint="eastAsia"/>
                <w:color w:val="000000" w:themeColor="text1"/>
                <w:szCs w:val="21"/>
                <w14:textFill>
                  <w14:solidFill>
                    <w14:schemeClr w14:val="tx1"/>
                  </w14:solidFill>
                </w14:textFill>
              </w:rPr>
            </w:pPr>
          </w:p>
        </w:tc>
        <w:tc>
          <w:tcPr>
            <w:tcW w:w="5446" w:type="dxa"/>
            <w:vAlign w:val="center"/>
          </w:tcPr>
          <w:p w14:paraId="5DA63D03">
            <w:pPr>
              <w:keepNext w:val="0"/>
              <w:keepLines w:val="0"/>
              <w:widowControl/>
              <w:suppressLineNumbers w:val="0"/>
              <w:jc w:val="left"/>
              <w:textAlignment w:val="center"/>
              <w:rPr>
                <w:rFonts w:hint="eastAsia"/>
              </w:rPr>
            </w:pPr>
            <w:r>
              <w:rPr>
                <w:rStyle w:val="38"/>
                <w:rFonts w:hint="eastAsia" w:asciiTheme="majorEastAsia" w:hAnsiTheme="majorEastAsia" w:eastAsiaTheme="majorEastAsia" w:cstheme="majorEastAsia"/>
                <w:sz w:val="21"/>
                <w:szCs w:val="21"/>
                <w:lang w:val="en-US" w:eastAsia="zh-CN" w:bidi="ar"/>
              </w:rPr>
              <w:t>11.</w:t>
            </w:r>
            <w:r>
              <w:rPr>
                <w:rStyle w:val="39"/>
                <w:rFonts w:hint="eastAsia" w:asciiTheme="majorEastAsia" w:hAnsiTheme="majorEastAsia" w:eastAsiaTheme="majorEastAsia" w:cstheme="majorEastAsia"/>
                <w:sz w:val="21"/>
                <w:szCs w:val="21"/>
                <w:lang w:val="en-US" w:eastAsia="zh-CN" w:bidi="ar"/>
              </w:rPr>
              <w:t>材质及形状：采用符合标准异形亮光钢管、异包管亮光钢管组合焊接所有焊接部位满焊而成。焊接完成钢管架，焊接部位牢固，无脱焊、虚焊、焊穿；焊缝均匀，无毛棱、锐棱、飞溅、裂纹等缺陷。</w:t>
            </w:r>
          </w:p>
        </w:tc>
        <w:tc>
          <w:tcPr>
            <w:tcW w:w="972" w:type="dxa"/>
          </w:tcPr>
          <w:p w14:paraId="2449483D">
            <w:pPr>
              <w:rPr>
                <w:color w:val="000000" w:themeColor="text1"/>
                <w:szCs w:val="21"/>
                <w14:textFill>
                  <w14:solidFill>
                    <w14:schemeClr w14:val="tx1"/>
                  </w14:solidFill>
                </w14:textFill>
              </w:rPr>
            </w:pPr>
          </w:p>
        </w:tc>
        <w:tc>
          <w:tcPr>
            <w:tcW w:w="710" w:type="dxa"/>
          </w:tcPr>
          <w:p w14:paraId="37A8B686">
            <w:pPr>
              <w:rPr>
                <w:color w:val="000000" w:themeColor="text1"/>
                <w:szCs w:val="21"/>
                <w14:textFill>
                  <w14:solidFill>
                    <w14:schemeClr w14:val="tx1"/>
                  </w14:solidFill>
                </w14:textFill>
              </w:rPr>
            </w:pPr>
          </w:p>
        </w:tc>
        <w:tc>
          <w:tcPr>
            <w:tcW w:w="390" w:type="dxa"/>
          </w:tcPr>
          <w:p w14:paraId="151DC07D">
            <w:pPr>
              <w:rPr>
                <w:color w:val="000000" w:themeColor="text1"/>
                <w:szCs w:val="21"/>
                <w14:textFill>
                  <w14:solidFill>
                    <w14:schemeClr w14:val="tx1"/>
                  </w14:solidFill>
                </w14:textFill>
              </w:rPr>
            </w:pPr>
          </w:p>
        </w:tc>
      </w:tr>
      <w:tr w14:paraId="478B5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2D4136B">
            <w:pPr>
              <w:jc w:val="center"/>
              <w:rPr>
                <w:color w:val="000000" w:themeColor="text1"/>
                <w:szCs w:val="21"/>
                <w14:textFill>
                  <w14:solidFill>
                    <w14:schemeClr w14:val="tx1"/>
                  </w14:solidFill>
                </w14:textFill>
              </w:rPr>
            </w:pPr>
          </w:p>
        </w:tc>
        <w:tc>
          <w:tcPr>
            <w:tcW w:w="772" w:type="dxa"/>
            <w:vMerge w:val="continue"/>
            <w:vAlign w:val="center"/>
          </w:tcPr>
          <w:p w14:paraId="53BEBDE4">
            <w:pPr>
              <w:jc w:val="center"/>
              <w:rPr>
                <w:rFonts w:hint="eastAsia"/>
                <w:color w:val="000000" w:themeColor="text1"/>
                <w:szCs w:val="21"/>
                <w14:textFill>
                  <w14:solidFill>
                    <w14:schemeClr w14:val="tx1"/>
                  </w14:solidFill>
                </w14:textFill>
              </w:rPr>
            </w:pPr>
          </w:p>
        </w:tc>
        <w:tc>
          <w:tcPr>
            <w:tcW w:w="5446" w:type="dxa"/>
            <w:vAlign w:val="center"/>
          </w:tcPr>
          <w:p w14:paraId="61FA9326">
            <w:pPr>
              <w:keepNext w:val="0"/>
              <w:keepLines w:val="0"/>
              <w:widowControl/>
              <w:numPr>
                <w:ilvl w:val="0"/>
                <w:numId w:val="3"/>
              </w:numPr>
              <w:suppressLineNumbers w:val="0"/>
              <w:jc w:val="left"/>
              <w:textAlignment w:val="center"/>
              <w:rPr>
                <w:rStyle w:val="39"/>
                <w:rFonts w:hint="eastAsia" w:asciiTheme="majorEastAsia" w:hAnsiTheme="majorEastAsia" w:eastAsiaTheme="majorEastAsia" w:cstheme="majorEastAsia"/>
                <w:sz w:val="21"/>
                <w:szCs w:val="21"/>
                <w:highlight w:val="none"/>
                <w:lang w:val="en-US" w:eastAsia="zh-CN" w:bidi="ar"/>
              </w:rPr>
            </w:pPr>
            <w:r>
              <w:rPr>
                <w:rStyle w:val="39"/>
                <w:rFonts w:hint="eastAsia" w:asciiTheme="majorEastAsia" w:hAnsiTheme="majorEastAsia" w:eastAsiaTheme="majorEastAsia" w:cstheme="majorEastAsia"/>
                <w:sz w:val="21"/>
                <w:szCs w:val="21"/>
                <w:highlight w:val="none"/>
                <w:lang w:val="en-US" w:eastAsia="zh-CN" w:bidi="ar"/>
              </w:rPr>
              <w:t>尺寸：桌脚贴地部与上部弯管尺寸为椭圆形30mm×60mm±1mm×厚1.5mm,桌脚上部活动立管钢管尺寸为椭圆形23mm×50mm±1mm×厚1.5mm；</w:t>
            </w:r>
          </w:p>
          <w:p w14:paraId="45B335AE">
            <w:pPr>
              <w:keepNext w:val="0"/>
              <w:keepLines w:val="0"/>
              <w:widowControl/>
              <w:numPr>
                <w:ilvl w:val="0"/>
                <w:numId w:val="0"/>
              </w:numPr>
              <w:suppressLineNumbers w:val="0"/>
              <w:ind w:left="0" w:leftChars="0" w:firstLine="0" w:firstLineChars="0"/>
              <w:jc w:val="left"/>
              <w:textAlignment w:val="center"/>
              <w:rPr>
                <w:rFonts w:hint="eastAsia"/>
              </w:rPr>
            </w:pPr>
            <w:r>
              <w:rPr>
                <w:rStyle w:val="39"/>
                <w:rFonts w:hint="eastAsia" w:asciiTheme="majorEastAsia" w:hAnsiTheme="majorEastAsia" w:eastAsiaTheme="majorEastAsia" w:cstheme="majorEastAsia"/>
                <w:sz w:val="21"/>
                <w:szCs w:val="21"/>
                <w:highlight w:val="none"/>
                <w:lang w:val="en-US" w:eastAsia="zh-CN" w:bidi="ar"/>
              </w:rPr>
              <w:t>连接书箱L型支架钢管尺寸椭圆形23mm×50mm±1mm×厚1.5mm,二桌脚贴地连接横钢管尺寸为椭圆形20mm×40mm±1mm×厚1.2mm的白皮钢管，该横档管到桌面内沿间距须符合GB/T 3976-2014关于桌下净空深的要求。</w:t>
            </w:r>
          </w:p>
        </w:tc>
        <w:tc>
          <w:tcPr>
            <w:tcW w:w="972" w:type="dxa"/>
          </w:tcPr>
          <w:p w14:paraId="30CE3B15">
            <w:pPr>
              <w:rPr>
                <w:color w:val="000000" w:themeColor="text1"/>
                <w:szCs w:val="21"/>
                <w14:textFill>
                  <w14:solidFill>
                    <w14:schemeClr w14:val="tx1"/>
                  </w14:solidFill>
                </w14:textFill>
              </w:rPr>
            </w:pPr>
          </w:p>
        </w:tc>
        <w:tc>
          <w:tcPr>
            <w:tcW w:w="710" w:type="dxa"/>
          </w:tcPr>
          <w:p w14:paraId="026DEFAD">
            <w:pPr>
              <w:rPr>
                <w:color w:val="000000" w:themeColor="text1"/>
                <w:szCs w:val="21"/>
                <w14:textFill>
                  <w14:solidFill>
                    <w14:schemeClr w14:val="tx1"/>
                  </w14:solidFill>
                </w14:textFill>
              </w:rPr>
            </w:pPr>
          </w:p>
        </w:tc>
        <w:tc>
          <w:tcPr>
            <w:tcW w:w="390" w:type="dxa"/>
          </w:tcPr>
          <w:p w14:paraId="22CD1BF8">
            <w:pPr>
              <w:rPr>
                <w:color w:val="000000" w:themeColor="text1"/>
                <w:szCs w:val="21"/>
                <w14:textFill>
                  <w14:solidFill>
                    <w14:schemeClr w14:val="tx1"/>
                  </w14:solidFill>
                </w14:textFill>
              </w:rPr>
            </w:pPr>
          </w:p>
        </w:tc>
      </w:tr>
      <w:tr w14:paraId="5641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3D4034C">
            <w:pPr>
              <w:jc w:val="center"/>
              <w:rPr>
                <w:color w:val="000000" w:themeColor="text1"/>
                <w:szCs w:val="21"/>
                <w14:textFill>
                  <w14:solidFill>
                    <w14:schemeClr w14:val="tx1"/>
                  </w14:solidFill>
                </w14:textFill>
              </w:rPr>
            </w:pPr>
          </w:p>
        </w:tc>
        <w:tc>
          <w:tcPr>
            <w:tcW w:w="772" w:type="dxa"/>
            <w:vMerge w:val="continue"/>
            <w:vAlign w:val="center"/>
          </w:tcPr>
          <w:p w14:paraId="3A1EDF10">
            <w:pPr>
              <w:jc w:val="center"/>
              <w:rPr>
                <w:rFonts w:hint="eastAsia"/>
                <w:color w:val="000000" w:themeColor="text1"/>
                <w:szCs w:val="21"/>
                <w14:textFill>
                  <w14:solidFill>
                    <w14:schemeClr w14:val="tx1"/>
                  </w14:solidFill>
                </w14:textFill>
              </w:rPr>
            </w:pPr>
          </w:p>
        </w:tc>
        <w:tc>
          <w:tcPr>
            <w:tcW w:w="5446" w:type="dxa"/>
            <w:vAlign w:val="center"/>
          </w:tcPr>
          <w:p w14:paraId="48922CB3">
            <w:pPr>
              <w:keepNext w:val="0"/>
              <w:keepLines w:val="0"/>
              <w:widowControl/>
              <w:suppressLineNumbers w:val="0"/>
              <w:jc w:val="left"/>
              <w:textAlignment w:val="center"/>
              <w:rPr>
                <w:rFonts w:hint="eastAsia"/>
              </w:rPr>
            </w:pPr>
            <w:r>
              <w:rPr>
                <w:rStyle w:val="38"/>
                <w:rFonts w:hint="eastAsia" w:asciiTheme="majorEastAsia" w:hAnsiTheme="majorEastAsia" w:eastAsiaTheme="majorEastAsia" w:cstheme="majorEastAsia"/>
                <w:sz w:val="21"/>
                <w:szCs w:val="21"/>
                <w:lang w:val="en-US" w:eastAsia="zh-CN" w:bidi="ar"/>
              </w:rPr>
              <w:t>13.</w:t>
            </w:r>
            <w:r>
              <w:rPr>
                <w:rStyle w:val="39"/>
                <w:rFonts w:hint="eastAsia" w:asciiTheme="majorEastAsia" w:hAnsiTheme="majorEastAsia" w:eastAsiaTheme="majorEastAsia" w:cstheme="majorEastAsia"/>
                <w:sz w:val="21"/>
                <w:szCs w:val="21"/>
                <w:lang w:val="en-US" w:eastAsia="zh-CN" w:bidi="ar"/>
              </w:rPr>
              <w:t>表面涂装：焊接完成后的钢管架，表面经除油、脱脂、磷化、皮膜处理。外表采用一级颗粒粉末，经高温粉体烤漆，不得有刮伤或脱漆现象。涂层无漏喷、锈蚀；涂层光滑均匀，色泽一致。涂层平整光滑。</w:t>
            </w:r>
          </w:p>
        </w:tc>
        <w:tc>
          <w:tcPr>
            <w:tcW w:w="972" w:type="dxa"/>
          </w:tcPr>
          <w:p w14:paraId="5FBF3F14">
            <w:pPr>
              <w:rPr>
                <w:color w:val="000000" w:themeColor="text1"/>
                <w:szCs w:val="21"/>
                <w14:textFill>
                  <w14:solidFill>
                    <w14:schemeClr w14:val="tx1"/>
                  </w14:solidFill>
                </w14:textFill>
              </w:rPr>
            </w:pPr>
          </w:p>
        </w:tc>
        <w:tc>
          <w:tcPr>
            <w:tcW w:w="710" w:type="dxa"/>
          </w:tcPr>
          <w:p w14:paraId="497A078E">
            <w:pPr>
              <w:rPr>
                <w:color w:val="000000" w:themeColor="text1"/>
                <w:szCs w:val="21"/>
                <w14:textFill>
                  <w14:solidFill>
                    <w14:schemeClr w14:val="tx1"/>
                  </w14:solidFill>
                </w14:textFill>
              </w:rPr>
            </w:pPr>
          </w:p>
        </w:tc>
        <w:tc>
          <w:tcPr>
            <w:tcW w:w="390" w:type="dxa"/>
          </w:tcPr>
          <w:p w14:paraId="23C6E8A5">
            <w:pPr>
              <w:rPr>
                <w:color w:val="000000" w:themeColor="text1"/>
                <w:szCs w:val="21"/>
                <w14:textFill>
                  <w14:solidFill>
                    <w14:schemeClr w14:val="tx1"/>
                  </w14:solidFill>
                </w14:textFill>
              </w:rPr>
            </w:pPr>
          </w:p>
        </w:tc>
      </w:tr>
      <w:tr w14:paraId="242FB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55E429B">
            <w:pPr>
              <w:jc w:val="center"/>
              <w:rPr>
                <w:color w:val="000000" w:themeColor="text1"/>
                <w:szCs w:val="21"/>
                <w14:textFill>
                  <w14:solidFill>
                    <w14:schemeClr w14:val="tx1"/>
                  </w14:solidFill>
                </w14:textFill>
              </w:rPr>
            </w:pPr>
          </w:p>
        </w:tc>
        <w:tc>
          <w:tcPr>
            <w:tcW w:w="772" w:type="dxa"/>
            <w:vMerge w:val="continue"/>
            <w:vAlign w:val="center"/>
          </w:tcPr>
          <w:p w14:paraId="14A867D8">
            <w:pPr>
              <w:jc w:val="center"/>
              <w:rPr>
                <w:rFonts w:hint="eastAsia"/>
                <w:color w:val="000000" w:themeColor="text1"/>
                <w:szCs w:val="21"/>
                <w14:textFill>
                  <w14:solidFill>
                    <w14:schemeClr w14:val="tx1"/>
                  </w14:solidFill>
                </w14:textFill>
              </w:rPr>
            </w:pPr>
          </w:p>
        </w:tc>
        <w:tc>
          <w:tcPr>
            <w:tcW w:w="5446" w:type="dxa"/>
            <w:vAlign w:val="center"/>
          </w:tcPr>
          <w:p w14:paraId="5C814035">
            <w:pPr>
              <w:keepNext w:val="0"/>
              <w:keepLines w:val="0"/>
              <w:widowControl/>
              <w:suppressLineNumbers w:val="0"/>
              <w:jc w:val="left"/>
              <w:textAlignment w:val="center"/>
              <w:rPr>
                <w:rFonts w:hint="eastAsia"/>
              </w:rPr>
            </w:pPr>
            <w:r>
              <w:rPr>
                <w:rStyle w:val="38"/>
                <w:rFonts w:hint="eastAsia" w:asciiTheme="majorEastAsia" w:hAnsiTheme="majorEastAsia" w:eastAsiaTheme="majorEastAsia" w:cstheme="majorEastAsia"/>
                <w:sz w:val="21"/>
                <w:szCs w:val="21"/>
                <w:lang w:val="en-US" w:eastAsia="zh-CN" w:bidi="ar"/>
              </w:rPr>
              <w:t>14.</w:t>
            </w:r>
            <w:r>
              <w:rPr>
                <w:rStyle w:val="39"/>
                <w:rFonts w:hint="eastAsia" w:asciiTheme="majorEastAsia" w:hAnsiTheme="majorEastAsia" w:eastAsiaTheme="majorEastAsia" w:cstheme="majorEastAsia"/>
                <w:sz w:val="21"/>
                <w:szCs w:val="21"/>
                <w:lang w:val="en-US" w:eastAsia="zh-CN" w:bidi="ar"/>
              </w:rPr>
              <w:t>底坐L字型弯管左右组合焊接外型。</w:t>
            </w:r>
          </w:p>
        </w:tc>
        <w:tc>
          <w:tcPr>
            <w:tcW w:w="972" w:type="dxa"/>
          </w:tcPr>
          <w:p w14:paraId="232EF2FD">
            <w:pPr>
              <w:rPr>
                <w:color w:val="000000" w:themeColor="text1"/>
                <w:szCs w:val="21"/>
                <w14:textFill>
                  <w14:solidFill>
                    <w14:schemeClr w14:val="tx1"/>
                  </w14:solidFill>
                </w14:textFill>
              </w:rPr>
            </w:pPr>
          </w:p>
        </w:tc>
        <w:tc>
          <w:tcPr>
            <w:tcW w:w="710" w:type="dxa"/>
          </w:tcPr>
          <w:p w14:paraId="68C7107D">
            <w:pPr>
              <w:rPr>
                <w:color w:val="000000" w:themeColor="text1"/>
                <w:szCs w:val="21"/>
                <w14:textFill>
                  <w14:solidFill>
                    <w14:schemeClr w14:val="tx1"/>
                  </w14:solidFill>
                </w14:textFill>
              </w:rPr>
            </w:pPr>
          </w:p>
        </w:tc>
        <w:tc>
          <w:tcPr>
            <w:tcW w:w="390" w:type="dxa"/>
          </w:tcPr>
          <w:p w14:paraId="2B4E2CE0">
            <w:pPr>
              <w:rPr>
                <w:color w:val="000000" w:themeColor="text1"/>
                <w:szCs w:val="21"/>
                <w14:textFill>
                  <w14:solidFill>
                    <w14:schemeClr w14:val="tx1"/>
                  </w14:solidFill>
                </w14:textFill>
              </w:rPr>
            </w:pPr>
          </w:p>
        </w:tc>
      </w:tr>
      <w:tr w14:paraId="161B9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DB26D05">
            <w:pPr>
              <w:jc w:val="center"/>
              <w:rPr>
                <w:color w:val="000000" w:themeColor="text1"/>
                <w:szCs w:val="21"/>
                <w14:textFill>
                  <w14:solidFill>
                    <w14:schemeClr w14:val="tx1"/>
                  </w14:solidFill>
                </w14:textFill>
              </w:rPr>
            </w:pPr>
          </w:p>
        </w:tc>
        <w:tc>
          <w:tcPr>
            <w:tcW w:w="772" w:type="dxa"/>
            <w:vMerge w:val="continue"/>
            <w:vAlign w:val="center"/>
          </w:tcPr>
          <w:p w14:paraId="64F5AA80">
            <w:pPr>
              <w:jc w:val="center"/>
              <w:rPr>
                <w:rFonts w:hint="eastAsia"/>
                <w:color w:val="000000" w:themeColor="text1"/>
                <w:szCs w:val="21"/>
                <w14:textFill>
                  <w14:solidFill>
                    <w14:schemeClr w14:val="tx1"/>
                  </w14:solidFill>
                </w14:textFill>
              </w:rPr>
            </w:pPr>
          </w:p>
        </w:tc>
        <w:tc>
          <w:tcPr>
            <w:tcW w:w="5446" w:type="dxa"/>
            <w:vAlign w:val="center"/>
          </w:tcPr>
          <w:p w14:paraId="40B7C7C3">
            <w:pPr>
              <w:keepNext w:val="0"/>
              <w:keepLines w:val="0"/>
              <w:widowControl/>
              <w:suppressLineNumbers w:val="0"/>
              <w:jc w:val="left"/>
              <w:textAlignment w:val="center"/>
              <w:rPr>
                <w:rFonts w:hint="eastAsia"/>
              </w:rPr>
            </w:pPr>
            <w:r>
              <w:rPr>
                <w:rStyle w:val="38"/>
                <w:rFonts w:hint="eastAsia" w:asciiTheme="majorEastAsia" w:hAnsiTheme="majorEastAsia" w:eastAsiaTheme="majorEastAsia" w:cstheme="majorEastAsia"/>
                <w:sz w:val="21"/>
                <w:szCs w:val="21"/>
                <w:lang w:val="en-US" w:eastAsia="zh-CN" w:bidi="ar"/>
              </w:rPr>
              <w:t>15.</w:t>
            </w:r>
            <w:r>
              <w:rPr>
                <w:rStyle w:val="39"/>
                <w:rFonts w:hint="eastAsia" w:asciiTheme="majorEastAsia" w:hAnsiTheme="majorEastAsia" w:eastAsiaTheme="majorEastAsia" w:cstheme="majorEastAsia"/>
                <w:sz w:val="21"/>
                <w:szCs w:val="21"/>
                <w:lang w:val="en-US" w:eastAsia="zh-CN" w:bidi="ar"/>
              </w:rPr>
              <w:t>产品无断裂或豁裂, 手揿圧各部件无永久性松动, 零部件无严重影响使用功能的磨损或变形, 五金连接件不松动, 活动部件开关灵便。</w:t>
            </w:r>
          </w:p>
        </w:tc>
        <w:tc>
          <w:tcPr>
            <w:tcW w:w="972" w:type="dxa"/>
          </w:tcPr>
          <w:p w14:paraId="30076832">
            <w:pPr>
              <w:rPr>
                <w:color w:val="000000" w:themeColor="text1"/>
                <w:szCs w:val="21"/>
                <w14:textFill>
                  <w14:solidFill>
                    <w14:schemeClr w14:val="tx1"/>
                  </w14:solidFill>
                </w14:textFill>
              </w:rPr>
            </w:pPr>
          </w:p>
        </w:tc>
        <w:tc>
          <w:tcPr>
            <w:tcW w:w="710" w:type="dxa"/>
          </w:tcPr>
          <w:p w14:paraId="6EC946E6">
            <w:pPr>
              <w:rPr>
                <w:color w:val="000000" w:themeColor="text1"/>
                <w:szCs w:val="21"/>
                <w14:textFill>
                  <w14:solidFill>
                    <w14:schemeClr w14:val="tx1"/>
                  </w14:solidFill>
                </w14:textFill>
              </w:rPr>
            </w:pPr>
          </w:p>
        </w:tc>
        <w:tc>
          <w:tcPr>
            <w:tcW w:w="390" w:type="dxa"/>
          </w:tcPr>
          <w:p w14:paraId="37025795">
            <w:pPr>
              <w:rPr>
                <w:color w:val="000000" w:themeColor="text1"/>
                <w:szCs w:val="21"/>
                <w14:textFill>
                  <w14:solidFill>
                    <w14:schemeClr w14:val="tx1"/>
                  </w14:solidFill>
                </w14:textFill>
              </w:rPr>
            </w:pPr>
          </w:p>
        </w:tc>
      </w:tr>
      <w:tr w14:paraId="05A2B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786E25D">
            <w:pPr>
              <w:jc w:val="center"/>
              <w:rPr>
                <w:color w:val="000000" w:themeColor="text1"/>
                <w:szCs w:val="21"/>
                <w14:textFill>
                  <w14:solidFill>
                    <w14:schemeClr w14:val="tx1"/>
                  </w14:solidFill>
                </w14:textFill>
              </w:rPr>
            </w:pPr>
          </w:p>
        </w:tc>
        <w:tc>
          <w:tcPr>
            <w:tcW w:w="772" w:type="dxa"/>
            <w:vMerge w:val="continue"/>
            <w:vAlign w:val="center"/>
          </w:tcPr>
          <w:p w14:paraId="60D05268">
            <w:pPr>
              <w:jc w:val="center"/>
              <w:rPr>
                <w:rFonts w:hint="eastAsia"/>
                <w:color w:val="000000" w:themeColor="text1"/>
                <w:szCs w:val="21"/>
                <w14:textFill>
                  <w14:solidFill>
                    <w14:schemeClr w14:val="tx1"/>
                  </w14:solidFill>
                </w14:textFill>
              </w:rPr>
            </w:pPr>
          </w:p>
        </w:tc>
        <w:tc>
          <w:tcPr>
            <w:tcW w:w="5446" w:type="dxa"/>
            <w:vAlign w:val="center"/>
          </w:tcPr>
          <w:p w14:paraId="2BAD20BC">
            <w:pPr>
              <w:keepNext w:val="0"/>
              <w:keepLines w:val="0"/>
              <w:widowControl/>
              <w:suppressLineNumbers w:val="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D.课桌椅标识：</w:t>
            </w:r>
          </w:p>
        </w:tc>
        <w:tc>
          <w:tcPr>
            <w:tcW w:w="972" w:type="dxa"/>
          </w:tcPr>
          <w:p w14:paraId="1155B00A">
            <w:pPr>
              <w:rPr>
                <w:color w:val="000000" w:themeColor="text1"/>
                <w:szCs w:val="21"/>
                <w14:textFill>
                  <w14:solidFill>
                    <w14:schemeClr w14:val="tx1"/>
                  </w14:solidFill>
                </w14:textFill>
              </w:rPr>
            </w:pPr>
          </w:p>
        </w:tc>
        <w:tc>
          <w:tcPr>
            <w:tcW w:w="710" w:type="dxa"/>
          </w:tcPr>
          <w:p w14:paraId="6BEDE598">
            <w:pPr>
              <w:rPr>
                <w:color w:val="000000" w:themeColor="text1"/>
                <w:szCs w:val="21"/>
                <w14:textFill>
                  <w14:solidFill>
                    <w14:schemeClr w14:val="tx1"/>
                  </w14:solidFill>
                </w14:textFill>
              </w:rPr>
            </w:pPr>
          </w:p>
        </w:tc>
        <w:tc>
          <w:tcPr>
            <w:tcW w:w="390" w:type="dxa"/>
          </w:tcPr>
          <w:p w14:paraId="78D375F0">
            <w:pPr>
              <w:rPr>
                <w:color w:val="000000" w:themeColor="text1"/>
                <w:szCs w:val="21"/>
                <w14:textFill>
                  <w14:solidFill>
                    <w14:schemeClr w14:val="tx1"/>
                  </w14:solidFill>
                </w14:textFill>
              </w:rPr>
            </w:pPr>
          </w:p>
        </w:tc>
      </w:tr>
      <w:tr w14:paraId="1217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61BE2C8">
            <w:pPr>
              <w:jc w:val="center"/>
              <w:rPr>
                <w:color w:val="000000" w:themeColor="text1"/>
                <w:szCs w:val="21"/>
                <w14:textFill>
                  <w14:solidFill>
                    <w14:schemeClr w14:val="tx1"/>
                  </w14:solidFill>
                </w14:textFill>
              </w:rPr>
            </w:pPr>
          </w:p>
        </w:tc>
        <w:tc>
          <w:tcPr>
            <w:tcW w:w="772" w:type="dxa"/>
            <w:vMerge w:val="continue"/>
            <w:vAlign w:val="center"/>
          </w:tcPr>
          <w:p w14:paraId="622034EA">
            <w:pPr>
              <w:jc w:val="center"/>
              <w:rPr>
                <w:rFonts w:hint="eastAsia"/>
                <w:color w:val="000000" w:themeColor="text1"/>
                <w:szCs w:val="21"/>
                <w14:textFill>
                  <w14:solidFill>
                    <w14:schemeClr w14:val="tx1"/>
                  </w14:solidFill>
                </w14:textFill>
              </w:rPr>
            </w:pPr>
          </w:p>
        </w:tc>
        <w:tc>
          <w:tcPr>
            <w:tcW w:w="5446" w:type="dxa"/>
            <w:vAlign w:val="center"/>
          </w:tcPr>
          <w:p w14:paraId="55AAD146">
            <w:pPr>
              <w:keepNext w:val="0"/>
              <w:keepLines w:val="0"/>
              <w:widowControl/>
              <w:suppressLineNumbers w:val="0"/>
              <w:jc w:val="left"/>
              <w:textAlignment w:val="center"/>
              <w:rPr>
                <w:rFonts w:hint="eastAsia"/>
              </w:rPr>
            </w:pPr>
            <w:r>
              <w:rPr>
                <w:rStyle w:val="38"/>
                <w:rFonts w:hint="eastAsia" w:asciiTheme="majorEastAsia" w:hAnsiTheme="majorEastAsia" w:eastAsiaTheme="majorEastAsia" w:cstheme="majorEastAsia"/>
                <w:sz w:val="21"/>
                <w:szCs w:val="21"/>
                <w:lang w:val="en-US" w:eastAsia="zh-CN" w:bidi="ar"/>
              </w:rPr>
              <w:t>16.</w:t>
            </w:r>
            <w:r>
              <w:rPr>
                <w:rStyle w:val="39"/>
                <w:rFonts w:hint="eastAsia" w:asciiTheme="majorEastAsia" w:hAnsiTheme="majorEastAsia" w:eastAsiaTheme="majorEastAsia" w:cstheme="majorEastAsia"/>
                <w:sz w:val="21"/>
                <w:szCs w:val="21"/>
                <w:lang w:val="en-US" w:eastAsia="zh-CN" w:bidi="ar"/>
              </w:rPr>
              <w:t>采用激光镭射标示，字体稳固不易脱落掉色，利于学校管理使用及产品维护。在可调节的钢制脚架上外侧标记，高度刻度尺用阿拉伯数字作标示。</w:t>
            </w:r>
          </w:p>
        </w:tc>
        <w:tc>
          <w:tcPr>
            <w:tcW w:w="972" w:type="dxa"/>
          </w:tcPr>
          <w:p w14:paraId="16909E92">
            <w:pPr>
              <w:rPr>
                <w:color w:val="000000" w:themeColor="text1"/>
                <w:szCs w:val="21"/>
                <w14:textFill>
                  <w14:solidFill>
                    <w14:schemeClr w14:val="tx1"/>
                  </w14:solidFill>
                </w14:textFill>
              </w:rPr>
            </w:pPr>
          </w:p>
        </w:tc>
        <w:tc>
          <w:tcPr>
            <w:tcW w:w="710" w:type="dxa"/>
          </w:tcPr>
          <w:p w14:paraId="59BAEE0C">
            <w:pPr>
              <w:rPr>
                <w:color w:val="000000" w:themeColor="text1"/>
                <w:szCs w:val="21"/>
                <w14:textFill>
                  <w14:solidFill>
                    <w14:schemeClr w14:val="tx1"/>
                  </w14:solidFill>
                </w14:textFill>
              </w:rPr>
            </w:pPr>
          </w:p>
        </w:tc>
        <w:tc>
          <w:tcPr>
            <w:tcW w:w="390" w:type="dxa"/>
          </w:tcPr>
          <w:p w14:paraId="43F34FA6">
            <w:pPr>
              <w:rPr>
                <w:color w:val="000000" w:themeColor="text1"/>
                <w:szCs w:val="21"/>
                <w14:textFill>
                  <w14:solidFill>
                    <w14:schemeClr w14:val="tx1"/>
                  </w14:solidFill>
                </w14:textFill>
              </w:rPr>
            </w:pPr>
          </w:p>
        </w:tc>
      </w:tr>
      <w:tr w14:paraId="70A9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F31FCB5">
            <w:pPr>
              <w:jc w:val="center"/>
              <w:rPr>
                <w:color w:val="000000" w:themeColor="text1"/>
                <w:szCs w:val="21"/>
                <w14:textFill>
                  <w14:solidFill>
                    <w14:schemeClr w14:val="tx1"/>
                  </w14:solidFill>
                </w14:textFill>
              </w:rPr>
            </w:pPr>
          </w:p>
        </w:tc>
        <w:tc>
          <w:tcPr>
            <w:tcW w:w="772" w:type="dxa"/>
            <w:vMerge w:val="continue"/>
            <w:vAlign w:val="center"/>
          </w:tcPr>
          <w:p w14:paraId="06F0ABD3">
            <w:pPr>
              <w:jc w:val="center"/>
              <w:rPr>
                <w:rFonts w:hint="eastAsia"/>
                <w:color w:val="000000" w:themeColor="text1"/>
                <w:szCs w:val="21"/>
                <w14:textFill>
                  <w14:solidFill>
                    <w14:schemeClr w14:val="tx1"/>
                  </w14:solidFill>
                </w14:textFill>
              </w:rPr>
            </w:pPr>
          </w:p>
        </w:tc>
        <w:tc>
          <w:tcPr>
            <w:tcW w:w="5446" w:type="dxa"/>
            <w:vAlign w:val="center"/>
          </w:tcPr>
          <w:p w14:paraId="3CFFD3E6">
            <w:pPr>
              <w:keepNext w:val="0"/>
              <w:keepLines w:val="0"/>
              <w:widowControl/>
              <w:suppressLineNumbers w:val="0"/>
              <w:jc w:val="left"/>
              <w:textAlignment w:val="center"/>
              <w:rPr>
                <w:rFonts w:hint="eastAsia"/>
              </w:rPr>
            </w:pPr>
            <w:r>
              <w:rPr>
                <w:rStyle w:val="38"/>
                <w:rFonts w:hint="eastAsia" w:asciiTheme="majorEastAsia" w:hAnsiTheme="majorEastAsia" w:eastAsiaTheme="majorEastAsia" w:cstheme="majorEastAsia"/>
                <w:sz w:val="21"/>
                <w:szCs w:val="21"/>
                <w:lang w:val="en-US" w:eastAsia="zh-CN" w:bidi="ar"/>
              </w:rPr>
              <w:t>17.</w:t>
            </w:r>
            <w:r>
              <w:rPr>
                <w:rStyle w:val="39"/>
                <w:rFonts w:hint="eastAsia" w:asciiTheme="majorEastAsia" w:hAnsiTheme="majorEastAsia" w:eastAsiaTheme="majorEastAsia" w:cstheme="majorEastAsia"/>
                <w:sz w:val="21"/>
                <w:szCs w:val="21"/>
                <w:lang w:val="en-US" w:eastAsia="zh-CN" w:bidi="ar"/>
              </w:rPr>
              <w:t>在课桌桌腿立管(钢制脚架上)外侧上做如下标示：a)标示并标有统一的校名（简称）汉字或学校 LOGO，满足学校财产登记；b)标示并标有生产（出厂）年月日数字标识，保证设备保修售后；c)标示并标有产品序列号数字标识（编码从0001开始的四位流水号），满足学校财产登记；d)标示并标有高度刻度尺数字标识，满足标准要求。</w:t>
            </w:r>
          </w:p>
        </w:tc>
        <w:tc>
          <w:tcPr>
            <w:tcW w:w="972" w:type="dxa"/>
          </w:tcPr>
          <w:p w14:paraId="3BAA656F">
            <w:pPr>
              <w:rPr>
                <w:color w:val="000000" w:themeColor="text1"/>
                <w:szCs w:val="21"/>
                <w14:textFill>
                  <w14:solidFill>
                    <w14:schemeClr w14:val="tx1"/>
                  </w14:solidFill>
                </w14:textFill>
              </w:rPr>
            </w:pPr>
          </w:p>
        </w:tc>
        <w:tc>
          <w:tcPr>
            <w:tcW w:w="710" w:type="dxa"/>
          </w:tcPr>
          <w:p w14:paraId="2F5E91BC">
            <w:pPr>
              <w:rPr>
                <w:color w:val="000000" w:themeColor="text1"/>
                <w:szCs w:val="21"/>
                <w14:textFill>
                  <w14:solidFill>
                    <w14:schemeClr w14:val="tx1"/>
                  </w14:solidFill>
                </w14:textFill>
              </w:rPr>
            </w:pPr>
          </w:p>
        </w:tc>
        <w:tc>
          <w:tcPr>
            <w:tcW w:w="390" w:type="dxa"/>
          </w:tcPr>
          <w:p w14:paraId="7D0B9854">
            <w:pPr>
              <w:rPr>
                <w:color w:val="000000" w:themeColor="text1"/>
                <w:szCs w:val="21"/>
                <w14:textFill>
                  <w14:solidFill>
                    <w14:schemeClr w14:val="tx1"/>
                  </w14:solidFill>
                </w14:textFill>
              </w:rPr>
            </w:pPr>
          </w:p>
        </w:tc>
      </w:tr>
      <w:tr w14:paraId="2459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177888F">
            <w:pPr>
              <w:jc w:val="center"/>
              <w:rPr>
                <w:color w:val="000000" w:themeColor="text1"/>
                <w:szCs w:val="21"/>
                <w14:textFill>
                  <w14:solidFill>
                    <w14:schemeClr w14:val="tx1"/>
                  </w14:solidFill>
                </w14:textFill>
              </w:rPr>
            </w:pPr>
          </w:p>
        </w:tc>
        <w:tc>
          <w:tcPr>
            <w:tcW w:w="772" w:type="dxa"/>
            <w:vMerge w:val="continue"/>
            <w:vAlign w:val="center"/>
          </w:tcPr>
          <w:p w14:paraId="2FE2F7D7">
            <w:pPr>
              <w:jc w:val="center"/>
              <w:rPr>
                <w:rFonts w:hint="eastAsia"/>
                <w:color w:val="000000" w:themeColor="text1"/>
                <w:szCs w:val="21"/>
                <w14:textFill>
                  <w14:solidFill>
                    <w14:schemeClr w14:val="tx1"/>
                  </w14:solidFill>
                </w14:textFill>
              </w:rPr>
            </w:pPr>
          </w:p>
        </w:tc>
        <w:tc>
          <w:tcPr>
            <w:tcW w:w="5446" w:type="dxa"/>
            <w:vAlign w:val="center"/>
          </w:tcPr>
          <w:p w14:paraId="2370BCC1">
            <w:pPr>
              <w:keepNext w:val="0"/>
              <w:keepLines w:val="0"/>
              <w:widowControl/>
              <w:suppressLineNumbers w:val="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E.脚垫</w:t>
            </w:r>
          </w:p>
        </w:tc>
        <w:tc>
          <w:tcPr>
            <w:tcW w:w="972" w:type="dxa"/>
          </w:tcPr>
          <w:p w14:paraId="70DA3F32">
            <w:pPr>
              <w:rPr>
                <w:color w:val="000000" w:themeColor="text1"/>
                <w:szCs w:val="21"/>
                <w14:textFill>
                  <w14:solidFill>
                    <w14:schemeClr w14:val="tx1"/>
                  </w14:solidFill>
                </w14:textFill>
              </w:rPr>
            </w:pPr>
          </w:p>
        </w:tc>
        <w:tc>
          <w:tcPr>
            <w:tcW w:w="710" w:type="dxa"/>
          </w:tcPr>
          <w:p w14:paraId="7E5E635D">
            <w:pPr>
              <w:rPr>
                <w:color w:val="000000" w:themeColor="text1"/>
                <w:szCs w:val="21"/>
                <w14:textFill>
                  <w14:solidFill>
                    <w14:schemeClr w14:val="tx1"/>
                  </w14:solidFill>
                </w14:textFill>
              </w:rPr>
            </w:pPr>
          </w:p>
        </w:tc>
        <w:tc>
          <w:tcPr>
            <w:tcW w:w="390" w:type="dxa"/>
          </w:tcPr>
          <w:p w14:paraId="08CA97FD">
            <w:pPr>
              <w:rPr>
                <w:color w:val="000000" w:themeColor="text1"/>
                <w:szCs w:val="21"/>
                <w14:textFill>
                  <w14:solidFill>
                    <w14:schemeClr w14:val="tx1"/>
                  </w14:solidFill>
                </w14:textFill>
              </w:rPr>
            </w:pPr>
          </w:p>
        </w:tc>
      </w:tr>
      <w:tr w14:paraId="18423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1B83016">
            <w:pPr>
              <w:jc w:val="center"/>
              <w:rPr>
                <w:color w:val="000000" w:themeColor="text1"/>
                <w:szCs w:val="21"/>
                <w14:textFill>
                  <w14:solidFill>
                    <w14:schemeClr w14:val="tx1"/>
                  </w14:solidFill>
                </w14:textFill>
              </w:rPr>
            </w:pPr>
          </w:p>
        </w:tc>
        <w:tc>
          <w:tcPr>
            <w:tcW w:w="772" w:type="dxa"/>
            <w:vMerge w:val="continue"/>
            <w:vAlign w:val="center"/>
          </w:tcPr>
          <w:p w14:paraId="4A1D2810">
            <w:pPr>
              <w:jc w:val="center"/>
              <w:rPr>
                <w:rFonts w:hint="eastAsia"/>
                <w:color w:val="000000" w:themeColor="text1"/>
                <w:szCs w:val="21"/>
                <w14:textFill>
                  <w14:solidFill>
                    <w14:schemeClr w14:val="tx1"/>
                  </w14:solidFill>
                </w14:textFill>
              </w:rPr>
            </w:pPr>
          </w:p>
        </w:tc>
        <w:tc>
          <w:tcPr>
            <w:tcW w:w="5446" w:type="dxa"/>
            <w:vAlign w:val="center"/>
          </w:tcPr>
          <w:p w14:paraId="4BE5CFF6">
            <w:pPr>
              <w:keepNext w:val="0"/>
              <w:keepLines w:val="0"/>
              <w:widowControl/>
              <w:suppressLineNumbers w:val="0"/>
              <w:jc w:val="left"/>
              <w:textAlignment w:val="center"/>
              <w:rPr>
                <w:rFonts w:hint="eastAsia"/>
              </w:rPr>
            </w:pPr>
            <w:r>
              <w:rPr>
                <w:rStyle w:val="38"/>
                <w:rFonts w:hint="eastAsia" w:asciiTheme="majorEastAsia" w:hAnsiTheme="majorEastAsia" w:eastAsiaTheme="majorEastAsia" w:cstheme="majorEastAsia"/>
                <w:sz w:val="21"/>
                <w:szCs w:val="21"/>
                <w:lang w:val="en-US" w:eastAsia="zh-CN" w:bidi="ar"/>
              </w:rPr>
              <w:t>18.</w:t>
            </w:r>
            <w:r>
              <w:rPr>
                <w:rStyle w:val="39"/>
                <w:rFonts w:hint="eastAsia" w:asciiTheme="majorEastAsia" w:hAnsiTheme="majorEastAsia" w:eastAsiaTheme="majorEastAsia" w:cstheme="majorEastAsia"/>
                <w:sz w:val="21"/>
                <w:szCs w:val="21"/>
                <w:lang w:val="en-US" w:eastAsia="zh-CN" w:bidi="ar"/>
              </w:rPr>
              <w:t>材质：采用PP塑料（塑胶）一体射出成并用圆头十字自攻螺丝锁付。</w:t>
            </w:r>
          </w:p>
        </w:tc>
        <w:tc>
          <w:tcPr>
            <w:tcW w:w="972" w:type="dxa"/>
          </w:tcPr>
          <w:p w14:paraId="4967E5EB">
            <w:pPr>
              <w:rPr>
                <w:color w:val="000000" w:themeColor="text1"/>
                <w:szCs w:val="21"/>
                <w14:textFill>
                  <w14:solidFill>
                    <w14:schemeClr w14:val="tx1"/>
                  </w14:solidFill>
                </w14:textFill>
              </w:rPr>
            </w:pPr>
          </w:p>
        </w:tc>
        <w:tc>
          <w:tcPr>
            <w:tcW w:w="710" w:type="dxa"/>
          </w:tcPr>
          <w:p w14:paraId="0DA7C56C">
            <w:pPr>
              <w:rPr>
                <w:color w:val="000000" w:themeColor="text1"/>
                <w:szCs w:val="21"/>
                <w14:textFill>
                  <w14:solidFill>
                    <w14:schemeClr w14:val="tx1"/>
                  </w14:solidFill>
                </w14:textFill>
              </w:rPr>
            </w:pPr>
          </w:p>
        </w:tc>
        <w:tc>
          <w:tcPr>
            <w:tcW w:w="390" w:type="dxa"/>
          </w:tcPr>
          <w:p w14:paraId="3D518673">
            <w:pPr>
              <w:rPr>
                <w:color w:val="000000" w:themeColor="text1"/>
                <w:szCs w:val="21"/>
                <w14:textFill>
                  <w14:solidFill>
                    <w14:schemeClr w14:val="tx1"/>
                  </w14:solidFill>
                </w14:textFill>
              </w:rPr>
            </w:pPr>
          </w:p>
        </w:tc>
      </w:tr>
      <w:tr w14:paraId="3482B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0843B30">
            <w:pPr>
              <w:jc w:val="center"/>
              <w:rPr>
                <w:color w:val="000000" w:themeColor="text1"/>
                <w:szCs w:val="21"/>
                <w14:textFill>
                  <w14:solidFill>
                    <w14:schemeClr w14:val="tx1"/>
                  </w14:solidFill>
                </w14:textFill>
              </w:rPr>
            </w:pPr>
          </w:p>
        </w:tc>
        <w:tc>
          <w:tcPr>
            <w:tcW w:w="772" w:type="dxa"/>
            <w:vMerge w:val="continue"/>
            <w:vAlign w:val="center"/>
          </w:tcPr>
          <w:p w14:paraId="0F3CCDEA">
            <w:pPr>
              <w:jc w:val="center"/>
              <w:rPr>
                <w:rFonts w:hint="eastAsia"/>
                <w:color w:val="000000" w:themeColor="text1"/>
                <w:szCs w:val="21"/>
                <w14:textFill>
                  <w14:solidFill>
                    <w14:schemeClr w14:val="tx1"/>
                  </w14:solidFill>
                </w14:textFill>
              </w:rPr>
            </w:pPr>
          </w:p>
        </w:tc>
        <w:tc>
          <w:tcPr>
            <w:tcW w:w="5446" w:type="dxa"/>
            <w:vAlign w:val="center"/>
          </w:tcPr>
          <w:p w14:paraId="2995FCF1">
            <w:pPr>
              <w:keepNext w:val="0"/>
              <w:keepLines w:val="0"/>
              <w:widowControl/>
              <w:suppressLineNumbers w:val="0"/>
              <w:jc w:val="left"/>
              <w:textAlignment w:val="center"/>
              <w:rPr>
                <w:rFonts w:hint="eastAsia"/>
              </w:rPr>
            </w:pPr>
            <w:r>
              <w:rPr>
                <w:rStyle w:val="38"/>
                <w:rFonts w:hint="eastAsia" w:asciiTheme="majorEastAsia" w:hAnsiTheme="majorEastAsia" w:eastAsiaTheme="majorEastAsia" w:cstheme="majorEastAsia"/>
                <w:sz w:val="21"/>
                <w:szCs w:val="21"/>
                <w:lang w:val="en-US" w:eastAsia="zh-CN" w:bidi="ar"/>
              </w:rPr>
              <w:t>19</w:t>
            </w:r>
            <w:r>
              <w:rPr>
                <w:rStyle w:val="38"/>
                <w:rFonts w:hint="eastAsia" w:asciiTheme="majorEastAsia" w:hAnsiTheme="majorEastAsia" w:eastAsiaTheme="majorEastAsia" w:cstheme="majorEastAsia"/>
                <w:color w:val="auto"/>
                <w:sz w:val="21"/>
                <w:szCs w:val="21"/>
                <w:lang w:val="en-US" w:eastAsia="zh-CN" w:bidi="ar"/>
              </w:rPr>
              <w:t>.</w:t>
            </w:r>
            <w:r>
              <w:rPr>
                <w:rStyle w:val="40"/>
                <w:rFonts w:hint="eastAsia" w:asciiTheme="majorEastAsia" w:hAnsiTheme="majorEastAsia" w:eastAsiaTheme="majorEastAsia" w:cstheme="majorEastAsia"/>
                <w:color w:val="auto"/>
                <w:sz w:val="21"/>
                <w:szCs w:val="21"/>
                <w:lang w:val="en-US" w:eastAsia="zh-CN" w:bidi="ar"/>
              </w:rPr>
              <w:t>功能：脚垫采用固定螺丝和地平调节螺丝独立专用的安装模式：固定螺丝用于连接贴地管与脚垫，使脚垫不易脱落。地平调节螺丝可用螺丝刀旋转任意调节水平度的功能，同时还可以防止课桌倾斜。地平调节螺丝采用耐磨塑钢胶料POM材质螺纹制造、旋转顺滑且不生锈、质量轻且承重性强、防滑防震、耐磨降噪。</w:t>
            </w:r>
          </w:p>
        </w:tc>
        <w:tc>
          <w:tcPr>
            <w:tcW w:w="972" w:type="dxa"/>
          </w:tcPr>
          <w:p w14:paraId="5CF08F6E">
            <w:pPr>
              <w:rPr>
                <w:color w:val="000000" w:themeColor="text1"/>
                <w:szCs w:val="21"/>
                <w14:textFill>
                  <w14:solidFill>
                    <w14:schemeClr w14:val="tx1"/>
                  </w14:solidFill>
                </w14:textFill>
              </w:rPr>
            </w:pPr>
          </w:p>
        </w:tc>
        <w:tc>
          <w:tcPr>
            <w:tcW w:w="710" w:type="dxa"/>
          </w:tcPr>
          <w:p w14:paraId="642BA88A">
            <w:pPr>
              <w:rPr>
                <w:color w:val="000000" w:themeColor="text1"/>
                <w:szCs w:val="21"/>
                <w14:textFill>
                  <w14:solidFill>
                    <w14:schemeClr w14:val="tx1"/>
                  </w14:solidFill>
                </w14:textFill>
              </w:rPr>
            </w:pPr>
          </w:p>
        </w:tc>
        <w:tc>
          <w:tcPr>
            <w:tcW w:w="390" w:type="dxa"/>
          </w:tcPr>
          <w:p w14:paraId="112A8B44">
            <w:pPr>
              <w:rPr>
                <w:color w:val="000000" w:themeColor="text1"/>
                <w:szCs w:val="21"/>
                <w14:textFill>
                  <w14:solidFill>
                    <w14:schemeClr w14:val="tx1"/>
                  </w14:solidFill>
                </w14:textFill>
              </w:rPr>
            </w:pPr>
          </w:p>
        </w:tc>
      </w:tr>
      <w:tr w14:paraId="40EFB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AFCDCF6">
            <w:pPr>
              <w:jc w:val="center"/>
              <w:rPr>
                <w:color w:val="000000" w:themeColor="text1"/>
                <w:szCs w:val="21"/>
                <w14:textFill>
                  <w14:solidFill>
                    <w14:schemeClr w14:val="tx1"/>
                  </w14:solidFill>
                </w14:textFill>
              </w:rPr>
            </w:pPr>
          </w:p>
        </w:tc>
        <w:tc>
          <w:tcPr>
            <w:tcW w:w="772" w:type="dxa"/>
            <w:vMerge w:val="continue"/>
            <w:vAlign w:val="center"/>
          </w:tcPr>
          <w:p w14:paraId="2AE96F5F">
            <w:pPr>
              <w:jc w:val="center"/>
              <w:rPr>
                <w:rFonts w:hint="eastAsia"/>
                <w:color w:val="000000" w:themeColor="text1"/>
                <w:szCs w:val="21"/>
                <w14:textFill>
                  <w14:solidFill>
                    <w14:schemeClr w14:val="tx1"/>
                  </w14:solidFill>
                </w14:textFill>
              </w:rPr>
            </w:pPr>
          </w:p>
        </w:tc>
        <w:tc>
          <w:tcPr>
            <w:tcW w:w="5446" w:type="dxa"/>
            <w:vAlign w:val="center"/>
          </w:tcPr>
          <w:p w14:paraId="08222347">
            <w:pPr>
              <w:keepNext w:val="0"/>
              <w:keepLines w:val="0"/>
              <w:widowControl/>
              <w:suppressLineNumbers w:val="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F.挂钩</w:t>
            </w:r>
          </w:p>
        </w:tc>
        <w:tc>
          <w:tcPr>
            <w:tcW w:w="972" w:type="dxa"/>
          </w:tcPr>
          <w:p w14:paraId="791298AA">
            <w:pPr>
              <w:rPr>
                <w:color w:val="000000" w:themeColor="text1"/>
                <w:szCs w:val="21"/>
                <w14:textFill>
                  <w14:solidFill>
                    <w14:schemeClr w14:val="tx1"/>
                  </w14:solidFill>
                </w14:textFill>
              </w:rPr>
            </w:pPr>
          </w:p>
        </w:tc>
        <w:tc>
          <w:tcPr>
            <w:tcW w:w="710" w:type="dxa"/>
          </w:tcPr>
          <w:p w14:paraId="37D0D810">
            <w:pPr>
              <w:rPr>
                <w:color w:val="000000" w:themeColor="text1"/>
                <w:szCs w:val="21"/>
                <w14:textFill>
                  <w14:solidFill>
                    <w14:schemeClr w14:val="tx1"/>
                  </w14:solidFill>
                </w14:textFill>
              </w:rPr>
            </w:pPr>
          </w:p>
        </w:tc>
        <w:tc>
          <w:tcPr>
            <w:tcW w:w="390" w:type="dxa"/>
          </w:tcPr>
          <w:p w14:paraId="291AA7FD">
            <w:pPr>
              <w:rPr>
                <w:color w:val="000000" w:themeColor="text1"/>
                <w:szCs w:val="21"/>
                <w14:textFill>
                  <w14:solidFill>
                    <w14:schemeClr w14:val="tx1"/>
                  </w14:solidFill>
                </w14:textFill>
              </w:rPr>
            </w:pPr>
          </w:p>
        </w:tc>
      </w:tr>
      <w:tr w14:paraId="60DB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B780CC4">
            <w:pPr>
              <w:jc w:val="center"/>
              <w:rPr>
                <w:color w:val="000000" w:themeColor="text1"/>
                <w:szCs w:val="21"/>
                <w14:textFill>
                  <w14:solidFill>
                    <w14:schemeClr w14:val="tx1"/>
                  </w14:solidFill>
                </w14:textFill>
              </w:rPr>
            </w:pPr>
          </w:p>
        </w:tc>
        <w:tc>
          <w:tcPr>
            <w:tcW w:w="772" w:type="dxa"/>
            <w:vMerge w:val="continue"/>
            <w:vAlign w:val="center"/>
          </w:tcPr>
          <w:p w14:paraId="17C97238">
            <w:pPr>
              <w:jc w:val="center"/>
              <w:rPr>
                <w:rFonts w:hint="eastAsia"/>
                <w:color w:val="000000" w:themeColor="text1"/>
                <w:szCs w:val="21"/>
                <w14:textFill>
                  <w14:solidFill>
                    <w14:schemeClr w14:val="tx1"/>
                  </w14:solidFill>
                </w14:textFill>
              </w:rPr>
            </w:pPr>
          </w:p>
        </w:tc>
        <w:tc>
          <w:tcPr>
            <w:tcW w:w="5446" w:type="dxa"/>
            <w:vAlign w:val="center"/>
          </w:tcPr>
          <w:p w14:paraId="36691724">
            <w:pPr>
              <w:keepNext w:val="0"/>
              <w:keepLines w:val="0"/>
              <w:widowControl/>
              <w:suppressLineNumbers w:val="0"/>
              <w:jc w:val="left"/>
              <w:textAlignment w:val="center"/>
              <w:rPr>
                <w:rFonts w:hint="eastAsia"/>
              </w:rPr>
            </w:pPr>
            <w:r>
              <w:rPr>
                <w:rStyle w:val="38"/>
                <w:rFonts w:hint="eastAsia" w:asciiTheme="majorEastAsia" w:hAnsiTheme="majorEastAsia" w:eastAsiaTheme="majorEastAsia" w:cstheme="majorEastAsia"/>
                <w:sz w:val="21"/>
                <w:szCs w:val="21"/>
                <w:lang w:val="en-US" w:eastAsia="zh-CN" w:bidi="ar"/>
              </w:rPr>
              <w:t>20.</w:t>
            </w:r>
            <w:r>
              <w:rPr>
                <w:rStyle w:val="39"/>
                <w:rFonts w:hint="eastAsia" w:asciiTheme="majorEastAsia" w:hAnsiTheme="majorEastAsia" w:eastAsiaTheme="majorEastAsia" w:cstheme="majorEastAsia"/>
                <w:sz w:val="21"/>
                <w:szCs w:val="21"/>
                <w:lang w:val="en-US" w:eastAsia="zh-CN" w:bidi="ar"/>
              </w:rPr>
              <w:t>材质：PP塑料（塑胶）。</w:t>
            </w:r>
            <w:r>
              <w:rPr>
                <w:rStyle w:val="38"/>
                <w:rFonts w:hint="eastAsia" w:asciiTheme="majorEastAsia" w:hAnsiTheme="majorEastAsia" w:eastAsiaTheme="majorEastAsia" w:cstheme="majorEastAsia"/>
                <w:sz w:val="21"/>
                <w:szCs w:val="21"/>
                <w:lang w:val="en-US" w:eastAsia="zh-CN" w:bidi="ar"/>
              </w:rPr>
              <w:t>挂钩与书箱一体成型设计。</w:t>
            </w:r>
            <w:r>
              <w:rPr>
                <w:rStyle w:val="39"/>
                <w:rFonts w:hint="eastAsia" w:asciiTheme="majorEastAsia" w:hAnsiTheme="majorEastAsia" w:eastAsiaTheme="majorEastAsia" w:cstheme="majorEastAsia"/>
                <w:sz w:val="21"/>
                <w:szCs w:val="21"/>
                <w:lang w:val="en-US" w:eastAsia="zh-CN" w:bidi="ar"/>
              </w:rPr>
              <w:t xml:space="preserve"> </w:t>
            </w:r>
          </w:p>
        </w:tc>
        <w:tc>
          <w:tcPr>
            <w:tcW w:w="972" w:type="dxa"/>
          </w:tcPr>
          <w:p w14:paraId="3F526E04">
            <w:pPr>
              <w:rPr>
                <w:color w:val="000000" w:themeColor="text1"/>
                <w:szCs w:val="21"/>
                <w14:textFill>
                  <w14:solidFill>
                    <w14:schemeClr w14:val="tx1"/>
                  </w14:solidFill>
                </w14:textFill>
              </w:rPr>
            </w:pPr>
          </w:p>
        </w:tc>
        <w:tc>
          <w:tcPr>
            <w:tcW w:w="710" w:type="dxa"/>
          </w:tcPr>
          <w:p w14:paraId="7C550272">
            <w:pPr>
              <w:rPr>
                <w:color w:val="000000" w:themeColor="text1"/>
                <w:szCs w:val="21"/>
                <w14:textFill>
                  <w14:solidFill>
                    <w14:schemeClr w14:val="tx1"/>
                  </w14:solidFill>
                </w14:textFill>
              </w:rPr>
            </w:pPr>
          </w:p>
        </w:tc>
        <w:tc>
          <w:tcPr>
            <w:tcW w:w="390" w:type="dxa"/>
          </w:tcPr>
          <w:p w14:paraId="273F4919">
            <w:pPr>
              <w:rPr>
                <w:color w:val="000000" w:themeColor="text1"/>
                <w:szCs w:val="21"/>
                <w14:textFill>
                  <w14:solidFill>
                    <w14:schemeClr w14:val="tx1"/>
                  </w14:solidFill>
                </w14:textFill>
              </w:rPr>
            </w:pPr>
          </w:p>
        </w:tc>
      </w:tr>
      <w:tr w14:paraId="5E2B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519DAA9">
            <w:pPr>
              <w:jc w:val="center"/>
              <w:rPr>
                <w:color w:val="000000" w:themeColor="text1"/>
                <w:szCs w:val="21"/>
                <w14:textFill>
                  <w14:solidFill>
                    <w14:schemeClr w14:val="tx1"/>
                  </w14:solidFill>
                </w14:textFill>
              </w:rPr>
            </w:pPr>
          </w:p>
        </w:tc>
        <w:tc>
          <w:tcPr>
            <w:tcW w:w="772" w:type="dxa"/>
            <w:vMerge w:val="continue"/>
            <w:vAlign w:val="center"/>
          </w:tcPr>
          <w:p w14:paraId="5B481CFC">
            <w:pPr>
              <w:jc w:val="center"/>
              <w:rPr>
                <w:rFonts w:hint="eastAsia"/>
                <w:color w:val="000000" w:themeColor="text1"/>
                <w:szCs w:val="21"/>
                <w14:textFill>
                  <w14:solidFill>
                    <w14:schemeClr w14:val="tx1"/>
                  </w14:solidFill>
                </w14:textFill>
              </w:rPr>
            </w:pPr>
          </w:p>
        </w:tc>
        <w:tc>
          <w:tcPr>
            <w:tcW w:w="5446" w:type="dxa"/>
            <w:vAlign w:val="center"/>
          </w:tcPr>
          <w:p w14:paraId="66CBB929">
            <w:pPr>
              <w:keepNext w:val="0"/>
              <w:keepLines w:val="0"/>
              <w:widowControl/>
              <w:suppressLineNumbers w:val="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G.其他配件-</w:t>
            </w:r>
            <w:r>
              <w:rPr>
                <w:rStyle w:val="39"/>
                <w:rFonts w:hint="eastAsia" w:asciiTheme="majorEastAsia" w:hAnsiTheme="majorEastAsia" w:eastAsiaTheme="majorEastAsia" w:cstheme="majorEastAsia"/>
                <w:sz w:val="21"/>
                <w:szCs w:val="21"/>
                <w:lang w:val="en-US" w:eastAsia="zh-CN" w:bidi="ar"/>
              </w:rPr>
              <w:t>快速升降调节组件</w:t>
            </w:r>
          </w:p>
        </w:tc>
        <w:tc>
          <w:tcPr>
            <w:tcW w:w="972" w:type="dxa"/>
          </w:tcPr>
          <w:p w14:paraId="0771F8E7">
            <w:pPr>
              <w:rPr>
                <w:color w:val="000000" w:themeColor="text1"/>
                <w:szCs w:val="21"/>
                <w14:textFill>
                  <w14:solidFill>
                    <w14:schemeClr w14:val="tx1"/>
                  </w14:solidFill>
                </w14:textFill>
              </w:rPr>
            </w:pPr>
          </w:p>
        </w:tc>
        <w:tc>
          <w:tcPr>
            <w:tcW w:w="710" w:type="dxa"/>
          </w:tcPr>
          <w:p w14:paraId="5642FF08">
            <w:pPr>
              <w:rPr>
                <w:color w:val="000000" w:themeColor="text1"/>
                <w:szCs w:val="21"/>
                <w14:textFill>
                  <w14:solidFill>
                    <w14:schemeClr w14:val="tx1"/>
                  </w14:solidFill>
                </w14:textFill>
              </w:rPr>
            </w:pPr>
          </w:p>
        </w:tc>
        <w:tc>
          <w:tcPr>
            <w:tcW w:w="390" w:type="dxa"/>
          </w:tcPr>
          <w:p w14:paraId="48D478FF">
            <w:pPr>
              <w:rPr>
                <w:color w:val="000000" w:themeColor="text1"/>
                <w:szCs w:val="21"/>
                <w14:textFill>
                  <w14:solidFill>
                    <w14:schemeClr w14:val="tx1"/>
                  </w14:solidFill>
                </w14:textFill>
              </w:rPr>
            </w:pPr>
          </w:p>
        </w:tc>
      </w:tr>
      <w:tr w14:paraId="7160B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FC73A03">
            <w:pPr>
              <w:jc w:val="center"/>
              <w:rPr>
                <w:color w:val="000000" w:themeColor="text1"/>
                <w:szCs w:val="21"/>
                <w14:textFill>
                  <w14:solidFill>
                    <w14:schemeClr w14:val="tx1"/>
                  </w14:solidFill>
                </w14:textFill>
              </w:rPr>
            </w:pPr>
          </w:p>
        </w:tc>
        <w:tc>
          <w:tcPr>
            <w:tcW w:w="772" w:type="dxa"/>
            <w:vMerge w:val="continue"/>
            <w:vAlign w:val="center"/>
          </w:tcPr>
          <w:p w14:paraId="5979ED8F">
            <w:pPr>
              <w:jc w:val="center"/>
              <w:rPr>
                <w:rFonts w:hint="eastAsia"/>
                <w:color w:val="000000" w:themeColor="text1"/>
                <w:szCs w:val="21"/>
                <w14:textFill>
                  <w14:solidFill>
                    <w14:schemeClr w14:val="tx1"/>
                  </w14:solidFill>
                </w14:textFill>
              </w:rPr>
            </w:pPr>
          </w:p>
        </w:tc>
        <w:tc>
          <w:tcPr>
            <w:tcW w:w="5446" w:type="dxa"/>
            <w:vAlign w:val="center"/>
          </w:tcPr>
          <w:p w14:paraId="5EFAAD08">
            <w:pPr>
              <w:keepNext w:val="0"/>
              <w:keepLines w:val="0"/>
              <w:widowControl/>
              <w:suppressLineNumbers w:val="0"/>
              <w:jc w:val="left"/>
              <w:textAlignment w:val="center"/>
              <w:rPr>
                <w:rFonts w:hint="eastAsia"/>
              </w:rPr>
            </w:pPr>
            <w:r>
              <w:rPr>
                <w:rStyle w:val="38"/>
                <w:rFonts w:hint="eastAsia" w:asciiTheme="majorEastAsia" w:hAnsiTheme="majorEastAsia" w:eastAsiaTheme="majorEastAsia" w:cstheme="majorEastAsia"/>
                <w:sz w:val="21"/>
                <w:szCs w:val="21"/>
                <w:lang w:val="en-US" w:eastAsia="zh-CN" w:bidi="ar"/>
              </w:rPr>
              <w:t>21.</w:t>
            </w:r>
            <w:r>
              <w:rPr>
                <w:rStyle w:val="39"/>
                <w:rFonts w:hint="eastAsia" w:asciiTheme="majorEastAsia" w:hAnsiTheme="majorEastAsia" w:eastAsiaTheme="majorEastAsia" w:cstheme="majorEastAsia"/>
                <w:sz w:val="21"/>
                <w:szCs w:val="21"/>
                <w:lang w:val="en-US" w:eastAsia="zh-CN" w:bidi="ar"/>
              </w:rPr>
              <w:t>可调式升降结构：采用上下安全升降结构组合成，课桌桌腿升降器由中间传动轴连接课桌的左右腿活动立管，可以同时升降。组件装置安全性：桌腿外侧外观无外露螺丝五金件，左右腿都可以调整高度。</w:t>
            </w:r>
          </w:p>
        </w:tc>
        <w:tc>
          <w:tcPr>
            <w:tcW w:w="972" w:type="dxa"/>
          </w:tcPr>
          <w:p w14:paraId="5A284862">
            <w:pPr>
              <w:rPr>
                <w:color w:val="000000" w:themeColor="text1"/>
                <w:szCs w:val="21"/>
                <w14:textFill>
                  <w14:solidFill>
                    <w14:schemeClr w14:val="tx1"/>
                  </w14:solidFill>
                </w14:textFill>
              </w:rPr>
            </w:pPr>
          </w:p>
        </w:tc>
        <w:tc>
          <w:tcPr>
            <w:tcW w:w="710" w:type="dxa"/>
          </w:tcPr>
          <w:p w14:paraId="1506C8C2">
            <w:pPr>
              <w:rPr>
                <w:color w:val="000000" w:themeColor="text1"/>
                <w:szCs w:val="21"/>
                <w14:textFill>
                  <w14:solidFill>
                    <w14:schemeClr w14:val="tx1"/>
                  </w14:solidFill>
                </w14:textFill>
              </w:rPr>
            </w:pPr>
          </w:p>
        </w:tc>
        <w:tc>
          <w:tcPr>
            <w:tcW w:w="390" w:type="dxa"/>
          </w:tcPr>
          <w:p w14:paraId="46B4711E">
            <w:pPr>
              <w:rPr>
                <w:color w:val="000000" w:themeColor="text1"/>
                <w:szCs w:val="21"/>
                <w14:textFill>
                  <w14:solidFill>
                    <w14:schemeClr w14:val="tx1"/>
                  </w14:solidFill>
                </w14:textFill>
              </w:rPr>
            </w:pPr>
          </w:p>
        </w:tc>
      </w:tr>
      <w:tr w14:paraId="6A49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DC6FDCD">
            <w:pPr>
              <w:jc w:val="center"/>
              <w:rPr>
                <w:color w:val="000000" w:themeColor="text1"/>
                <w:szCs w:val="21"/>
                <w14:textFill>
                  <w14:solidFill>
                    <w14:schemeClr w14:val="tx1"/>
                  </w14:solidFill>
                </w14:textFill>
              </w:rPr>
            </w:pPr>
          </w:p>
        </w:tc>
        <w:tc>
          <w:tcPr>
            <w:tcW w:w="772" w:type="dxa"/>
            <w:vMerge w:val="continue"/>
            <w:vAlign w:val="center"/>
          </w:tcPr>
          <w:p w14:paraId="68E4A2C4">
            <w:pPr>
              <w:jc w:val="center"/>
              <w:rPr>
                <w:rFonts w:hint="eastAsia"/>
                <w:color w:val="000000" w:themeColor="text1"/>
                <w:szCs w:val="21"/>
                <w14:textFill>
                  <w14:solidFill>
                    <w14:schemeClr w14:val="tx1"/>
                  </w14:solidFill>
                </w14:textFill>
              </w:rPr>
            </w:pPr>
          </w:p>
        </w:tc>
        <w:tc>
          <w:tcPr>
            <w:tcW w:w="5446" w:type="dxa"/>
            <w:vAlign w:val="center"/>
          </w:tcPr>
          <w:p w14:paraId="4215CFD8">
            <w:pPr>
              <w:keepNext w:val="0"/>
              <w:keepLines w:val="0"/>
              <w:widowControl/>
              <w:suppressLineNumbers w:val="0"/>
              <w:jc w:val="left"/>
              <w:textAlignment w:val="center"/>
              <w:rPr>
                <w:rFonts w:hint="eastAsia"/>
              </w:rPr>
            </w:pPr>
            <w:r>
              <w:rPr>
                <w:rStyle w:val="38"/>
                <w:rFonts w:hint="eastAsia" w:asciiTheme="majorEastAsia" w:hAnsiTheme="majorEastAsia" w:eastAsiaTheme="majorEastAsia" w:cstheme="majorEastAsia"/>
                <w:sz w:val="21"/>
                <w:szCs w:val="21"/>
                <w:lang w:val="en-US" w:eastAsia="zh-CN" w:bidi="ar"/>
              </w:rPr>
              <w:t>22.</w:t>
            </w:r>
            <w:r>
              <w:rPr>
                <w:rStyle w:val="39"/>
                <w:rFonts w:hint="eastAsia" w:asciiTheme="majorEastAsia" w:hAnsiTheme="majorEastAsia" w:eastAsiaTheme="majorEastAsia" w:cstheme="majorEastAsia"/>
                <w:sz w:val="21"/>
                <w:szCs w:val="21"/>
                <w:lang w:val="en-US" w:eastAsia="zh-CN" w:bidi="ar"/>
              </w:rPr>
              <w:t>升降技术要求：手摇升降调节，每张课桌满足手摇升降调节行程不少于9cm,符合 0～3号、2～6号、6～9号学生课桌标准，可调节高度区间至少满足52cm-61cm、61cm-73cm、70cm-79cm，在区间内可通过手摇升降快速调节到任意的高度，满足不同学生身高体重个性需求（具体实际要求高度以学校要求为准）。升降刻度尺采用激光镭射打印。</w:t>
            </w:r>
          </w:p>
        </w:tc>
        <w:tc>
          <w:tcPr>
            <w:tcW w:w="972" w:type="dxa"/>
          </w:tcPr>
          <w:p w14:paraId="662576DE">
            <w:pPr>
              <w:rPr>
                <w:color w:val="000000" w:themeColor="text1"/>
                <w:szCs w:val="21"/>
                <w14:textFill>
                  <w14:solidFill>
                    <w14:schemeClr w14:val="tx1"/>
                  </w14:solidFill>
                </w14:textFill>
              </w:rPr>
            </w:pPr>
          </w:p>
        </w:tc>
        <w:tc>
          <w:tcPr>
            <w:tcW w:w="710" w:type="dxa"/>
          </w:tcPr>
          <w:p w14:paraId="3E3E21B4">
            <w:pPr>
              <w:rPr>
                <w:color w:val="000000" w:themeColor="text1"/>
                <w:szCs w:val="21"/>
                <w14:textFill>
                  <w14:solidFill>
                    <w14:schemeClr w14:val="tx1"/>
                  </w14:solidFill>
                </w14:textFill>
              </w:rPr>
            </w:pPr>
          </w:p>
        </w:tc>
        <w:tc>
          <w:tcPr>
            <w:tcW w:w="390" w:type="dxa"/>
          </w:tcPr>
          <w:p w14:paraId="065A192D">
            <w:pPr>
              <w:rPr>
                <w:color w:val="000000" w:themeColor="text1"/>
                <w:szCs w:val="21"/>
                <w14:textFill>
                  <w14:solidFill>
                    <w14:schemeClr w14:val="tx1"/>
                  </w14:solidFill>
                </w14:textFill>
              </w:rPr>
            </w:pPr>
          </w:p>
        </w:tc>
      </w:tr>
      <w:tr w14:paraId="6939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B7A7241">
            <w:pPr>
              <w:jc w:val="center"/>
              <w:rPr>
                <w:color w:val="000000" w:themeColor="text1"/>
                <w:szCs w:val="21"/>
                <w14:textFill>
                  <w14:solidFill>
                    <w14:schemeClr w14:val="tx1"/>
                  </w14:solidFill>
                </w14:textFill>
              </w:rPr>
            </w:pPr>
          </w:p>
        </w:tc>
        <w:tc>
          <w:tcPr>
            <w:tcW w:w="772" w:type="dxa"/>
            <w:vMerge w:val="continue"/>
            <w:vAlign w:val="center"/>
          </w:tcPr>
          <w:p w14:paraId="3DC4C716">
            <w:pPr>
              <w:jc w:val="center"/>
              <w:rPr>
                <w:rFonts w:hint="eastAsia"/>
                <w:color w:val="000000" w:themeColor="text1"/>
                <w:szCs w:val="21"/>
                <w14:textFill>
                  <w14:solidFill>
                    <w14:schemeClr w14:val="tx1"/>
                  </w14:solidFill>
                </w14:textFill>
              </w:rPr>
            </w:pPr>
          </w:p>
        </w:tc>
        <w:tc>
          <w:tcPr>
            <w:tcW w:w="5446" w:type="dxa"/>
            <w:vAlign w:val="center"/>
          </w:tcPr>
          <w:p w14:paraId="0688928D">
            <w:pPr>
              <w:keepNext w:val="0"/>
              <w:keepLines w:val="0"/>
              <w:widowControl/>
              <w:suppressLineNumbers w:val="0"/>
              <w:jc w:val="left"/>
              <w:textAlignment w:val="center"/>
              <w:rPr>
                <w:rFonts w:hint="eastAsia"/>
              </w:rPr>
            </w:pPr>
            <w:r>
              <w:rPr>
                <w:rFonts w:hint="eastAsia" w:ascii="宋体" w:hAnsi="宋体" w:eastAsia="宋体" w:cs="Times New Roman"/>
                <w:b/>
                <w:bCs/>
                <w:color w:val="FF0000"/>
                <w:szCs w:val="21"/>
              </w:rPr>
              <w:t>★</w:t>
            </w:r>
            <w:r>
              <w:rPr>
                <w:rFonts w:hint="eastAsia" w:asciiTheme="majorEastAsia" w:hAnsiTheme="majorEastAsia" w:eastAsiaTheme="majorEastAsia" w:cstheme="majorEastAsia"/>
                <w:i w:val="0"/>
                <w:iCs w:val="0"/>
                <w:color w:val="FF0000"/>
                <w:kern w:val="0"/>
                <w:sz w:val="21"/>
                <w:szCs w:val="21"/>
                <w:highlight w:val="none"/>
                <w:u w:val="none"/>
                <w:lang w:val="en-US" w:eastAsia="zh-CN" w:bidi="ar"/>
              </w:rPr>
              <w:t>23.</w:t>
            </w:r>
            <w:r>
              <w:rPr>
                <w:rStyle w:val="39"/>
                <w:rFonts w:hint="eastAsia" w:asciiTheme="majorEastAsia" w:hAnsiTheme="majorEastAsia" w:eastAsiaTheme="majorEastAsia" w:cstheme="majorEastAsia"/>
                <w:color w:val="FF0000"/>
                <w:sz w:val="21"/>
                <w:szCs w:val="21"/>
                <w:highlight w:val="none"/>
                <w:lang w:val="en-US" w:eastAsia="zh-CN" w:bidi="ar"/>
              </w:rPr>
              <w:t>一把手摇柄可以满足该批全部课桌椅调节，每班标配≥2把。</w:t>
            </w:r>
          </w:p>
        </w:tc>
        <w:tc>
          <w:tcPr>
            <w:tcW w:w="972" w:type="dxa"/>
          </w:tcPr>
          <w:p w14:paraId="79809B5F">
            <w:pPr>
              <w:rPr>
                <w:color w:val="000000" w:themeColor="text1"/>
                <w:szCs w:val="21"/>
                <w14:textFill>
                  <w14:solidFill>
                    <w14:schemeClr w14:val="tx1"/>
                  </w14:solidFill>
                </w14:textFill>
              </w:rPr>
            </w:pPr>
          </w:p>
        </w:tc>
        <w:tc>
          <w:tcPr>
            <w:tcW w:w="710" w:type="dxa"/>
          </w:tcPr>
          <w:p w14:paraId="621C3673">
            <w:pPr>
              <w:rPr>
                <w:color w:val="000000" w:themeColor="text1"/>
                <w:szCs w:val="21"/>
                <w14:textFill>
                  <w14:solidFill>
                    <w14:schemeClr w14:val="tx1"/>
                  </w14:solidFill>
                </w14:textFill>
              </w:rPr>
            </w:pPr>
          </w:p>
        </w:tc>
        <w:tc>
          <w:tcPr>
            <w:tcW w:w="390" w:type="dxa"/>
          </w:tcPr>
          <w:p w14:paraId="375F7241">
            <w:pPr>
              <w:rPr>
                <w:color w:val="000000" w:themeColor="text1"/>
                <w:szCs w:val="21"/>
                <w14:textFill>
                  <w14:solidFill>
                    <w14:schemeClr w14:val="tx1"/>
                  </w14:solidFill>
                </w14:textFill>
              </w:rPr>
            </w:pPr>
          </w:p>
        </w:tc>
      </w:tr>
      <w:tr w14:paraId="1B1BF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734BFBF7">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Theme="majorEastAsia" w:hAnsiTheme="majorEastAsia" w:eastAsiaTheme="majorEastAsia" w:cstheme="majorEastAsia"/>
                <w:i w:val="0"/>
                <w:iCs w:val="0"/>
                <w:color w:val="000000"/>
                <w:kern w:val="0"/>
                <w:sz w:val="21"/>
                <w:szCs w:val="21"/>
                <w:u w:val="none"/>
                <w:lang w:val="en-US" w:eastAsia="zh-CN" w:bidi="ar"/>
              </w:rPr>
              <w:t>2</w:t>
            </w:r>
          </w:p>
        </w:tc>
        <w:tc>
          <w:tcPr>
            <w:tcW w:w="772" w:type="dxa"/>
            <w:vMerge w:val="restart"/>
            <w:vAlign w:val="center"/>
          </w:tcPr>
          <w:p w14:paraId="0A02C87C">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Theme="majorEastAsia" w:hAnsiTheme="majorEastAsia" w:eastAsiaTheme="majorEastAsia" w:cstheme="majorEastAsia"/>
                <w:i w:val="0"/>
                <w:iCs w:val="0"/>
                <w:color w:val="000000"/>
                <w:kern w:val="0"/>
                <w:sz w:val="21"/>
                <w:szCs w:val="21"/>
                <w:u w:val="none"/>
                <w:lang w:val="en-US" w:eastAsia="zh-CN" w:bidi="ar"/>
              </w:rPr>
              <w:t>升降课椅1</w:t>
            </w:r>
          </w:p>
        </w:tc>
        <w:tc>
          <w:tcPr>
            <w:tcW w:w="5446" w:type="dxa"/>
            <w:vAlign w:val="center"/>
          </w:tcPr>
          <w:p w14:paraId="537385D7">
            <w:pPr>
              <w:keepNext w:val="0"/>
              <w:keepLines w:val="0"/>
              <w:widowControl/>
              <w:suppressLineNumbers w:val="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A.靠背</w:t>
            </w:r>
          </w:p>
        </w:tc>
        <w:tc>
          <w:tcPr>
            <w:tcW w:w="972" w:type="dxa"/>
          </w:tcPr>
          <w:p w14:paraId="766C9FD0">
            <w:pPr>
              <w:rPr>
                <w:color w:val="000000" w:themeColor="text1"/>
                <w:szCs w:val="21"/>
                <w14:textFill>
                  <w14:solidFill>
                    <w14:schemeClr w14:val="tx1"/>
                  </w14:solidFill>
                </w14:textFill>
              </w:rPr>
            </w:pPr>
          </w:p>
        </w:tc>
        <w:tc>
          <w:tcPr>
            <w:tcW w:w="710" w:type="dxa"/>
          </w:tcPr>
          <w:p w14:paraId="54EC23A0">
            <w:pPr>
              <w:rPr>
                <w:color w:val="000000" w:themeColor="text1"/>
                <w:szCs w:val="21"/>
                <w14:textFill>
                  <w14:solidFill>
                    <w14:schemeClr w14:val="tx1"/>
                  </w14:solidFill>
                </w14:textFill>
              </w:rPr>
            </w:pPr>
          </w:p>
        </w:tc>
        <w:tc>
          <w:tcPr>
            <w:tcW w:w="390" w:type="dxa"/>
          </w:tcPr>
          <w:p w14:paraId="69B5138C">
            <w:pPr>
              <w:rPr>
                <w:color w:val="000000" w:themeColor="text1"/>
                <w:szCs w:val="21"/>
                <w14:textFill>
                  <w14:solidFill>
                    <w14:schemeClr w14:val="tx1"/>
                  </w14:solidFill>
                </w14:textFill>
              </w:rPr>
            </w:pPr>
          </w:p>
        </w:tc>
      </w:tr>
      <w:tr w14:paraId="5D6AE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428DD0D">
            <w:pPr>
              <w:jc w:val="center"/>
              <w:rPr>
                <w:color w:val="000000" w:themeColor="text1"/>
                <w:szCs w:val="21"/>
                <w14:textFill>
                  <w14:solidFill>
                    <w14:schemeClr w14:val="tx1"/>
                  </w14:solidFill>
                </w14:textFill>
              </w:rPr>
            </w:pPr>
          </w:p>
        </w:tc>
        <w:tc>
          <w:tcPr>
            <w:tcW w:w="772" w:type="dxa"/>
            <w:vMerge w:val="continue"/>
            <w:vAlign w:val="center"/>
          </w:tcPr>
          <w:p w14:paraId="3326DCAB">
            <w:pPr>
              <w:jc w:val="center"/>
              <w:rPr>
                <w:rFonts w:hint="eastAsia"/>
                <w:color w:val="000000" w:themeColor="text1"/>
                <w:szCs w:val="21"/>
                <w14:textFill>
                  <w14:solidFill>
                    <w14:schemeClr w14:val="tx1"/>
                  </w14:solidFill>
                </w14:textFill>
              </w:rPr>
            </w:pPr>
          </w:p>
        </w:tc>
        <w:tc>
          <w:tcPr>
            <w:tcW w:w="5446" w:type="dxa"/>
            <w:vAlign w:val="center"/>
          </w:tcPr>
          <w:p w14:paraId="0CD5A40B">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24.材质：PP塑料（塑胶）</w:t>
            </w:r>
          </w:p>
        </w:tc>
        <w:tc>
          <w:tcPr>
            <w:tcW w:w="972" w:type="dxa"/>
          </w:tcPr>
          <w:p w14:paraId="26951DE6">
            <w:pPr>
              <w:rPr>
                <w:color w:val="000000" w:themeColor="text1"/>
                <w:szCs w:val="21"/>
                <w14:textFill>
                  <w14:solidFill>
                    <w14:schemeClr w14:val="tx1"/>
                  </w14:solidFill>
                </w14:textFill>
              </w:rPr>
            </w:pPr>
          </w:p>
        </w:tc>
        <w:tc>
          <w:tcPr>
            <w:tcW w:w="710" w:type="dxa"/>
          </w:tcPr>
          <w:p w14:paraId="6D6E9212">
            <w:pPr>
              <w:rPr>
                <w:color w:val="000000" w:themeColor="text1"/>
                <w:szCs w:val="21"/>
                <w14:textFill>
                  <w14:solidFill>
                    <w14:schemeClr w14:val="tx1"/>
                  </w14:solidFill>
                </w14:textFill>
              </w:rPr>
            </w:pPr>
          </w:p>
        </w:tc>
        <w:tc>
          <w:tcPr>
            <w:tcW w:w="390" w:type="dxa"/>
          </w:tcPr>
          <w:p w14:paraId="2B23644A">
            <w:pPr>
              <w:rPr>
                <w:color w:val="000000" w:themeColor="text1"/>
                <w:szCs w:val="21"/>
                <w14:textFill>
                  <w14:solidFill>
                    <w14:schemeClr w14:val="tx1"/>
                  </w14:solidFill>
                </w14:textFill>
              </w:rPr>
            </w:pPr>
          </w:p>
        </w:tc>
      </w:tr>
      <w:tr w14:paraId="4B48B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2706364">
            <w:pPr>
              <w:jc w:val="center"/>
              <w:rPr>
                <w:color w:val="000000" w:themeColor="text1"/>
                <w:szCs w:val="21"/>
                <w14:textFill>
                  <w14:solidFill>
                    <w14:schemeClr w14:val="tx1"/>
                  </w14:solidFill>
                </w14:textFill>
              </w:rPr>
            </w:pPr>
          </w:p>
        </w:tc>
        <w:tc>
          <w:tcPr>
            <w:tcW w:w="772" w:type="dxa"/>
            <w:vMerge w:val="continue"/>
            <w:vAlign w:val="center"/>
          </w:tcPr>
          <w:p w14:paraId="26E5F5EC">
            <w:pPr>
              <w:jc w:val="center"/>
              <w:rPr>
                <w:rFonts w:hint="eastAsia"/>
                <w:color w:val="000000" w:themeColor="text1"/>
                <w:szCs w:val="21"/>
                <w14:textFill>
                  <w14:solidFill>
                    <w14:schemeClr w14:val="tx1"/>
                  </w14:solidFill>
                </w14:textFill>
              </w:rPr>
            </w:pPr>
          </w:p>
        </w:tc>
        <w:tc>
          <w:tcPr>
            <w:tcW w:w="5446" w:type="dxa"/>
            <w:vAlign w:val="center"/>
          </w:tcPr>
          <w:p w14:paraId="644D2BB7">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25.尺寸：（长410mm×宽270mm）±5mm</w:t>
            </w:r>
          </w:p>
        </w:tc>
        <w:tc>
          <w:tcPr>
            <w:tcW w:w="972" w:type="dxa"/>
          </w:tcPr>
          <w:p w14:paraId="19D5CFF3">
            <w:pPr>
              <w:rPr>
                <w:color w:val="000000" w:themeColor="text1"/>
                <w:szCs w:val="21"/>
                <w14:textFill>
                  <w14:solidFill>
                    <w14:schemeClr w14:val="tx1"/>
                  </w14:solidFill>
                </w14:textFill>
              </w:rPr>
            </w:pPr>
          </w:p>
        </w:tc>
        <w:tc>
          <w:tcPr>
            <w:tcW w:w="710" w:type="dxa"/>
          </w:tcPr>
          <w:p w14:paraId="325475CB">
            <w:pPr>
              <w:rPr>
                <w:color w:val="000000" w:themeColor="text1"/>
                <w:szCs w:val="21"/>
                <w14:textFill>
                  <w14:solidFill>
                    <w14:schemeClr w14:val="tx1"/>
                  </w14:solidFill>
                </w14:textFill>
              </w:rPr>
            </w:pPr>
          </w:p>
        </w:tc>
        <w:tc>
          <w:tcPr>
            <w:tcW w:w="390" w:type="dxa"/>
          </w:tcPr>
          <w:p w14:paraId="26A25BB2">
            <w:pPr>
              <w:rPr>
                <w:color w:val="000000" w:themeColor="text1"/>
                <w:szCs w:val="21"/>
                <w14:textFill>
                  <w14:solidFill>
                    <w14:schemeClr w14:val="tx1"/>
                  </w14:solidFill>
                </w14:textFill>
              </w:rPr>
            </w:pPr>
          </w:p>
        </w:tc>
      </w:tr>
      <w:tr w14:paraId="2BC1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8FC72C4">
            <w:pPr>
              <w:jc w:val="center"/>
              <w:rPr>
                <w:color w:val="000000" w:themeColor="text1"/>
                <w:szCs w:val="21"/>
                <w14:textFill>
                  <w14:solidFill>
                    <w14:schemeClr w14:val="tx1"/>
                  </w14:solidFill>
                </w14:textFill>
              </w:rPr>
            </w:pPr>
          </w:p>
        </w:tc>
        <w:tc>
          <w:tcPr>
            <w:tcW w:w="772" w:type="dxa"/>
            <w:vMerge w:val="continue"/>
            <w:vAlign w:val="center"/>
          </w:tcPr>
          <w:p w14:paraId="7CC292FB">
            <w:pPr>
              <w:jc w:val="center"/>
              <w:rPr>
                <w:rFonts w:hint="eastAsia"/>
                <w:color w:val="000000" w:themeColor="text1"/>
                <w:szCs w:val="21"/>
                <w14:textFill>
                  <w14:solidFill>
                    <w14:schemeClr w14:val="tx1"/>
                  </w14:solidFill>
                </w14:textFill>
              </w:rPr>
            </w:pPr>
          </w:p>
        </w:tc>
        <w:tc>
          <w:tcPr>
            <w:tcW w:w="5446" w:type="dxa"/>
            <w:vAlign w:val="center"/>
          </w:tcPr>
          <w:p w14:paraId="4A285FE4">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26.样式：靠背与钢管结合方式，采用直插套管卡扣式紧固，无外露螺丝等紧固件。牢固稳定无摇晃、松动现象。靠背呈弯孤曲面，人体工程学设计，设有散热孔透气，孔直径均小于5mm。</w:t>
            </w:r>
          </w:p>
        </w:tc>
        <w:tc>
          <w:tcPr>
            <w:tcW w:w="972" w:type="dxa"/>
          </w:tcPr>
          <w:p w14:paraId="40AC1E78">
            <w:pPr>
              <w:rPr>
                <w:color w:val="000000" w:themeColor="text1"/>
                <w:szCs w:val="21"/>
                <w14:textFill>
                  <w14:solidFill>
                    <w14:schemeClr w14:val="tx1"/>
                  </w14:solidFill>
                </w14:textFill>
              </w:rPr>
            </w:pPr>
          </w:p>
        </w:tc>
        <w:tc>
          <w:tcPr>
            <w:tcW w:w="710" w:type="dxa"/>
          </w:tcPr>
          <w:p w14:paraId="570E4CF0">
            <w:pPr>
              <w:rPr>
                <w:color w:val="000000" w:themeColor="text1"/>
                <w:szCs w:val="21"/>
                <w14:textFill>
                  <w14:solidFill>
                    <w14:schemeClr w14:val="tx1"/>
                  </w14:solidFill>
                </w14:textFill>
              </w:rPr>
            </w:pPr>
          </w:p>
        </w:tc>
        <w:tc>
          <w:tcPr>
            <w:tcW w:w="390" w:type="dxa"/>
          </w:tcPr>
          <w:p w14:paraId="7E50430C">
            <w:pPr>
              <w:rPr>
                <w:color w:val="000000" w:themeColor="text1"/>
                <w:szCs w:val="21"/>
                <w14:textFill>
                  <w14:solidFill>
                    <w14:schemeClr w14:val="tx1"/>
                  </w14:solidFill>
                </w14:textFill>
              </w:rPr>
            </w:pPr>
          </w:p>
        </w:tc>
      </w:tr>
      <w:tr w14:paraId="4793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B403BF5">
            <w:pPr>
              <w:jc w:val="center"/>
              <w:rPr>
                <w:color w:val="000000" w:themeColor="text1"/>
                <w:szCs w:val="21"/>
                <w14:textFill>
                  <w14:solidFill>
                    <w14:schemeClr w14:val="tx1"/>
                  </w14:solidFill>
                </w14:textFill>
              </w:rPr>
            </w:pPr>
          </w:p>
        </w:tc>
        <w:tc>
          <w:tcPr>
            <w:tcW w:w="772" w:type="dxa"/>
            <w:vMerge w:val="continue"/>
            <w:vAlign w:val="center"/>
          </w:tcPr>
          <w:p w14:paraId="65B6E876">
            <w:pPr>
              <w:jc w:val="center"/>
              <w:rPr>
                <w:rFonts w:hint="eastAsia"/>
                <w:color w:val="000000" w:themeColor="text1"/>
                <w:szCs w:val="21"/>
                <w14:textFill>
                  <w14:solidFill>
                    <w14:schemeClr w14:val="tx1"/>
                  </w14:solidFill>
                </w14:textFill>
              </w:rPr>
            </w:pPr>
          </w:p>
        </w:tc>
        <w:tc>
          <w:tcPr>
            <w:tcW w:w="5446" w:type="dxa"/>
            <w:vAlign w:val="center"/>
          </w:tcPr>
          <w:p w14:paraId="089E2D07">
            <w:pPr>
              <w:keepNext w:val="0"/>
              <w:keepLines w:val="0"/>
              <w:widowControl/>
              <w:suppressLineNumbers w:val="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B.座垫</w:t>
            </w:r>
          </w:p>
        </w:tc>
        <w:tc>
          <w:tcPr>
            <w:tcW w:w="972" w:type="dxa"/>
          </w:tcPr>
          <w:p w14:paraId="5A9975CB">
            <w:pPr>
              <w:rPr>
                <w:color w:val="000000" w:themeColor="text1"/>
                <w:szCs w:val="21"/>
                <w14:textFill>
                  <w14:solidFill>
                    <w14:schemeClr w14:val="tx1"/>
                  </w14:solidFill>
                </w14:textFill>
              </w:rPr>
            </w:pPr>
          </w:p>
        </w:tc>
        <w:tc>
          <w:tcPr>
            <w:tcW w:w="710" w:type="dxa"/>
          </w:tcPr>
          <w:p w14:paraId="4F9BFE51">
            <w:pPr>
              <w:rPr>
                <w:color w:val="000000" w:themeColor="text1"/>
                <w:szCs w:val="21"/>
                <w14:textFill>
                  <w14:solidFill>
                    <w14:schemeClr w14:val="tx1"/>
                  </w14:solidFill>
                </w14:textFill>
              </w:rPr>
            </w:pPr>
          </w:p>
        </w:tc>
        <w:tc>
          <w:tcPr>
            <w:tcW w:w="390" w:type="dxa"/>
          </w:tcPr>
          <w:p w14:paraId="103F8F31">
            <w:pPr>
              <w:rPr>
                <w:color w:val="000000" w:themeColor="text1"/>
                <w:szCs w:val="21"/>
                <w14:textFill>
                  <w14:solidFill>
                    <w14:schemeClr w14:val="tx1"/>
                  </w14:solidFill>
                </w14:textFill>
              </w:rPr>
            </w:pPr>
          </w:p>
        </w:tc>
      </w:tr>
      <w:tr w14:paraId="726E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32D53C2">
            <w:pPr>
              <w:jc w:val="center"/>
              <w:rPr>
                <w:color w:val="000000" w:themeColor="text1"/>
                <w:szCs w:val="21"/>
                <w14:textFill>
                  <w14:solidFill>
                    <w14:schemeClr w14:val="tx1"/>
                  </w14:solidFill>
                </w14:textFill>
              </w:rPr>
            </w:pPr>
          </w:p>
        </w:tc>
        <w:tc>
          <w:tcPr>
            <w:tcW w:w="772" w:type="dxa"/>
            <w:vMerge w:val="continue"/>
            <w:vAlign w:val="center"/>
          </w:tcPr>
          <w:p w14:paraId="1A6EE2F9">
            <w:pPr>
              <w:jc w:val="center"/>
              <w:rPr>
                <w:rFonts w:hint="eastAsia"/>
                <w:color w:val="000000" w:themeColor="text1"/>
                <w:szCs w:val="21"/>
                <w14:textFill>
                  <w14:solidFill>
                    <w14:schemeClr w14:val="tx1"/>
                  </w14:solidFill>
                </w14:textFill>
              </w:rPr>
            </w:pPr>
          </w:p>
        </w:tc>
        <w:tc>
          <w:tcPr>
            <w:tcW w:w="5446" w:type="dxa"/>
            <w:vAlign w:val="center"/>
          </w:tcPr>
          <w:p w14:paraId="57B1F75D">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27.材质：PP塑料（塑胶）。</w:t>
            </w:r>
          </w:p>
        </w:tc>
        <w:tc>
          <w:tcPr>
            <w:tcW w:w="972" w:type="dxa"/>
          </w:tcPr>
          <w:p w14:paraId="52F3583B">
            <w:pPr>
              <w:rPr>
                <w:color w:val="000000" w:themeColor="text1"/>
                <w:szCs w:val="21"/>
                <w14:textFill>
                  <w14:solidFill>
                    <w14:schemeClr w14:val="tx1"/>
                  </w14:solidFill>
                </w14:textFill>
              </w:rPr>
            </w:pPr>
          </w:p>
        </w:tc>
        <w:tc>
          <w:tcPr>
            <w:tcW w:w="710" w:type="dxa"/>
          </w:tcPr>
          <w:p w14:paraId="75DF619B">
            <w:pPr>
              <w:rPr>
                <w:color w:val="000000" w:themeColor="text1"/>
                <w:szCs w:val="21"/>
                <w14:textFill>
                  <w14:solidFill>
                    <w14:schemeClr w14:val="tx1"/>
                  </w14:solidFill>
                </w14:textFill>
              </w:rPr>
            </w:pPr>
          </w:p>
        </w:tc>
        <w:tc>
          <w:tcPr>
            <w:tcW w:w="390" w:type="dxa"/>
          </w:tcPr>
          <w:p w14:paraId="1EBF842F">
            <w:pPr>
              <w:rPr>
                <w:color w:val="000000" w:themeColor="text1"/>
                <w:szCs w:val="21"/>
                <w14:textFill>
                  <w14:solidFill>
                    <w14:schemeClr w14:val="tx1"/>
                  </w14:solidFill>
                </w14:textFill>
              </w:rPr>
            </w:pPr>
          </w:p>
        </w:tc>
      </w:tr>
      <w:tr w14:paraId="3BF5B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BA0BF22">
            <w:pPr>
              <w:jc w:val="center"/>
              <w:rPr>
                <w:color w:val="000000" w:themeColor="text1"/>
                <w:szCs w:val="21"/>
                <w14:textFill>
                  <w14:solidFill>
                    <w14:schemeClr w14:val="tx1"/>
                  </w14:solidFill>
                </w14:textFill>
              </w:rPr>
            </w:pPr>
          </w:p>
        </w:tc>
        <w:tc>
          <w:tcPr>
            <w:tcW w:w="772" w:type="dxa"/>
            <w:vMerge w:val="continue"/>
            <w:vAlign w:val="center"/>
          </w:tcPr>
          <w:p w14:paraId="726AF3CE">
            <w:pPr>
              <w:jc w:val="center"/>
              <w:rPr>
                <w:rFonts w:hint="eastAsia"/>
                <w:color w:val="000000" w:themeColor="text1"/>
                <w:szCs w:val="21"/>
                <w14:textFill>
                  <w14:solidFill>
                    <w14:schemeClr w14:val="tx1"/>
                  </w14:solidFill>
                </w14:textFill>
              </w:rPr>
            </w:pPr>
          </w:p>
        </w:tc>
        <w:tc>
          <w:tcPr>
            <w:tcW w:w="5446" w:type="dxa"/>
            <w:vAlign w:val="center"/>
          </w:tcPr>
          <w:p w14:paraId="64002988">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28.尺寸：（长400mm×宽414mm）±5mm</w:t>
            </w:r>
          </w:p>
        </w:tc>
        <w:tc>
          <w:tcPr>
            <w:tcW w:w="972" w:type="dxa"/>
          </w:tcPr>
          <w:p w14:paraId="3E99AAA7">
            <w:pPr>
              <w:rPr>
                <w:color w:val="000000" w:themeColor="text1"/>
                <w:szCs w:val="21"/>
                <w14:textFill>
                  <w14:solidFill>
                    <w14:schemeClr w14:val="tx1"/>
                  </w14:solidFill>
                </w14:textFill>
              </w:rPr>
            </w:pPr>
          </w:p>
        </w:tc>
        <w:tc>
          <w:tcPr>
            <w:tcW w:w="710" w:type="dxa"/>
          </w:tcPr>
          <w:p w14:paraId="31739454">
            <w:pPr>
              <w:rPr>
                <w:color w:val="000000" w:themeColor="text1"/>
                <w:szCs w:val="21"/>
                <w14:textFill>
                  <w14:solidFill>
                    <w14:schemeClr w14:val="tx1"/>
                  </w14:solidFill>
                </w14:textFill>
              </w:rPr>
            </w:pPr>
          </w:p>
        </w:tc>
        <w:tc>
          <w:tcPr>
            <w:tcW w:w="390" w:type="dxa"/>
          </w:tcPr>
          <w:p w14:paraId="3F76813C">
            <w:pPr>
              <w:rPr>
                <w:color w:val="000000" w:themeColor="text1"/>
                <w:szCs w:val="21"/>
                <w14:textFill>
                  <w14:solidFill>
                    <w14:schemeClr w14:val="tx1"/>
                  </w14:solidFill>
                </w14:textFill>
              </w:rPr>
            </w:pPr>
          </w:p>
        </w:tc>
      </w:tr>
      <w:tr w14:paraId="76CB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09A5BE6">
            <w:pPr>
              <w:jc w:val="center"/>
              <w:rPr>
                <w:color w:val="000000" w:themeColor="text1"/>
                <w:szCs w:val="21"/>
                <w14:textFill>
                  <w14:solidFill>
                    <w14:schemeClr w14:val="tx1"/>
                  </w14:solidFill>
                </w14:textFill>
              </w:rPr>
            </w:pPr>
          </w:p>
        </w:tc>
        <w:tc>
          <w:tcPr>
            <w:tcW w:w="772" w:type="dxa"/>
            <w:vMerge w:val="continue"/>
            <w:vAlign w:val="center"/>
          </w:tcPr>
          <w:p w14:paraId="2E6F9D1B">
            <w:pPr>
              <w:jc w:val="center"/>
              <w:rPr>
                <w:rFonts w:hint="eastAsia"/>
                <w:color w:val="000000" w:themeColor="text1"/>
                <w:szCs w:val="21"/>
                <w14:textFill>
                  <w14:solidFill>
                    <w14:schemeClr w14:val="tx1"/>
                  </w14:solidFill>
                </w14:textFill>
              </w:rPr>
            </w:pPr>
          </w:p>
        </w:tc>
        <w:tc>
          <w:tcPr>
            <w:tcW w:w="5446" w:type="dxa"/>
            <w:vAlign w:val="center"/>
          </w:tcPr>
          <w:p w14:paraId="15236EA4">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29.样式：座垫前端有两处下凹设计，座垫深部有内陷设计，座垫曲面有散热孔设计，孔直径均小于5mm。</w:t>
            </w:r>
          </w:p>
        </w:tc>
        <w:tc>
          <w:tcPr>
            <w:tcW w:w="972" w:type="dxa"/>
          </w:tcPr>
          <w:p w14:paraId="5E2899D6">
            <w:pPr>
              <w:rPr>
                <w:color w:val="000000" w:themeColor="text1"/>
                <w:szCs w:val="21"/>
                <w14:textFill>
                  <w14:solidFill>
                    <w14:schemeClr w14:val="tx1"/>
                  </w14:solidFill>
                </w14:textFill>
              </w:rPr>
            </w:pPr>
          </w:p>
        </w:tc>
        <w:tc>
          <w:tcPr>
            <w:tcW w:w="710" w:type="dxa"/>
          </w:tcPr>
          <w:p w14:paraId="4DC214F4">
            <w:pPr>
              <w:rPr>
                <w:color w:val="000000" w:themeColor="text1"/>
                <w:szCs w:val="21"/>
                <w14:textFill>
                  <w14:solidFill>
                    <w14:schemeClr w14:val="tx1"/>
                  </w14:solidFill>
                </w14:textFill>
              </w:rPr>
            </w:pPr>
          </w:p>
        </w:tc>
        <w:tc>
          <w:tcPr>
            <w:tcW w:w="390" w:type="dxa"/>
          </w:tcPr>
          <w:p w14:paraId="634BDA44">
            <w:pPr>
              <w:rPr>
                <w:color w:val="000000" w:themeColor="text1"/>
                <w:szCs w:val="21"/>
                <w14:textFill>
                  <w14:solidFill>
                    <w14:schemeClr w14:val="tx1"/>
                  </w14:solidFill>
                </w14:textFill>
              </w:rPr>
            </w:pPr>
          </w:p>
        </w:tc>
      </w:tr>
      <w:tr w14:paraId="5D4CF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20EF9FE">
            <w:pPr>
              <w:jc w:val="center"/>
              <w:rPr>
                <w:color w:val="000000" w:themeColor="text1"/>
                <w:szCs w:val="21"/>
                <w14:textFill>
                  <w14:solidFill>
                    <w14:schemeClr w14:val="tx1"/>
                  </w14:solidFill>
                </w14:textFill>
              </w:rPr>
            </w:pPr>
          </w:p>
        </w:tc>
        <w:tc>
          <w:tcPr>
            <w:tcW w:w="772" w:type="dxa"/>
            <w:vMerge w:val="continue"/>
            <w:vAlign w:val="center"/>
          </w:tcPr>
          <w:p w14:paraId="2A3B2D5E">
            <w:pPr>
              <w:jc w:val="center"/>
              <w:rPr>
                <w:rFonts w:hint="eastAsia"/>
                <w:color w:val="000000" w:themeColor="text1"/>
                <w:szCs w:val="21"/>
                <w14:textFill>
                  <w14:solidFill>
                    <w14:schemeClr w14:val="tx1"/>
                  </w14:solidFill>
                </w14:textFill>
              </w:rPr>
            </w:pPr>
          </w:p>
        </w:tc>
        <w:tc>
          <w:tcPr>
            <w:tcW w:w="5446" w:type="dxa"/>
            <w:vAlign w:val="center"/>
          </w:tcPr>
          <w:p w14:paraId="1386F17E">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auto"/>
                <w:kern w:val="0"/>
                <w:sz w:val="21"/>
                <w:szCs w:val="21"/>
                <w:u w:val="none"/>
                <w:lang w:val="en-US" w:eastAsia="zh-CN" w:bidi="ar"/>
              </w:rPr>
              <w:t>30.▲座垫抗滑应满足以下要求：抗滑值((湿测)（BPN,20℃）检测结果≥72.4；抗滑值((干测)（BPN,20℃）检测结果≥104.8。</w:t>
            </w:r>
            <w:r>
              <w:rPr>
                <w:rFonts w:hint="eastAsia" w:asciiTheme="majorEastAsia" w:hAnsiTheme="majorEastAsia" w:eastAsiaTheme="majorEastAsia" w:cstheme="majorEastAsia"/>
                <w:b/>
                <w:bCs/>
                <w:i w:val="0"/>
                <w:iCs w:val="0"/>
                <w:color w:val="0000FF"/>
                <w:sz w:val="21"/>
                <w:szCs w:val="21"/>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5875E5C5">
            <w:pPr>
              <w:rPr>
                <w:color w:val="000000" w:themeColor="text1"/>
                <w:szCs w:val="21"/>
                <w14:textFill>
                  <w14:solidFill>
                    <w14:schemeClr w14:val="tx1"/>
                  </w14:solidFill>
                </w14:textFill>
              </w:rPr>
            </w:pPr>
          </w:p>
        </w:tc>
        <w:tc>
          <w:tcPr>
            <w:tcW w:w="710" w:type="dxa"/>
          </w:tcPr>
          <w:p w14:paraId="78E75B39">
            <w:pPr>
              <w:rPr>
                <w:color w:val="000000" w:themeColor="text1"/>
                <w:szCs w:val="21"/>
                <w14:textFill>
                  <w14:solidFill>
                    <w14:schemeClr w14:val="tx1"/>
                  </w14:solidFill>
                </w14:textFill>
              </w:rPr>
            </w:pPr>
          </w:p>
        </w:tc>
        <w:tc>
          <w:tcPr>
            <w:tcW w:w="390" w:type="dxa"/>
          </w:tcPr>
          <w:p w14:paraId="4690ADA8">
            <w:pPr>
              <w:rPr>
                <w:color w:val="000000" w:themeColor="text1"/>
                <w:szCs w:val="21"/>
                <w14:textFill>
                  <w14:solidFill>
                    <w14:schemeClr w14:val="tx1"/>
                  </w14:solidFill>
                </w14:textFill>
              </w:rPr>
            </w:pPr>
          </w:p>
        </w:tc>
      </w:tr>
      <w:tr w14:paraId="716DB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5ECDB9F">
            <w:pPr>
              <w:jc w:val="center"/>
              <w:rPr>
                <w:color w:val="000000" w:themeColor="text1"/>
                <w:szCs w:val="21"/>
                <w14:textFill>
                  <w14:solidFill>
                    <w14:schemeClr w14:val="tx1"/>
                  </w14:solidFill>
                </w14:textFill>
              </w:rPr>
            </w:pPr>
          </w:p>
        </w:tc>
        <w:tc>
          <w:tcPr>
            <w:tcW w:w="772" w:type="dxa"/>
            <w:vMerge w:val="continue"/>
            <w:vAlign w:val="center"/>
          </w:tcPr>
          <w:p w14:paraId="3F5E28A1">
            <w:pPr>
              <w:jc w:val="center"/>
              <w:rPr>
                <w:rFonts w:hint="eastAsia"/>
                <w:color w:val="000000" w:themeColor="text1"/>
                <w:szCs w:val="21"/>
                <w14:textFill>
                  <w14:solidFill>
                    <w14:schemeClr w14:val="tx1"/>
                  </w14:solidFill>
                </w14:textFill>
              </w:rPr>
            </w:pPr>
          </w:p>
        </w:tc>
        <w:tc>
          <w:tcPr>
            <w:tcW w:w="5446" w:type="dxa"/>
            <w:vAlign w:val="center"/>
          </w:tcPr>
          <w:p w14:paraId="7A74A3AF">
            <w:pPr>
              <w:keepNext w:val="0"/>
              <w:keepLines w:val="0"/>
              <w:widowControl/>
              <w:suppressLineNumbers w:val="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C.椅腿钢架</w:t>
            </w:r>
          </w:p>
        </w:tc>
        <w:tc>
          <w:tcPr>
            <w:tcW w:w="972" w:type="dxa"/>
          </w:tcPr>
          <w:p w14:paraId="2DB13261">
            <w:pPr>
              <w:rPr>
                <w:color w:val="000000" w:themeColor="text1"/>
                <w:szCs w:val="21"/>
                <w14:textFill>
                  <w14:solidFill>
                    <w14:schemeClr w14:val="tx1"/>
                  </w14:solidFill>
                </w14:textFill>
              </w:rPr>
            </w:pPr>
          </w:p>
        </w:tc>
        <w:tc>
          <w:tcPr>
            <w:tcW w:w="710" w:type="dxa"/>
          </w:tcPr>
          <w:p w14:paraId="5B8A8BC5">
            <w:pPr>
              <w:rPr>
                <w:color w:val="000000" w:themeColor="text1"/>
                <w:szCs w:val="21"/>
                <w14:textFill>
                  <w14:solidFill>
                    <w14:schemeClr w14:val="tx1"/>
                  </w14:solidFill>
                </w14:textFill>
              </w:rPr>
            </w:pPr>
          </w:p>
        </w:tc>
        <w:tc>
          <w:tcPr>
            <w:tcW w:w="390" w:type="dxa"/>
          </w:tcPr>
          <w:p w14:paraId="4C0E6573">
            <w:pPr>
              <w:rPr>
                <w:color w:val="000000" w:themeColor="text1"/>
                <w:szCs w:val="21"/>
                <w14:textFill>
                  <w14:solidFill>
                    <w14:schemeClr w14:val="tx1"/>
                  </w14:solidFill>
                </w14:textFill>
              </w:rPr>
            </w:pPr>
          </w:p>
        </w:tc>
      </w:tr>
      <w:tr w14:paraId="69A9E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A9712C5">
            <w:pPr>
              <w:jc w:val="center"/>
              <w:rPr>
                <w:color w:val="000000" w:themeColor="text1"/>
                <w:szCs w:val="21"/>
                <w14:textFill>
                  <w14:solidFill>
                    <w14:schemeClr w14:val="tx1"/>
                  </w14:solidFill>
                </w14:textFill>
              </w:rPr>
            </w:pPr>
          </w:p>
        </w:tc>
        <w:tc>
          <w:tcPr>
            <w:tcW w:w="772" w:type="dxa"/>
            <w:vMerge w:val="continue"/>
            <w:vAlign w:val="center"/>
          </w:tcPr>
          <w:p w14:paraId="667D3C20">
            <w:pPr>
              <w:jc w:val="center"/>
              <w:rPr>
                <w:rFonts w:hint="eastAsia"/>
                <w:color w:val="000000" w:themeColor="text1"/>
                <w:szCs w:val="21"/>
                <w14:textFill>
                  <w14:solidFill>
                    <w14:schemeClr w14:val="tx1"/>
                  </w14:solidFill>
                </w14:textFill>
              </w:rPr>
            </w:pPr>
          </w:p>
        </w:tc>
        <w:tc>
          <w:tcPr>
            <w:tcW w:w="5446" w:type="dxa"/>
            <w:vAlign w:val="center"/>
          </w:tcPr>
          <w:p w14:paraId="27B6D104">
            <w:pPr>
              <w:keepNext w:val="0"/>
              <w:keepLines w:val="0"/>
              <w:widowControl/>
              <w:numPr>
                <w:ilvl w:val="-1"/>
                <w:numId w:val="0"/>
              </w:numPr>
              <w:suppressLineNumbers w:val="0"/>
              <w:jc w:val="left"/>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Theme="majorEastAsia" w:hAnsiTheme="majorEastAsia" w:eastAsiaTheme="majorEastAsia" w:cstheme="majorEastAsia"/>
                <w:i w:val="0"/>
                <w:iCs w:val="0"/>
                <w:color w:val="000000"/>
                <w:kern w:val="0"/>
                <w:sz w:val="21"/>
                <w:szCs w:val="21"/>
                <w:u w:val="none"/>
                <w:lang w:val="en-US" w:eastAsia="zh-CN" w:bidi="ar"/>
              </w:rPr>
              <w:t>材质及规格: 符合标准椭圆形钢管，主要支撑部件（厚度不小于1.5mm）。椅腿钢架贴地脚管采用30mm±1mm×60mm±1mm壁厚1.5mm的椭圆形白皮钢管；椅腿部横档采用20mm±1mm×40mm±1mm，壁厚1.2mm的椭圆形白皮钢管；</w:t>
            </w:r>
          </w:p>
          <w:p w14:paraId="7C451613">
            <w:pPr>
              <w:keepNext w:val="0"/>
              <w:keepLines w:val="0"/>
              <w:widowControl/>
              <w:numPr>
                <w:ilvl w:val="-1"/>
                <w:numId w:val="0"/>
              </w:numPr>
              <w:suppressLineNumbers w:val="0"/>
              <w:jc w:val="left"/>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Theme="majorEastAsia" w:hAnsiTheme="majorEastAsia" w:eastAsiaTheme="majorEastAsia" w:cstheme="majorEastAsia"/>
                <w:i w:val="0"/>
                <w:iCs w:val="0"/>
                <w:color w:val="000000"/>
                <w:kern w:val="0"/>
                <w:sz w:val="21"/>
                <w:szCs w:val="21"/>
                <w:u w:val="none"/>
                <w:lang w:val="en-US" w:eastAsia="zh-CN" w:bidi="ar"/>
              </w:rPr>
              <w:t>椅脚上部固定立管采用30mm±1mm×60mm±1mm，壁厚1.5mm的椭圆形白皮钢管；椅脚上部活动立管采用23mm±1mm×50mm±1mm，壁厚1.5mm的椭圆形白皮钢管；</w:t>
            </w:r>
          </w:p>
          <w:p w14:paraId="08EF60EF">
            <w:pPr>
              <w:keepNext w:val="0"/>
              <w:keepLines w:val="0"/>
              <w:widowControl/>
              <w:numPr>
                <w:ilvl w:val="-1"/>
                <w:numId w:val="0"/>
              </w:numPr>
              <w:suppressLineNumbers w:val="0"/>
              <w:ind w:left="0" w:leftChars="0" w:firstLine="0" w:firstLineChars="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靠背支撑弯管采用16.5 mm±1mm×34 mm×±1mm，壁厚1.2mm的椭圆形白皮钢管；椅座垫下设补强管采用16.5mm±1mm×34 mm±1mm，壁厚1.2mm的椭圆形白皮钢管。</w:t>
            </w:r>
          </w:p>
        </w:tc>
        <w:tc>
          <w:tcPr>
            <w:tcW w:w="972" w:type="dxa"/>
          </w:tcPr>
          <w:p w14:paraId="0D095D4E">
            <w:pPr>
              <w:rPr>
                <w:color w:val="000000" w:themeColor="text1"/>
                <w:szCs w:val="21"/>
                <w14:textFill>
                  <w14:solidFill>
                    <w14:schemeClr w14:val="tx1"/>
                  </w14:solidFill>
                </w14:textFill>
              </w:rPr>
            </w:pPr>
          </w:p>
        </w:tc>
        <w:tc>
          <w:tcPr>
            <w:tcW w:w="710" w:type="dxa"/>
          </w:tcPr>
          <w:p w14:paraId="20E78A71">
            <w:pPr>
              <w:rPr>
                <w:color w:val="000000" w:themeColor="text1"/>
                <w:szCs w:val="21"/>
                <w14:textFill>
                  <w14:solidFill>
                    <w14:schemeClr w14:val="tx1"/>
                  </w14:solidFill>
                </w14:textFill>
              </w:rPr>
            </w:pPr>
          </w:p>
        </w:tc>
        <w:tc>
          <w:tcPr>
            <w:tcW w:w="390" w:type="dxa"/>
          </w:tcPr>
          <w:p w14:paraId="6F2A18EC">
            <w:pPr>
              <w:rPr>
                <w:color w:val="000000" w:themeColor="text1"/>
                <w:szCs w:val="21"/>
                <w14:textFill>
                  <w14:solidFill>
                    <w14:schemeClr w14:val="tx1"/>
                  </w14:solidFill>
                </w14:textFill>
              </w:rPr>
            </w:pPr>
          </w:p>
        </w:tc>
      </w:tr>
      <w:tr w14:paraId="249C7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B770F78">
            <w:pPr>
              <w:jc w:val="center"/>
              <w:rPr>
                <w:color w:val="000000" w:themeColor="text1"/>
                <w:szCs w:val="21"/>
                <w14:textFill>
                  <w14:solidFill>
                    <w14:schemeClr w14:val="tx1"/>
                  </w14:solidFill>
                </w14:textFill>
              </w:rPr>
            </w:pPr>
          </w:p>
        </w:tc>
        <w:tc>
          <w:tcPr>
            <w:tcW w:w="772" w:type="dxa"/>
            <w:vMerge w:val="continue"/>
            <w:vAlign w:val="center"/>
          </w:tcPr>
          <w:p w14:paraId="677AF618">
            <w:pPr>
              <w:jc w:val="center"/>
              <w:rPr>
                <w:rFonts w:hint="eastAsia"/>
                <w:color w:val="000000" w:themeColor="text1"/>
                <w:szCs w:val="21"/>
                <w14:textFill>
                  <w14:solidFill>
                    <w14:schemeClr w14:val="tx1"/>
                  </w14:solidFill>
                </w14:textFill>
              </w:rPr>
            </w:pPr>
          </w:p>
        </w:tc>
        <w:tc>
          <w:tcPr>
            <w:tcW w:w="5446" w:type="dxa"/>
            <w:vAlign w:val="center"/>
          </w:tcPr>
          <w:p w14:paraId="71BAF4B8">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32.工艺：采用上下安全升降结构，可调节区间（调节行程）不少于7cm，（具体实际要求高度以学校要求为准）。升降刻度尺采用激光镭射打印。</w:t>
            </w:r>
          </w:p>
        </w:tc>
        <w:tc>
          <w:tcPr>
            <w:tcW w:w="972" w:type="dxa"/>
          </w:tcPr>
          <w:p w14:paraId="30EE74B4">
            <w:pPr>
              <w:rPr>
                <w:color w:val="000000" w:themeColor="text1"/>
                <w:szCs w:val="21"/>
                <w14:textFill>
                  <w14:solidFill>
                    <w14:schemeClr w14:val="tx1"/>
                  </w14:solidFill>
                </w14:textFill>
              </w:rPr>
            </w:pPr>
          </w:p>
        </w:tc>
        <w:tc>
          <w:tcPr>
            <w:tcW w:w="710" w:type="dxa"/>
          </w:tcPr>
          <w:p w14:paraId="693CF503">
            <w:pPr>
              <w:rPr>
                <w:color w:val="000000" w:themeColor="text1"/>
                <w:szCs w:val="21"/>
                <w14:textFill>
                  <w14:solidFill>
                    <w14:schemeClr w14:val="tx1"/>
                  </w14:solidFill>
                </w14:textFill>
              </w:rPr>
            </w:pPr>
          </w:p>
        </w:tc>
        <w:tc>
          <w:tcPr>
            <w:tcW w:w="390" w:type="dxa"/>
          </w:tcPr>
          <w:p w14:paraId="634847D5">
            <w:pPr>
              <w:rPr>
                <w:color w:val="000000" w:themeColor="text1"/>
                <w:szCs w:val="21"/>
                <w14:textFill>
                  <w14:solidFill>
                    <w14:schemeClr w14:val="tx1"/>
                  </w14:solidFill>
                </w14:textFill>
              </w:rPr>
            </w:pPr>
          </w:p>
        </w:tc>
      </w:tr>
      <w:tr w14:paraId="49C3B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D1AC084">
            <w:pPr>
              <w:jc w:val="center"/>
              <w:rPr>
                <w:color w:val="000000" w:themeColor="text1"/>
                <w:szCs w:val="21"/>
                <w14:textFill>
                  <w14:solidFill>
                    <w14:schemeClr w14:val="tx1"/>
                  </w14:solidFill>
                </w14:textFill>
              </w:rPr>
            </w:pPr>
          </w:p>
        </w:tc>
        <w:tc>
          <w:tcPr>
            <w:tcW w:w="772" w:type="dxa"/>
            <w:vMerge w:val="continue"/>
            <w:vAlign w:val="center"/>
          </w:tcPr>
          <w:p w14:paraId="0DCA755D">
            <w:pPr>
              <w:jc w:val="center"/>
              <w:rPr>
                <w:rFonts w:hint="eastAsia"/>
                <w:color w:val="000000" w:themeColor="text1"/>
                <w:szCs w:val="21"/>
                <w14:textFill>
                  <w14:solidFill>
                    <w14:schemeClr w14:val="tx1"/>
                  </w14:solidFill>
                </w14:textFill>
              </w:rPr>
            </w:pPr>
          </w:p>
        </w:tc>
        <w:tc>
          <w:tcPr>
            <w:tcW w:w="5446" w:type="dxa"/>
            <w:vAlign w:val="center"/>
          </w:tcPr>
          <w:p w14:paraId="281A7F08">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33.技术形状：底坐采用安全牢固的T字（或C字或工字)组合焊接外型结构，内配隐藏式上下升降结构。</w:t>
            </w:r>
          </w:p>
        </w:tc>
        <w:tc>
          <w:tcPr>
            <w:tcW w:w="972" w:type="dxa"/>
          </w:tcPr>
          <w:p w14:paraId="6AA500DB">
            <w:pPr>
              <w:rPr>
                <w:color w:val="000000" w:themeColor="text1"/>
                <w:szCs w:val="21"/>
                <w14:textFill>
                  <w14:solidFill>
                    <w14:schemeClr w14:val="tx1"/>
                  </w14:solidFill>
                </w14:textFill>
              </w:rPr>
            </w:pPr>
          </w:p>
        </w:tc>
        <w:tc>
          <w:tcPr>
            <w:tcW w:w="710" w:type="dxa"/>
          </w:tcPr>
          <w:p w14:paraId="37075BCF">
            <w:pPr>
              <w:rPr>
                <w:color w:val="000000" w:themeColor="text1"/>
                <w:szCs w:val="21"/>
                <w14:textFill>
                  <w14:solidFill>
                    <w14:schemeClr w14:val="tx1"/>
                  </w14:solidFill>
                </w14:textFill>
              </w:rPr>
            </w:pPr>
          </w:p>
        </w:tc>
        <w:tc>
          <w:tcPr>
            <w:tcW w:w="390" w:type="dxa"/>
          </w:tcPr>
          <w:p w14:paraId="394CE649">
            <w:pPr>
              <w:rPr>
                <w:color w:val="000000" w:themeColor="text1"/>
                <w:szCs w:val="21"/>
                <w14:textFill>
                  <w14:solidFill>
                    <w14:schemeClr w14:val="tx1"/>
                  </w14:solidFill>
                </w14:textFill>
              </w:rPr>
            </w:pPr>
          </w:p>
        </w:tc>
      </w:tr>
      <w:tr w14:paraId="393C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0053424">
            <w:pPr>
              <w:jc w:val="center"/>
              <w:rPr>
                <w:color w:val="000000" w:themeColor="text1"/>
                <w:szCs w:val="21"/>
                <w14:textFill>
                  <w14:solidFill>
                    <w14:schemeClr w14:val="tx1"/>
                  </w14:solidFill>
                </w14:textFill>
              </w:rPr>
            </w:pPr>
          </w:p>
        </w:tc>
        <w:tc>
          <w:tcPr>
            <w:tcW w:w="772" w:type="dxa"/>
            <w:vMerge w:val="continue"/>
            <w:vAlign w:val="center"/>
          </w:tcPr>
          <w:p w14:paraId="0ED38267">
            <w:pPr>
              <w:jc w:val="center"/>
              <w:rPr>
                <w:rFonts w:hint="eastAsia"/>
                <w:color w:val="000000" w:themeColor="text1"/>
                <w:szCs w:val="21"/>
                <w14:textFill>
                  <w14:solidFill>
                    <w14:schemeClr w14:val="tx1"/>
                  </w14:solidFill>
                </w14:textFill>
              </w:rPr>
            </w:pPr>
          </w:p>
        </w:tc>
        <w:tc>
          <w:tcPr>
            <w:tcW w:w="5446" w:type="dxa"/>
            <w:vAlign w:val="center"/>
          </w:tcPr>
          <w:p w14:paraId="3953B216">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34.表面技术要求：焊接完成后的钢管架，表面经除油、脱脂、磷化、皮膜处理。外表采用一级颗粒粉末，经高温粉体烤漆，无刮伤或脱漆现象。涂层无漏喷、锈蚀涂层光滑均匀，色泽一致，无流挂、疙瘩、皱皮、飞漆等缺陷。涂层平整光滑，无明显粒子、涨边现象。</w:t>
            </w:r>
          </w:p>
        </w:tc>
        <w:tc>
          <w:tcPr>
            <w:tcW w:w="972" w:type="dxa"/>
          </w:tcPr>
          <w:p w14:paraId="237B6312">
            <w:pPr>
              <w:rPr>
                <w:color w:val="000000" w:themeColor="text1"/>
                <w:szCs w:val="21"/>
                <w14:textFill>
                  <w14:solidFill>
                    <w14:schemeClr w14:val="tx1"/>
                  </w14:solidFill>
                </w14:textFill>
              </w:rPr>
            </w:pPr>
          </w:p>
        </w:tc>
        <w:tc>
          <w:tcPr>
            <w:tcW w:w="710" w:type="dxa"/>
          </w:tcPr>
          <w:p w14:paraId="4908CB23">
            <w:pPr>
              <w:rPr>
                <w:color w:val="000000" w:themeColor="text1"/>
                <w:szCs w:val="21"/>
                <w14:textFill>
                  <w14:solidFill>
                    <w14:schemeClr w14:val="tx1"/>
                  </w14:solidFill>
                </w14:textFill>
              </w:rPr>
            </w:pPr>
          </w:p>
        </w:tc>
        <w:tc>
          <w:tcPr>
            <w:tcW w:w="390" w:type="dxa"/>
          </w:tcPr>
          <w:p w14:paraId="33FF5FF6">
            <w:pPr>
              <w:rPr>
                <w:color w:val="000000" w:themeColor="text1"/>
                <w:szCs w:val="21"/>
                <w14:textFill>
                  <w14:solidFill>
                    <w14:schemeClr w14:val="tx1"/>
                  </w14:solidFill>
                </w14:textFill>
              </w:rPr>
            </w:pPr>
          </w:p>
        </w:tc>
      </w:tr>
      <w:tr w14:paraId="0927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7DC7FDE">
            <w:pPr>
              <w:jc w:val="center"/>
              <w:rPr>
                <w:color w:val="000000" w:themeColor="text1"/>
                <w:szCs w:val="21"/>
                <w14:textFill>
                  <w14:solidFill>
                    <w14:schemeClr w14:val="tx1"/>
                  </w14:solidFill>
                </w14:textFill>
              </w:rPr>
            </w:pPr>
          </w:p>
        </w:tc>
        <w:tc>
          <w:tcPr>
            <w:tcW w:w="772" w:type="dxa"/>
            <w:vMerge w:val="continue"/>
            <w:vAlign w:val="center"/>
          </w:tcPr>
          <w:p w14:paraId="1383A0EA">
            <w:pPr>
              <w:jc w:val="center"/>
              <w:rPr>
                <w:rFonts w:hint="eastAsia"/>
                <w:color w:val="000000" w:themeColor="text1"/>
                <w:szCs w:val="21"/>
                <w14:textFill>
                  <w14:solidFill>
                    <w14:schemeClr w14:val="tx1"/>
                  </w14:solidFill>
                </w14:textFill>
              </w:rPr>
            </w:pPr>
          </w:p>
        </w:tc>
        <w:tc>
          <w:tcPr>
            <w:tcW w:w="5446" w:type="dxa"/>
            <w:vAlign w:val="center"/>
          </w:tcPr>
          <w:p w14:paraId="5DB5736A">
            <w:pPr>
              <w:keepNext w:val="0"/>
              <w:keepLines w:val="0"/>
              <w:widowControl/>
              <w:suppressLineNumbers w:val="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D.课桌椅标识：</w:t>
            </w:r>
          </w:p>
        </w:tc>
        <w:tc>
          <w:tcPr>
            <w:tcW w:w="972" w:type="dxa"/>
          </w:tcPr>
          <w:p w14:paraId="7B929D79">
            <w:pPr>
              <w:rPr>
                <w:color w:val="000000" w:themeColor="text1"/>
                <w:szCs w:val="21"/>
                <w14:textFill>
                  <w14:solidFill>
                    <w14:schemeClr w14:val="tx1"/>
                  </w14:solidFill>
                </w14:textFill>
              </w:rPr>
            </w:pPr>
          </w:p>
        </w:tc>
        <w:tc>
          <w:tcPr>
            <w:tcW w:w="710" w:type="dxa"/>
          </w:tcPr>
          <w:p w14:paraId="53DA398F">
            <w:pPr>
              <w:rPr>
                <w:color w:val="000000" w:themeColor="text1"/>
                <w:szCs w:val="21"/>
                <w14:textFill>
                  <w14:solidFill>
                    <w14:schemeClr w14:val="tx1"/>
                  </w14:solidFill>
                </w14:textFill>
              </w:rPr>
            </w:pPr>
          </w:p>
        </w:tc>
        <w:tc>
          <w:tcPr>
            <w:tcW w:w="390" w:type="dxa"/>
          </w:tcPr>
          <w:p w14:paraId="465FF835">
            <w:pPr>
              <w:rPr>
                <w:color w:val="000000" w:themeColor="text1"/>
                <w:szCs w:val="21"/>
                <w14:textFill>
                  <w14:solidFill>
                    <w14:schemeClr w14:val="tx1"/>
                  </w14:solidFill>
                </w14:textFill>
              </w:rPr>
            </w:pPr>
          </w:p>
        </w:tc>
      </w:tr>
      <w:tr w14:paraId="5305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8AEAD1E">
            <w:pPr>
              <w:jc w:val="center"/>
              <w:rPr>
                <w:color w:val="000000" w:themeColor="text1"/>
                <w:szCs w:val="21"/>
                <w14:textFill>
                  <w14:solidFill>
                    <w14:schemeClr w14:val="tx1"/>
                  </w14:solidFill>
                </w14:textFill>
              </w:rPr>
            </w:pPr>
          </w:p>
        </w:tc>
        <w:tc>
          <w:tcPr>
            <w:tcW w:w="772" w:type="dxa"/>
            <w:vMerge w:val="continue"/>
            <w:vAlign w:val="center"/>
          </w:tcPr>
          <w:p w14:paraId="288C6198">
            <w:pPr>
              <w:jc w:val="center"/>
              <w:rPr>
                <w:rFonts w:hint="eastAsia"/>
                <w:color w:val="000000" w:themeColor="text1"/>
                <w:szCs w:val="21"/>
                <w14:textFill>
                  <w14:solidFill>
                    <w14:schemeClr w14:val="tx1"/>
                  </w14:solidFill>
                </w14:textFill>
              </w:rPr>
            </w:pPr>
          </w:p>
        </w:tc>
        <w:tc>
          <w:tcPr>
            <w:tcW w:w="5446" w:type="dxa"/>
            <w:vAlign w:val="center"/>
          </w:tcPr>
          <w:p w14:paraId="21563BFE">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35.采用激光镭射标示，字体</w:t>
            </w:r>
            <w:r>
              <w:rPr>
                <w:rStyle w:val="39"/>
                <w:rFonts w:hint="default" w:asciiTheme="majorEastAsia" w:hAnsiTheme="majorEastAsia" w:eastAsiaTheme="majorEastAsia" w:cstheme="majorEastAsia"/>
                <w:lang w:bidi="ar"/>
              </w:rPr>
              <w:t>稳固不易</w:t>
            </w:r>
            <w:r>
              <w:rPr>
                <w:rFonts w:hint="eastAsia" w:asciiTheme="majorEastAsia" w:hAnsiTheme="majorEastAsia" w:eastAsiaTheme="majorEastAsia" w:cstheme="majorEastAsia"/>
                <w:i w:val="0"/>
                <w:iCs w:val="0"/>
                <w:color w:val="000000"/>
                <w:kern w:val="0"/>
                <w:sz w:val="21"/>
                <w:szCs w:val="21"/>
                <w:u w:val="none"/>
                <w:lang w:val="en-US" w:eastAsia="zh-CN" w:bidi="ar"/>
              </w:rPr>
              <w:t>脱落掉色，利于学校管理使用及产品维护。在可调节的钢制脚架上外侧标记，高度刻度尺用阿拉伯数字作标示。</w:t>
            </w:r>
          </w:p>
        </w:tc>
        <w:tc>
          <w:tcPr>
            <w:tcW w:w="972" w:type="dxa"/>
          </w:tcPr>
          <w:p w14:paraId="129BADB3">
            <w:pPr>
              <w:rPr>
                <w:color w:val="000000" w:themeColor="text1"/>
                <w:szCs w:val="21"/>
                <w14:textFill>
                  <w14:solidFill>
                    <w14:schemeClr w14:val="tx1"/>
                  </w14:solidFill>
                </w14:textFill>
              </w:rPr>
            </w:pPr>
          </w:p>
        </w:tc>
        <w:tc>
          <w:tcPr>
            <w:tcW w:w="710" w:type="dxa"/>
          </w:tcPr>
          <w:p w14:paraId="61B42A22">
            <w:pPr>
              <w:rPr>
                <w:color w:val="000000" w:themeColor="text1"/>
                <w:szCs w:val="21"/>
                <w14:textFill>
                  <w14:solidFill>
                    <w14:schemeClr w14:val="tx1"/>
                  </w14:solidFill>
                </w14:textFill>
              </w:rPr>
            </w:pPr>
          </w:p>
        </w:tc>
        <w:tc>
          <w:tcPr>
            <w:tcW w:w="390" w:type="dxa"/>
          </w:tcPr>
          <w:p w14:paraId="05229A43">
            <w:pPr>
              <w:rPr>
                <w:color w:val="000000" w:themeColor="text1"/>
                <w:szCs w:val="21"/>
                <w14:textFill>
                  <w14:solidFill>
                    <w14:schemeClr w14:val="tx1"/>
                  </w14:solidFill>
                </w14:textFill>
              </w:rPr>
            </w:pPr>
          </w:p>
        </w:tc>
      </w:tr>
      <w:tr w14:paraId="74E8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D6CB635">
            <w:pPr>
              <w:jc w:val="center"/>
              <w:rPr>
                <w:color w:val="000000" w:themeColor="text1"/>
                <w:szCs w:val="21"/>
                <w14:textFill>
                  <w14:solidFill>
                    <w14:schemeClr w14:val="tx1"/>
                  </w14:solidFill>
                </w14:textFill>
              </w:rPr>
            </w:pPr>
          </w:p>
        </w:tc>
        <w:tc>
          <w:tcPr>
            <w:tcW w:w="772" w:type="dxa"/>
            <w:vMerge w:val="continue"/>
            <w:vAlign w:val="center"/>
          </w:tcPr>
          <w:p w14:paraId="7E55E214">
            <w:pPr>
              <w:jc w:val="center"/>
              <w:rPr>
                <w:rFonts w:hint="eastAsia"/>
                <w:color w:val="000000" w:themeColor="text1"/>
                <w:szCs w:val="21"/>
                <w14:textFill>
                  <w14:solidFill>
                    <w14:schemeClr w14:val="tx1"/>
                  </w14:solidFill>
                </w14:textFill>
              </w:rPr>
            </w:pPr>
          </w:p>
        </w:tc>
        <w:tc>
          <w:tcPr>
            <w:tcW w:w="5446" w:type="dxa"/>
            <w:vAlign w:val="center"/>
          </w:tcPr>
          <w:p w14:paraId="0FEC526E">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36.表面标示至少满足以下要求：a)在课椅椅腿立管(钢制脚架上)外侧上做如下标示；b)标示并标有统一的校名（简称）标识，利于学校财产登记；c)并标示并标有生产（出厂）年月日数字标识，利于设备保修售后；d)标示并标有产品序列号数字标识（编号从0001开始的流水号），利于学校财产登记；e)标示并标有高度刻度尺数字标识，满足标准要求。</w:t>
            </w:r>
          </w:p>
        </w:tc>
        <w:tc>
          <w:tcPr>
            <w:tcW w:w="972" w:type="dxa"/>
          </w:tcPr>
          <w:p w14:paraId="7254314A">
            <w:pPr>
              <w:rPr>
                <w:color w:val="000000" w:themeColor="text1"/>
                <w:szCs w:val="21"/>
                <w14:textFill>
                  <w14:solidFill>
                    <w14:schemeClr w14:val="tx1"/>
                  </w14:solidFill>
                </w14:textFill>
              </w:rPr>
            </w:pPr>
          </w:p>
        </w:tc>
        <w:tc>
          <w:tcPr>
            <w:tcW w:w="710" w:type="dxa"/>
          </w:tcPr>
          <w:p w14:paraId="7706A674">
            <w:pPr>
              <w:rPr>
                <w:color w:val="000000" w:themeColor="text1"/>
                <w:szCs w:val="21"/>
                <w14:textFill>
                  <w14:solidFill>
                    <w14:schemeClr w14:val="tx1"/>
                  </w14:solidFill>
                </w14:textFill>
              </w:rPr>
            </w:pPr>
          </w:p>
        </w:tc>
        <w:tc>
          <w:tcPr>
            <w:tcW w:w="390" w:type="dxa"/>
          </w:tcPr>
          <w:p w14:paraId="19A45B21">
            <w:pPr>
              <w:rPr>
                <w:color w:val="000000" w:themeColor="text1"/>
                <w:szCs w:val="21"/>
                <w14:textFill>
                  <w14:solidFill>
                    <w14:schemeClr w14:val="tx1"/>
                  </w14:solidFill>
                </w14:textFill>
              </w:rPr>
            </w:pPr>
          </w:p>
        </w:tc>
      </w:tr>
      <w:tr w14:paraId="3ADFB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27E812A">
            <w:pPr>
              <w:jc w:val="center"/>
              <w:rPr>
                <w:color w:val="000000" w:themeColor="text1"/>
                <w:szCs w:val="21"/>
                <w14:textFill>
                  <w14:solidFill>
                    <w14:schemeClr w14:val="tx1"/>
                  </w14:solidFill>
                </w14:textFill>
              </w:rPr>
            </w:pPr>
          </w:p>
        </w:tc>
        <w:tc>
          <w:tcPr>
            <w:tcW w:w="772" w:type="dxa"/>
            <w:vMerge w:val="continue"/>
            <w:vAlign w:val="center"/>
          </w:tcPr>
          <w:p w14:paraId="055C7FCD">
            <w:pPr>
              <w:jc w:val="center"/>
              <w:rPr>
                <w:rFonts w:hint="eastAsia"/>
                <w:color w:val="000000" w:themeColor="text1"/>
                <w:szCs w:val="21"/>
                <w14:textFill>
                  <w14:solidFill>
                    <w14:schemeClr w14:val="tx1"/>
                  </w14:solidFill>
                </w14:textFill>
              </w:rPr>
            </w:pPr>
          </w:p>
        </w:tc>
        <w:tc>
          <w:tcPr>
            <w:tcW w:w="5446" w:type="dxa"/>
            <w:vAlign w:val="center"/>
          </w:tcPr>
          <w:p w14:paraId="4A969E41">
            <w:pPr>
              <w:keepNext w:val="0"/>
              <w:keepLines w:val="0"/>
              <w:widowControl/>
              <w:suppressLineNumbers w:val="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E.脚垫</w:t>
            </w:r>
          </w:p>
        </w:tc>
        <w:tc>
          <w:tcPr>
            <w:tcW w:w="972" w:type="dxa"/>
          </w:tcPr>
          <w:p w14:paraId="650E5697">
            <w:pPr>
              <w:rPr>
                <w:color w:val="000000" w:themeColor="text1"/>
                <w:szCs w:val="21"/>
                <w14:textFill>
                  <w14:solidFill>
                    <w14:schemeClr w14:val="tx1"/>
                  </w14:solidFill>
                </w14:textFill>
              </w:rPr>
            </w:pPr>
          </w:p>
        </w:tc>
        <w:tc>
          <w:tcPr>
            <w:tcW w:w="710" w:type="dxa"/>
          </w:tcPr>
          <w:p w14:paraId="7D65E890">
            <w:pPr>
              <w:rPr>
                <w:color w:val="000000" w:themeColor="text1"/>
                <w:szCs w:val="21"/>
                <w14:textFill>
                  <w14:solidFill>
                    <w14:schemeClr w14:val="tx1"/>
                  </w14:solidFill>
                </w14:textFill>
              </w:rPr>
            </w:pPr>
          </w:p>
        </w:tc>
        <w:tc>
          <w:tcPr>
            <w:tcW w:w="390" w:type="dxa"/>
          </w:tcPr>
          <w:p w14:paraId="2C912154">
            <w:pPr>
              <w:rPr>
                <w:color w:val="000000" w:themeColor="text1"/>
                <w:szCs w:val="21"/>
                <w14:textFill>
                  <w14:solidFill>
                    <w14:schemeClr w14:val="tx1"/>
                  </w14:solidFill>
                </w14:textFill>
              </w:rPr>
            </w:pPr>
          </w:p>
        </w:tc>
      </w:tr>
      <w:tr w14:paraId="6EC5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BF34660">
            <w:pPr>
              <w:jc w:val="center"/>
              <w:rPr>
                <w:color w:val="000000" w:themeColor="text1"/>
                <w:szCs w:val="21"/>
                <w14:textFill>
                  <w14:solidFill>
                    <w14:schemeClr w14:val="tx1"/>
                  </w14:solidFill>
                </w14:textFill>
              </w:rPr>
            </w:pPr>
          </w:p>
        </w:tc>
        <w:tc>
          <w:tcPr>
            <w:tcW w:w="772" w:type="dxa"/>
            <w:vMerge w:val="continue"/>
            <w:vAlign w:val="center"/>
          </w:tcPr>
          <w:p w14:paraId="6A6186D9">
            <w:pPr>
              <w:jc w:val="center"/>
              <w:rPr>
                <w:rFonts w:hint="eastAsia"/>
                <w:color w:val="000000" w:themeColor="text1"/>
                <w:szCs w:val="21"/>
                <w14:textFill>
                  <w14:solidFill>
                    <w14:schemeClr w14:val="tx1"/>
                  </w14:solidFill>
                </w14:textFill>
              </w:rPr>
            </w:pPr>
          </w:p>
        </w:tc>
        <w:tc>
          <w:tcPr>
            <w:tcW w:w="5446" w:type="dxa"/>
            <w:vAlign w:val="center"/>
          </w:tcPr>
          <w:p w14:paraId="304DFCF0">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37.材质：PP塑料（塑胶）。</w:t>
            </w:r>
          </w:p>
        </w:tc>
        <w:tc>
          <w:tcPr>
            <w:tcW w:w="972" w:type="dxa"/>
          </w:tcPr>
          <w:p w14:paraId="5AA3C281">
            <w:pPr>
              <w:rPr>
                <w:color w:val="000000" w:themeColor="text1"/>
                <w:szCs w:val="21"/>
                <w14:textFill>
                  <w14:solidFill>
                    <w14:schemeClr w14:val="tx1"/>
                  </w14:solidFill>
                </w14:textFill>
              </w:rPr>
            </w:pPr>
          </w:p>
        </w:tc>
        <w:tc>
          <w:tcPr>
            <w:tcW w:w="710" w:type="dxa"/>
          </w:tcPr>
          <w:p w14:paraId="7FD98D6C">
            <w:pPr>
              <w:rPr>
                <w:color w:val="000000" w:themeColor="text1"/>
                <w:szCs w:val="21"/>
                <w14:textFill>
                  <w14:solidFill>
                    <w14:schemeClr w14:val="tx1"/>
                  </w14:solidFill>
                </w14:textFill>
              </w:rPr>
            </w:pPr>
          </w:p>
        </w:tc>
        <w:tc>
          <w:tcPr>
            <w:tcW w:w="390" w:type="dxa"/>
          </w:tcPr>
          <w:p w14:paraId="0635D42A">
            <w:pPr>
              <w:rPr>
                <w:color w:val="000000" w:themeColor="text1"/>
                <w:szCs w:val="21"/>
                <w14:textFill>
                  <w14:solidFill>
                    <w14:schemeClr w14:val="tx1"/>
                  </w14:solidFill>
                </w14:textFill>
              </w:rPr>
            </w:pPr>
          </w:p>
        </w:tc>
      </w:tr>
      <w:tr w14:paraId="70DD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FFF25B0">
            <w:pPr>
              <w:jc w:val="center"/>
              <w:rPr>
                <w:color w:val="000000" w:themeColor="text1"/>
                <w:szCs w:val="21"/>
                <w14:textFill>
                  <w14:solidFill>
                    <w14:schemeClr w14:val="tx1"/>
                  </w14:solidFill>
                </w14:textFill>
              </w:rPr>
            </w:pPr>
          </w:p>
        </w:tc>
        <w:tc>
          <w:tcPr>
            <w:tcW w:w="772" w:type="dxa"/>
            <w:vMerge w:val="continue"/>
            <w:vAlign w:val="center"/>
          </w:tcPr>
          <w:p w14:paraId="0347AADB">
            <w:pPr>
              <w:jc w:val="center"/>
              <w:rPr>
                <w:rFonts w:hint="eastAsia"/>
                <w:color w:val="000000" w:themeColor="text1"/>
                <w:szCs w:val="21"/>
                <w14:textFill>
                  <w14:solidFill>
                    <w14:schemeClr w14:val="tx1"/>
                  </w14:solidFill>
                </w14:textFill>
              </w:rPr>
            </w:pPr>
          </w:p>
        </w:tc>
        <w:tc>
          <w:tcPr>
            <w:tcW w:w="5446" w:type="dxa"/>
            <w:vAlign w:val="center"/>
          </w:tcPr>
          <w:p w14:paraId="6B6D6BAB">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auto"/>
                <w:kern w:val="0"/>
                <w:sz w:val="21"/>
                <w:szCs w:val="21"/>
                <w:u w:val="none"/>
                <w:lang w:val="en-US" w:eastAsia="zh-CN" w:bidi="ar"/>
              </w:rPr>
              <w:t>38.功能：采用环保PP塑料一体射出注塑成型。并用圆头十字自攻螺丝紧固。课椅后侧两只脚垫底部有一只水平调节塑钢POM螺栓。当地面不平时，可通过调节水平螺栓，使座垫保持平衡不倾斜。表面光滑，无棱角。</w:t>
            </w:r>
          </w:p>
        </w:tc>
        <w:tc>
          <w:tcPr>
            <w:tcW w:w="972" w:type="dxa"/>
          </w:tcPr>
          <w:p w14:paraId="45502FAB">
            <w:pPr>
              <w:rPr>
                <w:color w:val="000000" w:themeColor="text1"/>
                <w:szCs w:val="21"/>
                <w14:textFill>
                  <w14:solidFill>
                    <w14:schemeClr w14:val="tx1"/>
                  </w14:solidFill>
                </w14:textFill>
              </w:rPr>
            </w:pPr>
          </w:p>
        </w:tc>
        <w:tc>
          <w:tcPr>
            <w:tcW w:w="710" w:type="dxa"/>
          </w:tcPr>
          <w:p w14:paraId="04E028A3">
            <w:pPr>
              <w:rPr>
                <w:color w:val="000000" w:themeColor="text1"/>
                <w:szCs w:val="21"/>
                <w14:textFill>
                  <w14:solidFill>
                    <w14:schemeClr w14:val="tx1"/>
                  </w14:solidFill>
                </w14:textFill>
              </w:rPr>
            </w:pPr>
          </w:p>
        </w:tc>
        <w:tc>
          <w:tcPr>
            <w:tcW w:w="390" w:type="dxa"/>
          </w:tcPr>
          <w:p w14:paraId="1F227377">
            <w:pPr>
              <w:rPr>
                <w:color w:val="000000" w:themeColor="text1"/>
                <w:szCs w:val="21"/>
                <w14:textFill>
                  <w14:solidFill>
                    <w14:schemeClr w14:val="tx1"/>
                  </w14:solidFill>
                </w14:textFill>
              </w:rPr>
            </w:pPr>
          </w:p>
        </w:tc>
      </w:tr>
      <w:tr w14:paraId="578E3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E78C766">
            <w:pPr>
              <w:jc w:val="center"/>
              <w:rPr>
                <w:color w:val="000000" w:themeColor="text1"/>
                <w:szCs w:val="21"/>
                <w14:textFill>
                  <w14:solidFill>
                    <w14:schemeClr w14:val="tx1"/>
                  </w14:solidFill>
                </w14:textFill>
              </w:rPr>
            </w:pPr>
          </w:p>
        </w:tc>
        <w:tc>
          <w:tcPr>
            <w:tcW w:w="772" w:type="dxa"/>
            <w:vMerge w:val="continue"/>
            <w:vAlign w:val="center"/>
          </w:tcPr>
          <w:p w14:paraId="78FB22DA">
            <w:pPr>
              <w:jc w:val="center"/>
              <w:rPr>
                <w:rFonts w:hint="eastAsia"/>
                <w:color w:val="000000" w:themeColor="text1"/>
                <w:szCs w:val="21"/>
                <w14:textFill>
                  <w14:solidFill>
                    <w14:schemeClr w14:val="tx1"/>
                  </w14:solidFill>
                </w14:textFill>
              </w:rPr>
            </w:pPr>
          </w:p>
        </w:tc>
        <w:tc>
          <w:tcPr>
            <w:tcW w:w="5446" w:type="dxa"/>
            <w:vAlign w:val="center"/>
          </w:tcPr>
          <w:p w14:paraId="2C0045CA">
            <w:pPr>
              <w:keepNext w:val="0"/>
              <w:keepLines w:val="0"/>
              <w:widowControl/>
              <w:suppressLineNumbers w:val="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F.其他配件</w:t>
            </w:r>
            <w:r>
              <w:rPr>
                <w:rFonts w:hint="eastAsia" w:asciiTheme="majorEastAsia" w:hAnsiTheme="majorEastAsia" w:eastAsiaTheme="majorEastAsia" w:cstheme="majorEastAsia"/>
                <w:i w:val="0"/>
                <w:iCs w:val="0"/>
                <w:color w:val="000000"/>
                <w:kern w:val="0"/>
                <w:sz w:val="21"/>
                <w:szCs w:val="21"/>
                <w:u w:val="none"/>
                <w:lang w:val="en-US" w:eastAsia="zh-CN" w:bidi="ar"/>
              </w:rPr>
              <w:t>快速升降调节组件：</w:t>
            </w:r>
          </w:p>
        </w:tc>
        <w:tc>
          <w:tcPr>
            <w:tcW w:w="972" w:type="dxa"/>
          </w:tcPr>
          <w:p w14:paraId="633E7320">
            <w:pPr>
              <w:rPr>
                <w:color w:val="000000" w:themeColor="text1"/>
                <w:szCs w:val="21"/>
                <w14:textFill>
                  <w14:solidFill>
                    <w14:schemeClr w14:val="tx1"/>
                  </w14:solidFill>
                </w14:textFill>
              </w:rPr>
            </w:pPr>
          </w:p>
        </w:tc>
        <w:tc>
          <w:tcPr>
            <w:tcW w:w="710" w:type="dxa"/>
          </w:tcPr>
          <w:p w14:paraId="2B0EB606">
            <w:pPr>
              <w:rPr>
                <w:color w:val="000000" w:themeColor="text1"/>
                <w:szCs w:val="21"/>
                <w14:textFill>
                  <w14:solidFill>
                    <w14:schemeClr w14:val="tx1"/>
                  </w14:solidFill>
                </w14:textFill>
              </w:rPr>
            </w:pPr>
          </w:p>
        </w:tc>
        <w:tc>
          <w:tcPr>
            <w:tcW w:w="390" w:type="dxa"/>
          </w:tcPr>
          <w:p w14:paraId="475EAAB2">
            <w:pPr>
              <w:rPr>
                <w:color w:val="000000" w:themeColor="text1"/>
                <w:szCs w:val="21"/>
                <w14:textFill>
                  <w14:solidFill>
                    <w14:schemeClr w14:val="tx1"/>
                  </w14:solidFill>
                </w14:textFill>
              </w:rPr>
            </w:pPr>
          </w:p>
        </w:tc>
      </w:tr>
      <w:tr w14:paraId="5D08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125A8B4">
            <w:pPr>
              <w:jc w:val="center"/>
              <w:rPr>
                <w:color w:val="000000" w:themeColor="text1"/>
                <w:szCs w:val="21"/>
                <w14:textFill>
                  <w14:solidFill>
                    <w14:schemeClr w14:val="tx1"/>
                  </w14:solidFill>
                </w14:textFill>
              </w:rPr>
            </w:pPr>
          </w:p>
        </w:tc>
        <w:tc>
          <w:tcPr>
            <w:tcW w:w="772" w:type="dxa"/>
            <w:vMerge w:val="continue"/>
            <w:vAlign w:val="center"/>
          </w:tcPr>
          <w:p w14:paraId="3D2B113E">
            <w:pPr>
              <w:jc w:val="center"/>
              <w:rPr>
                <w:rFonts w:hint="eastAsia"/>
                <w:color w:val="000000" w:themeColor="text1"/>
                <w:szCs w:val="21"/>
                <w14:textFill>
                  <w14:solidFill>
                    <w14:schemeClr w14:val="tx1"/>
                  </w14:solidFill>
                </w14:textFill>
              </w:rPr>
            </w:pPr>
          </w:p>
        </w:tc>
        <w:tc>
          <w:tcPr>
            <w:tcW w:w="5446" w:type="dxa"/>
            <w:vAlign w:val="center"/>
          </w:tcPr>
          <w:p w14:paraId="5922BCB1">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39.手摇可调式结构：环保材料，轻便无噪音并有效防止长期使用生锈后活动受阻卡死。</w:t>
            </w:r>
          </w:p>
        </w:tc>
        <w:tc>
          <w:tcPr>
            <w:tcW w:w="972" w:type="dxa"/>
          </w:tcPr>
          <w:p w14:paraId="2CF2CA2B">
            <w:pPr>
              <w:rPr>
                <w:color w:val="000000" w:themeColor="text1"/>
                <w:szCs w:val="21"/>
                <w14:textFill>
                  <w14:solidFill>
                    <w14:schemeClr w14:val="tx1"/>
                  </w14:solidFill>
                </w14:textFill>
              </w:rPr>
            </w:pPr>
          </w:p>
        </w:tc>
        <w:tc>
          <w:tcPr>
            <w:tcW w:w="710" w:type="dxa"/>
          </w:tcPr>
          <w:p w14:paraId="40A11FD7">
            <w:pPr>
              <w:rPr>
                <w:color w:val="000000" w:themeColor="text1"/>
                <w:szCs w:val="21"/>
                <w14:textFill>
                  <w14:solidFill>
                    <w14:schemeClr w14:val="tx1"/>
                  </w14:solidFill>
                </w14:textFill>
              </w:rPr>
            </w:pPr>
          </w:p>
        </w:tc>
        <w:tc>
          <w:tcPr>
            <w:tcW w:w="390" w:type="dxa"/>
          </w:tcPr>
          <w:p w14:paraId="7D84C2BC">
            <w:pPr>
              <w:rPr>
                <w:color w:val="000000" w:themeColor="text1"/>
                <w:szCs w:val="21"/>
                <w14:textFill>
                  <w14:solidFill>
                    <w14:schemeClr w14:val="tx1"/>
                  </w14:solidFill>
                </w14:textFill>
              </w:rPr>
            </w:pPr>
          </w:p>
        </w:tc>
      </w:tr>
      <w:tr w14:paraId="25F1C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57DFB8B">
            <w:pPr>
              <w:jc w:val="center"/>
              <w:rPr>
                <w:color w:val="000000" w:themeColor="text1"/>
                <w:szCs w:val="21"/>
                <w14:textFill>
                  <w14:solidFill>
                    <w14:schemeClr w14:val="tx1"/>
                  </w14:solidFill>
                </w14:textFill>
              </w:rPr>
            </w:pPr>
          </w:p>
        </w:tc>
        <w:tc>
          <w:tcPr>
            <w:tcW w:w="772" w:type="dxa"/>
            <w:vMerge w:val="continue"/>
            <w:vAlign w:val="center"/>
          </w:tcPr>
          <w:p w14:paraId="51F18F6B">
            <w:pPr>
              <w:jc w:val="center"/>
              <w:rPr>
                <w:rFonts w:hint="eastAsia"/>
                <w:color w:val="000000" w:themeColor="text1"/>
                <w:szCs w:val="21"/>
                <w14:textFill>
                  <w14:solidFill>
                    <w14:schemeClr w14:val="tx1"/>
                  </w14:solidFill>
                </w14:textFill>
              </w:rPr>
            </w:pPr>
          </w:p>
        </w:tc>
        <w:tc>
          <w:tcPr>
            <w:tcW w:w="5446" w:type="dxa"/>
            <w:vAlign w:val="center"/>
          </w:tcPr>
          <w:p w14:paraId="66E3DB5F">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40.手摇组件装置安全性：椅腿外侧外观无外露螺丝五金件，学生使用无安全隐患，左右腿都可以同时调整高度。</w:t>
            </w:r>
          </w:p>
        </w:tc>
        <w:tc>
          <w:tcPr>
            <w:tcW w:w="972" w:type="dxa"/>
          </w:tcPr>
          <w:p w14:paraId="6731A624">
            <w:pPr>
              <w:rPr>
                <w:color w:val="000000" w:themeColor="text1"/>
                <w:szCs w:val="21"/>
                <w14:textFill>
                  <w14:solidFill>
                    <w14:schemeClr w14:val="tx1"/>
                  </w14:solidFill>
                </w14:textFill>
              </w:rPr>
            </w:pPr>
          </w:p>
        </w:tc>
        <w:tc>
          <w:tcPr>
            <w:tcW w:w="710" w:type="dxa"/>
          </w:tcPr>
          <w:p w14:paraId="4E82CF94">
            <w:pPr>
              <w:rPr>
                <w:color w:val="000000" w:themeColor="text1"/>
                <w:szCs w:val="21"/>
                <w14:textFill>
                  <w14:solidFill>
                    <w14:schemeClr w14:val="tx1"/>
                  </w14:solidFill>
                </w14:textFill>
              </w:rPr>
            </w:pPr>
          </w:p>
        </w:tc>
        <w:tc>
          <w:tcPr>
            <w:tcW w:w="390" w:type="dxa"/>
          </w:tcPr>
          <w:p w14:paraId="69E3FA85">
            <w:pPr>
              <w:rPr>
                <w:color w:val="000000" w:themeColor="text1"/>
                <w:szCs w:val="21"/>
                <w14:textFill>
                  <w14:solidFill>
                    <w14:schemeClr w14:val="tx1"/>
                  </w14:solidFill>
                </w14:textFill>
              </w:rPr>
            </w:pPr>
          </w:p>
        </w:tc>
      </w:tr>
      <w:tr w14:paraId="3C38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D4B7D0C">
            <w:pPr>
              <w:jc w:val="center"/>
              <w:rPr>
                <w:color w:val="000000" w:themeColor="text1"/>
                <w:szCs w:val="21"/>
                <w14:textFill>
                  <w14:solidFill>
                    <w14:schemeClr w14:val="tx1"/>
                  </w14:solidFill>
                </w14:textFill>
              </w:rPr>
            </w:pPr>
          </w:p>
        </w:tc>
        <w:tc>
          <w:tcPr>
            <w:tcW w:w="772" w:type="dxa"/>
            <w:vMerge w:val="continue"/>
            <w:vAlign w:val="center"/>
          </w:tcPr>
          <w:p w14:paraId="2250E8B8">
            <w:pPr>
              <w:jc w:val="center"/>
              <w:rPr>
                <w:rFonts w:hint="eastAsia"/>
                <w:color w:val="000000" w:themeColor="text1"/>
                <w:szCs w:val="21"/>
                <w14:textFill>
                  <w14:solidFill>
                    <w14:schemeClr w14:val="tx1"/>
                  </w14:solidFill>
                </w14:textFill>
              </w:rPr>
            </w:pPr>
          </w:p>
        </w:tc>
        <w:tc>
          <w:tcPr>
            <w:tcW w:w="5446" w:type="dxa"/>
            <w:vAlign w:val="center"/>
          </w:tcPr>
          <w:p w14:paraId="5FBFE93D">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41.升降技术要求：全手摇升降可调式调节，每张课椅满足手摇升降调节行程不少 于7cm，可调节高度区间至少满足29cm～36cm、34cm～44cm、36cm～46cm。</w:t>
            </w:r>
          </w:p>
        </w:tc>
        <w:tc>
          <w:tcPr>
            <w:tcW w:w="972" w:type="dxa"/>
          </w:tcPr>
          <w:p w14:paraId="354FCE36">
            <w:pPr>
              <w:rPr>
                <w:color w:val="000000" w:themeColor="text1"/>
                <w:szCs w:val="21"/>
                <w14:textFill>
                  <w14:solidFill>
                    <w14:schemeClr w14:val="tx1"/>
                  </w14:solidFill>
                </w14:textFill>
              </w:rPr>
            </w:pPr>
          </w:p>
        </w:tc>
        <w:tc>
          <w:tcPr>
            <w:tcW w:w="710" w:type="dxa"/>
          </w:tcPr>
          <w:p w14:paraId="5C1F41B1">
            <w:pPr>
              <w:rPr>
                <w:color w:val="000000" w:themeColor="text1"/>
                <w:szCs w:val="21"/>
                <w14:textFill>
                  <w14:solidFill>
                    <w14:schemeClr w14:val="tx1"/>
                  </w14:solidFill>
                </w14:textFill>
              </w:rPr>
            </w:pPr>
          </w:p>
        </w:tc>
        <w:tc>
          <w:tcPr>
            <w:tcW w:w="390" w:type="dxa"/>
          </w:tcPr>
          <w:p w14:paraId="65F14B27">
            <w:pPr>
              <w:rPr>
                <w:color w:val="000000" w:themeColor="text1"/>
                <w:szCs w:val="21"/>
                <w14:textFill>
                  <w14:solidFill>
                    <w14:schemeClr w14:val="tx1"/>
                  </w14:solidFill>
                </w14:textFill>
              </w:rPr>
            </w:pPr>
          </w:p>
        </w:tc>
      </w:tr>
      <w:tr w14:paraId="152A8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8AC9879">
            <w:pPr>
              <w:jc w:val="center"/>
              <w:rPr>
                <w:color w:val="000000" w:themeColor="text1"/>
                <w:szCs w:val="21"/>
                <w14:textFill>
                  <w14:solidFill>
                    <w14:schemeClr w14:val="tx1"/>
                  </w14:solidFill>
                </w14:textFill>
              </w:rPr>
            </w:pPr>
          </w:p>
        </w:tc>
        <w:tc>
          <w:tcPr>
            <w:tcW w:w="772" w:type="dxa"/>
            <w:vMerge w:val="continue"/>
            <w:vAlign w:val="center"/>
          </w:tcPr>
          <w:p w14:paraId="6FAC661C">
            <w:pPr>
              <w:jc w:val="center"/>
              <w:rPr>
                <w:rFonts w:hint="eastAsia"/>
                <w:color w:val="000000" w:themeColor="text1"/>
                <w:szCs w:val="21"/>
                <w14:textFill>
                  <w14:solidFill>
                    <w14:schemeClr w14:val="tx1"/>
                  </w14:solidFill>
                </w14:textFill>
              </w:rPr>
            </w:pPr>
          </w:p>
        </w:tc>
        <w:tc>
          <w:tcPr>
            <w:tcW w:w="5446" w:type="dxa"/>
            <w:vAlign w:val="center"/>
          </w:tcPr>
          <w:p w14:paraId="76F45F42">
            <w:pPr>
              <w:keepNext w:val="0"/>
              <w:keepLines w:val="0"/>
              <w:widowControl/>
              <w:suppressLineNumbers w:val="0"/>
              <w:jc w:val="left"/>
              <w:textAlignment w:val="center"/>
              <w:rPr>
                <w:rFonts w:hint="eastAsia"/>
              </w:rPr>
            </w:pPr>
            <w:r>
              <w:rPr>
                <w:rFonts w:hint="eastAsia" w:ascii="宋体" w:hAnsi="宋体" w:eastAsia="宋体" w:cs="Times New Roman"/>
                <w:b/>
                <w:bCs/>
                <w:color w:val="FF0000"/>
                <w:szCs w:val="21"/>
              </w:rPr>
              <w:t>★</w:t>
            </w:r>
            <w:r>
              <w:rPr>
                <w:rFonts w:hint="eastAsia" w:asciiTheme="majorEastAsia" w:hAnsiTheme="majorEastAsia" w:eastAsiaTheme="majorEastAsia" w:cstheme="majorEastAsia"/>
                <w:i w:val="0"/>
                <w:iCs w:val="0"/>
                <w:color w:val="FF0000"/>
                <w:kern w:val="0"/>
                <w:sz w:val="21"/>
                <w:szCs w:val="21"/>
                <w:u w:val="none"/>
                <w:lang w:val="en-US" w:eastAsia="zh-CN" w:bidi="ar"/>
              </w:rPr>
              <w:t>42.一把手摇柄可以满足该批全部课桌椅调节，每班（50套）标配≥2把。</w:t>
            </w:r>
          </w:p>
        </w:tc>
        <w:tc>
          <w:tcPr>
            <w:tcW w:w="972" w:type="dxa"/>
          </w:tcPr>
          <w:p w14:paraId="329598A8">
            <w:pPr>
              <w:rPr>
                <w:color w:val="000000" w:themeColor="text1"/>
                <w:szCs w:val="21"/>
                <w14:textFill>
                  <w14:solidFill>
                    <w14:schemeClr w14:val="tx1"/>
                  </w14:solidFill>
                </w14:textFill>
              </w:rPr>
            </w:pPr>
          </w:p>
        </w:tc>
        <w:tc>
          <w:tcPr>
            <w:tcW w:w="710" w:type="dxa"/>
          </w:tcPr>
          <w:p w14:paraId="46101FEC">
            <w:pPr>
              <w:rPr>
                <w:color w:val="000000" w:themeColor="text1"/>
                <w:szCs w:val="21"/>
                <w14:textFill>
                  <w14:solidFill>
                    <w14:schemeClr w14:val="tx1"/>
                  </w14:solidFill>
                </w14:textFill>
              </w:rPr>
            </w:pPr>
          </w:p>
        </w:tc>
        <w:tc>
          <w:tcPr>
            <w:tcW w:w="390" w:type="dxa"/>
          </w:tcPr>
          <w:p w14:paraId="2AE1268E">
            <w:pPr>
              <w:rPr>
                <w:color w:val="000000" w:themeColor="text1"/>
                <w:szCs w:val="21"/>
                <w14:textFill>
                  <w14:solidFill>
                    <w14:schemeClr w14:val="tx1"/>
                  </w14:solidFill>
                </w14:textFill>
              </w:rPr>
            </w:pPr>
          </w:p>
        </w:tc>
      </w:tr>
      <w:tr w14:paraId="55B79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45D943C">
            <w:pPr>
              <w:jc w:val="center"/>
              <w:rPr>
                <w:color w:val="000000" w:themeColor="text1"/>
                <w:szCs w:val="21"/>
                <w14:textFill>
                  <w14:solidFill>
                    <w14:schemeClr w14:val="tx1"/>
                  </w14:solidFill>
                </w14:textFill>
              </w:rPr>
            </w:pPr>
          </w:p>
        </w:tc>
        <w:tc>
          <w:tcPr>
            <w:tcW w:w="772" w:type="dxa"/>
            <w:vMerge w:val="continue"/>
            <w:vAlign w:val="center"/>
          </w:tcPr>
          <w:p w14:paraId="74227B70">
            <w:pPr>
              <w:jc w:val="center"/>
              <w:rPr>
                <w:rFonts w:hint="eastAsia"/>
                <w:color w:val="000000" w:themeColor="text1"/>
                <w:szCs w:val="21"/>
                <w14:textFill>
                  <w14:solidFill>
                    <w14:schemeClr w14:val="tx1"/>
                  </w14:solidFill>
                </w14:textFill>
              </w:rPr>
            </w:pPr>
          </w:p>
        </w:tc>
        <w:tc>
          <w:tcPr>
            <w:tcW w:w="5446" w:type="dxa"/>
            <w:vAlign w:val="center"/>
          </w:tcPr>
          <w:p w14:paraId="779F78A3">
            <w:pPr>
              <w:keepNext w:val="0"/>
              <w:keepLines w:val="0"/>
              <w:widowControl/>
              <w:suppressLineNumbers w:val="0"/>
              <w:jc w:val="left"/>
              <w:textAlignment w:val="center"/>
              <w:rPr>
                <w:rFonts w:hint="eastAsia"/>
              </w:rPr>
            </w:pPr>
            <w:r>
              <w:rPr>
                <w:rFonts w:hint="eastAsia" w:ascii="宋体" w:hAnsi="宋体" w:eastAsia="宋体" w:cs="Times New Roman"/>
                <w:b/>
                <w:bCs/>
                <w:color w:val="FF0000"/>
                <w:szCs w:val="21"/>
              </w:rPr>
              <w:t>★</w:t>
            </w:r>
            <w:r>
              <w:rPr>
                <w:rFonts w:hint="eastAsia" w:asciiTheme="majorEastAsia" w:hAnsiTheme="majorEastAsia" w:eastAsiaTheme="majorEastAsia" w:cstheme="majorEastAsia"/>
                <w:i w:val="0"/>
                <w:iCs w:val="0"/>
                <w:color w:val="FF0000"/>
                <w:kern w:val="0"/>
                <w:sz w:val="21"/>
                <w:szCs w:val="21"/>
                <w:u w:val="none"/>
                <w:lang w:val="en-US" w:eastAsia="zh-CN" w:bidi="ar"/>
              </w:rPr>
              <w:t>43.课椅选择的具体调节型号范围，中标后可根据使用年级另行确定，存在不同调节范围的情况，中标供应商无条件配合。</w:t>
            </w:r>
          </w:p>
        </w:tc>
        <w:tc>
          <w:tcPr>
            <w:tcW w:w="972" w:type="dxa"/>
          </w:tcPr>
          <w:p w14:paraId="7BBE9555">
            <w:pPr>
              <w:rPr>
                <w:color w:val="000000" w:themeColor="text1"/>
                <w:szCs w:val="21"/>
                <w14:textFill>
                  <w14:solidFill>
                    <w14:schemeClr w14:val="tx1"/>
                  </w14:solidFill>
                </w14:textFill>
              </w:rPr>
            </w:pPr>
          </w:p>
        </w:tc>
        <w:tc>
          <w:tcPr>
            <w:tcW w:w="710" w:type="dxa"/>
          </w:tcPr>
          <w:p w14:paraId="04F267AF">
            <w:pPr>
              <w:rPr>
                <w:color w:val="000000" w:themeColor="text1"/>
                <w:szCs w:val="21"/>
                <w14:textFill>
                  <w14:solidFill>
                    <w14:schemeClr w14:val="tx1"/>
                  </w14:solidFill>
                </w14:textFill>
              </w:rPr>
            </w:pPr>
          </w:p>
        </w:tc>
        <w:tc>
          <w:tcPr>
            <w:tcW w:w="390" w:type="dxa"/>
          </w:tcPr>
          <w:p w14:paraId="259F650D">
            <w:pPr>
              <w:rPr>
                <w:color w:val="000000" w:themeColor="text1"/>
                <w:szCs w:val="21"/>
                <w14:textFill>
                  <w14:solidFill>
                    <w14:schemeClr w14:val="tx1"/>
                  </w14:solidFill>
                </w14:textFill>
              </w:rPr>
            </w:pPr>
          </w:p>
        </w:tc>
      </w:tr>
      <w:tr w14:paraId="4F35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CBB9BA3">
            <w:pPr>
              <w:jc w:val="center"/>
              <w:rPr>
                <w:color w:val="000000" w:themeColor="text1"/>
                <w:szCs w:val="21"/>
                <w14:textFill>
                  <w14:solidFill>
                    <w14:schemeClr w14:val="tx1"/>
                  </w14:solidFill>
                </w14:textFill>
              </w:rPr>
            </w:pPr>
          </w:p>
        </w:tc>
        <w:tc>
          <w:tcPr>
            <w:tcW w:w="772" w:type="dxa"/>
            <w:vMerge w:val="continue"/>
            <w:vAlign w:val="center"/>
          </w:tcPr>
          <w:p w14:paraId="3F5BD3D5">
            <w:pPr>
              <w:jc w:val="center"/>
              <w:rPr>
                <w:rFonts w:hint="eastAsia"/>
                <w:color w:val="000000" w:themeColor="text1"/>
                <w:szCs w:val="21"/>
                <w14:textFill>
                  <w14:solidFill>
                    <w14:schemeClr w14:val="tx1"/>
                  </w14:solidFill>
                </w14:textFill>
              </w:rPr>
            </w:pPr>
          </w:p>
        </w:tc>
        <w:tc>
          <w:tcPr>
            <w:tcW w:w="5446" w:type="dxa"/>
            <w:vAlign w:val="center"/>
          </w:tcPr>
          <w:p w14:paraId="5A499A11">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auto"/>
                <w:sz w:val="21"/>
                <w:szCs w:val="21"/>
                <w:u w:val="none"/>
              </w:rPr>
              <w:t>44.▲升降课桌椅钢架检验：【化学成分：C≤0.22%，Si≤0.35%，Mn≤1.40%，P≤0.045%，S≤0.050%】；【力学性能：抗拉强度Rm370～560MPa，下屈服强</w:t>
            </w:r>
            <w:r>
              <w:rPr>
                <w:rFonts w:hint="eastAsia" w:asciiTheme="majorEastAsia" w:hAnsiTheme="majorEastAsia" w:eastAsiaTheme="majorEastAsia" w:cstheme="majorEastAsia"/>
                <w:i w:val="0"/>
                <w:iCs w:val="0"/>
                <w:color w:val="auto"/>
                <w:sz w:val="21"/>
                <w:szCs w:val="21"/>
                <w:highlight w:val="none"/>
                <w:u w:val="none"/>
              </w:rPr>
              <w:t>度ReL≥235MPa，断后伸长率A≥24%】；【维氏硬度HV5≥130】；【中性盐雾(18h)，符合 QB/T3832-1999标准中耐腐蚀等级≥9级】；【焊缝宏观和微观金相检验：焊缝宏观金相检验，焊缝不应有固体夹杂、未熔合及未焊透缺陷；焊缝微观金相检验，焊接后不应有固体夹杂、沉淀相、偏析、未熔合及未焊透缺陷;焊缝组织为索氏体和铁素体，呈柱状晶分布。】。检验依据GB/T 26955-2011《金属材料焊缝破坏性试验焊缝宏观和微观检验》、GB/T 4340.1-2024《金属材料维氏硬度试验第1部分:试验方法》、GB/T 6725-2017《冷弯型钢通用技术要求》、GB/T 10125-2021《人造气氛腐蚀试验 盐雾试验》、QB/T3832-1999《轻工产品金属镀层腐蚀试验结果的评价》；</w:t>
            </w:r>
            <w:r>
              <w:rPr>
                <w:rFonts w:hint="eastAsia" w:asciiTheme="majorEastAsia" w:hAnsiTheme="majorEastAsia" w:eastAsiaTheme="majorEastAsia" w:cstheme="majorEastAsia"/>
                <w:b/>
                <w:bCs/>
                <w:i w:val="0"/>
                <w:iCs w:val="0"/>
                <w:color w:val="auto"/>
                <w:sz w:val="21"/>
                <w:szCs w:val="21"/>
                <w:highlight w:val="none"/>
                <w:u w:val="none"/>
              </w:rPr>
              <w:t>单项判定均为合格</w:t>
            </w:r>
            <w:r>
              <w:rPr>
                <w:rFonts w:hint="eastAsia" w:asciiTheme="majorEastAsia" w:hAnsiTheme="majorEastAsia" w:eastAsiaTheme="majorEastAsia" w:cstheme="majorEastAsia"/>
                <w:i w:val="0"/>
                <w:iCs w:val="0"/>
                <w:color w:val="auto"/>
                <w:sz w:val="21"/>
                <w:szCs w:val="21"/>
                <w:highlight w:val="none"/>
                <w:u w:val="none"/>
              </w:rPr>
              <w:t>。</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w:t>
            </w:r>
            <w:r>
              <w:rPr>
                <w:rFonts w:hint="eastAsia" w:asciiTheme="majorEastAsia" w:hAnsiTheme="majorEastAsia" w:eastAsiaTheme="majorEastAsia" w:cstheme="majorEastAsia"/>
                <w:b/>
                <w:bCs/>
                <w:i w:val="0"/>
                <w:iCs w:val="0"/>
                <w:color w:val="0000FF"/>
                <w:sz w:val="21"/>
                <w:szCs w:val="21"/>
                <w:u w:val="none"/>
              </w:rPr>
              <w:t>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3B62F41D">
            <w:pPr>
              <w:rPr>
                <w:color w:val="000000" w:themeColor="text1"/>
                <w:szCs w:val="21"/>
                <w14:textFill>
                  <w14:solidFill>
                    <w14:schemeClr w14:val="tx1"/>
                  </w14:solidFill>
                </w14:textFill>
              </w:rPr>
            </w:pPr>
          </w:p>
        </w:tc>
        <w:tc>
          <w:tcPr>
            <w:tcW w:w="710" w:type="dxa"/>
          </w:tcPr>
          <w:p w14:paraId="2BA37CF4">
            <w:pPr>
              <w:rPr>
                <w:color w:val="000000" w:themeColor="text1"/>
                <w:szCs w:val="21"/>
                <w14:textFill>
                  <w14:solidFill>
                    <w14:schemeClr w14:val="tx1"/>
                  </w14:solidFill>
                </w14:textFill>
              </w:rPr>
            </w:pPr>
          </w:p>
        </w:tc>
        <w:tc>
          <w:tcPr>
            <w:tcW w:w="390" w:type="dxa"/>
          </w:tcPr>
          <w:p w14:paraId="7BDF19D6">
            <w:pPr>
              <w:rPr>
                <w:color w:val="000000" w:themeColor="text1"/>
                <w:szCs w:val="21"/>
                <w14:textFill>
                  <w14:solidFill>
                    <w14:schemeClr w14:val="tx1"/>
                  </w14:solidFill>
                </w14:textFill>
              </w:rPr>
            </w:pPr>
          </w:p>
        </w:tc>
      </w:tr>
      <w:tr w14:paraId="64D4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2A8A9DEE">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Theme="majorEastAsia" w:hAnsiTheme="majorEastAsia" w:eastAsiaTheme="majorEastAsia" w:cstheme="majorEastAsia"/>
                <w:i w:val="0"/>
                <w:iCs w:val="0"/>
                <w:color w:val="000000"/>
                <w:kern w:val="0"/>
                <w:sz w:val="21"/>
                <w:szCs w:val="21"/>
                <w:u w:val="none"/>
                <w:lang w:val="en-US" w:eastAsia="zh-CN" w:bidi="ar"/>
              </w:rPr>
              <w:t>3</w:t>
            </w:r>
          </w:p>
        </w:tc>
        <w:tc>
          <w:tcPr>
            <w:tcW w:w="772" w:type="dxa"/>
            <w:vMerge w:val="restart"/>
            <w:vAlign w:val="center"/>
          </w:tcPr>
          <w:p w14:paraId="42AC1C10">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Theme="majorEastAsia" w:hAnsiTheme="majorEastAsia" w:eastAsiaTheme="majorEastAsia" w:cstheme="majorEastAsia"/>
                <w:i w:val="0"/>
                <w:iCs w:val="0"/>
                <w:color w:val="000000"/>
                <w:kern w:val="0"/>
                <w:sz w:val="21"/>
                <w:szCs w:val="21"/>
                <w:u w:val="none"/>
                <w:lang w:val="en-US" w:eastAsia="zh-CN" w:bidi="ar"/>
              </w:rPr>
              <w:t>升降课桌2</w:t>
            </w:r>
          </w:p>
        </w:tc>
        <w:tc>
          <w:tcPr>
            <w:tcW w:w="5446" w:type="dxa"/>
            <w:vAlign w:val="center"/>
          </w:tcPr>
          <w:p w14:paraId="5CD8CDD8">
            <w:pPr>
              <w:keepNext w:val="0"/>
              <w:keepLines w:val="0"/>
              <w:widowControl/>
              <w:suppressLineNumbers w:val="0"/>
              <w:ind w:firstLine="422" w:firstLineChars="20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A.课桌桌面</w:t>
            </w:r>
          </w:p>
        </w:tc>
        <w:tc>
          <w:tcPr>
            <w:tcW w:w="972" w:type="dxa"/>
          </w:tcPr>
          <w:p w14:paraId="593B5685">
            <w:pPr>
              <w:rPr>
                <w:color w:val="000000" w:themeColor="text1"/>
                <w:szCs w:val="21"/>
                <w14:textFill>
                  <w14:solidFill>
                    <w14:schemeClr w14:val="tx1"/>
                  </w14:solidFill>
                </w14:textFill>
              </w:rPr>
            </w:pPr>
          </w:p>
        </w:tc>
        <w:tc>
          <w:tcPr>
            <w:tcW w:w="710" w:type="dxa"/>
          </w:tcPr>
          <w:p w14:paraId="2112A594">
            <w:pPr>
              <w:rPr>
                <w:color w:val="000000" w:themeColor="text1"/>
                <w:szCs w:val="21"/>
                <w14:textFill>
                  <w14:solidFill>
                    <w14:schemeClr w14:val="tx1"/>
                  </w14:solidFill>
                </w14:textFill>
              </w:rPr>
            </w:pPr>
          </w:p>
        </w:tc>
        <w:tc>
          <w:tcPr>
            <w:tcW w:w="390" w:type="dxa"/>
          </w:tcPr>
          <w:p w14:paraId="01840A25">
            <w:pPr>
              <w:rPr>
                <w:color w:val="000000" w:themeColor="text1"/>
                <w:szCs w:val="21"/>
                <w14:textFill>
                  <w14:solidFill>
                    <w14:schemeClr w14:val="tx1"/>
                  </w14:solidFill>
                </w14:textFill>
              </w:rPr>
            </w:pPr>
          </w:p>
        </w:tc>
      </w:tr>
      <w:tr w14:paraId="0CFD3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6CC06D0">
            <w:pPr>
              <w:jc w:val="center"/>
              <w:rPr>
                <w:color w:val="000000" w:themeColor="text1"/>
                <w:szCs w:val="21"/>
                <w14:textFill>
                  <w14:solidFill>
                    <w14:schemeClr w14:val="tx1"/>
                  </w14:solidFill>
                </w14:textFill>
              </w:rPr>
            </w:pPr>
          </w:p>
        </w:tc>
        <w:tc>
          <w:tcPr>
            <w:tcW w:w="772" w:type="dxa"/>
            <w:vMerge w:val="continue"/>
            <w:vAlign w:val="center"/>
          </w:tcPr>
          <w:p w14:paraId="7A21A2EC">
            <w:pPr>
              <w:jc w:val="center"/>
              <w:rPr>
                <w:rFonts w:hint="eastAsia"/>
                <w:color w:val="000000" w:themeColor="text1"/>
                <w:szCs w:val="21"/>
                <w14:textFill>
                  <w14:solidFill>
                    <w14:schemeClr w14:val="tx1"/>
                  </w14:solidFill>
                </w14:textFill>
              </w:rPr>
            </w:pPr>
          </w:p>
        </w:tc>
        <w:tc>
          <w:tcPr>
            <w:tcW w:w="5446" w:type="dxa"/>
            <w:vAlign w:val="center"/>
          </w:tcPr>
          <w:p w14:paraId="10A0560C">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45.材质：ABS塑料（塑胶）一体注射成型。</w:t>
            </w:r>
          </w:p>
        </w:tc>
        <w:tc>
          <w:tcPr>
            <w:tcW w:w="972" w:type="dxa"/>
          </w:tcPr>
          <w:p w14:paraId="674631CC">
            <w:pPr>
              <w:rPr>
                <w:color w:val="000000" w:themeColor="text1"/>
                <w:szCs w:val="21"/>
                <w14:textFill>
                  <w14:solidFill>
                    <w14:schemeClr w14:val="tx1"/>
                  </w14:solidFill>
                </w14:textFill>
              </w:rPr>
            </w:pPr>
          </w:p>
        </w:tc>
        <w:tc>
          <w:tcPr>
            <w:tcW w:w="710" w:type="dxa"/>
          </w:tcPr>
          <w:p w14:paraId="68341DAF">
            <w:pPr>
              <w:rPr>
                <w:color w:val="000000" w:themeColor="text1"/>
                <w:szCs w:val="21"/>
                <w14:textFill>
                  <w14:solidFill>
                    <w14:schemeClr w14:val="tx1"/>
                  </w14:solidFill>
                </w14:textFill>
              </w:rPr>
            </w:pPr>
          </w:p>
        </w:tc>
        <w:tc>
          <w:tcPr>
            <w:tcW w:w="390" w:type="dxa"/>
          </w:tcPr>
          <w:p w14:paraId="11FE27E3">
            <w:pPr>
              <w:rPr>
                <w:color w:val="000000" w:themeColor="text1"/>
                <w:szCs w:val="21"/>
                <w14:textFill>
                  <w14:solidFill>
                    <w14:schemeClr w14:val="tx1"/>
                  </w14:solidFill>
                </w14:textFill>
              </w:rPr>
            </w:pPr>
          </w:p>
        </w:tc>
      </w:tr>
      <w:tr w14:paraId="5AC64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DAB1685">
            <w:pPr>
              <w:jc w:val="center"/>
              <w:rPr>
                <w:color w:val="000000" w:themeColor="text1"/>
                <w:szCs w:val="21"/>
                <w14:textFill>
                  <w14:solidFill>
                    <w14:schemeClr w14:val="tx1"/>
                  </w14:solidFill>
                </w14:textFill>
              </w:rPr>
            </w:pPr>
          </w:p>
        </w:tc>
        <w:tc>
          <w:tcPr>
            <w:tcW w:w="772" w:type="dxa"/>
            <w:vMerge w:val="continue"/>
            <w:vAlign w:val="center"/>
          </w:tcPr>
          <w:p w14:paraId="7E7109BA">
            <w:pPr>
              <w:jc w:val="center"/>
              <w:rPr>
                <w:rFonts w:hint="eastAsia"/>
                <w:color w:val="000000" w:themeColor="text1"/>
                <w:szCs w:val="21"/>
                <w14:textFill>
                  <w14:solidFill>
                    <w14:schemeClr w14:val="tx1"/>
                  </w14:solidFill>
                </w14:textFill>
              </w:rPr>
            </w:pPr>
          </w:p>
        </w:tc>
        <w:tc>
          <w:tcPr>
            <w:tcW w:w="5446" w:type="dxa"/>
            <w:vAlign w:val="center"/>
          </w:tcPr>
          <w:p w14:paraId="21012055">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46.规格：（长650mm×宽450mm×厚25mm）±5mm</w:t>
            </w:r>
            <w:r>
              <w:rPr>
                <w:rFonts w:hint="eastAsia"/>
                <w:lang w:eastAsia="zh-CN"/>
              </w:rPr>
              <w:t>。</w:t>
            </w:r>
          </w:p>
        </w:tc>
        <w:tc>
          <w:tcPr>
            <w:tcW w:w="972" w:type="dxa"/>
          </w:tcPr>
          <w:p w14:paraId="3A1575F8">
            <w:pPr>
              <w:rPr>
                <w:color w:val="000000" w:themeColor="text1"/>
                <w:szCs w:val="21"/>
                <w14:textFill>
                  <w14:solidFill>
                    <w14:schemeClr w14:val="tx1"/>
                  </w14:solidFill>
                </w14:textFill>
              </w:rPr>
            </w:pPr>
          </w:p>
        </w:tc>
        <w:tc>
          <w:tcPr>
            <w:tcW w:w="710" w:type="dxa"/>
          </w:tcPr>
          <w:p w14:paraId="7756E1C6">
            <w:pPr>
              <w:rPr>
                <w:color w:val="000000" w:themeColor="text1"/>
                <w:szCs w:val="21"/>
                <w14:textFill>
                  <w14:solidFill>
                    <w14:schemeClr w14:val="tx1"/>
                  </w14:solidFill>
                </w14:textFill>
              </w:rPr>
            </w:pPr>
          </w:p>
        </w:tc>
        <w:tc>
          <w:tcPr>
            <w:tcW w:w="390" w:type="dxa"/>
          </w:tcPr>
          <w:p w14:paraId="5131456B">
            <w:pPr>
              <w:rPr>
                <w:color w:val="000000" w:themeColor="text1"/>
                <w:szCs w:val="21"/>
                <w14:textFill>
                  <w14:solidFill>
                    <w14:schemeClr w14:val="tx1"/>
                  </w14:solidFill>
                </w14:textFill>
              </w:rPr>
            </w:pPr>
          </w:p>
        </w:tc>
      </w:tr>
      <w:tr w14:paraId="28C28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2350B83">
            <w:pPr>
              <w:jc w:val="center"/>
              <w:rPr>
                <w:color w:val="000000" w:themeColor="text1"/>
                <w:szCs w:val="21"/>
                <w14:textFill>
                  <w14:solidFill>
                    <w14:schemeClr w14:val="tx1"/>
                  </w14:solidFill>
                </w14:textFill>
              </w:rPr>
            </w:pPr>
          </w:p>
        </w:tc>
        <w:tc>
          <w:tcPr>
            <w:tcW w:w="772" w:type="dxa"/>
            <w:vMerge w:val="continue"/>
            <w:vAlign w:val="center"/>
          </w:tcPr>
          <w:p w14:paraId="3EA7B471">
            <w:pPr>
              <w:jc w:val="center"/>
              <w:rPr>
                <w:rFonts w:hint="eastAsia"/>
                <w:color w:val="000000" w:themeColor="text1"/>
                <w:szCs w:val="21"/>
                <w14:textFill>
                  <w14:solidFill>
                    <w14:schemeClr w14:val="tx1"/>
                  </w14:solidFill>
                </w14:textFill>
              </w:rPr>
            </w:pPr>
          </w:p>
        </w:tc>
        <w:tc>
          <w:tcPr>
            <w:tcW w:w="5446" w:type="dxa"/>
            <w:vAlign w:val="center"/>
          </w:tcPr>
          <w:p w14:paraId="765CE142">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47.功能：桌面靠胸前端处有一內弧造型设计，靠胸侧两边角为鸭嘴斜边；表面得有细蚀纹(咬花),不得有反光现象。桌面四周及底部完全不得有毛边，都得倒圆角光滑不刮手。面板底部有強化安全承重之设计。锁入双钢管支撑，并与面板底部平齐。面板底部外侧横向加强筋不少于8条、纵向加强筋不少于8条，加固桌面承重，不易变形。</w:t>
            </w:r>
          </w:p>
        </w:tc>
        <w:tc>
          <w:tcPr>
            <w:tcW w:w="972" w:type="dxa"/>
          </w:tcPr>
          <w:p w14:paraId="1250EB7D">
            <w:pPr>
              <w:rPr>
                <w:color w:val="000000" w:themeColor="text1"/>
                <w:szCs w:val="21"/>
                <w14:textFill>
                  <w14:solidFill>
                    <w14:schemeClr w14:val="tx1"/>
                  </w14:solidFill>
                </w14:textFill>
              </w:rPr>
            </w:pPr>
          </w:p>
        </w:tc>
        <w:tc>
          <w:tcPr>
            <w:tcW w:w="710" w:type="dxa"/>
          </w:tcPr>
          <w:p w14:paraId="4DBDDFC5">
            <w:pPr>
              <w:rPr>
                <w:color w:val="000000" w:themeColor="text1"/>
                <w:szCs w:val="21"/>
                <w14:textFill>
                  <w14:solidFill>
                    <w14:schemeClr w14:val="tx1"/>
                  </w14:solidFill>
                </w14:textFill>
              </w:rPr>
            </w:pPr>
          </w:p>
        </w:tc>
        <w:tc>
          <w:tcPr>
            <w:tcW w:w="390" w:type="dxa"/>
          </w:tcPr>
          <w:p w14:paraId="61E3D3C3">
            <w:pPr>
              <w:rPr>
                <w:color w:val="000000" w:themeColor="text1"/>
                <w:szCs w:val="21"/>
                <w14:textFill>
                  <w14:solidFill>
                    <w14:schemeClr w14:val="tx1"/>
                  </w14:solidFill>
                </w14:textFill>
              </w:rPr>
            </w:pPr>
          </w:p>
        </w:tc>
      </w:tr>
      <w:tr w14:paraId="09DF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ED69059">
            <w:pPr>
              <w:jc w:val="center"/>
              <w:rPr>
                <w:color w:val="000000" w:themeColor="text1"/>
                <w:szCs w:val="21"/>
                <w14:textFill>
                  <w14:solidFill>
                    <w14:schemeClr w14:val="tx1"/>
                  </w14:solidFill>
                </w14:textFill>
              </w:rPr>
            </w:pPr>
          </w:p>
        </w:tc>
        <w:tc>
          <w:tcPr>
            <w:tcW w:w="772" w:type="dxa"/>
            <w:vMerge w:val="continue"/>
            <w:vAlign w:val="center"/>
          </w:tcPr>
          <w:p w14:paraId="7C9210BB">
            <w:pPr>
              <w:jc w:val="center"/>
              <w:rPr>
                <w:rFonts w:hint="eastAsia"/>
                <w:color w:val="000000" w:themeColor="text1"/>
                <w:szCs w:val="21"/>
                <w14:textFill>
                  <w14:solidFill>
                    <w14:schemeClr w14:val="tx1"/>
                  </w14:solidFill>
                </w14:textFill>
              </w:rPr>
            </w:pPr>
          </w:p>
        </w:tc>
        <w:tc>
          <w:tcPr>
            <w:tcW w:w="5446" w:type="dxa"/>
            <w:vAlign w:val="center"/>
          </w:tcPr>
          <w:p w14:paraId="509F173E">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48.在课桌面做塑面硬化处理以增加桌面的表面硬度，抗污防腐，耐磨抗划伤，防止肆意涂画，灰尘、水渍、汗渍造成桌面污浊不堪，不易清洁的问题，保护桌面不变色，不褪色。</w:t>
            </w:r>
          </w:p>
        </w:tc>
        <w:tc>
          <w:tcPr>
            <w:tcW w:w="972" w:type="dxa"/>
          </w:tcPr>
          <w:p w14:paraId="5451EA49">
            <w:pPr>
              <w:rPr>
                <w:color w:val="000000" w:themeColor="text1"/>
                <w:szCs w:val="21"/>
                <w14:textFill>
                  <w14:solidFill>
                    <w14:schemeClr w14:val="tx1"/>
                  </w14:solidFill>
                </w14:textFill>
              </w:rPr>
            </w:pPr>
          </w:p>
        </w:tc>
        <w:tc>
          <w:tcPr>
            <w:tcW w:w="710" w:type="dxa"/>
          </w:tcPr>
          <w:p w14:paraId="20D8BA07">
            <w:pPr>
              <w:rPr>
                <w:color w:val="000000" w:themeColor="text1"/>
                <w:szCs w:val="21"/>
                <w14:textFill>
                  <w14:solidFill>
                    <w14:schemeClr w14:val="tx1"/>
                  </w14:solidFill>
                </w14:textFill>
              </w:rPr>
            </w:pPr>
          </w:p>
        </w:tc>
        <w:tc>
          <w:tcPr>
            <w:tcW w:w="390" w:type="dxa"/>
          </w:tcPr>
          <w:p w14:paraId="66B80BB4">
            <w:pPr>
              <w:rPr>
                <w:color w:val="000000" w:themeColor="text1"/>
                <w:szCs w:val="21"/>
                <w14:textFill>
                  <w14:solidFill>
                    <w14:schemeClr w14:val="tx1"/>
                  </w14:solidFill>
                </w14:textFill>
              </w:rPr>
            </w:pPr>
          </w:p>
        </w:tc>
      </w:tr>
      <w:tr w14:paraId="13AE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9F8C32D">
            <w:pPr>
              <w:jc w:val="center"/>
              <w:rPr>
                <w:color w:val="000000" w:themeColor="text1"/>
                <w:szCs w:val="21"/>
                <w14:textFill>
                  <w14:solidFill>
                    <w14:schemeClr w14:val="tx1"/>
                  </w14:solidFill>
                </w14:textFill>
              </w:rPr>
            </w:pPr>
          </w:p>
        </w:tc>
        <w:tc>
          <w:tcPr>
            <w:tcW w:w="772" w:type="dxa"/>
            <w:vMerge w:val="continue"/>
            <w:vAlign w:val="center"/>
          </w:tcPr>
          <w:p w14:paraId="0053C9C4">
            <w:pPr>
              <w:jc w:val="center"/>
              <w:rPr>
                <w:rFonts w:hint="eastAsia"/>
                <w:color w:val="000000" w:themeColor="text1"/>
                <w:szCs w:val="21"/>
                <w14:textFill>
                  <w14:solidFill>
                    <w14:schemeClr w14:val="tx1"/>
                  </w14:solidFill>
                </w14:textFill>
              </w:rPr>
            </w:pPr>
          </w:p>
        </w:tc>
        <w:tc>
          <w:tcPr>
            <w:tcW w:w="5446" w:type="dxa"/>
            <w:vAlign w:val="center"/>
          </w:tcPr>
          <w:p w14:paraId="70FC4DFA">
            <w:pPr>
              <w:keepNext w:val="0"/>
              <w:keepLines w:val="0"/>
              <w:widowControl/>
              <w:suppressLineNumbers w:val="0"/>
              <w:ind w:firstLine="422" w:firstLineChars="20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B.课桌书箱</w:t>
            </w:r>
          </w:p>
        </w:tc>
        <w:tc>
          <w:tcPr>
            <w:tcW w:w="972" w:type="dxa"/>
          </w:tcPr>
          <w:p w14:paraId="571C0DF2">
            <w:pPr>
              <w:rPr>
                <w:color w:val="000000" w:themeColor="text1"/>
                <w:szCs w:val="21"/>
                <w14:textFill>
                  <w14:solidFill>
                    <w14:schemeClr w14:val="tx1"/>
                  </w14:solidFill>
                </w14:textFill>
              </w:rPr>
            </w:pPr>
          </w:p>
        </w:tc>
        <w:tc>
          <w:tcPr>
            <w:tcW w:w="710" w:type="dxa"/>
          </w:tcPr>
          <w:p w14:paraId="50E66C72">
            <w:pPr>
              <w:rPr>
                <w:color w:val="000000" w:themeColor="text1"/>
                <w:szCs w:val="21"/>
                <w14:textFill>
                  <w14:solidFill>
                    <w14:schemeClr w14:val="tx1"/>
                  </w14:solidFill>
                </w14:textFill>
              </w:rPr>
            </w:pPr>
          </w:p>
        </w:tc>
        <w:tc>
          <w:tcPr>
            <w:tcW w:w="390" w:type="dxa"/>
          </w:tcPr>
          <w:p w14:paraId="022E8984">
            <w:pPr>
              <w:rPr>
                <w:color w:val="000000" w:themeColor="text1"/>
                <w:szCs w:val="21"/>
                <w14:textFill>
                  <w14:solidFill>
                    <w14:schemeClr w14:val="tx1"/>
                  </w14:solidFill>
                </w14:textFill>
              </w:rPr>
            </w:pPr>
          </w:p>
        </w:tc>
      </w:tr>
      <w:tr w14:paraId="4700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1A6BD80">
            <w:pPr>
              <w:jc w:val="center"/>
              <w:rPr>
                <w:color w:val="000000" w:themeColor="text1"/>
                <w:szCs w:val="21"/>
                <w14:textFill>
                  <w14:solidFill>
                    <w14:schemeClr w14:val="tx1"/>
                  </w14:solidFill>
                </w14:textFill>
              </w:rPr>
            </w:pPr>
          </w:p>
        </w:tc>
        <w:tc>
          <w:tcPr>
            <w:tcW w:w="772" w:type="dxa"/>
            <w:vMerge w:val="continue"/>
            <w:vAlign w:val="center"/>
          </w:tcPr>
          <w:p w14:paraId="664E143D">
            <w:pPr>
              <w:jc w:val="center"/>
              <w:rPr>
                <w:rFonts w:hint="eastAsia"/>
                <w:color w:val="000000" w:themeColor="text1"/>
                <w:szCs w:val="21"/>
                <w14:textFill>
                  <w14:solidFill>
                    <w14:schemeClr w14:val="tx1"/>
                  </w14:solidFill>
                </w14:textFill>
              </w:rPr>
            </w:pPr>
          </w:p>
        </w:tc>
        <w:tc>
          <w:tcPr>
            <w:tcW w:w="5446" w:type="dxa"/>
            <w:vAlign w:val="center"/>
          </w:tcPr>
          <w:p w14:paraId="0ACA200D">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49.材质：采用环保PP塑料（塑胶）一体射出注塑成型。</w:t>
            </w:r>
          </w:p>
        </w:tc>
        <w:tc>
          <w:tcPr>
            <w:tcW w:w="972" w:type="dxa"/>
          </w:tcPr>
          <w:p w14:paraId="3B9F7727">
            <w:pPr>
              <w:rPr>
                <w:color w:val="000000" w:themeColor="text1"/>
                <w:szCs w:val="21"/>
                <w14:textFill>
                  <w14:solidFill>
                    <w14:schemeClr w14:val="tx1"/>
                  </w14:solidFill>
                </w14:textFill>
              </w:rPr>
            </w:pPr>
          </w:p>
        </w:tc>
        <w:tc>
          <w:tcPr>
            <w:tcW w:w="710" w:type="dxa"/>
          </w:tcPr>
          <w:p w14:paraId="29264F77">
            <w:pPr>
              <w:rPr>
                <w:color w:val="000000" w:themeColor="text1"/>
                <w:szCs w:val="21"/>
                <w14:textFill>
                  <w14:solidFill>
                    <w14:schemeClr w14:val="tx1"/>
                  </w14:solidFill>
                </w14:textFill>
              </w:rPr>
            </w:pPr>
          </w:p>
        </w:tc>
        <w:tc>
          <w:tcPr>
            <w:tcW w:w="390" w:type="dxa"/>
          </w:tcPr>
          <w:p w14:paraId="3BF4D482">
            <w:pPr>
              <w:rPr>
                <w:color w:val="000000" w:themeColor="text1"/>
                <w:szCs w:val="21"/>
                <w14:textFill>
                  <w14:solidFill>
                    <w14:schemeClr w14:val="tx1"/>
                  </w14:solidFill>
                </w14:textFill>
              </w:rPr>
            </w:pPr>
          </w:p>
        </w:tc>
      </w:tr>
      <w:tr w14:paraId="7DE59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A22FC5A">
            <w:pPr>
              <w:jc w:val="center"/>
              <w:rPr>
                <w:color w:val="000000" w:themeColor="text1"/>
                <w:szCs w:val="21"/>
                <w14:textFill>
                  <w14:solidFill>
                    <w14:schemeClr w14:val="tx1"/>
                  </w14:solidFill>
                </w14:textFill>
              </w:rPr>
            </w:pPr>
          </w:p>
        </w:tc>
        <w:tc>
          <w:tcPr>
            <w:tcW w:w="772" w:type="dxa"/>
            <w:vMerge w:val="continue"/>
            <w:vAlign w:val="center"/>
          </w:tcPr>
          <w:p w14:paraId="41B3BF66">
            <w:pPr>
              <w:jc w:val="center"/>
              <w:rPr>
                <w:rFonts w:hint="eastAsia"/>
                <w:color w:val="000000" w:themeColor="text1"/>
                <w:szCs w:val="21"/>
                <w14:textFill>
                  <w14:solidFill>
                    <w14:schemeClr w14:val="tx1"/>
                  </w14:solidFill>
                </w14:textFill>
              </w:rPr>
            </w:pPr>
          </w:p>
        </w:tc>
        <w:tc>
          <w:tcPr>
            <w:tcW w:w="5446" w:type="dxa"/>
            <w:vAlign w:val="center"/>
          </w:tcPr>
          <w:p w14:paraId="76A098DA">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50.内径尺寸：(长450mm×宽330mm×高90mm）±5mm；外径尺寸：（长500mm×宽340mm×高100mm）±5mm。</w:t>
            </w:r>
          </w:p>
        </w:tc>
        <w:tc>
          <w:tcPr>
            <w:tcW w:w="972" w:type="dxa"/>
          </w:tcPr>
          <w:p w14:paraId="5D4EC1E9">
            <w:pPr>
              <w:rPr>
                <w:color w:val="000000" w:themeColor="text1"/>
                <w:szCs w:val="21"/>
                <w14:textFill>
                  <w14:solidFill>
                    <w14:schemeClr w14:val="tx1"/>
                  </w14:solidFill>
                </w14:textFill>
              </w:rPr>
            </w:pPr>
          </w:p>
        </w:tc>
        <w:tc>
          <w:tcPr>
            <w:tcW w:w="710" w:type="dxa"/>
          </w:tcPr>
          <w:p w14:paraId="008361E8">
            <w:pPr>
              <w:rPr>
                <w:color w:val="000000" w:themeColor="text1"/>
                <w:szCs w:val="21"/>
                <w14:textFill>
                  <w14:solidFill>
                    <w14:schemeClr w14:val="tx1"/>
                  </w14:solidFill>
                </w14:textFill>
              </w:rPr>
            </w:pPr>
          </w:p>
        </w:tc>
        <w:tc>
          <w:tcPr>
            <w:tcW w:w="390" w:type="dxa"/>
          </w:tcPr>
          <w:p w14:paraId="4508330E">
            <w:pPr>
              <w:rPr>
                <w:color w:val="000000" w:themeColor="text1"/>
                <w:szCs w:val="21"/>
                <w14:textFill>
                  <w14:solidFill>
                    <w14:schemeClr w14:val="tx1"/>
                  </w14:solidFill>
                </w14:textFill>
              </w:rPr>
            </w:pPr>
          </w:p>
        </w:tc>
      </w:tr>
      <w:tr w14:paraId="1196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F64EE8F">
            <w:pPr>
              <w:jc w:val="center"/>
              <w:rPr>
                <w:color w:val="000000" w:themeColor="text1"/>
                <w:szCs w:val="21"/>
                <w14:textFill>
                  <w14:solidFill>
                    <w14:schemeClr w14:val="tx1"/>
                  </w14:solidFill>
                </w14:textFill>
              </w:rPr>
            </w:pPr>
          </w:p>
        </w:tc>
        <w:tc>
          <w:tcPr>
            <w:tcW w:w="772" w:type="dxa"/>
            <w:vMerge w:val="continue"/>
            <w:vAlign w:val="center"/>
          </w:tcPr>
          <w:p w14:paraId="7C0D6217">
            <w:pPr>
              <w:jc w:val="center"/>
              <w:rPr>
                <w:rFonts w:hint="eastAsia"/>
                <w:color w:val="000000" w:themeColor="text1"/>
                <w:szCs w:val="21"/>
                <w14:textFill>
                  <w14:solidFill>
                    <w14:schemeClr w14:val="tx1"/>
                  </w14:solidFill>
                </w14:textFill>
              </w:rPr>
            </w:pPr>
          </w:p>
        </w:tc>
        <w:tc>
          <w:tcPr>
            <w:tcW w:w="5446" w:type="dxa"/>
            <w:vAlign w:val="center"/>
          </w:tcPr>
          <w:p w14:paraId="40CA515E">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51.书箱技术至少满足以下要求：书箱内部前沿设有370mm±5mm*60mm±5mm凹槽储放笔和橡皮擦等小文具。底部有排水槽缝设计（宽度≤5mm）不少于44条，清洗或擦拭底部易排水通风干燥。书箱三墙面为弧型设计，无尖角。书箱外围倒圆角光滑不刮手，无毛边。书箱底部外侧横向加强筋不少于6条、纵向加强筋不少于3条，加固承重，不易变形。左右两侧各有连体多功能挂钩，书箱与挂钩一体成型设计。</w:t>
            </w:r>
          </w:p>
        </w:tc>
        <w:tc>
          <w:tcPr>
            <w:tcW w:w="972" w:type="dxa"/>
          </w:tcPr>
          <w:p w14:paraId="776FB6A5">
            <w:pPr>
              <w:rPr>
                <w:color w:val="000000" w:themeColor="text1"/>
                <w:szCs w:val="21"/>
                <w14:textFill>
                  <w14:solidFill>
                    <w14:schemeClr w14:val="tx1"/>
                  </w14:solidFill>
                </w14:textFill>
              </w:rPr>
            </w:pPr>
          </w:p>
        </w:tc>
        <w:tc>
          <w:tcPr>
            <w:tcW w:w="710" w:type="dxa"/>
          </w:tcPr>
          <w:p w14:paraId="7A2EBE76">
            <w:pPr>
              <w:rPr>
                <w:color w:val="000000" w:themeColor="text1"/>
                <w:szCs w:val="21"/>
                <w14:textFill>
                  <w14:solidFill>
                    <w14:schemeClr w14:val="tx1"/>
                  </w14:solidFill>
                </w14:textFill>
              </w:rPr>
            </w:pPr>
          </w:p>
        </w:tc>
        <w:tc>
          <w:tcPr>
            <w:tcW w:w="390" w:type="dxa"/>
          </w:tcPr>
          <w:p w14:paraId="223967EE">
            <w:pPr>
              <w:rPr>
                <w:color w:val="000000" w:themeColor="text1"/>
                <w:szCs w:val="21"/>
                <w14:textFill>
                  <w14:solidFill>
                    <w14:schemeClr w14:val="tx1"/>
                  </w14:solidFill>
                </w14:textFill>
              </w:rPr>
            </w:pPr>
          </w:p>
        </w:tc>
      </w:tr>
      <w:tr w14:paraId="2390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60D806D">
            <w:pPr>
              <w:jc w:val="center"/>
              <w:rPr>
                <w:color w:val="000000" w:themeColor="text1"/>
                <w:szCs w:val="21"/>
                <w14:textFill>
                  <w14:solidFill>
                    <w14:schemeClr w14:val="tx1"/>
                  </w14:solidFill>
                </w14:textFill>
              </w:rPr>
            </w:pPr>
          </w:p>
        </w:tc>
        <w:tc>
          <w:tcPr>
            <w:tcW w:w="772" w:type="dxa"/>
            <w:vMerge w:val="continue"/>
            <w:vAlign w:val="center"/>
          </w:tcPr>
          <w:p w14:paraId="12ABC647">
            <w:pPr>
              <w:jc w:val="center"/>
              <w:rPr>
                <w:rFonts w:hint="eastAsia"/>
                <w:color w:val="000000" w:themeColor="text1"/>
                <w:szCs w:val="21"/>
                <w14:textFill>
                  <w14:solidFill>
                    <w14:schemeClr w14:val="tx1"/>
                  </w14:solidFill>
                </w14:textFill>
              </w:rPr>
            </w:pPr>
          </w:p>
        </w:tc>
        <w:tc>
          <w:tcPr>
            <w:tcW w:w="5446" w:type="dxa"/>
            <w:vAlign w:val="center"/>
          </w:tcPr>
          <w:p w14:paraId="77334F57">
            <w:pPr>
              <w:keepNext w:val="0"/>
              <w:keepLines w:val="0"/>
              <w:widowControl/>
              <w:suppressLineNumbers w:val="0"/>
              <w:ind w:firstLine="422" w:firstLineChars="20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C.桌脚钢架</w:t>
            </w:r>
          </w:p>
        </w:tc>
        <w:tc>
          <w:tcPr>
            <w:tcW w:w="972" w:type="dxa"/>
          </w:tcPr>
          <w:p w14:paraId="581F95A0">
            <w:pPr>
              <w:rPr>
                <w:color w:val="000000" w:themeColor="text1"/>
                <w:szCs w:val="21"/>
                <w14:textFill>
                  <w14:solidFill>
                    <w14:schemeClr w14:val="tx1"/>
                  </w14:solidFill>
                </w14:textFill>
              </w:rPr>
            </w:pPr>
          </w:p>
        </w:tc>
        <w:tc>
          <w:tcPr>
            <w:tcW w:w="710" w:type="dxa"/>
          </w:tcPr>
          <w:p w14:paraId="47CAC5B6">
            <w:pPr>
              <w:rPr>
                <w:color w:val="000000" w:themeColor="text1"/>
                <w:szCs w:val="21"/>
                <w14:textFill>
                  <w14:solidFill>
                    <w14:schemeClr w14:val="tx1"/>
                  </w14:solidFill>
                </w14:textFill>
              </w:rPr>
            </w:pPr>
          </w:p>
        </w:tc>
        <w:tc>
          <w:tcPr>
            <w:tcW w:w="390" w:type="dxa"/>
          </w:tcPr>
          <w:p w14:paraId="18D294A1">
            <w:pPr>
              <w:rPr>
                <w:color w:val="000000" w:themeColor="text1"/>
                <w:szCs w:val="21"/>
                <w14:textFill>
                  <w14:solidFill>
                    <w14:schemeClr w14:val="tx1"/>
                  </w14:solidFill>
                </w14:textFill>
              </w:rPr>
            </w:pPr>
          </w:p>
        </w:tc>
      </w:tr>
      <w:tr w14:paraId="6C82F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51A7AFC">
            <w:pPr>
              <w:jc w:val="center"/>
              <w:rPr>
                <w:color w:val="000000" w:themeColor="text1"/>
                <w:szCs w:val="21"/>
                <w14:textFill>
                  <w14:solidFill>
                    <w14:schemeClr w14:val="tx1"/>
                  </w14:solidFill>
                </w14:textFill>
              </w:rPr>
            </w:pPr>
          </w:p>
        </w:tc>
        <w:tc>
          <w:tcPr>
            <w:tcW w:w="772" w:type="dxa"/>
            <w:vMerge w:val="continue"/>
            <w:vAlign w:val="center"/>
          </w:tcPr>
          <w:p w14:paraId="576D9CC8">
            <w:pPr>
              <w:jc w:val="center"/>
              <w:rPr>
                <w:rFonts w:hint="eastAsia"/>
                <w:color w:val="000000" w:themeColor="text1"/>
                <w:szCs w:val="21"/>
                <w14:textFill>
                  <w14:solidFill>
                    <w14:schemeClr w14:val="tx1"/>
                  </w14:solidFill>
                </w14:textFill>
              </w:rPr>
            </w:pPr>
          </w:p>
        </w:tc>
        <w:tc>
          <w:tcPr>
            <w:tcW w:w="5446" w:type="dxa"/>
            <w:vAlign w:val="center"/>
          </w:tcPr>
          <w:p w14:paraId="04C592C2">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52.材质及形状: 采用异形亮光钢管、异包管亮光钢管组合焊接所有焊接部位满焊而成，结构牢固，长时间使用不得产生摇晃 、松散的现象。焊接完成钢管架，焊接部位牢固，无脱焊、虚焊、焊穿；焊缝均匀，无毛棱、锐棱、飞溅、裂纹等缺陷。</w:t>
            </w:r>
          </w:p>
        </w:tc>
        <w:tc>
          <w:tcPr>
            <w:tcW w:w="972" w:type="dxa"/>
          </w:tcPr>
          <w:p w14:paraId="47D726CD">
            <w:pPr>
              <w:rPr>
                <w:color w:val="000000" w:themeColor="text1"/>
                <w:szCs w:val="21"/>
                <w14:textFill>
                  <w14:solidFill>
                    <w14:schemeClr w14:val="tx1"/>
                  </w14:solidFill>
                </w14:textFill>
              </w:rPr>
            </w:pPr>
          </w:p>
        </w:tc>
        <w:tc>
          <w:tcPr>
            <w:tcW w:w="710" w:type="dxa"/>
          </w:tcPr>
          <w:p w14:paraId="0C0A0770">
            <w:pPr>
              <w:rPr>
                <w:color w:val="000000" w:themeColor="text1"/>
                <w:szCs w:val="21"/>
                <w14:textFill>
                  <w14:solidFill>
                    <w14:schemeClr w14:val="tx1"/>
                  </w14:solidFill>
                </w14:textFill>
              </w:rPr>
            </w:pPr>
          </w:p>
        </w:tc>
        <w:tc>
          <w:tcPr>
            <w:tcW w:w="390" w:type="dxa"/>
          </w:tcPr>
          <w:p w14:paraId="082B7321">
            <w:pPr>
              <w:rPr>
                <w:color w:val="000000" w:themeColor="text1"/>
                <w:szCs w:val="21"/>
                <w14:textFill>
                  <w14:solidFill>
                    <w14:schemeClr w14:val="tx1"/>
                  </w14:solidFill>
                </w14:textFill>
              </w:rPr>
            </w:pPr>
          </w:p>
        </w:tc>
      </w:tr>
      <w:tr w14:paraId="554E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3FA7506">
            <w:pPr>
              <w:jc w:val="center"/>
              <w:rPr>
                <w:color w:val="000000" w:themeColor="text1"/>
                <w:szCs w:val="21"/>
                <w14:textFill>
                  <w14:solidFill>
                    <w14:schemeClr w14:val="tx1"/>
                  </w14:solidFill>
                </w14:textFill>
              </w:rPr>
            </w:pPr>
          </w:p>
        </w:tc>
        <w:tc>
          <w:tcPr>
            <w:tcW w:w="772" w:type="dxa"/>
            <w:vMerge w:val="continue"/>
            <w:vAlign w:val="center"/>
          </w:tcPr>
          <w:p w14:paraId="22A8E727">
            <w:pPr>
              <w:jc w:val="center"/>
              <w:rPr>
                <w:rFonts w:hint="eastAsia"/>
                <w:color w:val="000000" w:themeColor="text1"/>
                <w:szCs w:val="21"/>
                <w14:textFill>
                  <w14:solidFill>
                    <w14:schemeClr w14:val="tx1"/>
                  </w14:solidFill>
                </w14:textFill>
              </w:rPr>
            </w:pPr>
          </w:p>
        </w:tc>
        <w:tc>
          <w:tcPr>
            <w:tcW w:w="5446" w:type="dxa"/>
            <w:vAlign w:val="center"/>
          </w:tcPr>
          <w:p w14:paraId="47D2EF7C">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53.尺寸：桌脚贴地部与上部弯管尺寸为面包形30mm±1mm×45mm±1mm×厚1.5mm,桌脚上部活动立管钢管尺寸为面包形23mm±1mm×35mm±1mm×厚1.5mm；二桌脚贴地连接横钢管尺寸为面包形20mm±1mm×30mm±1mm×厚1.2mm。</w:t>
            </w:r>
          </w:p>
        </w:tc>
        <w:tc>
          <w:tcPr>
            <w:tcW w:w="972" w:type="dxa"/>
          </w:tcPr>
          <w:p w14:paraId="631D54DA">
            <w:pPr>
              <w:rPr>
                <w:color w:val="000000" w:themeColor="text1"/>
                <w:szCs w:val="21"/>
                <w14:textFill>
                  <w14:solidFill>
                    <w14:schemeClr w14:val="tx1"/>
                  </w14:solidFill>
                </w14:textFill>
              </w:rPr>
            </w:pPr>
          </w:p>
        </w:tc>
        <w:tc>
          <w:tcPr>
            <w:tcW w:w="710" w:type="dxa"/>
          </w:tcPr>
          <w:p w14:paraId="77F2B419">
            <w:pPr>
              <w:rPr>
                <w:color w:val="000000" w:themeColor="text1"/>
                <w:szCs w:val="21"/>
                <w14:textFill>
                  <w14:solidFill>
                    <w14:schemeClr w14:val="tx1"/>
                  </w14:solidFill>
                </w14:textFill>
              </w:rPr>
            </w:pPr>
          </w:p>
        </w:tc>
        <w:tc>
          <w:tcPr>
            <w:tcW w:w="390" w:type="dxa"/>
          </w:tcPr>
          <w:p w14:paraId="119A63A7">
            <w:pPr>
              <w:rPr>
                <w:color w:val="000000" w:themeColor="text1"/>
                <w:szCs w:val="21"/>
                <w14:textFill>
                  <w14:solidFill>
                    <w14:schemeClr w14:val="tx1"/>
                  </w14:solidFill>
                </w14:textFill>
              </w:rPr>
            </w:pPr>
          </w:p>
        </w:tc>
      </w:tr>
      <w:tr w14:paraId="00AE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316EAE6">
            <w:pPr>
              <w:jc w:val="center"/>
              <w:rPr>
                <w:color w:val="000000" w:themeColor="text1"/>
                <w:szCs w:val="21"/>
                <w14:textFill>
                  <w14:solidFill>
                    <w14:schemeClr w14:val="tx1"/>
                  </w14:solidFill>
                </w14:textFill>
              </w:rPr>
            </w:pPr>
          </w:p>
        </w:tc>
        <w:tc>
          <w:tcPr>
            <w:tcW w:w="772" w:type="dxa"/>
            <w:vMerge w:val="continue"/>
            <w:vAlign w:val="center"/>
          </w:tcPr>
          <w:p w14:paraId="21C8CAB6">
            <w:pPr>
              <w:jc w:val="center"/>
              <w:rPr>
                <w:rFonts w:hint="eastAsia"/>
                <w:color w:val="000000" w:themeColor="text1"/>
                <w:szCs w:val="21"/>
                <w14:textFill>
                  <w14:solidFill>
                    <w14:schemeClr w14:val="tx1"/>
                  </w14:solidFill>
                </w14:textFill>
              </w:rPr>
            </w:pPr>
          </w:p>
        </w:tc>
        <w:tc>
          <w:tcPr>
            <w:tcW w:w="5446" w:type="dxa"/>
            <w:vAlign w:val="center"/>
          </w:tcPr>
          <w:p w14:paraId="65924AC7">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54.表面涂装：焊接完成后的钢管架，表面经除油、脱脂、磷化、皮膜处理。外表采用一级颗粒粉末，经高温粉体烤漆，不得有刮伤或脱漆现象。涂层无漏喷、锈蚀；涂层光滑均匀，色泽一致。涂层平整光滑。</w:t>
            </w:r>
          </w:p>
        </w:tc>
        <w:tc>
          <w:tcPr>
            <w:tcW w:w="972" w:type="dxa"/>
          </w:tcPr>
          <w:p w14:paraId="601F1301">
            <w:pPr>
              <w:rPr>
                <w:color w:val="000000" w:themeColor="text1"/>
                <w:szCs w:val="21"/>
                <w14:textFill>
                  <w14:solidFill>
                    <w14:schemeClr w14:val="tx1"/>
                  </w14:solidFill>
                </w14:textFill>
              </w:rPr>
            </w:pPr>
          </w:p>
        </w:tc>
        <w:tc>
          <w:tcPr>
            <w:tcW w:w="710" w:type="dxa"/>
          </w:tcPr>
          <w:p w14:paraId="5CAA6E45">
            <w:pPr>
              <w:rPr>
                <w:color w:val="000000" w:themeColor="text1"/>
                <w:szCs w:val="21"/>
                <w14:textFill>
                  <w14:solidFill>
                    <w14:schemeClr w14:val="tx1"/>
                  </w14:solidFill>
                </w14:textFill>
              </w:rPr>
            </w:pPr>
          </w:p>
        </w:tc>
        <w:tc>
          <w:tcPr>
            <w:tcW w:w="390" w:type="dxa"/>
          </w:tcPr>
          <w:p w14:paraId="41D6F4A4">
            <w:pPr>
              <w:rPr>
                <w:color w:val="000000" w:themeColor="text1"/>
                <w:szCs w:val="21"/>
                <w14:textFill>
                  <w14:solidFill>
                    <w14:schemeClr w14:val="tx1"/>
                  </w14:solidFill>
                </w14:textFill>
              </w:rPr>
            </w:pPr>
          </w:p>
        </w:tc>
      </w:tr>
      <w:tr w14:paraId="203D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5560EF61">
            <w:pPr>
              <w:jc w:val="center"/>
              <w:rPr>
                <w:color w:val="000000" w:themeColor="text1"/>
                <w:szCs w:val="21"/>
                <w14:textFill>
                  <w14:solidFill>
                    <w14:schemeClr w14:val="tx1"/>
                  </w14:solidFill>
                </w14:textFill>
              </w:rPr>
            </w:pPr>
          </w:p>
        </w:tc>
        <w:tc>
          <w:tcPr>
            <w:tcW w:w="772" w:type="dxa"/>
            <w:vMerge w:val="continue"/>
            <w:vAlign w:val="center"/>
          </w:tcPr>
          <w:p w14:paraId="6D9E8941">
            <w:pPr>
              <w:jc w:val="center"/>
              <w:rPr>
                <w:rFonts w:hint="eastAsia"/>
                <w:color w:val="000000" w:themeColor="text1"/>
                <w:szCs w:val="21"/>
                <w14:textFill>
                  <w14:solidFill>
                    <w14:schemeClr w14:val="tx1"/>
                  </w14:solidFill>
                </w14:textFill>
              </w:rPr>
            </w:pPr>
          </w:p>
        </w:tc>
        <w:tc>
          <w:tcPr>
            <w:tcW w:w="5446" w:type="dxa"/>
            <w:vAlign w:val="center"/>
          </w:tcPr>
          <w:p w14:paraId="6F9544ED">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55.底坐C字型弯管左右组合焊接外型。</w:t>
            </w:r>
          </w:p>
        </w:tc>
        <w:tc>
          <w:tcPr>
            <w:tcW w:w="972" w:type="dxa"/>
          </w:tcPr>
          <w:p w14:paraId="089E755D">
            <w:pPr>
              <w:rPr>
                <w:color w:val="000000" w:themeColor="text1"/>
                <w:szCs w:val="21"/>
                <w14:textFill>
                  <w14:solidFill>
                    <w14:schemeClr w14:val="tx1"/>
                  </w14:solidFill>
                </w14:textFill>
              </w:rPr>
            </w:pPr>
          </w:p>
        </w:tc>
        <w:tc>
          <w:tcPr>
            <w:tcW w:w="710" w:type="dxa"/>
          </w:tcPr>
          <w:p w14:paraId="233C42A5">
            <w:pPr>
              <w:rPr>
                <w:color w:val="000000" w:themeColor="text1"/>
                <w:szCs w:val="21"/>
                <w14:textFill>
                  <w14:solidFill>
                    <w14:schemeClr w14:val="tx1"/>
                  </w14:solidFill>
                </w14:textFill>
              </w:rPr>
            </w:pPr>
          </w:p>
        </w:tc>
        <w:tc>
          <w:tcPr>
            <w:tcW w:w="390" w:type="dxa"/>
          </w:tcPr>
          <w:p w14:paraId="16C4E97B">
            <w:pPr>
              <w:rPr>
                <w:color w:val="000000" w:themeColor="text1"/>
                <w:szCs w:val="21"/>
                <w14:textFill>
                  <w14:solidFill>
                    <w14:schemeClr w14:val="tx1"/>
                  </w14:solidFill>
                </w14:textFill>
              </w:rPr>
            </w:pPr>
          </w:p>
        </w:tc>
      </w:tr>
      <w:tr w14:paraId="4774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BA015B9">
            <w:pPr>
              <w:jc w:val="center"/>
              <w:rPr>
                <w:color w:val="000000" w:themeColor="text1"/>
                <w:szCs w:val="21"/>
                <w14:textFill>
                  <w14:solidFill>
                    <w14:schemeClr w14:val="tx1"/>
                  </w14:solidFill>
                </w14:textFill>
              </w:rPr>
            </w:pPr>
          </w:p>
        </w:tc>
        <w:tc>
          <w:tcPr>
            <w:tcW w:w="772" w:type="dxa"/>
            <w:vMerge w:val="continue"/>
            <w:vAlign w:val="center"/>
          </w:tcPr>
          <w:p w14:paraId="07CBF30A">
            <w:pPr>
              <w:jc w:val="center"/>
              <w:rPr>
                <w:rFonts w:hint="eastAsia"/>
                <w:color w:val="000000" w:themeColor="text1"/>
                <w:szCs w:val="21"/>
                <w14:textFill>
                  <w14:solidFill>
                    <w14:schemeClr w14:val="tx1"/>
                  </w14:solidFill>
                </w14:textFill>
              </w:rPr>
            </w:pPr>
          </w:p>
        </w:tc>
        <w:tc>
          <w:tcPr>
            <w:tcW w:w="5446" w:type="dxa"/>
            <w:vAlign w:val="center"/>
          </w:tcPr>
          <w:p w14:paraId="72AF724B">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56.产品无断裂或豁裂, 手揿圧各部件无永久性松动, 零部件无严重影响使用功能的磨损或变形, 五金连接件不松动, 活动部件开关灵便。</w:t>
            </w:r>
          </w:p>
        </w:tc>
        <w:tc>
          <w:tcPr>
            <w:tcW w:w="972" w:type="dxa"/>
          </w:tcPr>
          <w:p w14:paraId="2923EFF3">
            <w:pPr>
              <w:rPr>
                <w:color w:val="000000" w:themeColor="text1"/>
                <w:szCs w:val="21"/>
                <w14:textFill>
                  <w14:solidFill>
                    <w14:schemeClr w14:val="tx1"/>
                  </w14:solidFill>
                </w14:textFill>
              </w:rPr>
            </w:pPr>
          </w:p>
        </w:tc>
        <w:tc>
          <w:tcPr>
            <w:tcW w:w="710" w:type="dxa"/>
          </w:tcPr>
          <w:p w14:paraId="3D032B51">
            <w:pPr>
              <w:rPr>
                <w:color w:val="000000" w:themeColor="text1"/>
                <w:szCs w:val="21"/>
                <w14:textFill>
                  <w14:solidFill>
                    <w14:schemeClr w14:val="tx1"/>
                  </w14:solidFill>
                </w14:textFill>
              </w:rPr>
            </w:pPr>
          </w:p>
        </w:tc>
        <w:tc>
          <w:tcPr>
            <w:tcW w:w="390" w:type="dxa"/>
          </w:tcPr>
          <w:p w14:paraId="581CE50C">
            <w:pPr>
              <w:rPr>
                <w:color w:val="000000" w:themeColor="text1"/>
                <w:szCs w:val="21"/>
                <w14:textFill>
                  <w14:solidFill>
                    <w14:schemeClr w14:val="tx1"/>
                  </w14:solidFill>
                </w14:textFill>
              </w:rPr>
            </w:pPr>
          </w:p>
        </w:tc>
      </w:tr>
      <w:tr w14:paraId="0974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F1BD62D">
            <w:pPr>
              <w:jc w:val="center"/>
              <w:rPr>
                <w:color w:val="000000" w:themeColor="text1"/>
                <w:szCs w:val="21"/>
                <w14:textFill>
                  <w14:solidFill>
                    <w14:schemeClr w14:val="tx1"/>
                  </w14:solidFill>
                </w14:textFill>
              </w:rPr>
            </w:pPr>
          </w:p>
        </w:tc>
        <w:tc>
          <w:tcPr>
            <w:tcW w:w="772" w:type="dxa"/>
            <w:vMerge w:val="continue"/>
            <w:vAlign w:val="center"/>
          </w:tcPr>
          <w:p w14:paraId="365EB05F">
            <w:pPr>
              <w:jc w:val="center"/>
              <w:rPr>
                <w:rFonts w:hint="eastAsia"/>
                <w:color w:val="000000" w:themeColor="text1"/>
                <w:szCs w:val="21"/>
                <w14:textFill>
                  <w14:solidFill>
                    <w14:schemeClr w14:val="tx1"/>
                  </w14:solidFill>
                </w14:textFill>
              </w:rPr>
            </w:pPr>
          </w:p>
        </w:tc>
        <w:tc>
          <w:tcPr>
            <w:tcW w:w="5446" w:type="dxa"/>
            <w:vAlign w:val="center"/>
          </w:tcPr>
          <w:p w14:paraId="089BBE10">
            <w:pPr>
              <w:keepNext w:val="0"/>
              <w:keepLines w:val="0"/>
              <w:widowControl/>
              <w:suppressLineNumbers w:val="0"/>
              <w:ind w:firstLine="422" w:firstLineChars="20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D.课桌椅标识：</w:t>
            </w:r>
          </w:p>
        </w:tc>
        <w:tc>
          <w:tcPr>
            <w:tcW w:w="972" w:type="dxa"/>
          </w:tcPr>
          <w:p w14:paraId="10D12F35">
            <w:pPr>
              <w:rPr>
                <w:color w:val="000000" w:themeColor="text1"/>
                <w:szCs w:val="21"/>
                <w14:textFill>
                  <w14:solidFill>
                    <w14:schemeClr w14:val="tx1"/>
                  </w14:solidFill>
                </w14:textFill>
              </w:rPr>
            </w:pPr>
          </w:p>
        </w:tc>
        <w:tc>
          <w:tcPr>
            <w:tcW w:w="710" w:type="dxa"/>
          </w:tcPr>
          <w:p w14:paraId="30ACC852">
            <w:pPr>
              <w:rPr>
                <w:color w:val="000000" w:themeColor="text1"/>
                <w:szCs w:val="21"/>
                <w14:textFill>
                  <w14:solidFill>
                    <w14:schemeClr w14:val="tx1"/>
                  </w14:solidFill>
                </w14:textFill>
              </w:rPr>
            </w:pPr>
          </w:p>
        </w:tc>
        <w:tc>
          <w:tcPr>
            <w:tcW w:w="390" w:type="dxa"/>
          </w:tcPr>
          <w:p w14:paraId="77459D25">
            <w:pPr>
              <w:rPr>
                <w:color w:val="000000" w:themeColor="text1"/>
                <w:szCs w:val="21"/>
                <w14:textFill>
                  <w14:solidFill>
                    <w14:schemeClr w14:val="tx1"/>
                  </w14:solidFill>
                </w14:textFill>
              </w:rPr>
            </w:pPr>
          </w:p>
        </w:tc>
      </w:tr>
      <w:tr w14:paraId="0CF83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4513C13">
            <w:pPr>
              <w:jc w:val="center"/>
              <w:rPr>
                <w:color w:val="000000" w:themeColor="text1"/>
                <w:szCs w:val="21"/>
                <w14:textFill>
                  <w14:solidFill>
                    <w14:schemeClr w14:val="tx1"/>
                  </w14:solidFill>
                </w14:textFill>
              </w:rPr>
            </w:pPr>
          </w:p>
        </w:tc>
        <w:tc>
          <w:tcPr>
            <w:tcW w:w="772" w:type="dxa"/>
            <w:vMerge w:val="continue"/>
            <w:vAlign w:val="center"/>
          </w:tcPr>
          <w:p w14:paraId="7F5DD76F">
            <w:pPr>
              <w:jc w:val="center"/>
              <w:rPr>
                <w:rFonts w:hint="eastAsia"/>
                <w:color w:val="000000" w:themeColor="text1"/>
                <w:szCs w:val="21"/>
                <w14:textFill>
                  <w14:solidFill>
                    <w14:schemeClr w14:val="tx1"/>
                  </w14:solidFill>
                </w14:textFill>
              </w:rPr>
            </w:pPr>
          </w:p>
        </w:tc>
        <w:tc>
          <w:tcPr>
            <w:tcW w:w="5446" w:type="dxa"/>
            <w:vAlign w:val="center"/>
          </w:tcPr>
          <w:p w14:paraId="7FB39B42">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57.采用激光镭射标示，字体</w:t>
            </w:r>
            <w:r>
              <w:rPr>
                <w:rStyle w:val="39"/>
                <w:rFonts w:hint="eastAsia" w:asciiTheme="majorEastAsia" w:hAnsiTheme="majorEastAsia" w:eastAsiaTheme="majorEastAsia" w:cstheme="majorEastAsia"/>
                <w:sz w:val="21"/>
                <w:szCs w:val="21"/>
                <w:lang w:val="en-US" w:eastAsia="zh-CN" w:bidi="ar"/>
              </w:rPr>
              <w:t>稳固不易</w:t>
            </w:r>
            <w:r>
              <w:rPr>
                <w:rFonts w:hint="eastAsia" w:asciiTheme="majorEastAsia" w:hAnsiTheme="majorEastAsia" w:eastAsiaTheme="majorEastAsia" w:cstheme="majorEastAsia"/>
                <w:i w:val="0"/>
                <w:iCs w:val="0"/>
                <w:color w:val="000000"/>
                <w:kern w:val="0"/>
                <w:sz w:val="21"/>
                <w:szCs w:val="21"/>
                <w:u w:val="none"/>
                <w:lang w:val="en-US" w:eastAsia="zh-CN" w:bidi="ar"/>
              </w:rPr>
              <w:t>脱落掉色，利于学校管理使用及产品维护。在可调节的钢制脚架上外侧标记，高度刻度用阿拉伯数字作标示。</w:t>
            </w:r>
          </w:p>
        </w:tc>
        <w:tc>
          <w:tcPr>
            <w:tcW w:w="972" w:type="dxa"/>
          </w:tcPr>
          <w:p w14:paraId="27616355">
            <w:pPr>
              <w:rPr>
                <w:color w:val="000000" w:themeColor="text1"/>
                <w:szCs w:val="21"/>
                <w14:textFill>
                  <w14:solidFill>
                    <w14:schemeClr w14:val="tx1"/>
                  </w14:solidFill>
                </w14:textFill>
              </w:rPr>
            </w:pPr>
          </w:p>
        </w:tc>
        <w:tc>
          <w:tcPr>
            <w:tcW w:w="710" w:type="dxa"/>
          </w:tcPr>
          <w:p w14:paraId="48053E81">
            <w:pPr>
              <w:rPr>
                <w:color w:val="000000" w:themeColor="text1"/>
                <w:szCs w:val="21"/>
                <w14:textFill>
                  <w14:solidFill>
                    <w14:schemeClr w14:val="tx1"/>
                  </w14:solidFill>
                </w14:textFill>
              </w:rPr>
            </w:pPr>
          </w:p>
        </w:tc>
        <w:tc>
          <w:tcPr>
            <w:tcW w:w="390" w:type="dxa"/>
          </w:tcPr>
          <w:p w14:paraId="0B1D08D3">
            <w:pPr>
              <w:rPr>
                <w:color w:val="000000" w:themeColor="text1"/>
                <w:szCs w:val="21"/>
                <w14:textFill>
                  <w14:solidFill>
                    <w14:schemeClr w14:val="tx1"/>
                  </w14:solidFill>
                </w14:textFill>
              </w:rPr>
            </w:pPr>
          </w:p>
        </w:tc>
      </w:tr>
      <w:tr w14:paraId="1CF9C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BF712F9">
            <w:pPr>
              <w:jc w:val="center"/>
              <w:rPr>
                <w:color w:val="000000" w:themeColor="text1"/>
                <w:szCs w:val="21"/>
                <w14:textFill>
                  <w14:solidFill>
                    <w14:schemeClr w14:val="tx1"/>
                  </w14:solidFill>
                </w14:textFill>
              </w:rPr>
            </w:pPr>
          </w:p>
        </w:tc>
        <w:tc>
          <w:tcPr>
            <w:tcW w:w="772" w:type="dxa"/>
            <w:vMerge w:val="continue"/>
            <w:vAlign w:val="center"/>
          </w:tcPr>
          <w:p w14:paraId="5577D470">
            <w:pPr>
              <w:jc w:val="center"/>
              <w:rPr>
                <w:rFonts w:hint="eastAsia"/>
                <w:color w:val="000000" w:themeColor="text1"/>
                <w:szCs w:val="21"/>
                <w14:textFill>
                  <w14:solidFill>
                    <w14:schemeClr w14:val="tx1"/>
                  </w14:solidFill>
                </w14:textFill>
              </w:rPr>
            </w:pPr>
          </w:p>
        </w:tc>
        <w:tc>
          <w:tcPr>
            <w:tcW w:w="5446" w:type="dxa"/>
            <w:vAlign w:val="center"/>
          </w:tcPr>
          <w:p w14:paraId="5D653ADF">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58.在课桌桌腿立管(钢制脚架上)外侧上做如下标示：a)标有统一的校名（简称）汉字或学校 LOGO，满足学校财产登记；b)标有生产（出厂）年月日数字标识，保证设备保修售后；c)标有产品序列号数字标识（编码从0001开始的四位流水号），满足学校财产登记；d)标有高度刻度尺数字标识，满足采购要求。</w:t>
            </w:r>
          </w:p>
        </w:tc>
        <w:tc>
          <w:tcPr>
            <w:tcW w:w="972" w:type="dxa"/>
          </w:tcPr>
          <w:p w14:paraId="2C5D91D6">
            <w:pPr>
              <w:rPr>
                <w:color w:val="000000" w:themeColor="text1"/>
                <w:szCs w:val="21"/>
                <w14:textFill>
                  <w14:solidFill>
                    <w14:schemeClr w14:val="tx1"/>
                  </w14:solidFill>
                </w14:textFill>
              </w:rPr>
            </w:pPr>
          </w:p>
        </w:tc>
        <w:tc>
          <w:tcPr>
            <w:tcW w:w="710" w:type="dxa"/>
          </w:tcPr>
          <w:p w14:paraId="30ACF8B5">
            <w:pPr>
              <w:rPr>
                <w:color w:val="000000" w:themeColor="text1"/>
                <w:szCs w:val="21"/>
                <w14:textFill>
                  <w14:solidFill>
                    <w14:schemeClr w14:val="tx1"/>
                  </w14:solidFill>
                </w14:textFill>
              </w:rPr>
            </w:pPr>
          </w:p>
        </w:tc>
        <w:tc>
          <w:tcPr>
            <w:tcW w:w="390" w:type="dxa"/>
          </w:tcPr>
          <w:p w14:paraId="0A952DC6">
            <w:pPr>
              <w:rPr>
                <w:color w:val="000000" w:themeColor="text1"/>
                <w:szCs w:val="21"/>
                <w14:textFill>
                  <w14:solidFill>
                    <w14:schemeClr w14:val="tx1"/>
                  </w14:solidFill>
                </w14:textFill>
              </w:rPr>
            </w:pPr>
          </w:p>
        </w:tc>
      </w:tr>
      <w:tr w14:paraId="36E5E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D3E4BE9">
            <w:pPr>
              <w:jc w:val="center"/>
              <w:rPr>
                <w:color w:val="000000" w:themeColor="text1"/>
                <w:szCs w:val="21"/>
                <w14:textFill>
                  <w14:solidFill>
                    <w14:schemeClr w14:val="tx1"/>
                  </w14:solidFill>
                </w14:textFill>
              </w:rPr>
            </w:pPr>
          </w:p>
        </w:tc>
        <w:tc>
          <w:tcPr>
            <w:tcW w:w="772" w:type="dxa"/>
            <w:vMerge w:val="continue"/>
            <w:vAlign w:val="center"/>
          </w:tcPr>
          <w:p w14:paraId="07F3CB40">
            <w:pPr>
              <w:jc w:val="center"/>
              <w:rPr>
                <w:rFonts w:hint="eastAsia"/>
                <w:color w:val="000000" w:themeColor="text1"/>
                <w:szCs w:val="21"/>
                <w14:textFill>
                  <w14:solidFill>
                    <w14:schemeClr w14:val="tx1"/>
                  </w14:solidFill>
                </w14:textFill>
              </w:rPr>
            </w:pPr>
          </w:p>
        </w:tc>
        <w:tc>
          <w:tcPr>
            <w:tcW w:w="5446" w:type="dxa"/>
            <w:vAlign w:val="center"/>
          </w:tcPr>
          <w:p w14:paraId="2ACEDBF4">
            <w:pPr>
              <w:keepNext w:val="0"/>
              <w:keepLines w:val="0"/>
              <w:widowControl/>
              <w:suppressLineNumbers w:val="0"/>
              <w:ind w:firstLine="422" w:firstLineChars="20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E.脚垫</w:t>
            </w:r>
          </w:p>
        </w:tc>
        <w:tc>
          <w:tcPr>
            <w:tcW w:w="972" w:type="dxa"/>
          </w:tcPr>
          <w:p w14:paraId="50B8E8EB">
            <w:pPr>
              <w:rPr>
                <w:color w:val="000000" w:themeColor="text1"/>
                <w:szCs w:val="21"/>
                <w14:textFill>
                  <w14:solidFill>
                    <w14:schemeClr w14:val="tx1"/>
                  </w14:solidFill>
                </w14:textFill>
              </w:rPr>
            </w:pPr>
          </w:p>
        </w:tc>
        <w:tc>
          <w:tcPr>
            <w:tcW w:w="710" w:type="dxa"/>
          </w:tcPr>
          <w:p w14:paraId="27B5DD45">
            <w:pPr>
              <w:rPr>
                <w:color w:val="000000" w:themeColor="text1"/>
                <w:szCs w:val="21"/>
                <w14:textFill>
                  <w14:solidFill>
                    <w14:schemeClr w14:val="tx1"/>
                  </w14:solidFill>
                </w14:textFill>
              </w:rPr>
            </w:pPr>
          </w:p>
        </w:tc>
        <w:tc>
          <w:tcPr>
            <w:tcW w:w="390" w:type="dxa"/>
          </w:tcPr>
          <w:p w14:paraId="0E5108E7">
            <w:pPr>
              <w:rPr>
                <w:color w:val="000000" w:themeColor="text1"/>
                <w:szCs w:val="21"/>
                <w14:textFill>
                  <w14:solidFill>
                    <w14:schemeClr w14:val="tx1"/>
                  </w14:solidFill>
                </w14:textFill>
              </w:rPr>
            </w:pPr>
          </w:p>
        </w:tc>
      </w:tr>
      <w:tr w14:paraId="5431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5D3AAA6">
            <w:pPr>
              <w:jc w:val="center"/>
              <w:rPr>
                <w:color w:val="000000" w:themeColor="text1"/>
                <w:szCs w:val="21"/>
                <w14:textFill>
                  <w14:solidFill>
                    <w14:schemeClr w14:val="tx1"/>
                  </w14:solidFill>
                </w14:textFill>
              </w:rPr>
            </w:pPr>
          </w:p>
        </w:tc>
        <w:tc>
          <w:tcPr>
            <w:tcW w:w="772" w:type="dxa"/>
            <w:vMerge w:val="continue"/>
            <w:vAlign w:val="center"/>
          </w:tcPr>
          <w:p w14:paraId="012E0C05">
            <w:pPr>
              <w:jc w:val="center"/>
              <w:rPr>
                <w:rFonts w:hint="eastAsia"/>
                <w:color w:val="000000" w:themeColor="text1"/>
                <w:szCs w:val="21"/>
                <w14:textFill>
                  <w14:solidFill>
                    <w14:schemeClr w14:val="tx1"/>
                  </w14:solidFill>
                </w14:textFill>
              </w:rPr>
            </w:pPr>
          </w:p>
        </w:tc>
        <w:tc>
          <w:tcPr>
            <w:tcW w:w="5446" w:type="dxa"/>
            <w:vAlign w:val="center"/>
          </w:tcPr>
          <w:p w14:paraId="78DBE4BD">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59.材质：采用PP塑料（塑胶）一体射出成型。</w:t>
            </w:r>
          </w:p>
        </w:tc>
        <w:tc>
          <w:tcPr>
            <w:tcW w:w="972" w:type="dxa"/>
          </w:tcPr>
          <w:p w14:paraId="6898E124">
            <w:pPr>
              <w:rPr>
                <w:color w:val="000000" w:themeColor="text1"/>
                <w:szCs w:val="21"/>
                <w14:textFill>
                  <w14:solidFill>
                    <w14:schemeClr w14:val="tx1"/>
                  </w14:solidFill>
                </w14:textFill>
              </w:rPr>
            </w:pPr>
          </w:p>
        </w:tc>
        <w:tc>
          <w:tcPr>
            <w:tcW w:w="710" w:type="dxa"/>
          </w:tcPr>
          <w:p w14:paraId="2480788E">
            <w:pPr>
              <w:rPr>
                <w:color w:val="000000" w:themeColor="text1"/>
                <w:szCs w:val="21"/>
                <w14:textFill>
                  <w14:solidFill>
                    <w14:schemeClr w14:val="tx1"/>
                  </w14:solidFill>
                </w14:textFill>
              </w:rPr>
            </w:pPr>
          </w:p>
        </w:tc>
        <w:tc>
          <w:tcPr>
            <w:tcW w:w="390" w:type="dxa"/>
          </w:tcPr>
          <w:p w14:paraId="5EC2165C">
            <w:pPr>
              <w:rPr>
                <w:color w:val="000000" w:themeColor="text1"/>
                <w:szCs w:val="21"/>
                <w14:textFill>
                  <w14:solidFill>
                    <w14:schemeClr w14:val="tx1"/>
                  </w14:solidFill>
                </w14:textFill>
              </w:rPr>
            </w:pPr>
          </w:p>
        </w:tc>
      </w:tr>
      <w:tr w14:paraId="7D84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EC93C3C">
            <w:pPr>
              <w:jc w:val="center"/>
              <w:rPr>
                <w:color w:val="000000" w:themeColor="text1"/>
                <w:szCs w:val="21"/>
                <w14:textFill>
                  <w14:solidFill>
                    <w14:schemeClr w14:val="tx1"/>
                  </w14:solidFill>
                </w14:textFill>
              </w:rPr>
            </w:pPr>
          </w:p>
        </w:tc>
        <w:tc>
          <w:tcPr>
            <w:tcW w:w="772" w:type="dxa"/>
            <w:vMerge w:val="continue"/>
            <w:vAlign w:val="center"/>
          </w:tcPr>
          <w:p w14:paraId="391D1943">
            <w:pPr>
              <w:jc w:val="center"/>
              <w:rPr>
                <w:rFonts w:hint="eastAsia"/>
                <w:color w:val="000000" w:themeColor="text1"/>
                <w:szCs w:val="21"/>
                <w14:textFill>
                  <w14:solidFill>
                    <w14:schemeClr w14:val="tx1"/>
                  </w14:solidFill>
                </w14:textFill>
              </w:rPr>
            </w:pPr>
          </w:p>
        </w:tc>
        <w:tc>
          <w:tcPr>
            <w:tcW w:w="5446" w:type="dxa"/>
            <w:vAlign w:val="center"/>
          </w:tcPr>
          <w:p w14:paraId="179AEA32">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6</w:t>
            </w:r>
            <w:r>
              <w:rPr>
                <w:rFonts w:hint="eastAsia" w:asciiTheme="majorEastAsia" w:hAnsiTheme="majorEastAsia" w:eastAsiaTheme="majorEastAsia" w:cstheme="majorEastAsia"/>
                <w:i w:val="0"/>
                <w:iCs w:val="0"/>
                <w:color w:val="auto"/>
                <w:kern w:val="0"/>
                <w:sz w:val="21"/>
                <w:szCs w:val="21"/>
                <w:u w:val="none"/>
                <w:lang w:val="en-US" w:eastAsia="zh-CN" w:bidi="ar"/>
              </w:rPr>
              <w:t>0.功能：脚垫用圆头十字自攻螺丝锁</w:t>
            </w:r>
            <w:r>
              <w:rPr>
                <w:rFonts w:hint="eastAsia" w:asciiTheme="majorEastAsia" w:hAnsiTheme="majorEastAsia" w:eastAsiaTheme="majorEastAsia" w:cstheme="majorEastAsia"/>
                <w:i w:val="0"/>
                <w:iCs w:val="0"/>
                <w:color w:val="auto"/>
                <w:kern w:val="0"/>
                <w:sz w:val="21"/>
                <w:szCs w:val="21"/>
                <w:highlight w:val="none"/>
                <w:u w:val="none"/>
                <w:lang w:val="en-US" w:eastAsia="zh-CN" w:bidi="ar"/>
              </w:rPr>
              <w:t>付</w:t>
            </w:r>
            <w:r>
              <w:rPr>
                <w:rFonts w:hint="eastAsia" w:asciiTheme="majorEastAsia" w:hAnsiTheme="majorEastAsia" w:eastAsiaTheme="majorEastAsia" w:cstheme="majorEastAsia"/>
                <w:i w:val="0"/>
                <w:iCs w:val="0"/>
                <w:color w:val="auto"/>
                <w:kern w:val="0"/>
                <w:sz w:val="21"/>
                <w:szCs w:val="21"/>
                <w:u w:val="none"/>
                <w:lang w:val="en-US" w:eastAsia="zh-CN" w:bidi="ar"/>
              </w:rPr>
              <w:t>,桌子前脚垫左右各配1个水平调节*塑钢胶料POM螺丝，使桌面保持平衡不倾斜。</w:t>
            </w:r>
          </w:p>
        </w:tc>
        <w:tc>
          <w:tcPr>
            <w:tcW w:w="972" w:type="dxa"/>
          </w:tcPr>
          <w:p w14:paraId="54CE3D28">
            <w:pPr>
              <w:rPr>
                <w:color w:val="000000" w:themeColor="text1"/>
                <w:szCs w:val="21"/>
                <w14:textFill>
                  <w14:solidFill>
                    <w14:schemeClr w14:val="tx1"/>
                  </w14:solidFill>
                </w14:textFill>
              </w:rPr>
            </w:pPr>
          </w:p>
        </w:tc>
        <w:tc>
          <w:tcPr>
            <w:tcW w:w="710" w:type="dxa"/>
          </w:tcPr>
          <w:p w14:paraId="4E57D9BB">
            <w:pPr>
              <w:rPr>
                <w:color w:val="000000" w:themeColor="text1"/>
                <w:szCs w:val="21"/>
                <w14:textFill>
                  <w14:solidFill>
                    <w14:schemeClr w14:val="tx1"/>
                  </w14:solidFill>
                </w14:textFill>
              </w:rPr>
            </w:pPr>
          </w:p>
        </w:tc>
        <w:tc>
          <w:tcPr>
            <w:tcW w:w="390" w:type="dxa"/>
          </w:tcPr>
          <w:p w14:paraId="6363F1E6">
            <w:pPr>
              <w:rPr>
                <w:color w:val="000000" w:themeColor="text1"/>
                <w:szCs w:val="21"/>
                <w14:textFill>
                  <w14:solidFill>
                    <w14:schemeClr w14:val="tx1"/>
                  </w14:solidFill>
                </w14:textFill>
              </w:rPr>
            </w:pPr>
          </w:p>
        </w:tc>
      </w:tr>
      <w:tr w14:paraId="02E0A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369CC2D3">
            <w:pPr>
              <w:jc w:val="center"/>
              <w:rPr>
                <w:color w:val="000000" w:themeColor="text1"/>
                <w:szCs w:val="21"/>
                <w14:textFill>
                  <w14:solidFill>
                    <w14:schemeClr w14:val="tx1"/>
                  </w14:solidFill>
                </w14:textFill>
              </w:rPr>
            </w:pPr>
          </w:p>
        </w:tc>
        <w:tc>
          <w:tcPr>
            <w:tcW w:w="772" w:type="dxa"/>
            <w:vMerge w:val="continue"/>
            <w:vAlign w:val="center"/>
          </w:tcPr>
          <w:p w14:paraId="214851F0">
            <w:pPr>
              <w:jc w:val="center"/>
              <w:rPr>
                <w:rFonts w:hint="eastAsia"/>
                <w:color w:val="000000" w:themeColor="text1"/>
                <w:szCs w:val="21"/>
                <w14:textFill>
                  <w14:solidFill>
                    <w14:schemeClr w14:val="tx1"/>
                  </w14:solidFill>
                </w14:textFill>
              </w:rPr>
            </w:pPr>
          </w:p>
        </w:tc>
        <w:tc>
          <w:tcPr>
            <w:tcW w:w="5446" w:type="dxa"/>
            <w:vAlign w:val="center"/>
          </w:tcPr>
          <w:p w14:paraId="2476F4D8">
            <w:pPr>
              <w:keepNext w:val="0"/>
              <w:keepLines w:val="0"/>
              <w:widowControl/>
              <w:suppressLineNumbers w:val="0"/>
              <w:ind w:firstLine="422" w:firstLineChars="20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F.挂钩</w:t>
            </w:r>
          </w:p>
        </w:tc>
        <w:tc>
          <w:tcPr>
            <w:tcW w:w="972" w:type="dxa"/>
          </w:tcPr>
          <w:p w14:paraId="01B1925D">
            <w:pPr>
              <w:rPr>
                <w:color w:val="000000" w:themeColor="text1"/>
                <w:szCs w:val="21"/>
                <w14:textFill>
                  <w14:solidFill>
                    <w14:schemeClr w14:val="tx1"/>
                  </w14:solidFill>
                </w14:textFill>
              </w:rPr>
            </w:pPr>
          </w:p>
        </w:tc>
        <w:tc>
          <w:tcPr>
            <w:tcW w:w="710" w:type="dxa"/>
          </w:tcPr>
          <w:p w14:paraId="042CA305">
            <w:pPr>
              <w:rPr>
                <w:color w:val="000000" w:themeColor="text1"/>
                <w:szCs w:val="21"/>
                <w14:textFill>
                  <w14:solidFill>
                    <w14:schemeClr w14:val="tx1"/>
                  </w14:solidFill>
                </w14:textFill>
              </w:rPr>
            </w:pPr>
          </w:p>
        </w:tc>
        <w:tc>
          <w:tcPr>
            <w:tcW w:w="390" w:type="dxa"/>
          </w:tcPr>
          <w:p w14:paraId="3FB7B04D">
            <w:pPr>
              <w:rPr>
                <w:color w:val="000000" w:themeColor="text1"/>
                <w:szCs w:val="21"/>
                <w14:textFill>
                  <w14:solidFill>
                    <w14:schemeClr w14:val="tx1"/>
                  </w14:solidFill>
                </w14:textFill>
              </w:rPr>
            </w:pPr>
          </w:p>
        </w:tc>
      </w:tr>
      <w:tr w14:paraId="5D2A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EB89B6F">
            <w:pPr>
              <w:jc w:val="center"/>
              <w:rPr>
                <w:color w:val="000000" w:themeColor="text1"/>
                <w:szCs w:val="21"/>
                <w14:textFill>
                  <w14:solidFill>
                    <w14:schemeClr w14:val="tx1"/>
                  </w14:solidFill>
                </w14:textFill>
              </w:rPr>
            </w:pPr>
          </w:p>
        </w:tc>
        <w:tc>
          <w:tcPr>
            <w:tcW w:w="772" w:type="dxa"/>
            <w:vMerge w:val="continue"/>
            <w:vAlign w:val="center"/>
          </w:tcPr>
          <w:p w14:paraId="3515D7E4">
            <w:pPr>
              <w:jc w:val="center"/>
              <w:rPr>
                <w:rFonts w:hint="eastAsia"/>
                <w:color w:val="000000" w:themeColor="text1"/>
                <w:szCs w:val="21"/>
                <w14:textFill>
                  <w14:solidFill>
                    <w14:schemeClr w14:val="tx1"/>
                  </w14:solidFill>
                </w14:textFill>
              </w:rPr>
            </w:pPr>
          </w:p>
        </w:tc>
        <w:tc>
          <w:tcPr>
            <w:tcW w:w="5446" w:type="dxa"/>
            <w:vAlign w:val="center"/>
          </w:tcPr>
          <w:p w14:paraId="440D42DF">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61.材质：采用环保PP塑料，与书箱一体成型。</w:t>
            </w:r>
          </w:p>
        </w:tc>
        <w:tc>
          <w:tcPr>
            <w:tcW w:w="972" w:type="dxa"/>
          </w:tcPr>
          <w:p w14:paraId="67E735E0">
            <w:pPr>
              <w:rPr>
                <w:color w:val="000000" w:themeColor="text1"/>
                <w:szCs w:val="21"/>
                <w14:textFill>
                  <w14:solidFill>
                    <w14:schemeClr w14:val="tx1"/>
                  </w14:solidFill>
                </w14:textFill>
              </w:rPr>
            </w:pPr>
          </w:p>
        </w:tc>
        <w:tc>
          <w:tcPr>
            <w:tcW w:w="710" w:type="dxa"/>
          </w:tcPr>
          <w:p w14:paraId="3CEBF630">
            <w:pPr>
              <w:rPr>
                <w:color w:val="000000" w:themeColor="text1"/>
                <w:szCs w:val="21"/>
                <w14:textFill>
                  <w14:solidFill>
                    <w14:schemeClr w14:val="tx1"/>
                  </w14:solidFill>
                </w14:textFill>
              </w:rPr>
            </w:pPr>
          </w:p>
        </w:tc>
        <w:tc>
          <w:tcPr>
            <w:tcW w:w="390" w:type="dxa"/>
          </w:tcPr>
          <w:p w14:paraId="71A2B667">
            <w:pPr>
              <w:rPr>
                <w:color w:val="000000" w:themeColor="text1"/>
                <w:szCs w:val="21"/>
                <w14:textFill>
                  <w14:solidFill>
                    <w14:schemeClr w14:val="tx1"/>
                  </w14:solidFill>
                </w14:textFill>
              </w:rPr>
            </w:pPr>
          </w:p>
        </w:tc>
      </w:tr>
      <w:tr w14:paraId="28BF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3E62BAB">
            <w:pPr>
              <w:jc w:val="center"/>
              <w:rPr>
                <w:color w:val="000000" w:themeColor="text1"/>
                <w:szCs w:val="21"/>
                <w14:textFill>
                  <w14:solidFill>
                    <w14:schemeClr w14:val="tx1"/>
                  </w14:solidFill>
                </w14:textFill>
              </w:rPr>
            </w:pPr>
          </w:p>
        </w:tc>
        <w:tc>
          <w:tcPr>
            <w:tcW w:w="772" w:type="dxa"/>
            <w:vMerge w:val="continue"/>
            <w:vAlign w:val="center"/>
          </w:tcPr>
          <w:p w14:paraId="60A29E8B">
            <w:pPr>
              <w:jc w:val="center"/>
              <w:rPr>
                <w:rFonts w:hint="eastAsia"/>
                <w:color w:val="000000" w:themeColor="text1"/>
                <w:szCs w:val="21"/>
                <w14:textFill>
                  <w14:solidFill>
                    <w14:schemeClr w14:val="tx1"/>
                  </w14:solidFill>
                </w14:textFill>
              </w:rPr>
            </w:pPr>
          </w:p>
        </w:tc>
        <w:tc>
          <w:tcPr>
            <w:tcW w:w="5446" w:type="dxa"/>
            <w:vAlign w:val="center"/>
          </w:tcPr>
          <w:p w14:paraId="1680412D">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62.功能：书箱有挂钩设计，能挂书包、背包、中间半圆开口可以挂置矿泉水瓶，一钩多用途。</w:t>
            </w:r>
          </w:p>
        </w:tc>
        <w:tc>
          <w:tcPr>
            <w:tcW w:w="972" w:type="dxa"/>
          </w:tcPr>
          <w:p w14:paraId="660676E8">
            <w:pPr>
              <w:rPr>
                <w:color w:val="000000" w:themeColor="text1"/>
                <w:szCs w:val="21"/>
                <w14:textFill>
                  <w14:solidFill>
                    <w14:schemeClr w14:val="tx1"/>
                  </w14:solidFill>
                </w14:textFill>
              </w:rPr>
            </w:pPr>
          </w:p>
        </w:tc>
        <w:tc>
          <w:tcPr>
            <w:tcW w:w="710" w:type="dxa"/>
          </w:tcPr>
          <w:p w14:paraId="3D772A25">
            <w:pPr>
              <w:rPr>
                <w:color w:val="000000" w:themeColor="text1"/>
                <w:szCs w:val="21"/>
                <w14:textFill>
                  <w14:solidFill>
                    <w14:schemeClr w14:val="tx1"/>
                  </w14:solidFill>
                </w14:textFill>
              </w:rPr>
            </w:pPr>
          </w:p>
        </w:tc>
        <w:tc>
          <w:tcPr>
            <w:tcW w:w="390" w:type="dxa"/>
          </w:tcPr>
          <w:p w14:paraId="3D10A371">
            <w:pPr>
              <w:rPr>
                <w:color w:val="000000" w:themeColor="text1"/>
                <w:szCs w:val="21"/>
                <w14:textFill>
                  <w14:solidFill>
                    <w14:schemeClr w14:val="tx1"/>
                  </w14:solidFill>
                </w14:textFill>
              </w:rPr>
            </w:pPr>
          </w:p>
        </w:tc>
      </w:tr>
      <w:tr w14:paraId="0EC11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2FFFAF4">
            <w:pPr>
              <w:jc w:val="center"/>
              <w:rPr>
                <w:color w:val="000000" w:themeColor="text1"/>
                <w:szCs w:val="21"/>
                <w14:textFill>
                  <w14:solidFill>
                    <w14:schemeClr w14:val="tx1"/>
                  </w14:solidFill>
                </w14:textFill>
              </w:rPr>
            </w:pPr>
          </w:p>
        </w:tc>
        <w:tc>
          <w:tcPr>
            <w:tcW w:w="772" w:type="dxa"/>
            <w:vMerge w:val="continue"/>
            <w:vAlign w:val="center"/>
          </w:tcPr>
          <w:p w14:paraId="6342420B">
            <w:pPr>
              <w:jc w:val="center"/>
              <w:rPr>
                <w:rFonts w:hint="eastAsia"/>
                <w:color w:val="000000" w:themeColor="text1"/>
                <w:szCs w:val="21"/>
                <w14:textFill>
                  <w14:solidFill>
                    <w14:schemeClr w14:val="tx1"/>
                  </w14:solidFill>
                </w14:textFill>
              </w:rPr>
            </w:pPr>
          </w:p>
        </w:tc>
        <w:tc>
          <w:tcPr>
            <w:tcW w:w="5446" w:type="dxa"/>
            <w:vAlign w:val="center"/>
          </w:tcPr>
          <w:p w14:paraId="0D126CB1">
            <w:pPr>
              <w:keepNext w:val="0"/>
              <w:keepLines w:val="0"/>
              <w:widowControl/>
              <w:suppressLineNumbers w:val="0"/>
              <w:ind w:firstLine="422" w:firstLineChars="20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G.快速升降调节</w:t>
            </w:r>
          </w:p>
        </w:tc>
        <w:tc>
          <w:tcPr>
            <w:tcW w:w="972" w:type="dxa"/>
          </w:tcPr>
          <w:p w14:paraId="0830B0E2">
            <w:pPr>
              <w:rPr>
                <w:color w:val="000000" w:themeColor="text1"/>
                <w:szCs w:val="21"/>
                <w14:textFill>
                  <w14:solidFill>
                    <w14:schemeClr w14:val="tx1"/>
                  </w14:solidFill>
                </w14:textFill>
              </w:rPr>
            </w:pPr>
          </w:p>
        </w:tc>
        <w:tc>
          <w:tcPr>
            <w:tcW w:w="710" w:type="dxa"/>
          </w:tcPr>
          <w:p w14:paraId="126FDF08">
            <w:pPr>
              <w:rPr>
                <w:color w:val="000000" w:themeColor="text1"/>
                <w:szCs w:val="21"/>
                <w14:textFill>
                  <w14:solidFill>
                    <w14:schemeClr w14:val="tx1"/>
                  </w14:solidFill>
                </w14:textFill>
              </w:rPr>
            </w:pPr>
          </w:p>
        </w:tc>
        <w:tc>
          <w:tcPr>
            <w:tcW w:w="390" w:type="dxa"/>
          </w:tcPr>
          <w:p w14:paraId="54BAD2EC">
            <w:pPr>
              <w:rPr>
                <w:color w:val="000000" w:themeColor="text1"/>
                <w:szCs w:val="21"/>
                <w14:textFill>
                  <w14:solidFill>
                    <w14:schemeClr w14:val="tx1"/>
                  </w14:solidFill>
                </w14:textFill>
              </w:rPr>
            </w:pPr>
          </w:p>
        </w:tc>
      </w:tr>
      <w:tr w14:paraId="7970F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EA38643">
            <w:pPr>
              <w:jc w:val="center"/>
              <w:rPr>
                <w:color w:val="000000" w:themeColor="text1"/>
                <w:szCs w:val="21"/>
                <w14:textFill>
                  <w14:solidFill>
                    <w14:schemeClr w14:val="tx1"/>
                  </w14:solidFill>
                </w14:textFill>
              </w:rPr>
            </w:pPr>
          </w:p>
        </w:tc>
        <w:tc>
          <w:tcPr>
            <w:tcW w:w="772" w:type="dxa"/>
            <w:vMerge w:val="continue"/>
            <w:vAlign w:val="center"/>
          </w:tcPr>
          <w:p w14:paraId="599BF1DF">
            <w:pPr>
              <w:jc w:val="center"/>
              <w:rPr>
                <w:rFonts w:hint="eastAsia"/>
                <w:color w:val="000000" w:themeColor="text1"/>
                <w:szCs w:val="21"/>
                <w14:textFill>
                  <w14:solidFill>
                    <w14:schemeClr w14:val="tx1"/>
                  </w14:solidFill>
                </w14:textFill>
              </w:rPr>
            </w:pPr>
          </w:p>
        </w:tc>
        <w:tc>
          <w:tcPr>
            <w:tcW w:w="5446" w:type="dxa"/>
            <w:vAlign w:val="center"/>
          </w:tcPr>
          <w:p w14:paraId="46515985">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快速升降调节组件</w:t>
            </w:r>
          </w:p>
        </w:tc>
        <w:tc>
          <w:tcPr>
            <w:tcW w:w="972" w:type="dxa"/>
          </w:tcPr>
          <w:p w14:paraId="6B2650F9">
            <w:pPr>
              <w:rPr>
                <w:color w:val="000000" w:themeColor="text1"/>
                <w:szCs w:val="21"/>
                <w14:textFill>
                  <w14:solidFill>
                    <w14:schemeClr w14:val="tx1"/>
                  </w14:solidFill>
                </w14:textFill>
              </w:rPr>
            </w:pPr>
          </w:p>
        </w:tc>
        <w:tc>
          <w:tcPr>
            <w:tcW w:w="710" w:type="dxa"/>
          </w:tcPr>
          <w:p w14:paraId="26DF2D03">
            <w:pPr>
              <w:rPr>
                <w:color w:val="000000" w:themeColor="text1"/>
                <w:szCs w:val="21"/>
                <w14:textFill>
                  <w14:solidFill>
                    <w14:schemeClr w14:val="tx1"/>
                  </w14:solidFill>
                </w14:textFill>
              </w:rPr>
            </w:pPr>
          </w:p>
        </w:tc>
        <w:tc>
          <w:tcPr>
            <w:tcW w:w="390" w:type="dxa"/>
          </w:tcPr>
          <w:p w14:paraId="660393F5">
            <w:pPr>
              <w:rPr>
                <w:color w:val="000000" w:themeColor="text1"/>
                <w:szCs w:val="21"/>
                <w14:textFill>
                  <w14:solidFill>
                    <w14:schemeClr w14:val="tx1"/>
                  </w14:solidFill>
                </w14:textFill>
              </w:rPr>
            </w:pPr>
          </w:p>
        </w:tc>
      </w:tr>
      <w:tr w14:paraId="00C81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10550C5">
            <w:pPr>
              <w:jc w:val="center"/>
              <w:rPr>
                <w:color w:val="000000" w:themeColor="text1"/>
                <w:szCs w:val="21"/>
                <w14:textFill>
                  <w14:solidFill>
                    <w14:schemeClr w14:val="tx1"/>
                  </w14:solidFill>
                </w14:textFill>
              </w:rPr>
            </w:pPr>
          </w:p>
        </w:tc>
        <w:tc>
          <w:tcPr>
            <w:tcW w:w="772" w:type="dxa"/>
            <w:vMerge w:val="continue"/>
            <w:vAlign w:val="center"/>
          </w:tcPr>
          <w:p w14:paraId="440402C0">
            <w:pPr>
              <w:jc w:val="center"/>
              <w:rPr>
                <w:rFonts w:hint="eastAsia"/>
                <w:color w:val="000000" w:themeColor="text1"/>
                <w:szCs w:val="21"/>
                <w14:textFill>
                  <w14:solidFill>
                    <w14:schemeClr w14:val="tx1"/>
                  </w14:solidFill>
                </w14:textFill>
              </w:rPr>
            </w:pPr>
          </w:p>
        </w:tc>
        <w:tc>
          <w:tcPr>
            <w:tcW w:w="5446" w:type="dxa"/>
            <w:vAlign w:val="center"/>
          </w:tcPr>
          <w:p w14:paraId="32EB0B01">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63.可调式升降结构：采用上下安全升降结构组合成，课桌桌腿升降器由中间传动轴连接课桌的左右腿活动立管，可以同时升降。</w:t>
            </w:r>
          </w:p>
        </w:tc>
        <w:tc>
          <w:tcPr>
            <w:tcW w:w="972" w:type="dxa"/>
          </w:tcPr>
          <w:p w14:paraId="3AC5E178">
            <w:pPr>
              <w:rPr>
                <w:color w:val="000000" w:themeColor="text1"/>
                <w:szCs w:val="21"/>
                <w14:textFill>
                  <w14:solidFill>
                    <w14:schemeClr w14:val="tx1"/>
                  </w14:solidFill>
                </w14:textFill>
              </w:rPr>
            </w:pPr>
          </w:p>
        </w:tc>
        <w:tc>
          <w:tcPr>
            <w:tcW w:w="710" w:type="dxa"/>
          </w:tcPr>
          <w:p w14:paraId="08965561">
            <w:pPr>
              <w:rPr>
                <w:color w:val="000000" w:themeColor="text1"/>
                <w:szCs w:val="21"/>
                <w14:textFill>
                  <w14:solidFill>
                    <w14:schemeClr w14:val="tx1"/>
                  </w14:solidFill>
                </w14:textFill>
              </w:rPr>
            </w:pPr>
          </w:p>
        </w:tc>
        <w:tc>
          <w:tcPr>
            <w:tcW w:w="390" w:type="dxa"/>
          </w:tcPr>
          <w:p w14:paraId="7F6B4312">
            <w:pPr>
              <w:rPr>
                <w:color w:val="000000" w:themeColor="text1"/>
                <w:szCs w:val="21"/>
                <w14:textFill>
                  <w14:solidFill>
                    <w14:schemeClr w14:val="tx1"/>
                  </w14:solidFill>
                </w14:textFill>
              </w:rPr>
            </w:pPr>
          </w:p>
        </w:tc>
      </w:tr>
      <w:tr w14:paraId="19DFC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F18A2E6">
            <w:pPr>
              <w:jc w:val="center"/>
              <w:rPr>
                <w:color w:val="000000" w:themeColor="text1"/>
                <w:szCs w:val="21"/>
                <w14:textFill>
                  <w14:solidFill>
                    <w14:schemeClr w14:val="tx1"/>
                  </w14:solidFill>
                </w14:textFill>
              </w:rPr>
            </w:pPr>
          </w:p>
        </w:tc>
        <w:tc>
          <w:tcPr>
            <w:tcW w:w="772" w:type="dxa"/>
            <w:vMerge w:val="continue"/>
            <w:vAlign w:val="center"/>
          </w:tcPr>
          <w:p w14:paraId="03FF88B0">
            <w:pPr>
              <w:jc w:val="center"/>
              <w:rPr>
                <w:rFonts w:hint="eastAsia"/>
                <w:color w:val="000000" w:themeColor="text1"/>
                <w:szCs w:val="21"/>
                <w14:textFill>
                  <w14:solidFill>
                    <w14:schemeClr w14:val="tx1"/>
                  </w14:solidFill>
                </w14:textFill>
              </w:rPr>
            </w:pPr>
          </w:p>
        </w:tc>
        <w:tc>
          <w:tcPr>
            <w:tcW w:w="5446" w:type="dxa"/>
            <w:vAlign w:val="center"/>
          </w:tcPr>
          <w:p w14:paraId="10193812">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64.组件装置安全性：桌腿外侧外观无外露螺丝五金件，左右腿都可以调整高度。</w:t>
            </w:r>
          </w:p>
        </w:tc>
        <w:tc>
          <w:tcPr>
            <w:tcW w:w="972" w:type="dxa"/>
          </w:tcPr>
          <w:p w14:paraId="2E469B63">
            <w:pPr>
              <w:rPr>
                <w:color w:val="000000" w:themeColor="text1"/>
                <w:szCs w:val="21"/>
                <w14:textFill>
                  <w14:solidFill>
                    <w14:schemeClr w14:val="tx1"/>
                  </w14:solidFill>
                </w14:textFill>
              </w:rPr>
            </w:pPr>
          </w:p>
        </w:tc>
        <w:tc>
          <w:tcPr>
            <w:tcW w:w="710" w:type="dxa"/>
          </w:tcPr>
          <w:p w14:paraId="787434E4">
            <w:pPr>
              <w:rPr>
                <w:color w:val="000000" w:themeColor="text1"/>
                <w:szCs w:val="21"/>
                <w14:textFill>
                  <w14:solidFill>
                    <w14:schemeClr w14:val="tx1"/>
                  </w14:solidFill>
                </w14:textFill>
              </w:rPr>
            </w:pPr>
          </w:p>
        </w:tc>
        <w:tc>
          <w:tcPr>
            <w:tcW w:w="390" w:type="dxa"/>
          </w:tcPr>
          <w:p w14:paraId="6CECD9D8">
            <w:pPr>
              <w:rPr>
                <w:color w:val="000000" w:themeColor="text1"/>
                <w:szCs w:val="21"/>
                <w14:textFill>
                  <w14:solidFill>
                    <w14:schemeClr w14:val="tx1"/>
                  </w14:solidFill>
                </w14:textFill>
              </w:rPr>
            </w:pPr>
          </w:p>
        </w:tc>
      </w:tr>
      <w:tr w14:paraId="1AC1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181AED0">
            <w:pPr>
              <w:jc w:val="center"/>
              <w:rPr>
                <w:color w:val="000000" w:themeColor="text1"/>
                <w:szCs w:val="21"/>
                <w14:textFill>
                  <w14:solidFill>
                    <w14:schemeClr w14:val="tx1"/>
                  </w14:solidFill>
                </w14:textFill>
              </w:rPr>
            </w:pPr>
          </w:p>
        </w:tc>
        <w:tc>
          <w:tcPr>
            <w:tcW w:w="772" w:type="dxa"/>
            <w:vMerge w:val="continue"/>
            <w:vAlign w:val="center"/>
          </w:tcPr>
          <w:p w14:paraId="4B616607">
            <w:pPr>
              <w:jc w:val="center"/>
              <w:rPr>
                <w:rFonts w:hint="eastAsia"/>
                <w:color w:val="000000" w:themeColor="text1"/>
                <w:szCs w:val="21"/>
                <w14:textFill>
                  <w14:solidFill>
                    <w14:schemeClr w14:val="tx1"/>
                  </w14:solidFill>
                </w14:textFill>
              </w:rPr>
            </w:pPr>
          </w:p>
        </w:tc>
        <w:tc>
          <w:tcPr>
            <w:tcW w:w="5446" w:type="dxa"/>
            <w:vAlign w:val="center"/>
          </w:tcPr>
          <w:p w14:paraId="422F02A5">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65.升降技术要求：手摇升降调节，每张课桌满足手摇升降调节行程不少于120mm,符合 0～5号,5～9号学生课桌标准，可调节高度区间为520mm-640mm、640mm-790mm，在区间内可通过手摇升降快速调节到任意的高度，满足不同学生身高体重个性需求，（具体实际要求高度以学校要求为准）。升降刻度尺采用激光镭射打印。</w:t>
            </w:r>
          </w:p>
        </w:tc>
        <w:tc>
          <w:tcPr>
            <w:tcW w:w="972" w:type="dxa"/>
          </w:tcPr>
          <w:p w14:paraId="29BD98AB">
            <w:pPr>
              <w:rPr>
                <w:color w:val="000000" w:themeColor="text1"/>
                <w:szCs w:val="21"/>
                <w14:textFill>
                  <w14:solidFill>
                    <w14:schemeClr w14:val="tx1"/>
                  </w14:solidFill>
                </w14:textFill>
              </w:rPr>
            </w:pPr>
          </w:p>
        </w:tc>
        <w:tc>
          <w:tcPr>
            <w:tcW w:w="710" w:type="dxa"/>
          </w:tcPr>
          <w:p w14:paraId="4C5CBD28">
            <w:pPr>
              <w:rPr>
                <w:color w:val="000000" w:themeColor="text1"/>
                <w:szCs w:val="21"/>
                <w14:textFill>
                  <w14:solidFill>
                    <w14:schemeClr w14:val="tx1"/>
                  </w14:solidFill>
                </w14:textFill>
              </w:rPr>
            </w:pPr>
          </w:p>
        </w:tc>
        <w:tc>
          <w:tcPr>
            <w:tcW w:w="390" w:type="dxa"/>
          </w:tcPr>
          <w:p w14:paraId="5DC9F2EE">
            <w:pPr>
              <w:rPr>
                <w:color w:val="000000" w:themeColor="text1"/>
                <w:szCs w:val="21"/>
                <w14:textFill>
                  <w14:solidFill>
                    <w14:schemeClr w14:val="tx1"/>
                  </w14:solidFill>
                </w14:textFill>
              </w:rPr>
            </w:pPr>
          </w:p>
        </w:tc>
      </w:tr>
      <w:tr w14:paraId="1557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5EBD574">
            <w:pPr>
              <w:jc w:val="center"/>
              <w:rPr>
                <w:color w:val="000000" w:themeColor="text1"/>
                <w:szCs w:val="21"/>
                <w14:textFill>
                  <w14:solidFill>
                    <w14:schemeClr w14:val="tx1"/>
                  </w14:solidFill>
                </w14:textFill>
              </w:rPr>
            </w:pPr>
          </w:p>
        </w:tc>
        <w:tc>
          <w:tcPr>
            <w:tcW w:w="772" w:type="dxa"/>
            <w:vMerge w:val="continue"/>
            <w:vAlign w:val="center"/>
          </w:tcPr>
          <w:p w14:paraId="1CFD5C60">
            <w:pPr>
              <w:jc w:val="center"/>
              <w:rPr>
                <w:rFonts w:hint="eastAsia"/>
                <w:color w:val="000000" w:themeColor="text1"/>
                <w:szCs w:val="21"/>
                <w14:textFill>
                  <w14:solidFill>
                    <w14:schemeClr w14:val="tx1"/>
                  </w14:solidFill>
                </w14:textFill>
              </w:rPr>
            </w:pPr>
          </w:p>
        </w:tc>
        <w:tc>
          <w:tcPr>
            <w:tcW w:w="5446" w:type="dxa"/>
            <w:vAlign w:val="center"/>
          </w:tcPr>
          <w:p w14:paraId="19F082CD">
            <w:pPr>
              <w:keepNext w:val="0"/>
              <w:keepLines w:val="0"/>
              <w:widowControl/>
              <w:suppressLineNumbers w:val="0"/>
              <w:jc w:val="left"/>
              <w:textAlignment w:val="center"/>
              <w:rPr>
                <w:rFonts w:hint="eastAsia"/>
              </w:rPr>
            </w:pPr>
            <w:r>
              <w:rPr>
                <w:rFonts w:hint="eastAsia" w:ascii="宋体" w:hAnsi="宋体" w:eastAsia="宋体" w:cs="Times New Roman"/>
                <w:b/>
                <w:bCs/>
                <w:color w:val="FF0000"/>
                <w:szCs w:val="21"/>
              </w:rPr>
              <w:t>★</w:t>
            </w:r>
            <w:r>
              <w:rPr>
                <w:rFonts w:hint="eastAsia" w:asciiTheme="majorEastAsia" w:hAnsiTheme="majorEastAsia" w:eastAsiaTheme="majorEastAsia" w:cstheme="majorEastAsia"/>
                <w:i w:val="0"/>
                <w:iCs w:val="0"/>
                <w:color w:val="FF0000"/>
                <w:kern w:val="0"/>
                <w:sz w:val="21"/>
                <w:szCs w:val="21"/>
                <w:u w:val="none"/>
                <w:lang w:val="en-US" w:eastAsia="zh-CN" w:bidi="ar"/>
              </w:rPr>
              <w:t>66.一把手摇柄可以满足该批全部课桌椅调节，每班标配</w:t>
            </w:r>
            <w:r>
              <w:rPr>
                <w:rFonts w:hint="eastAsia" w:asciiTheme="majorEastAsia" w:hAnsiTheme="majorEastAsia" w:eastAsiaTheme="majorEastAsia" w:cstheme="majorEastAsia"/>
                <w:i w:val="0"/>
                <w:iCs w:val="0"/>
                <w:color w:val="FF0000"/>
                <w:sz w:val="21"/>
                <w:szCs w:val="21"/>
                <w:u w:val="none"/>
              </w:rPr>
              <w:t>≥</w:t>
            </w:r>
            <w:r>
              <w:rPr>
                <w:rFonts w:hint="eastAsia" w:asciiTheme="majorEastAsia" w:hAnsiTheme="majorEastAsia" w:eastAsiaTheme="majorEastAsia" w:cstheme="majorEastAsia"/>
                <w:i w:val="0"/>
                <w:iCs w:val="0"/>
                <w:color w:val="FF0000"/>
                <w:kern w:val="0"/>
                <w:sz w:val="21"/>
                <w:szCs w:val="21"/>
                <w:u w:val="none"/>
                <w:lang w:val="en-US" w:eastAsia="zh-CN" w:bidi="ar"/>
              </w:rPr>
              <w:t>2把。</w:t>
            </w:r>
          </w:p>
        </w:tc>
        <w:tc>
          <w:tcPr>
            <w:tcW w:w="972" w:type="dxa"/>
          </w:tcPr>
          <w:p w14:paraId="1DE008BB">
            <w:pPr>
              <w:rPr>
                <w:color w:val="000000" w:themeColor="text1"/>
                <w:szCs w:val="21"/>
                <w14:textFill>
                  <w14:solidFill>
                    <w14:schemeClr w14:val="tx1"/>
                  </w14:solidFill>
                </w14:textFill>
              </w:rPr>
            </w:pPr>
          </w:p>
        </w:tc>
        <w:tc>
          <w:tcPr>
            <w:tcW w:w="710" w:type="dxa"/>
          </w:tcPr>
          <w:p w14:paraId="6935C0DF">
            <w:pPr>
              <w:rPr>
                <w:color w:val="000000" w:themeColor="text1"/>
                <w:szCs w:val="21"/>
                <w14:textFill>
                  <w14:solidFill>
                    <w14:schemeClr w14:val="tx1"/>
                  </w14:solidFill>
                </w14:textFill>
              </w:rPr>
            </w:pPr>
          </w:p>
        </w:tc>
        <w:tc>
          <w:tcPr>
            <w:tcW w:w="390" w:type="dxa"/>
          </w:tcPr>
          <w:p w14:paraId="75E5111C">
            <w:pPr>
              <w:rPr>
                <w:color w:val="000000" w:themeColor="text1"/>
                <w:szCs w:val="21"/>
                <w14:textFill>
                  <w14:solidFill>
                    <w14:schemeClr w14:val="tx1"/>
                  </w14:solidFill>
                </w14:textFill>
              </w:rPr>
            </w:pPr>
          </w:p>
        </w:tc>
      </w:tr>
      <w:tr w14:paraId="6B02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4B08400">
            <w:pPr>
              <w:jc w:val="center"/>
              <w:rPr>
                <w:color w:val="000000" w:themeColor="text1"/>
                <w:szCs w:val="21"/>
                <w14:textFill>
                  <w14:solidFill>
                    <w14:schemeClr w14:val="tx1"/>
                  </w14:solidFill>
                </w14:textFill>
              </w:rPr>
            </w:pPr>
          </w:p>
        </w:tc>
        <w:tc>
          <w:tcPr>
            <w:tcW w:w="772" w:type="dxa"/>
            <w:vMerge w:val="continue"/>
            <w:vAlign w:val="center"/>
          </w:tcPr>
          <w:p w14:paraId="738401AC">
            <w:pPr>
              <w:jc w:val="center"/>
              <w:rPr>
                <w:rFonts w:hint="eastAsia"/>
                <w:color w:val="000000" w:themeColor="text1"/>
                <w:szCs w:val="21"/>
                <w14:textFill>
                  <w14:solidFill>
                    <w14:schemeClr w14:val="tx1"/>
                  </w14:solidFill>
                </w14:textFill>
              </w:rPr>
            </w:pPr>
          </w:p>
        </w:tc>
        <w:tc>
          <w:tcPr>
            <w:tcW w:w="5446" w:type="dxa"/>
            <w:vAlign w:val="center"/>
          </w:tcPr>
          <w:p w14:paraId="39B7A1F1">
            <w:pPr>
              <w:keepNext w:val="0"/>
              <w:keepLines w:val="0"/>
              <w:widowControl/>
              <w:suppressLineNumbers w:val="0"/>
              <w:jc w:val="left"/>
              <w:textAlignment w:val="center"/>
              <w:rPr>
                <w:rFonts w:hint="eastAsia"/>
              </w:rPr>
            </w:pPr>
            <w:r>
              <w:rPr>
                <w:rFonts w:hint="eastAsia" w:ascii="宋体" w:hAnsi="宋体" w:eastAsia="宋体" w:cs="Times New Roman"/>
                <w:b/>
                <w:bCs/>
                <w:color w:val="FF0000"/>
                <w:szCs w:val="21"/>
              </w:rPr>
              <w:t>★</w:t>
            </w:r>
            <w:r>
              <w:rPr>
                <w:rFonts w:hint="eastAsia" w:asciiTheme="majorEastAsia" w:hAnsiTheme="majorEastAsia" w:eastAsiaTheme="majorEastAsia" w:cstheme="majorEastAsia"/>
                <w:i w:val="0"/>
                <w:iCs w:val="0"/>
                <w:color w:val="FF0000"/>
                <w:kern w:val="0"/>
                <w:sz w:val="21"/>
                <w:szCs w:val="21"/>
                <w:u w:val="none"/>
                <w:lang w:val="en-US" w:eastAsia="zh-CN" w:bidi="ar"/>
              </w:rPr>
              <w:t>67.课桌选择的具体调节型号范围，中标后可根据使用年级另行确定，存在不同调节范围的情况，中标供应商无条件配合。</w:t>
            </w:r>
          </w:p>
        </w:tc>
        <w:tc>
          <w:tcPr>
            <w:tcW w:w="972" w:type="dxa"/>
          </w:tcPr>
          <w:p w14:paraId="1A341448">
            <w:pPr>
              <w:rPr>
                <w:color w:val="000000" w:themeColor="text1"/>
                <w:szCs w:val="21"/>
                <w14:textFill>
                  <w14:solidFill>
                    <w14:schemeClr w14:val="tx1"/>
                  </w14:solidFill>
                </w14:textFill>
              </w:rPr>
            </w:pPr>
          </w:p>
        </w:tc>
        <w:tc>
          <w:tcPr>
            <w:tcW w:w="710" w:type="dxa"/>
          </w:tcPr>
          <w:p w14:paraId="3E9A801D">
            <w:pPr>
              <w:rPr>
                <w:color w:val="000000" w:themeColor="text1"/>
                <w:szCs w:val="21"/>
                <w14:textFill>
                  <w14:solidFill>
                    <w14:schemeClr w14:val="tx1"/>
                  </w14:solidFill>
                </w14:textFill>
              </w:rPr>
            </w:pPr>
          </w:p>
        </w:tc>
        <w:tc>
          <w:tcPr>
            <w:tcW w:w="390" w:type="dxa"/>
          </w:tcPr>
          <w:p w14:paraId="6723A99F">
            <w:pPr>
              <w:rPr>
                <w:color w:val="000000" w:themeColor="text1"/>
                <w:szCs w:val="21"/>
                <w14:textFill>
                  <w14:solidFill>
                    <w14:schemeClr w14:val="tx1"/>
                  </w14:solidFill>
                </w14:textFill>
              </w:rPr>
            </w:pPr>
          </w:p>
        </w:tc>
      </w:tr>
      <w:tr w14:paraId="50A6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23D2C675">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Theme="majorEastAsia" w:hAnsiTheme="majorEastAsia" w:eastAsiaTheme="majorEastAsia" w:cstheme="majorEastAsia"/>
                <w:i w:val="0"/>
                <w:iCs w:val="0"/>
                <w:color w:val="000000"/>
                <w:kern w:val="0"/>
                <w:sz w:val="21"/>
                <w:szCs w:val="21"/>
                <w:u w:val="none"/>
                <w:lang w:val="en-US" w:eastAsia="zh-CN" w:bidi="ar"/>
              </w:rPr>
              <w:t>4</w:t>
            </w:r>
          </w:p>
        </w:tc>
        <w:tc>
          <w:tcPr>
            <w:tcW w:w="772" w:type="dxa"/>
            <w:vMerge w:val="restart"/>
            <w:vAlign w:val="center"/>
          </w:tcPr>
          <w:p w14:paraId="2F81C4F1">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Theme="majorEastAsia" w:hAnsiTheme="majorEastAsia" w:eastAsiaTheme="majorEastAsia" w:cstheme="majorEastAsia"/>
                <w:i w:val="0"/>
                <w:iCs w:val="0"/>
                <w:color w:val="000000"/>
                <w:kern w:val="0"/>
                <w:sz w:val="21"/>
                <w:szCs w:val="21"/>
                <w:u w:val="none"/>
                <w:lang w:val="en-US" w:eastAsia="zh-CN" w:bidi="ar"/>
              </w:rPr>
              <w:t>升降课椅2</w:t>
            </w:r>
          </w:p>
        </w:tc>
        <w:tc>
          <w:tcPr>
            <w:tcW w:w="5446" w:type="dxa"/>
            <w:vAlign w:val="center"/>
          </w:tcPr>
          <w:p w14:paraId="7888E440">
            <w:pPr>
              <w:keepNext w:val="0"/>
              <w:keepLines w:val="0"/>
              <w:widowControl/>
              <w:suppressLineNumbers w:val="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A.靠背</w:t>
            </w:r>
          </w:p>
        </w:tc>
        <w:tc>
          <w:tcPr>
            <w:tcW w:w="972" w:type="dxa"/>
          </w:tcPr>
          <w:p w14:paraId="434DAC7B">
            <w:pPr>
              <w:rPr>
                <w:color w:val="000000" w:themeColor="text1"/>
                <w:szCs w:val="21"/>
                <w14:textFill>
                  <w14:solidFill>
                    <w14:schemeClr w14:val="tx1"/>
                  </w14:solidFill>
                </w14:textFill>
              </w:rPr>
            </w:pPr>
          </w:p>
        </w:tc>
        <w:tc>
          <w:tcPr>
            <w:tcW w:w="710" w:type="dxa"/>
          </w:tcPr>
          <w:p w14:paraId="4DE5D961">
            <w:pPr>
              <w:rPr>
                <w:color w:val="000000" w:themeColor="text1"/>
                <w:szCs w:val="21"/>
                <w14:textFill>
                  <w14:solidFill>
                    <w14:schemeClr w14:val="tx1"/>
                  </w14:solidFill>
                </w14:textFill>
              </w:rPr>
            </w:pPr>
          </w:p>
        </w:tc>
        <w:tc>
          <w:tcPr>
            <w:tcW w:w="390" w:type="dxa"/>
          </w:tcPr>
          <w:p w14:paraId="399AA026">
            <w:pPr>
              <w:rPr>
                <w:color w:val="000000" w:themeColor="text1"/>
                <w:szCs w:val="21"/>
                <w14:textFill>
                  <w14:solidFill>
                    <w14:schemeClr w14:val="tx1"/>
                  </w14:solidFill>
                </w14:textFill>
              </w:rPr>
            </w:pPr>
          </w:p>
        </w:tc>
      </w:tr>
      <w:tr w14:paraId="01F5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E7DE4BC">
            <w:pPr>
              <w:jc w:val="center"/>
              <w:rPr>
                <w:color w:val="000000" w:themeColor="text1"/>
                <w:szCs w:val="21"/>
                <w14:textFill>
                  <w14:solidFill>
                    <w14:schemeClr w14:val="tx1"/>
                  </w14:solidFill>
                </w14:textFill>
              </w:rPr>
            </w:pPr>
          </w:p>
        </w:tc>
        <w:tc>
          <w:tcPr>
            <w:tcW w:w="772" w:type="dxa"/>
            <w:vMerge w:val="continue"/>
            <w:vAlign w:val="center"/>
          </w:tcPr>
          <w:p w14:paraId="057EA557">
            <w:pPr>
              <w:jc w:val="center"/>
              <w:rPr>
                <w:rFonts w:hint="eastAsia"/>
                <w:color w:val="000000" w:themeColor="text1"/>
                <w:szCs w:val="21"/>
                <w14:textFill>
                  <w14:solidFill>
                    <w14:schemeClr w14:val="tx1"/>
                  </w14:solidFill>
                </w14:textFill>
              </w:rPr>
            </w:pPr>
          </w:p>
        </w:tc>
        <w:tc>
          <w:tcPr>
            <w:tcW w:w="5446" w:type="dxa"/>
            <w:vAlign w:val="center"/>
          </w:tcPr>
          <w:p w14:paraId="7F230570">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68.材质：采用PP塑料（塑胶）一体射出注塑成型。</w:t>
            </w:r>
          </w:p>
        </w:tc>
        <w:tc>
          <w:tcPr>
            <w:tcW w:w="972" w:type="dxa"/>
          </w:tcPr>
          <w:p w14:paraId="7A2D172F">
            <w:pPr>
              <w:rPr>
                <w:color w:val="000000" w:themeColor="text1"/>
                <w:szCs w:val="21"/>
                <w14:textFill>
                  <w14:solidFill>
                    <w14:schemeClr w14:val="tx1"/>
                  </w14:solidFill>
                </w14:textFill>
              </w:rPr>
            </w:pPr>
          </w:p>
        </w:tc>
        <w:tc>
          <w:tcPr>
            <w:tcW w:w="710" w:type="dxa"/>
          </w:tcPr>
          <w:p w14:paraId="3B6EEA6D">
            <w:pPr>
              <w:rPr>
                <w:color w:val="000000" w:themeColor="text1"/>
                <w:szCs w:val="21"/>
                <w14:textFill>
                  <w14:solidFill>
                    <w14:schemeClr w14:val="tx1"/>
                  </w14:solidFill>
                </w14:textFill>
              </w:rPr>
            </w:pPr>
          </w:p>
        </w:tc>
        <w:tc>
          <w:tcPr>
            <w:tcW w:w="390" w:type="dxa"/>
          </w:tcPr>
          <w:p w14:paraId="328CA5E9">
            <w:pPr>
              <w:rPr>
                <w:color w:val="000000" w:themeColor="text1"/>
                <w:szCs w:val="21"/>
                <w14:textFill>
                  <w14:solidFill>
                    <w14:schemeClr w14:val="tx1"/>
                  </w14:solidFill>
                </w14:textFill>
              </w:rPr>
            </w:pPr>
          </w:p>
        </w:tc>
      </w:tr>
      <w:tr w14:paraId="5078E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79A59E7">
            <w:pPr>
              <w:jc w:val="center"/>
              <w:rPr>
                <w:color w:val="000000" w:themeColor="text1"/>
                <w:szCs w:val="21"/>
                <w14:textFill>
                  <w14:solidFill>
                    <w14:schemeClr w14:val="tx1"/>
                  </w14:solidFill>
                </w14:textFill>
              </w:rPr>
            </w:pPr>
          </w:p>
        </w:tc>
        <w:tc>
          <w:tcPr>
            <w:tcW w:w="772" w:type="dxa"/>
            <w:vMerge w:val="continue"/>
            <w:vAlign w:val="center"/>
          </w:tcPr>
          <w:p w14:paraId="2CBC5993">
            <w:pPr>
              <w:jc w:val="center"/>
              <w:rPr>
                <w:rFonts w:hint="eastAsia"/>
                <w:color w:val="000000" w:themeColor="text1"/>
                <w:szCs w:val="21"/>
                <w14:textFill>
                  <w14:solidFill>
                    <w14:schemeClr w14:val="tx1"/>
                  </w14:solidFill>
                </w14:textFill>
              </w:rPr>
            </w:pPr>
          </w:p>
        </w:tc>
        <w:tc>
          <w:tcPr>
            <w:tcW w:w="5446" w:type="dxa"/>
            <w:vAlign w:val="center"/>
          </w:tcPr>
          <w:p w14:paraId="092A1A21">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69.尺寸：（长400mmmm×宽290mm）±5mm。</w:t>
            </w:r>
          </w:p>
        </w:tc>
        <w:tc>
          <w:tcPr>
            <w:tcW w:w="972" w:type="dxa"/>
          </w:tcPr>
          <w:p w14:paraId="31708461">
            <w:pPr>
              <w:rPr>
                <w:color w:val="000000" w:themeColor="text1"/>
                <w:szCs w:val="21"/>
                <w14:textFill>
                  <w14:solidFill>
                    <w14:schemeClr w14:val="tx1"/>
                  </w14:solidFill>
                </w14:textFill>
              </w:rPr>
            </w:pPr>
          </w:p>
        </w:tc>
        <w:tc>
          <w:tcPr>
            <w:tcW w:w="710" w:type="dxa"/>
          </w:tcPr>
          <w:p w14:paraId="35E7B461">
            <w:pPr>
              <w:rPr>
                <w:color w:val="000000" w:themeColor="text1"/>
                <w:szCs w:val="21"/>
                <w14:textFill>
                  <w14:solidFill>
                    <w14:schemeClr w14:val="tx1"/>
                  </w14:solidFill>
                </w14:textFill>
              </w:rPr>
            </w:pPr>
          </w:p>
        </w:tc>
        <w:tc>
          <w:tcPr>
            <w:tcW w:w="390" w:type="dxa"/>
          </w:tcPr>
          <w:p w14:paraId="25981529">
            <w:pPr>
              <w:rPr>
                <w:color w:val="000000" w:themeColor="text1"/>
                <w:szCs w:val="21"/>
                <w14:textFill>
                  <w14:solidFill>
                    <w14:schemeClr w14:val="tx1"/>
                  </w14:solidFill>
                </w14:textFill>
              </w:rPr>
            </w:pPr>
          </w:p>
        </w:tc>
      </w:tr>
      <w:tr w14:paraId="509A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FF5A14C">
            <w:pPr>
              <w:jc w:val="center"/>
              <w:rPr>
                <w:color w:val="000000" w:themeColor="text1"/>
                <w:szCs w:val="21"/>
                <w14:textFill>
                  <w14:solidFill>
                    <w14:schemeClr w14:val="tx1"/>
                  </w14:solidFill>
                </w14:textFill>
              </w:rPr>
            </w:pPr>
          </w:p>
        </w:tc>
        <w:tc>
          <w:tcPr>
            <w:tcW w:w="772" w:type="dxa"/>
            <w:vMerge w:val="continue"/>
            <w:vAlign w:val="center"/>
          </w:tcPr>
          <w:p w14:paraId="30B871FA">
            <w:pPr>
              <w:jc w:val="center"/>
              <w:rPr>
                <w:rFonts w:hint="eastAsia"/>
                <w:color w:val="000000" w:themeColor="text1"/>
                <w:szCs w:val="21"/>
                <w14:textFill>
                  <w14:solidFill>
                    <w14:schemeClr w14:val="tx1"/>
                  </w14:solidFill>
                </w14:textFill>
              </w:rPr>
            </w:pPr>
          </w:p>
        </w:tc>
        <w:tc>
          <w:tcPr>
            <w:tcW w:w="5446" w:type="dxa"/>
            <w:vAlign w:val="center"/>
          </w:tcPr>
          <w:p w14:paraId="4EB82332">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70.样式：靠背与钢管结合方式，采用直插套管卡扣式紧固，无外露螺丝等紧固件。牢固稳定无摇晃、松动现象。靠背呈向外弯孤曲面设计造型，符合人体功学要求。靠背曲面有散热孔设计，利于背部散热透气，孔直径均小于5mm。</w:t>
            </w:r>
          </w:p>
        </w:tc>
        <w:tc>
          <w:tcPr>
            <w:tcW w:w="972" w:type="dxa"/>
          </w:tcPr>
          <w:p w14:paraId="0E43D209">
            <w:pPr>
              <w:rPr>
                <w:color w:val="000000" w:themeColor="text1"/>
                <w:szCs w:val="21"/>
                <w14:textFill>
                  <w14:solidFill>
                    <w14:schemeClr w14:val="tx1"/>
                  </w14:solidFill>
                </w14:textFill>
              </w:rPr>
            </w:pPr>
          </w:p>
        </w:tc>
        <w:tc>
          <w:tcPr>
            <w:tcW w:w="710" w:type="dxa"/>
          </w:tcPr>
          <w:p w14:paraId="0DE35AFB">
            <w:pPr>
              <w:rPr>
                <w:color w:val="000000" w:themeColor="text1"/>
                <w:szCs w:val="21"/>
                <w14:textFill>
                  <w14:solidFill>
                    <w14:schemeClr w14:val="tx1"/>
                  </w14:solidFill>
                </w14:textFill>
              </w:rPr>
            </w:pPr>
          </w:p>
        </w:tc>
        <w:tc>
          <w:tcPr>
            <w:tcW w:w="390" w:type="dxa"/>
          </w:tcPr>
          <w:p w14:paraId="7EB45927">
            <w:pPr>
              <w:rPr>
                <w:color w:val="000000" w:themeColor="text1"/>
                <w:szCs w:val="21"/>
                <w14:textFill>
                  <w14:solidFill>
                    <w14:schemeClr w14:val="tx1"/>
                  </w14:solidFill>
                </w14:textFill>
              </w:rPr>
            </w:pPr>
          </w:p>
        </w:tc>
      </w:tr>
      <w:tr w14:paraId="37E94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2DC6344">
            <w:pPr>
              <w:jc w:val="center"/>
              <w:rPr>
                <w:color w:val="000000" w:themeColor="text1"/>
                <w:szCs w:val="21"/>
                <w14:textFill>
                  <w14:solidFill>
                    <w14:schemeClr w14:val="tx1"/>
                  </w14:solidFill>
                </w14:textFill>
              </w:rPr>
            </w:pPr>
          </w:p>
        </w:tc>
        <w:tc>
          <w:tcPr>
            <w:tcW w:w="772" w:type="dxa"/>
            <w:vMerge w:val="continue"/>
            <w:vAlign w:val="center"/>
          </w:tcPr>
          <w:p w14:paraId="716B2C04">
            <w:pPr>
              <w:jc w:val="center"/>
              <w:rPr>
                <w:rFonts w:hint="eastAsia"/>
                <w:color w:val="000000" w:themeColor="text1"/>
                <w:szCs w:val="21"/>
                <w14:textFill>
                  <w14:solidFill>
                    <w14:schemeClr w14:val="tx1"/>
                  </w14:solidFill>
                </w14:textFill>
              </w:rPr>
            </w:pPr>
          </w:p>
        </w:tc>
        <w:tc>
          <w:tcPr>
            <w:tcW w:w="5446" w:type="dxa"/>
            <w:vAlign w:val="center"/>
          </w:tcPr>
          <w:p w14:paraId="18142728">
            <w:pPr>
              <w:keepNext w:val="0"/>
              <w:keepLines w:val="0"/>
              <w:widowControl/>
              <w:suppressLineNumbers w:val="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B.座垫</w:t>
            </w:r>
          </w:p>
        </w:tc>
        <w:tc>
          <w:tcPr>
            <w:tcW w:w="972" w:type="dxa"/>
          </w:tcPr>
          <w:p w14:paraId="1CEFC953">
            <w:pPr>
              <w:rPr>
                <w:color w:val="000000" w:themeColor="text1"/>
                <w:szCs w:val="21"/>
                <w14:textFill>
                  <w14:solidFill>
                    <w14:schemeClr w14:val="tx1"/>
                  </w14:solidFill>
                </w14:textFill>
              </w:rPr>
            </w:pPr>
          </w:p>
        </w:tc>
        <w:tc>
          <w:tcPr>
            <w:tcW w:w="710" w:type="dxa"/>
          </w:tcPr>
          <w:p w14:paraId="2BB95C3A">
            <w:pPr>
              <w:rPr>
                <w:color w:val="000000" w:themeColor="text1"/>
                <w:szCs w:val="21"/>
                <w14:textFill>
                  <w14:solidFill>
                    <w14:schemeClr w14:val="tx1"/>
                  </w14:solidFill>
                </w14:textFill>
              </w:rPr>
            </w:pPr>
          </w:p>
        </w:tc>
        <w:tc>
          <w:tcPr>
            <w:tcW w:w="390" w:type="dxa"/>
          </w:tcPr>
          <w:p w14:paraId="31E87D4A">
            <w:pPr>
              <w:rPr>
                <w:color w:val="000000" w:themeColor="text1"/>
                <w:szCs w:val="21"/>
                <w14:textFill>
                  <w14:solidFill>
                    <w14:schemeClr w14:val="tx1"/>
                  </w14:solidFill>
                </w14:textFill>
              </w:rPr>
            </w:pPr>
          </w:p>
        </w:tc>
      </w:tr>
      <w:tr w14:paraId="7EA41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5652BE0">
            <w:pPr>
              <w:jc w:val="center"/>
              <w:rPr>
                <w:color w:val="000000" w:themeColor="text1"/>
                <w:szCs w:val="21"/>
                <w14:textFill>
                  <w14:solidFill>
                    <w14:schemeClr w14:val="tx1"/>
                  </w14:solidFill>
                </w14:textFill>
              </w:rPr>
            </w:pPr>
          </w:p>
        </w:tc>
        <w:tc>
          <w:tcPr>
            <w:tcW w:w="772" w:type="dxa"/>
            <w:vMerge w:val="continue"/>
            <w:vAlign w:val="center"/>
          </w:tcPr>
          <w:p w14:paraId="1BB9CE1B">
            <w:pPr>
              <w:jc w:val="center"/>
              <w:rPr>
                <w:rFonts w:hint="eastAsia"/>
                <w:color w:val="000000" w:themeColor="text1"/>
                <w:szCs w:val="21"/>
                <w14:textFill>
                  <w14:solidFill>
                    <w14:schemeClr w14:val="tx1"/>
                  </w14:solidFill>
                </w14:textFill>
              </w:rPr>
            </w:pPr>
          </w:p>
        </w:tc>
        <w:tc>
          <w:tcPr>
            <w:tcW w:w="5446" w:type="dxa"/>
            <w:vAlign w:val="center"/>
          </w:tcPr>
          <w:p w14:paraId="097F515B">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71.材质：采用PP塑料（塑胶）一体射出注塑成型。</w:t>
            </w:r>
          </w:p>
        </w:tc>
        <w:tc>
          <w:tcPr>
            <w:tcW w:w="972" w:type="dxa"/>
          </w:tcPr>
          <w:p w14:paraId="1F82C071">
            <w:pPr>
              <w:rPr>
                <w:color w:val="000000" w:themeColor="text1"/>
                <w:szCs w:val="21"/>
                <w14:textFill>
                  <w14:solidFill>
                    <w14:schemeClr w14:val="tx1"/>
                  </w14:solidFill>
                </w14:textFill>
              </w:rPr>
            </w:pPr>
          </w:p>
        </w:tc>
        <w:tc>
          <w:tcPr>
            <w:tcW w:w="710" w:type="dxa"/>
          </w:tcPr>
          <w:p w14:paraId="3FE6E1CB">
            <w:pPr>
              <w:rPr>
                <w:color w:val="000000" w:themeColor="text1"/>
                <w:szCs w:val="21"/>
                <w14:textFill>
                  <w14:solidFill>
                    <w14:schemeClr w14:val="tx1"/>
                  </w14:solidFill>
                </w14:textFill>
              </w:rPr>
            </w:pPr>
          </w:p>
        </w:tc>
        <w:tc>
          <w:tcPr>
            <w:tcW w:w="390" w:type="dxa"/>
          </w:tcPr>
          <w:p w14:paraId="1488E46D">
            <w:pPr>
              <w:rPr>
                <w:color w:val="000000" w:themeColor="text1"/>
                <w:szCs w:val="21"/>
                <w14:textFill>
                  <w14:solidFill>
                    <w14:schemeClr w14:val="tx1"/>
                  </w14:solidFill>
                </w14:textFill>
              </w:rPr>
            </w:pPr>
          </w:p>
        </w:tc>
      </w:tr>
      <w:tr w14:paraId="2F30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7915CFE">
            <w:pPr>
              <w:jc w:val="center"/>
              <w:rPr>
                <w:color w:val="000000" w:themeColor="text1"/>
                <w:szCs w:val="21"/>
                <w14:textFill>
                  <w14:solidFill>
                    <w14:schemeClr w14:val="tx1"/>
                  </w14:solidFill>
                </w14:textFill>
              </w:rPr>
            </w:pPr>
          </w:p>
        </w:tc>
        <w:tc>
          <w:tcPr>
            <w:tcW w:w="772" w:type="dxa"/>
            <w:vMerge w:val="continue"/>
            <w:vAlign w:val="center"/>
          </w:tcPr>
          <w:p w14:paraId="3CD50664">
            <w:pPr>
              <w:jc w:val="center"/>
              <w:rPr>
                <w:rFonts w:hint="eastAsia"/>
                <w:color w:val="000000" w:themeColor="text1"/>
                <w:szCs w:val="21"/>
                <w14:textFill>
                  <w14:solidFill>
                    <w14:schemeClr w14:val="tx1"/>
                  </w14:solidFill>
                </w14:textFill>
              </w:rPr>
            </w:pPr>
          </w:p>
        </w:tc>
        <w:tc>
          <w:tcPr>
            <w:tcW w:w="5446" w:type="dxa"/>
            <w:vAlign w:val="center"/>
          </w:tcPr>
          <w:p w14:paraId="252BEAC4">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72.尺寸：（长405mm×宽379mm）±5mm。</w:t>
            </w:r>
          </w:p>
        </w:tc>
        <w:tc>
          <w:tcPr>
            <w:tcW w:w="972" w:type="dxa"/>
          </w:tcPr>
          <w:p w14:paraId="7EB9D7FC">
            <w:pPr>
              <w:rPr>
                <w:color w:val="000000" w:themeColor="text1"/>
                <w:szCs w:val="21"/>
                <w14:textFill>
                  <w14:solidFill>
                    <w14:schemeClr w14:val="tx1"/>
                  </w14:solidFill>
                </w14:textFill>
              </w:rPr>
            </w:pPr>
          </w:p>
        </w:tc>
        <w:tc>
          <w:tcPr>
            <w:tcW w:w="710" w:type="dxa"/>
          </w:tcPr>
          <w:p w14:paraId="29BFC48B">
            <w:pPr>
              <w:rPr>
                <w:color w:val="000000" w:themeColor="text1"/>
                <w:szCs w:val="21"/>
                <w14:textFill>
                  <w14:solidFill>
                    <w14:schemeClr w14:val="tx1"/>
                  </w14:solidFill>
                </w14:textFill>
              </w:rPr>
            </w:pPr>
          </w:p>
        </w:tc>
        <w:tc>
          <w:tcPr>
            <w:tcW w:w="390" w:type="dxa"/>
          </w:tcPr>
          <w:p w14:paraId="52081F23">
            <w:pPr>
              <w:rPr>
                <w:color w:val="000000" w:themeColor="text1"/>
                <w:szCs w:val="21"/>
                <w14:textFill>
                  <w14:solidFill>
                    <w14:schemeClr w14:val="tx1"/>
                  </w14:solidFill>
                </w14:textFill>
              </w:rPr>
            </w:pPr>
          </w:p>
        </w:tc>
      </w:tr>
      <w:tr w14:paraId="454C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8AC7286">
            <w:pPr>
              <w:jc w:val="center"/>
              <w:rPr>
                <w:color w:val="000000" w:themeColor="text1"/>
                <w:szCs w:val="21"/>
                <w14:textFill>
                  <w14:solidFill>
                    <w14:schemeClr w14:val="tx1"/>
                  </w14:solidFill>
                </w14:textFill>
              </w:rPr>
            </w:pPr>
          </w:p>
        </w:tc>
        <w:tc>
          <w:tcPr>
            <w:tcW w:w="772" w:type="dxa"/>
            <w:vMerge w:val="continue"/>
            <w:vAlign w:val="center"/>
          </w:tcPr>
          <w:p w14:paraId="6A4893EB">
            <w:pPr>
              <w:jc w:val="center"/>
              <w:rPr>
                <w:rFonts w:hint="eastAsia"/>
                <w:color w:val="000000" w:themeColor="text1"/>
                <w:szCs w:val="21"/>
                <w14:textFill>
                  <w14:solidFill>
                    <w14:schemeClr w14:val="tx1"/>
                  </w14:solidFill>
                </w14:textFill>
              </w:rPr>
            </w:pPr>
          </w:p>
        </w:tc>
        <w:tc>
          <w:tcPr>
            <w:tcW w:w="5446" w:type="dxa"/>
            <w:vAlign w:val="center"/>
          </w:tcPr>
          <w:p w14:paraId="5203F0B4">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73.样式：座垫前端有两处下凹设计；座垫深部有内陷设计。座垫曲面有蜂窝孔设计，孔直径均小于5mm。</w:t>
            </w:r>
          </w:p>
        </w:tc>
        <w:tc>
          <w:tcPr>
            <w:tcW w:w="972" w:type="dxa"/>
          </w:tcPr>
          <w:p w14:paraId="1006404B">
            <w:pPr>
              <w:rPr>
                <w:color w:val="000000" w:themeColor="text1"/>
                <w:szCs w:val="21"/>
                <w14:textFill>
                  <w14:solidFill>
                    <w14:schemeClr w14:val="tx1"/>
                  </w14:solidFill>
                </w14:textFill>
              </w:rPr>
            </w:pPr>
          </w:p>
        </w:tc>
        <w:tc>
          <w:tcPr>
            <w:tcW w:w="710" w:type="dxa"/>
          </w:tcPr>
          <w:p w14:paraId="7EDF72F4">
            <w:pPr>
              <w:rPr>
                <w:color w:val="000000" w:themeColor="text1"/>
                <w:szCs w:val="21"/>
                <w14:textFill>
                  <w14:solidFill>
                    <w14:schemeClr w14:val="tx1"/>
                  </w14:solidFill>
                </w14:textFill>
              </w:rPr>
            </w:pPr>
          </w:p>
        </w:tc>
        <w:tc>
          <w:tcPr>
            <w:tcW w:w="390" w:type="dxa"/>
          </w:tcPr>
          <w:p w14:paraId="1D3BE627">
            <w:pPr>
              <w:rPr>
                <w:color w:val="000000" w:themeColor="text1"/>
                <w:szCs w:val="21"/>
                <w14:textFill>
                  <w14:solidFill>
                    <w14:schemeClr w14:val="tx1"/>
                  </w14:solidFill>
                </w14:textFill>
              </w:rPr>
            </w:pPr>
          </w:p>
        </w:tc>
      </w:tr>
      <w:tr w14:paraId="1CA4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AE02F45">
            <w:pPr>
              <w:jc w:val="center"/>
              <w:rPr>
                <w:color w:val="000000" w:themeColor="text1"/>
                <w:szCs w:val="21"/>
                <w14:textFill>
                  <w14:solidFill>
                    <w14:schemeClr w14:val="tx1"/>
                  </w14:solidFill>
                </w14:textFill>
              </w:rPr>
            </w:pPr>
          </w:p>
        </w:tc>
        <w:tc>
          <w:tcPr>
            <w:tcW w:w="772" w:type="dxa"/>
            <w:vMerge w:val="continue"/>
            <w:vAlign w:val="center"/>
          </w:tcPr>
          <w:p w14:paraId="4F5416F2">
            <w:pPr>
              <w:jc w:val="center"/>
              <w:rPr>
                <w:rFonts w:hint="eastAsia"/>
                <w:color w:val="000000" w:themeColor="text1"/>
                <w:szCs w:val="21"/>
                <w14:textFill>
                  <w14:solidFill>
                    <w14:schemeClr w14:val="tx1"/>
                  </w14:solidFill>
                </w14:textFill>
              </w:rPr>
            </w:pPr>
          </w:p>
        </w:tc>
        <w:tc>
          <w:tcPr>
            <w:tcW w:w="5446" w:type="dxa"/>
            <w:vAlign w:val="center"/>
          </w:tcPr>
          <w:p w14:paraId="0DAAAC34">
            <w:pPr>
              <w:keepNext w:val="0"/>
              <w:keepLines w:val="0"/>
              <w:widowControl/>
              <w:suppressLineNumbers w:val="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C.椅腿钢架</w:t>
            </w:r>
          </w:p>
        </w:tc>
        <w:tc>
          <w:tcPr>
            <w:tcW w:w="972" w:type="dxa"/>
          </w:tcPr>
          <w:p w14:paraId="75DE444F">
            <w:pPr>
              <w:rPr>
                <w:color w:val="000000" w:themeColor="text1"/>
                <w:szCs w:val="21"/>
                <w14:textFill>
                  <w14:solidFill>
                    <w14:schemeClr w14:val="tx1"/>
                  </w14:solidFill>
                </w14:textFill>
              </w:rPr>
            </w:pPr>
          </w:p>
        </w:tc>
        <w:tc>
          <w:tcPr>
            <w:tcW w:w="710" w:type="dxa"/>
          </w:tcPr>
          <w:p w14:paraId="33DED560">
            <w:pPr>
              <w:rPr>
                <w:color w:val="000000" w:themeColor="text1"/>
                <w:szCs w:val="21"/>
                <w14:textFill>
                  <w14:solidFill>
                    <w14:schemeClr w14:val="tx1"/>
                  </w14:solidFill>
                </w14:textFill>
              </w:rPr>
            </w:pPr>
          </w:p>
        </w:tc>
        <w:tc>
          <w:tcPr>
            <w:tcW w:w="390" w:type="dxa"/>
          </w:tcPr>
          <w:p w14:paraId="3DFE9E72">
            <w:pPr>
              <w:rPr>
                <w:color w:val="000000" w:themeColor="text1"/>
                <w:szCs w:val="21"/>
                <w14:textFill>
                  <w14:solidFill>
                    <w14:schemeClr w14:val="tx1"/>
                  </w14:solidFill>
                </w14:textFill>
              </w:rPr>
            </w:pPr>
          </w:p>
        </w:tc>
      </w:tr>
      <w:tr w14:paraId="3D11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C8A2325">
            <w:pPr>
              <w:jc w:val="center"/>
              <w:rPr>
                <w:color w:val="000000" w:themeColor="text1"/>
                <w:szCs w:val="21"/>
                <w14:textFill>
                  <w14:solidFill>
                    <w14:schemeClr w14:val="tx1"/>
                  </w14:solidFill>
                </w14:textFill>
              </w:rPr>
            </w:pPr>
          </w:p>
        </w:tc>
        <w:tc>
          <w:tcPr>
            <w:tcW w:w="772" w:type="dxa"/>
            <w:vMerge w:val="continue"/>
            <w:vAlign w:val="center"/>
          </w:tcPr>
          <w:p w14:paraId="3B256FF0">
            <w:pPr>
              <w:jc w:val="center"/>
              <w:rPr>
                <w:rFonts w:hint="eastAsia"/>
                <w:color w:val="000000" w:themeColor="text1"/>
                <w:szCs w:val="21"/>
                <w14:textFill>
                  <w14:solidFill>
                    <w14:schemeClr w14:val="tx1"/>
                  </w14:solidFill>
                </w14:textFill>
              </w:rPr>
            </w:pPr>
          </w:p>
        </w:tc>
        <w:tc>
          <w:tcPr>
            <w:tcW w:w="5446" w:type="dxa"/>
            <w:vAlign w:val="center"/>
          </w:tcPr>
          <w:p w14:paraId="016F55B7">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74.材质及规格：采用符合标准面包形亮光钢管、面包管亮光钢管组合焊接。所有焊接部位必须满焊而成，结构牢固，长时间使用不得产生摇晃 、松散的现象。焊接完成钢管架，焊接部位牢固，无脱焊、虚焊、焊穿；焊缝均匀，无毛棱、锐棱、飞溅、裂纹等缺陷。主要支撑部件（厚度不小于1.5mm）。椅座贴地钢管尺寸为面包形30mm±1mm×45mm±1mm×厚1.5mm±0.1mm；椅子横杆尺寸为面包形20mm±1mm×28mm±1mm×厚1.2mm±0.1mm；椅脚上部活动立管钢管尺寸为椭圆形23mm±1mm×35mm±1mm×厚1.5mm±0.1mm；靠背弯管钢管尺寸为面包形20mm±1mm×30mm±1mm×厚1.2mm。</w:t>
            </w:r>
          </w:p>
        </w:tc>
        <w:tc>
          <w:tcPr>
            <w:tcW w:w="972" w:type="dxa"/>
          </w:tcPr>
          <w:p w14:paraId="47DFCCBA">
            <w:pPr>
              <w:rPr>
                <w:color w:val="000000" w:themeColor="text1"/>
                <w:szCs w:val="21"/>
                <w14:textFill>
                  <w14:solidFill>
                    <w14:schemeClr w14:val="tx1"/>
                  </w14:solidFill>
                </w14:textFill>
              </w:rPr>
            </w:pPr>
          </w:p>
        </w:tc>
        <w:tc>
          <w:tcPr>
            <w:tcW w:w="710" w:type="dxa"/>
          </w:tcPr>
          <w:p w14:paraId="460597D6">
            <w:pPr>
              <w:rPr>
                <w:color w:val="000000" w:themeColor="text1"/>
                <w:szCs w:val="21"/>
                <w14:textFill>
                  <w14:solidFill>
                    <w14:schemeClr w14:val="tx1"/>
                  </w14:solidFill>
                </w14:textFill>
              </w:rPr>
            </w:pPr>
          </w:p>
        </w:tc>
        <w:tc>
          <w:tcPr>
            <w:tcW w:w="390" w:type="dxa"/>
          </w:tcPr>
          <w:p w14:paraId="77BA84EB">
            <w:pPr>
              <w:rPr>
                <w:color w:val="000000" w:themeColor="text1"/>
                <w:szCs w:val="21"/>
                <w14:textFill>
                  <w14:solidFill>
                    <w14:schemeClr w14:val="tx1"/>
                  </w14:solidFill>
                </w14:textFill>
              </w:rPr>
            </w:pPr>
          </w:p>
        </w:tc>
      </w:tr>
      <w:tr w14:paraId="780C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525FA8C">
            <w:pPr>
              <w:jc w:val="center"/>
              <w:rPr>
                <w:color w:val="000000" w:themeColor="text1"/>
                <w:szCs w:val="21"/>
                <w14:textFill>
                  <w14:solidFill>
                    <w14:schemeClr w14:val="tx1"/>
                  </w14:solidFill>
                </w14:textFill>
              </w:rPr>
            </w:pPr>
          </w:p>
        </w:tc>
        <w:tc>
          <w:tcPr>
            <w:tcW w:w="772" w:type="dxa"/>
            <w:vMerge w:val="continue"/>
            <w:vAlign w:val="center"/>
          </w:tcPr>
          <w:p w14:paraId="7C35AB76">
            <w:pPr>
              <w:jc w:val="center"/>
              <w:rPr>
                <w:rFonts w:hint="eastAsia"/>
                <w:color w:val="000000" w:themeColor="text1"/>
                <w:szCs w:val="21"/>
                <w14:textFill>
                  <w14:solidFill>
                    <w14:schemeClr w14:val="tx1"/>
                  </w14:solidFill>
                </w14:textFill>
              </w:rPr>
            </w:pPr>
          </w:p>
        </w:tc>
        <w:tc>
          <w:tcPr>
            <w:tcW w:w="5446" w:type="dxa"/>
            <w:vAlign w:val="center"/>
          </w:tcPr>
          <w:p w14:paraId="5D9C68AC">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75.工艺：采用上下安全升降结构，可调节区间（调节行程）不少于7cm，升降刻度尺采用激光镭射打印。</w:t>
            </w:r>
          </w:p>
        </w:tc>
        <w:tc>
          <w:tcPr>
            <w:tcW w:w="972" w:type="dxa"/>
          </w:tcPr>
          <w:p w14:paraId="3EA9A1EE">
            <w:pPr>
              <w:rPr>
                <w:color w:val="000000" w:themeColor="text1"/>
                <w:szCs w:val="21"/>
                <w14:textFill>
                  <w14:solidFill>
                    <w14:schemeClr w14:val="tx1"/>
                  </w14:solidFill>
                </w14:textFill>
              </w:rPr>
            </w:pPr>
          </w:p>
        </w:tc>
        <w:tc>
          <w:tcPr>
            <w:tcW w:w="710" w:type="dxa"/>
          </w:tcPr>
          <w:p w14:paraId="20E2BF69">
            <w:pPr>
              <w:rPr>
                <w:color w:val="000000" w:themeColor="text1"/>
                <w:szCs w:val="21"/>
                <w14:textFill>
                  <w14:solidFill>
                    <w14:schemeClr w14:val="tx1"/>
                  </w14:solidFill>
                </w14:textFill>
              </w:rPr>
            </w:pPr>
          </w:p>
        </w:tc>
        <w:tc>
          <w:tcPr>
            <w:tcW w:w="390" w:type="dxa"/>
          </w:tcPr>
          <w:p w14:paraId="54CF9380">
            <w:pPr>
              <w:rPr>
                <w:color w:val="000000" w:themeColor="text1"/>
                <w:szCs w:val="21"/>
                <w14:textFill>
                  <w14:solidFill>
                    <w14:schemeClr w14:val="tx1"/>
                  </w14:solidFill>
                </w14:textFill>
              </w:rPr>
            </w:pPr>
          </w:p>
        </w:tc>
      </w:tr>
      <w:tr w14:paraId="4C04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843636E">
            <w:pPr>
              <w:jc w:val="center"/>
              <w:rPr>
                <w:color w:val="000000" w:themeColor="text1"/>
                <w:szCs w:val="21"/>
                <w14:textFill>
                  <w14:solidFill>
                    <w14:schemeClr w14:val="tx1"/>
                  </w14:solidFill>
                </w14:textFill>
              </w:rPr>
            </w:pPr>
          </w:p>
        </w:tc>
        <w:tc>
          <w:tcPr>
            <w:tcW w:w="772" w:type="dxa"/>
            <w:vMerge w:val="continue"/>
            <w:vAlign w:val="center"/>
          </w:tcPr>
          <w:p w14:paraId="63500027">
            <w:pPr>
              <w:jc w:val="center"/>
              <w:rPr>
                <w:rFonts w:hint="eastAsia"/>
                <w:color w:val="000000" w:themeColor="text1"/>
                <w:szCs w:val="21"/>
                <w14:textFill>
                  <w14:solidFill>
                    <w14:schemeClr w14:val="tx1"/>
                  </w14:solidFill>
                </w14:textFill>
              </w:rPr>
            </w:pPr>
          </w:p>
        </w:tc>
        <w:tc>
          <w:tcPr>
            <w:tcW w:w="5446" w:type="dxa"/>
            <w:vAlign w:val="center"/>
          </w:tcPr>
          <w:p w14:paraId="17B99C8D">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76.技术形状：底坐采用安全牢固的C字（或L字或工字)组合焊接外型结构，内配隐藏式上下升降结构。</w:t>
            </w:r>
          </w:p>
        </w:tc>
        <w:tc>
          <w:tcPr>
            <w:tcW w:w="972" w:type="dxa"/>
          </w:tcPr>
          <w:p w14:paraId="457CF564">
            <w:pPr>
              <w:rPr>
                <w:color w:val="000000" w:themeColor="text1"/>
                <w:szCs w:val="21"/>
                <w14:textFill>
                  <w14:solidFill>
                    <w14:schemeClr w14:val="tx1"/>
                  </w14:solidFill>
                </w14:textFill>
              </w:rPr>
            </w:pPr>
          </w:p>
        </w:tc>
        <w:tc>
          <w:tcPr>
            <w:tcW w:w="710" w:type="dxa"/>
          </w:tcPr>
          <w:p w14:paraId="382D6B54">
            <w:pPr>
              <w:rPr>
                <w:color w:val="000000" w:themeColor="text1"/>
                <w:szCs w:val="21"/>
                <w14:textFill>
                  <w14:solidFill>
                    <w14:schemeClr w14:val="tx1"/>
                  </w14:solidFill>
                </w14:textFill>
              </w:rPr>
            </w:pPr>
          </w:p>
        </w:tc>
        <w:tc>
          <w:tcPr>
            <w:tcW w:w="390" w:type="dxa"/>
          </w:tcPr>
          <w:p w14:paraId="42CC416F">
            <w:pPr>
              <w:rPr>
                <w:color w:val="000000" w:themeColor="text1"/>
                <w:szCs w:val="21"/>
                <w14:textFill>
                  <w14:solidFill>
                    <w14:schemeClr w14:val="tx1"/>
                  </w14:solidFill>
                </w14:textFill>
              </w:rPr>
            </w:pPr>
          </w:p>
        </w:tc>
      </w:tr>
      <w:tr w14:paraId="38F8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AAE5FD4">
            <w:pPr>
              <w:jc w:val="center"/>
              <w:rPr>
                <w:color w:val="000000" w:themeColor="text1"/>
                <w:szCs w:val="21"/>
                <w14:textFill>
                  <w14:solidFill>
                    <w14:schemeClr w14:val="tx1"/>
                  </w14:solidFill>
                </w14:textFill>
              </w:rPr>
            </w:pPr>
          </w:p>
        </w:tc>
        <w:tc>
          <w:tcPr>
            <w:tcW w:w="772" w:type="dxa"/>
            <w:vMerge w:val="continue"/>
            <w:vAlign w:val="center"/>
          </w:tcPr>
          <w:p w14:paraId="592EA60A">
            <w:pPr>
              <w:jc w:val="center"/>
              <w:rPr>
                <w:rFonts w:hint="eastAsia"/>
                <w:color w:val="000000" w:themeColor="text1"/>
                <w:szCs w:val="21"/>
                <w14:textFill>
                  <w14:solidFill>
                    <w14:schemeClr w14:val="tx1"/>
                  </w14:solidFill>
                </w14:textFill>
              </w:rPr>
            </w:pPr>
          </w:p>
        </w:tc>
        <w:tc>
          <w:tcPr>
            <w:tcW w:w="5446" w:type="dxa"/>
            <w:vAlign w:val="center"/>
          </w:tcPr>
          <w:p w14:paraId="5C204251">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77.表面技术要求：焊接完成后的钢管架，表面经除油、脱脂、磷化、皮膜处理。外表采用一级颗粒粉末，经高温粉体烤漆，无刮伤或脱漆现象。涂层无漏喷、锈蚀涂层光滑均匀，色泽一致，无流挂、疙瘩、皱皮、飞漆等缺陷。涂层平整光滑，无明显粒子、涨边现象。</w:t>
            </w:r>
          </w:p>
        </w:tc>
        <w:tc>
          <w:tcPr>
            <w:tcW w:w="972" w:type="dxa"/>
          </w:tcPr>
          <w:p w14:paraId="2C34F2D7">
            <w:pPr>
              <w:rPr>
                <w:color w:val="000000" w:themeColor="text1"/>
                <w:szCs w:val="21"/>
                <w14:textFill>
                  <w14:solidFill>
                    <w14:schemeClr w14:val="tx1"/>
                  </w14:solidFill>
                </w14:textFill>
              </w:rPr>
            </w:pPr>
          </w:p>
        </w:tc>
        <w:tc>
          <w:tcPr>
            <w:tcW w:w="710" w:type="dxa"/>
          </w:tcPr>
          <w:p w14:paraId="5B363277">
            <w:pPr>
              <w:rPr>
                <w:color w:val="000000" w:themeColor="text1"/>
                <w:szCs w:val="21"/>
                <w14:textFill>
                  <w14:solidFill>
                    <w14:schemeClr w14:val="tx1"/>
                  </w14:solidFill>
                </w14:textFill>
              </w:rPr>
            </w:pPr>
          </w:p>
        </w:tc>
        <w:tc>
          <w:tcPr>
            <w:tcW w:w="390" w:type="dxa"/>
          </w:tcPr>
          <w:p w14:paraId="4ECCC976">
            <w:pPr>
              <w:rPr>
                <w:color w:val="000000" w:themeColor="text1"/>
                <w:szCs w:val="21"/>
                <w14:textFill>
                  <w14:solidFill>
                    <w14:schemeClr w14:val="tx1"/>
                  </w14:solidFill>
                </w14:textFill>
              </w:rPr>
            </w:pPr>
          </w:p>
        </w:tc>
      </w:tr>
      <w:tr w14:paraId="01CAF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0AF1FA7">
            <w:pPr>
              <w:jc w:val="center"/>
              <w:rPr>
                <w:color w:val="000000" w:themeColor="text1"/>
                <w:szCs w:val="21"/>
                <w14:textFill>
                  <w14:solidFill>
                    <w14:schemeClr w14:val="tx1"/>
                  </w14:solidFill>
                </w14:textFill>
              </w:rPr>
            </w:pPr>
          </w:p>
        </w:tc>
        <w:tc>
          <w:tcPr>
            <w:tcW w:w="772" w:type="dxa"/>
            <w:vMerge w:val="continue"/>
            <w:vAlign w:val="center"/>
          </w:tcPr>
          <w:p w14:paraId="4AA4B291">
            <w:pPr>
              <w:jc w:val="center"/>
              <w:rPr>
                <w:rFonts w:hint="eastAsia"/>
                <w:color w:val="000000" w:themeColor="text1"/>
                <w:szCs w:val="21"/>
                <w14:textFill>
                  <w14:solidFill>
                    <w14:schemeClr w14:val="tx1"/>
                  </w14:solidFill>
                </w14:textFill>
              </w:rPr>
            </w:pPr>
          </w:p>
        </w:tc>
        <w:tc>
          <w:tcPr>
            <w:tcW w:w="5446" w:type="dxa"/>
            <w:vAlign w:val="center"/>
          </w:tcPr>
          <w:p w14:paraId="030AF573">
            <w:pPr>
              <w:keepNext w:val="0"/>
              <w:keepLines w:val="0"/>
              <w:widowControl/>
              <w:suppressLineNumbers w:val="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D.课桌椅标识：</w:t>
            </w:r>
          </w:p>
        </w:tc>
        <w:tc>
          <w:tcPr>
            <w:tcW w:w="972" w:type="dxa"/>
          </w:tcPr>
          <w:p w14:paraId="4904046A">
            <w:pPr>
              <w:rPr>
                <w:color w:val="000000" w:themeColor="text1"/>
                <w:szCs w:val="21"/>
                <w14:textFill>
                  <w14:solidFill>
                    <w14:schemeClr w14:val="tx1"/>
                  </w14:solidFill>
                </w14:textFill>
              </w:rPr>
            </w:pPr>
          </w:p>
        </w:tc>
        <w:tc>
          <w:tcPr>
            <w:tcW w:w="710" w:type="dxa"/>
          </w:tcPr>
          <w:p w14:paraId="7D541EB7">
            <w:pPr>
              <w:rPr>
                <w:color w:val="000000" w:themeColor="text1"/>
                <w:szCs w:val="21"/>
                <w14:textFill>
                  <w14:solidFill>
                    <w14:schemeClr w14:val="tx1"/>
                  </w14:solidFill>
                </w14:textFill>
              </w:rPr>
            </w:pPr>
          </w:p>
        </w:tc>
        <w:tc>
          <w:tcPr>
            <w:tcW w:w="390" w:type="dxa"/>
          </w:tcPr>
          <w:p w14:paraId="3CC814D0">
            <w:pPr>
              <w:rPr>
                <w:color w:val="000000" w:themeColor="text1"/>
                <w:szCs w:val="21"/>
                <w14:textFill>
                  <w14:solidFill>
                    <w14:schemeClr w14:val="tx1"/>
                  </w14:solidFill>
                </w14:textFill>
              </w:rPr>
            </w:pPr>
          </w:p>
        </w:tc>
      </w:tr>
      <w:tr w14:paraId="1809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F1EDA07">
            <w:pPr>
              <w:jc w:val="center"/>
              <w:rPr>
                <w:color w:val="000000" w:themeColor="text1"/>
                <w:szCs w:val="21"/>
                <w14:textFill>
                  <w14:solidFill>
                    <w14:schemeClr w14:val="tx1"/>
                  </w14:solidFill>
                </w14:textFill>
              </w:rPr>
            </w:pPr>
          </w:p>
        </w:tc>
        <w:tc>
          <w:tcPr>
            <w:tcW w:w="772" w:type="dxa"/>
            <w:vMerge w:val="continue"/>
            <w:vAlign w:val="center"/>
          </w:tcPr>
          <w:p w14:paraId="31FDF826">
            <w:pPr>
              <w:jc w:val="center"/>
              <w:rPr>
                <w:rFonts w:hint="eastAsia"/>
                <w:color w:val="000000" w:themeColor="text1"/>
                <w:szCs w:val="21"/>
                <w14:textFill>
                  <w14:solidFill>
                    <w14:schemeClr w14:val="tx1"/>
                  </w14:solidFill>
                </w14:textFill>
              </w:rPr>
            </w:pPr>
          </w:p>
        </w:tc>
        <w:tc>
          <w:tcPr>
            <w:tcW w:w="5446" w:type="dxa"/>
            <w:vAlign w:val="center"/>
          </w:tcPr>
          <w:p w14:paraId="39D33808">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78.采用激光镭射标示，字体</w:t>
            </w:r>
            <w:r>
              <w:rPr>
                <w:rStyle w:val="39"/>
                <w:rFonts w:hint="eastAsia" w:asciiTheme="majorEastAsia" w:hAnsiTheme="majorEastAsia" w:eastAsiaTheme="majorEastAsia" w:cstheme="majorEastAsia"/>
                <w:sz w:val="21"/>
                <w:szCs w:val="21"/>
                <w:lang w:val="en-US" w:eastAsia="zh-CN" w:bidi="ar"/>
              </w:rPr>
              <w:t>稳固不易</w:t>
            </w:r>
            <w:r>
              <w:rPr>
                <w:rFonts w:hint="eastAsia" w:asciiTheme="majorEastAsia" w:hAnsiTheme="majorEastAsia" w:eastAsiaTheme="majorEastAsia" w:cstheme="majorEastAsia"/>
                <w:i w:val="0"/>
                <w:iCs w:val="0"/>
                <w:color w:val="000000"/>
                <w:kern w:val="0"/>
                <w:sz w:val="21"/>
                <w:szCs w:val="21"/>
                <w:u w:val="none"/>
                <w:lang w:val="en-US" w:eastAsia="zh-CN" w:bidi="ar"/>
              </w:rPr>
              <w:t>脱落掉色，利于学校管理使用及产品维护。在可调节的钢制脚架上外侧标记，高度刻度用阿拉伯数字作标示。</w:t>
            </w:r>
          </w:p>
        </w:tc>
        <w:tc>
          <w:tcPr>
            <w:tcW w:w="972" w:type="dxa"/>
          </w:tcPr>
          <w:p w14:paraId="4A00DB2C">
            <w:pPr>
              <w:rPr>
                <w:color w:val="000000" w:themeColor="text1"/>
                <w:szCs w:val="21"/>
                <w14:textFill>
                  <w14:solidFill>
                    <w14:schemeClr w14:val="tx1"/>
                  </w14:solidFill>
                </w14:textFill>
              </w:rPr>
            </w:pPr>
          </w:p>
        </w:tc>
        <w:tc>
          <w:tcPr>
            <w:tcW w:w="710" w:type="dxa"/>
          </w:tcPr>
          <w:p w14:paraId="782CB04F">
            <w:pPr>
              <w:rPr>
                <w:color w:val="000000" w:themeColor="text1"/>
                <w:szCs w:val="21"/>
                <w14:textFill>
                  <w14:solidFill>
                    <w14:schemeClr w14:val="tx1"/>
                  </w14:solidFill>
                </w14:textFill>
              </w:rPr>
            </w:pPr>
          </w:p>
        </w:tc>
        <w:tc>
          <w:tcPr>
            <w:tcW w:w="390" w:type="dxa"/>
          </w:tcPr>
          <w:p w14:paraId="1303680E">
            <w:pPr>
              <w:rPr>
                <w:color w:val="000000" w:themeColor="text1"/>
                <w:szCs w:val="21"/>
                <w14:textFill>
                  <w14:solidFill>
                    <w14:schemeClr w14:val="tx1"/>
                  </w14:solidFill>
                </w14:textFill>
              </w:rPr>
            </w:pPr>
          </w:p>
        </w:tc>
      </w:tr>
      <w:tr w14:paraId="45A69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89C0D9B">
            <w:pPr>
              <w:jc w:val="center"/>
              <w:rPr>
                <w:color w:val="000000" w:themeColor="text1"/>
                <w:szCs w:val="21"/>
                <w14:textFill>
                  <w14:solidFill>
                    <w14:schemeClr w14:val="tx1"/>
                  </w14:solidFill>
                </w14:textFill>
              </w:rPr>
            </w:pPr>
          </w:p>
        </w:tc>
        <w:tc>
          <w:tcPr>
            <w:tcW w:w="772" w:type="dxa"/>
            <w:vMerge w:val="continue"/>
            <w:vAlign w:val="center"/>
          </w:tcPr>
          <w:p w14:paraId="17303330">
            <w:pPr>
              <w:jc w:val="center"/>
              <w:rPr>
                <w:rFonts w:hint="eastAsia"/>
                <w:color w:val="000000" w:themeColor="text1"/>
                <w:szCs w:val="21"/>
                <w14:textFill>
                  <w14:solidFill>
                    <w14:schemeClr w14:val="tx1"/>
                  </w14:solidFill>
                </w14:textFill>
              </w:rPr>
            </w:pPr>
          </w:p>
        </w:tc>
        <w:tc>
          <w:tcPr>
            <w:tcW w:w="5446" w:type="dxa"/>
            <w:vAlign w:val="center"/>
          </w:tcPr>
          <w:p w14:paraId="5DAC3EAD">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79.表面标示至少满足以下要求：a)在课椅椅腿立管(钢制脚架上)外侧上做如下标示；b)标示并标有统一的校名（简称）标识，利于学校财产登记；c)并标示并标有生产（出厂）年月日数字标识，利于设备保修售后；d)标示并标有产品序列号数字标识（编号从0001开始的流水号），利于学校财产</w:t>
            </w:r>
            <w:r>
              <w:rPr>
                <w:rFonts w:hint="eastAsia" w:asciiTheme="majorEastAsia" w:hAnsiTheme="majorEastAsia" w:eastAsiaTheme="majorEastAsia" w:cstheme="majorEastAsia"/>
                <w:i w:val="0"/>
                <w:iCs w:val="0"/>
                <w:color w:val="auto"/>
                <w:kern w:val="0"/>
                <w:sz w:val="21"/>
                <w:szCs w:val="21"/>
                <w:u w:val="none"/>
                <w:lang w:val="en-US" w:eastAsia="zh-CN" w:bidi="ar"/>
              </w:rPr>
              <w:t>登记；e)标示并标有高度刻度尺数字标识，满足标准要求</w:t>
            </w:r>
            <w:r>
              <w:rPr>
                <w:rFonts w:hint="eastAsia" w:asciiTheme="majorEastAsia" w:hAnsiTheme="majorEastAsia" w:eastAsiaTheme="majorEastAsia" w:cstheme="majorEastAsia"/>
                <w:i w:val="0"/>
                <w:iCs w:val="0"/>
                <w:color w:val="000000"/>
                <w:kern w:val="0"/>
                <w:sz w:val="21"/>
                <w:szCs w:val="21"/>
                <w:u w:val="none"/>
                <w:lang w:val="en-US" w:eastAsia="zh-CN" w:bidi="ar"/>
              </w:rPr>
              <w:t>。</w:t>
            </w:r>
          </w:p>
        </w:tc>
        <w:tc>
          <w:tcPr>
            <w:tcW w:w="972" w:type="dxa"/>
          </w:tcPr>
          <w:p w14:paraId="1C727403">
            <w:pPr>
              <w:rPr>
                <w:color w:val="000000" w:themeColor="text1"/>
                <w:szCs w:val="21"/>
                <w14:textFill>
                  <w14:solidFill>
                    <w14:schemeClr w14:val="tx1"/>
                  </w14:solidFill>
                </w14:textFill>
              </w:rPr>
            </w:pPr>
          </w:p>
        </w:tc>
        <w:tc>
          <w:tcPr>
            <w:tcW w:w="710" w:type="dxa"/>
          </w:tcPr>
          <w:p w14:paraId="44E52C81">
            <w:pPr>
              <w:rPr>
                <w:color w:val="000000" w:themeColor="text1"/>
                <w:szCs w:val="21"/>
                <w14:textFill>
                  <w14:solidFill>
                    <w14:schemeClr w14:val="tx1"/>
                  </w14:solidFill>
                </w14:textFill>
              </w:rPr>
            </w:pPr>
          </w:p>
        </w:tc>
        <w:tc>
          <w:tcPr>
            <w:tcW w:w="390" w:type="dxa"/>
          </w:tcPr>
          <w:p w14:paraId="00482980">
            <w:pPr>
              <w:rPr>
                <w:color w:val="000000" w:themeColor="text1"/>
                <w:szCs w:val="21"/>
                <w14:textFill>
                  <w14:solidFill>
                    <w14:schemeClr w14:val="tx1"/>
                  </w14:solidFill>
                </w14:textFill>
              </w:rPr>
            </w:pPr>
          </w:p>
        </w:tc>
      </w:tr>
      <w:tr w14:paraId="68E1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E6D3E16">
            <w:pPr>
              <w:jc w:val="center"/>
              <w:rPr>
                <w:color w:val="000000" w:themeColor="text1"/>
                <w:szCs w:val="21"/>
                <w14:textFill>
                  <w14:solidFill>
                    <w14:schemeClr w14:val="tx1"/>
                  </w14:solidFill>
                </w14:textFill>
              </w:rPr>
            </w:pPr>
          </w:p>
        </w:tc>
        <w:tc>
          <w:tcPr>
            <w:tcW w:w="772" w:type="dxa"/>
            <w:vMerge w:val="continue"/>
            <w:vAlign w:val="center"/>
          </w:tcPr>
          <w:p w14:paraId="763F2EA9">
            <w:pPr>
              <w:jc w:val="center"/>
              <w:rPr>
                <w:rFonts w:hint="eastAsia"/>
                <w:color w:val="000000" w:themeColor="text1"/>
                <w:szCs w:val="21"/>
                <w14:textFill>
                  <w14:solidFill>
                    <w14:schemeClr w14:val="tx1"/>
                  </w14:solidFill>
                </w14:textFill>
              </w:rPr>
            </w:pPr>
          </w:p>
        </w:tc>
        <w:tc>
          <w:tcPr>
            <w:tcW w:w="5446" w:type="dxa"/>
            <w:vAlign w:val="center"/>
          </w:tcPr>
          <w:p w14:paraId="7D4E1DA3">
            <w:pPr>
              <w:keepNext w:val="0"/>
              <w:keepLines w:val="0"/>
              <w:widowControl/>
              <w:suppressLineNumbers w:val="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E.脚垫</w:t>
            </w:r>
          </w:p>
        </w:tc>
        <w:tc>
          <w:tcPr>
            <w:tcW w:w="972" w:type="dxa"/>
          </w:tcPr>
          <w:p w14:paraId="39943289">
            <w:pPr>
              <w:rPr>
                <w:color w:val="000000" w:themeColor="text1"/>
                <w:szCs w:val="21"/>
                <w14:textFill>
                  <w14:solidFill>
                    <w14:schemeClr w14:val="tx1"/>
                  </w14:solidFill>
                </w14:textFill>
              </w:rPr>
            </w:pPr>
          </w:p>
        </w:tc>
        <w:tc>
          <w:tcPr>
            <w:tcW w:w="710" w:type="dxa"/>
          </w:tcPr>
          <w:p w14:paraId="44C126A8">
            <w:pPr>
              <w:rPr>
                <w:color w:val="000000" w:themeColor="text1"/>
                <w:szCs w:val="21"/>
                <w14:textFill>
                  <w14:solidFill>
                    <w14:schemeClr w14:val="tx1"/>
                  </w14:solidFill>
                </w14:textFill>
              </w:rPr>
            </w:pPr>
          </w:p>
        </w:tc>
        <w:tc>
          <w:tcPr>
            <w:tcW w:w="390" w:type="dxa"/>
          </w:tcPr>
          <w:p w14:paraId="554B5E7F">
            <w:pPr>
              <w:rPr>
                <w:color w:val="000000" w:themeColor="text1"/>
                <w:szCs w:val="21"/>
                <w14:textFill>
                  <w14:solidFill>
                    <w14:schemeClr w14:val="tx1"/>
                  </w14:solidFill>
                </w14:textFill>
              </w:rPr>
            </w:pPr>
          </w:p>
        </w:tc>
      </w:tr>
      <w:tr w14:paraId="4B93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D6F8215">
            <w:pPr>
              <w:jc w:val="center"/>
              <w:rPr>
                <w:color w:val="000000" w:themeColor="text1"/>
                <w:szCs w:val="21"/>
                <w14:textFill>
                  <w14:solidFill>
                    <w14:schemeClr w14:val="tx1"/>
                  </w14:solidFill>
                </w14:textFill>
              </w:rPr>
            </w:pPr>
          </w:p>
        </w:tc>
        <w:tc>
          <w:tcPr>
            <w:tcW w:w="772" w:type="dxa"/>
            <w:vMerge w:val="continue"/>
            <w:vAlign w:val="center"/>
          </w:tcPr>
          <w:p w14:paraId="5ECEFBCF">
            <w:pPr>
              <w:jc w:val="center"/>
              <w:rPr>
                <w:rFonts w:hint="eastAsia"/>
                <w:color w:val="000000" w:themeColor="text1"/>
                <w:szCs w:val="21"/>
                <w14:textFill>
                  <w14:solidFill>
                    <w14:schemeClr w14:val="tx1"/>
                  </w14:solidFill>
                </w14:textFill>
              </w:rPr>
            </w:pPr>
          </w:p>
        </w:tc>
        <w:tc>
          <w:tcPr>
            <w:tcW w:w="5446" w:type="dxa"/>
            <w:vAlign w:val="center"/>
          </w:tcPr>
          <w:p w14:paraId="1737C08A">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80.材质：采用PP塑料（塑胶）一体射出成并用圆头十字自攻螺丝锁付。</w:t>
            </w:r>
          </w:p>
        </w:tc>
        <w:tc>
          <w:tcPr>
            <w:tcW w:w="972" w:type="dxa"/>
          </w:tcPr>
          <w:p w14:paraId="38D2E968">
            <w:pPr>
              <w:rPr>
                <w:color w:val="000000" w:themeColor="text1"/>
                <w:szCs w:val="21"/>
                <w14:textFill>
                  <w14:solidFill>
                    <w14:schemeClr w14:val="tx1"/>
                  </w14:solidFill>
                </w14:textFill>
              </w:rPr>
            </w:pPr>
          </w:p>
        </w:tc>
        <w:tc>
          <w:tcPr>
            <w:tcW w:w="710" w:type="dxa"/>
          </w:tcPr>
          <w:p w14:paraId="56A4B8B9">
            <w:pPr>
              <w:rPr>
                <w:color w:val="000000" w:themeColor="text1"/>
                <w:szCs w:val="21"/>
                <w14:textFill>
                  <w14:solidFill>
                    <w14:schemeClr w14:val="tx1"/>
                  </w14:solidFill>
                </w14:textFill>
              </w:rPr>
            </w:pPr>
          </w:p>
        </w:tc>
        <w:tc>
          <w:tcPr>
            <w:tcW w:w="390" w:type="dxa"/>
          </w:tcPr>
          <w:p w14:paraId="2AABDCC8">
            <w:pPr>
              <w:rPr>
                <w:color w:val="000000" w:themeColor="text1"/>
                <w:szCs w:val="21"/>
                <w14:textFill>
                  <w14:solidFill>
                    <w14:schemeClr w14:val="tx1"/>
                  </w14:solidFill>
                </w14:textFill>
              </w:rPr>
            </w:pPr>
          </w:p>
        </w:tc>
      </w:tr>
      <w:tr w14:paraId="056D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2EBAE88">
            <w:pPr>
              <w:jc w:val="center"/>
              <w:rPr>
                <w:color w:val="000000" w:themeColor="text1"/>
                <w:szCs w:val="21"/>
                <w14:textFill>
                  <w14:solidFill>
                    <w14:schemeClr w14:val="tx1"/>
                  </w14:solidFill>
                </w14:textFill>
              </w:rPr>
            </w:pPr>
          </w:p>
        </w:tc>
        <w:tc>
          <w:tcPr>
            <w:tcW w:w="772" w:type="dxa"/>
            <w:vMerge w:val="continue"/>
            <w:vAlign w:val="center"/>
          </w:tcPr>
          <w:p w14:paraId="5AEDF765">
            <w:pPr>
              <w:jc w:val="center"/>
              <w:rPr>
                <w:rFonts w:hint="eastAsia"/>
                <w:color w:val="000000" w:themeColor="text1"/>
                <w:szCs w:val="21"/>
                <w14:textFill>
                  <w14:solidFill>
                    <w14:schemeClr w14:val="tx1"/>
                  </w14:solidFill>
                </w14:textFill>
              </w:rPr>
            </w:pPr>
          </w:p>
        </w:tc>
        <w:tc>
          <w:tcPr>
            <w:tcW w:w="5446" w:type="dxa"/>
            <w:vAlign w:val="center"/>
          </w:tcPr>
          <w:p w14:paraId="2309714C">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auto"/>
                <w:kern w:val="0"/>
                <w:sz w:val="21"/>
                <w:szCs w:val="21"/>
                <w:u w:val="none"/>
                <w:lang w:val="en-US" w:eastAsia="zh-CN" w:bidi="ar"/>
              </w:rPr>
              <w:t>81.功能：脚垫用圆头十字自攻螺丝锁付,椅子前脚垫左右各配1个水平调节*塑钢胶料POM螺丝，使椅面保持平衡不倾斜不可采用回收料生产。</w:t>
            </w:r>
          </w:p>
        </w:tc>
        <w:tc>
          <w:tcPr>
            <w:tcW w:w="972" w:type="dxa"/>
          </w:tcPr>
          <w:p w14:paraId="39329FAF">
            <w:pPr>
              <w:rPr>
                <w:color w:val="000000" w:themeColor="text1"/>
                <w:szCs w:val="21"/>
                <w14:textFill>
                  <w14:solidFill>
                    <w14:schemeClr w14:val="tx1"/>
                  </w14:solidFill>
                </w14:textFill>
              </w:rPr>
            </w:pPr>
          </w:p>
        </w:tc>
        <w:tc>
          <w:tcPr>
            <w:tcW w:w="710" w:type="dxa"/>
          </w:tcPr>
          <w:p w14:paraId="2069911E">
            <w:pPr>
              <w:rPr>
                <w:color w:val="000000" w:themeColor="text1"/>
                <w:szCs w:val="21"/>
                <w14:textFill>
                  <w14:solidFill>
                    <w14:schemeClr w14:val="tx1"/>
                  </w14:solidFill>
                </w14:textFill>
              </w:rPr>
            </w:pPr>
          </w:p>
        </w:tc>
        <w:tc>
          <w:tcPr>
            <w:tcW w:w="390" w:type="dxa"/>
          </w:tcPr>
          <w:p w14:paraId="4206AAA3">
            <w:pPr>
              <w:rPr>
                <w:color w:val="000000" w:themeColor="text1"/>
                <w:szCs w:val="21"/>
                <w14:textFill>
                  <w14:solidFill>
                    <w14:schemeClr w14:val="tx1"/>
                  </w14:solidFill>
                </w14:textFill>
              </w:rPr>
            </w:pPr>
          </w:p>
        </w:tc>
      </w:tr>
      <w:tr w14:paraId="7F9B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FF22364">
            <w:pPr>
              <w:jc w:val="center"/>
              <w:rPr>
                <w:color w:val="000000" w:themeColor="text1"/>
                <w:szCs w:val="21"/>
                <w14:textFill>
                  <w14:solidFill>
                    <w14:schemeClr w14:val="tx1"/>
                  </w14:solidFill>
                </w14:textFill>
              </w:rPr>
            </w:pPr>
          </w:p>
        </w:tc>
        <w:tc>
          <w:tcPr>
            <w:tcW w:w="772" w:type="dxa"/>
            <w:vMerge w:val="continue"/>
            <w:vAlign w:val="center"/>
          </w:tcPr>
          <w:p w14:paraId="02D594D8">
            <w:pPr>
              <w:jc w:val="center"/>
              <w:rPr>
                <w:rFonts w:hint="eastAsia"/>
                <w:color w:val="000000" w:themeColor="text1"/>
                <w:szCs w:val="21"/>
                <w14:textFill>
                  <w14:solidFill>
                    <w14:schemeClr w14:val="tx1"/>
                  </w14:solidFill>
                </w14:textFill>
              </w:rPr>
            </w:pPr>
          </w:p>
        </w:tc>
        <w:tc>
          <w:tcPr>
            <w:tcW w:w="5446" w:type="dxa"/>
            <w:vAlign w:val="center"/>
          </w:tcPr>
          <w:p w14:paraId="62CE573D">
            <w:pPr>
              <w:keepNext w:val="0"/>
              <w:keepLines w:val="0"/>
              <w:widowControl/>
              <w:suppressLineNumbers w:val="0"/>
              <w:jc w:val="both"/>
              <w:textAlignment w:val="center"/>
              <w:rPr>
                <w:rFonts w:hint="eastAsia"/>
              </w:rPr>
            </w:pPr>
            <w:r>
              <w:rPr>
                <w:rFonts w:hint="eastAsia" w:asciiTheme="majorEastAsia" w:hAnsiTheme="majorEastAsia" w:eastAsiaTheme="majorEastAsia" w:cstheme="majorEastAsia"/>
                <w:b/>
                <w:bCs/>
                <w:i w:val="0"/>
                <w:iCs w:val="0"/>
                <w:color w:val="000000"/>
                <w:kern w:val="0"/>
                <w:sz w:val="21"/>
                <w:szCs w:val="21"/>
                <w:u w:val="none"/>
                <w:lang w:val="en-US" w:eastAsia="zh-CN" w:bidi="ar"/>
              </w:rPr>
              <w:t>F.其他配件-快速升降调节组件：</w:t>
            </w:r>
          </w:p>
        </w:tc>
        <w:tc>
          <w:tcPr>
            <w:tcW w:w="972" w:type="dxa"/>
          </w:tcPr>
          <w:p w14:paraId="671F102A">
            <w:pPr>
              <w:rPr>
                <w:color w:val="000000" w:themeColor="text1"/>
                <w:szCs w:val="21"/>
                <w14:textFill>
                  <w14:solidFill>
                    <w14:schemeClr w14:val="tx1"/>
                  </w14:solidFill>
                </w14:textFill>
              </w:rPr>
            </w:pPr>
          </w:p>
        </w:tc>
        <w:tc>
          <w:tcPr>
            <w:tcW w:w="710" w:type="dxa"/>
          </w:tcPr>
          <w:p w14:paraId="35316AE9">
            <w:pPr>
              <w:rPr>
                <w:color w:val="000000" w:themeColor="text1"/>
                <w:szCs w:val="21"/>
                <w14:textFill>
                  <w14:solidFill>
                    <w14:schemeClr w14:val="tx1"/>
                  </w14:solidFill>
                </w14:textFill>
              </w:rPr>
            </w:pPr>
          </w:p>
        </w:tc>
        <w:tc>
          <w:tcPr>
            <w:tcW w:w="390" w:type="dxa"/>
          </w:tcPr>
          <w:p w14:paraId="39AEC1C9">
            <w:pPr>
              <w:rPr>
                <w:color w:val="000000" w:themeColor="text1"/>
                <w:szCs w:val="21"/>
                <w14:textFill>
                  <w14:solidFill>
                    <w14:schemeClr w14:val="tx1"/>
                  </w14:solidFill>
                </w14:textFill>
              </w:rPr>
            </w:pPr>
          </w:p>
        </w:tc>
      </w:tr>
      <w:tr w14:paraId="3626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799B1DC">
            <w:pPr>
              <w:jc w:val="center"/>
              <w:rPr>
                <w:color w:val="000000" w:themeColor="text1"/>
                <w:szCs w:val="21"/>
                <w14:textFill>
                  <w14:solidFill>
                    <w14:schemeClr w14:val="tx1"/>
                  </w14:solidFill>
                </w14:textFill>
              </w:rPr>
            </w:pPr>
          </w:p>
        </w:tc>
        <w:tc>
          <w:tcPr>
            <w:tcW w:w="772" w:type="dxa"/>
            <w:vMerge w:val="continue"/>
            <w:vAlign w:val="center"/>
          </w:tcPr>
          <w:p w14:paraId="4D10CBF9">
            <w:pPr>
              <w:jc w:val="center"/>
              <w:rPr>
                <w:rFonts w:hint="eastAsia"/>
                <w:color w:val="000000" w:themeColor="text1"/>
                <w:szCs w:val="21"/>
                <w14:textFill>
                  <w14:solidFill>
                    <w14:schemeClr w14:val="tx1"/>
                  </w14:solidFill>
                </w14:textFill>
              </w:rPr>
            </w:pPr>
          </w:p>
        </w:tc>
        <w:tc>
          <w:tcPr>
            <w:tcW w:w="5446" w:type="dxa"/>
            <w:vAlign w:val="center"/>
          </w:tcPr>
          <w:p w14:paraId="37CBDAE1">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82.手摇可调式结构：环保材料，轻便无噪音并有效防止长期使用生锈后活动受阻卡死。</w:t>
            </w:r>
          </w:p>
        </w:tc>
        <w:tc>
          <w:tcPr>
            <w:tcW w:w="972" w:type="dxa"/>
          </w:tcPr>
          <w:p w14:paraId="0F974CEE">
            <w:pPr>
              <w:rPr>
                <w:color w:val="000000" w:themeColor="text1"/>
                <w:szCs w:val="21"/>
                <w14:textFill>
                  <w14:solidFill>
                    <w14:schemeClr w14:val="tx1"/>
                  </w14:solidFill>
                </w14:textFill>
              </w:rPr>
            </w:pPr>
          </w:p>
        </w:tc>
        <w:tc>
          <w:tcPr>
            <w:tcW w:w="710" w:type="dxa"/>
          </w:tcPr>
          <w:p w14:paraId="31FB70F0">
            <w:pPr>
              <w:rPr>
                <w:color w:val="000000" w:themeColor="text1"/>
                <w:szCs w:val="21"/>
                <w14:textFill>
                  <w14:solidFill>
                    <w14:schemeClr w14:val="tx1"/>
                  </w14:solidFill>
                </w14:textFill>
              </w:rPr>
            </w:pPr>
          </w:p>
        </w:tc>
        <w:tc>
          <w:tcPr>
            <w:tcW w:w="390" w:type="dxa"/>
          </w:tcPr>
          <w:p w14:paraId="6A2F3D85">
            <w:pPr>
              <w:rPr>
                <w:color w:val="000000" w:themeColor="text1"/>
                <w:szCs w:val="21"/>
                <w14:textFill>
                  <w14:solidFill>
                    <w14:schemeClr w14:val="tx1"/>
                  </w14:solidFill>
                </w14:textFill>
              </w:rPr>
            </w:pPr>
          </w:p>
        </w:tc>
      </w:tr>
      <w:tr w14:paraId="66499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5F9F8F1">
            <w:pPr>
              <w:jc w:val="center"/>
              <w:rPr>
                <w:color w:val="000000" w:themeColor="text1"/>
                <w:szCs w:val="21"/>
                <w14:textFill>
                  <w14:solidFill>
                    <w14:schemeClr w14:val="tx1"/>
                  </w14:solidFill>
                </w14:textFill>
              </w:rPr>
            </w:pPr>
          </w:p>
        </w:tc>
        <w:tc>
          <w:tcPr>
            <w:tcW w:w="772" w:type="dxa"/>
            <w:vMerge w:val="continue"/>
            <w:vAlign w:val="center"/>
          </w:tcPr>
          <w:p w14:paraId="3C07B3EB">
            <w:pPr>
              <w:jc w:val="center"/>
              <w:rPr>
                <w:rFonts w:hint="eastAsia"/>
                <w:color w:val="000000" w:themeColor="text1"/>
                <w:szCs w:val="21"/>
                <w14:textFill>
                  <w14:solidFill>
                    <w14:schemeClr w14:val="tx1"/>
                  </w14:solidFill>
                </w14:textFill>
              </w:rPr>
            </w:pPr>
          </w:p>
        </w:tc>
        <w:tc>
          <w:tcPr>
            <w:tcW w:w="5446" w:type="dxa"/>
            <w:vAlign w:val="center"/>
          </w:tcPr>
          <w:p w14:paraId="11F850B6">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83.手摇组件装置安全性：椅腿外侧外观无外露螺丝五金件，学生使用无安全隐患，左右腿都可以同时调整高度。</w:t>
            </w:r>
          </w:p>
        </w:tc>
        <w:tc>
          <w:tcPr>
            <w:tcW w:w="972" w:type="dxa"/>
          </w:tcPr>
          <w:p w14:paraId="47671FBB">
            <w:pPr>
              <w:rPr>
                <w:color w:val="000000" w:themeColor="text1"/>
                <w:szCs w:val="21"/>
                <w14:textFill>
                  <w14:solidFill>
                    <w14:schemeClr w14:val="tx1"/>
                  </w14:solidFill>
                </w14:textFill>
              </w:rPr>
            </w:pPr>
          </w:p>
        </w:tc>
        <w:tc>
          <w:tcPr>
            <w:tcW w:w="710" w:type="dxa"/>
          </w:tcPr>
          <w:p w14:paraId="28969E79">
            <w:pPr>
              <w:rPr>
                <w:color w:val="000000" w:themeColor="text1"/>
                <w:szCs w:val="21"/>
                <w14:textFill>
                  <w14:solidFill>
                    <w14:schemeClr w14:val="tx1"/>
                  </w14:solidFill>
                </w14:textFill>
              </w:rPr>
            </w:pPr>
          </w:p>
        </w:tc>
        <w:tc>
          <w:tcPr>
            <w:tcW w:w="390" w:type="dxa"/>
          </w:tcPr>
          <w:p w14:paraId="2D623EE0">
            <w:pPr>
              <w:rPr>
                <w:color w:val="000000" w:themeColor="text1"/>
                <w:szCs w:val="21"/>
                <w14:textFill>
                  <w14:solidFill>
                    <w14:schemeClr w14:val="tx1"/>
                  </w14:solidFill>
                </w14:textFill>
              </w:rPr>
            </w:pPr>
          </w:p>
        </w:tc>
      </w:tr>
      <w:tr w14:paraId="019B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ED33768">
            <w:pPr>
              <w:jc w:val="center"/>
              <w:rPr>
                <w:color w:val="000000" w:themeColor="text1"/>
                <w:szCs w:val="21"/>
                <w14:textFill>
                  <w14:solidFill>
                    <w14:schemeClr w14:val="tx1"/>
                  </w14:solidFill>
                </w14:textFill>
              </w:rPr>
            </w:pPr>
          </w:p>
        </w:tc>
        <w:tc>
          <w:tcPr>
            <w:tcW w:w="772" w:type="dxa"/>
            <w:vMerge w:val="continue"/>
            <w:vAlign w:val="center"/>
          </w:tcPr>
          <w:p w14:paraId="6FDF51C6">
            <w:pPr>
              <w:jc w:val="center"/>
              <w:rPr>
                <w:rFonts w:hint="eastAsia"/>
                <w:color w:val="000000" w:themeColor="text1"/>
                <w:szCs w:val="21"/>
                <w14:textFill>
                  <w14:solidFill>
                    <w14:schemeClr w14:val="tx1"/>
                  </w14:solidFill>
                </w14:textFill>
              </w:rPr>
            </w:pPr>
          </w:p>
        </w:tc>
        <w:tc>
          <w:tcPr>
            <w:tcW w:w="5446" w:type="dxa"/>
            <w:vAlign w:val="center"/>
          </w:tcPr>
          <w:p w14:paraId="16E56860">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u w:val="none"/>
                <w:lang w:val="en-US" w:eastAsia="zh-CN" w:bidi="ar"/>
              </w:rPr>
              <w:t>84.升降技术要求：全手摇升降可调式调节，每张课椅满足手摇升降调节行程不少于7cm，可调节高度区间至少满足36cm～46cm、29cm～36cm。</w:t>
            </w:r>
          </w:p>
        </w:tc>
        <w:tc>
          <w:tcPr>
            <w:tcW w:w="972" w:type="dxa"/>
          </w:tcPr>
          <w:p w14:paraId="247AE6F9">
            <w:pPr>
              <w:rPr>
                <w:color w:val="000000" w:themeColor="text1"/>
                <w:szCs w:val="21"/>
                <w14:textFill>
                  <w14:solidFill>
                    <w14:schemeClr w14:val="tx1"/>
                  </w14:solidFill>
                </w14:textFill>
              </w:rPr>
            </w:pPr>
          </w:p>
        </w:tc>
        <w:tc>
          <w:tcPr>
            <w:tcW w:w="710" w:type="dxa"/>
          </w:tcPr>
          <w:p w14:paraId="14BE3C3E">
            <w:pPr>
              <w:rPr>
                <w:color w:val="000000" w:themeColor="text1"/>
                <w:szCs w:val="21"/>
                <w14:textFill>
                  <w14:solidFill>
                    <w14:schemeClr w14:val="tx1"/>
                  </w14:solidFill>
                </w14:textFill>
              </w:rPr>
            </w:pPr>
          </w:p>
        </w:tc>
        <w:tc>
          <w:tcPr>
            <w:tcW w:w="390" w:type="dxa"/>
          </w:tcPr>
          <w:p w14:paraId="2150C02D">
            <w:pPr>
              <w:rPr>
                <w:color w:val="000000" w:themeColor="text1"/>
                <w:szCs w:val="21"/>
                <w14:textFill>
                  <w14:solidFill>
                    <w14:schemeClr w14:val="tx1"/>
                  </w14:solidFill>
                </w14:textFill>
              </w:rPr>
            </w:pPr>
          </w:p>
        </w:tc>
      </w:tr>
      <w:tr w14:paraId="1B44B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EB0F64B">
            <w:pPr>
              <w:jc w:val="center"/>
              <w:rPr>
                <w:color w:val="000000" w:themeColor="text1"/>
                <w:szCs w:val="21"/>
                <w14:textFill>
                  <w14:solidFill>
                    <w14:schemeClr w14:val="tx1"/>
                  </w14:solidFill>
                </w14:textFill>
              </w:rPr>
            </w:pPr>
          </w:p>
        </w:tc>
        <w:tc>
          <w:tcPr>
            <w:tcW w:w="772" w:type="dxa"/>
            <w:vMerge w:val="continue"/>
            <w:vAlign w:val="center"/>
          </w:tcPr>
          <w:p w14:paraId="7AE37BAF">
            <w:pPr>
              <w:jc w:val="center"/>
              <w:rPr>
                <w:rFonts w:hint="eastAsia"/>
                <w:color w:val="000000" w:themeColor="text1"/>
                <w:szCs w:val="21"/>
                <w14:textFill>
                  <w14:solidFill>
                    <w14:schemeClr w14:val="tx1"/>
                  </w14:solidFill>
                </w14:textFill>
              </w:rPr>
            </w:pPr>
          </w:p>
        </w:tc>
        <w:tc>
          <w:tcPr>
            <w:tcW w:w="5446" w:type="dxa"/>
            <w:vAlign w:val="center"/>
          </w:tcPr>
          <w:p w14:paraId="73AC5588">
            <w:pPr>
              <w:keepNext w:val="0"/>
              <w:keepLines w:val="0"/>
              <w:widowControl/>
              <w:suppressLineNumbers w:val="0"/>
              <w:jc w:val="left"/>
              <w:textAlignment w:val="center"/>
              <w:rPr>
                <w:rFonts w:hint="eastAsia"/>
              </w:rPr>
            </w:pPr>
            <w:r>
              <w:rPr>
                <w:rFonts w:hint="eastAsia" w:ascii="宋体" w:hAnsi="宋体" w:eastAsia="宋体" w:cs="Times New Roman"/>
                <w:b/>
                <w:bCs/>
                <w:color w:val="FF0000"/>
                <w:szCs w:val="21"/>
              </w:rPr>
              <w:t>★</w:t>
            </w:r>
            <w:r>
              <w:rPr>
                <w:rFonts w:hint="eastAsia" w:asciiTheme="majorEastAsia" w:hAnsiTheme="majorEastAsia" w:eastAsiaTheme="majorEastAsia" w:cstheme="majorEastAsia"/>
                <w:i w:val="0"/>
                <w:iCs w:val="0"/>
                <w:color w:val="FF0000"/>
                <w:kern w:val="0"/>
                <w:sz w:val="21"/>
                <w:szCs w:val="21"/>
                <w:u w:val="none"/>
                <w:lang w:val="en-US" w:eastAsia="zh-CN" w:bidi="ar"/>
              </w:rPr>
              <w:t>85.一把手摇柄可以满足该批全部课桌椅调节，每班（50套）标配</w:t>
            </w:r>
            <w:r>
              <w:rPr>
                <w:rFonts w:hint="eastAsia" w:asciiTheme="majorEastAsia" w:hAnsiTheme="majorEastAsia" w:eastAsiaTheme="majorEastAsia" w:cstheme="majorEastAsia"/>
                <w:i w:val="0"/>
                <w:iCs w:val="0"/>
                <w:color w:val="FF0000"/>
                <w:sz w:val="21"/>
                <w:szCs w:val="21"/>
                <w:u w:val="none"/>
              </w:rPr>
              <w:t>≥</w:t>
            </w:r>
            <w:r>
              <w:rPr>
                <w:rFonts w:hint="eastAsia" w:asciiTheme="majorEastAsia" w:hAnsiTheme="majorEastAsia" w:eastAsiaTheme="majorEastAsia" w:cstheme="majorEastAsia"/>
                <w:i w:val="0"/>
                <w:iCs w:val="0"/>
                <w:color w:val="FF0000"/>
                <w:kern w:val="0"/>
                <w:sz w:val="21"/>
                <w:szCs w:val="21"/>
                <w:u w:val="none"/>
                <w:lang w:val="en-US" w:eastAsia="zh-CN" w:bidi="ar"/>
              </w:rPr>
              <w:t>2把。</w:t>
            </w:r>
          </w:p>
        </w:tc>
        <w:tc>
          <w:tcPr>
            <w:tcW w:w="972" w:type="dxa"/>
          </w:tcPr>
          <w:p w14:paraId="1B00C256">
            <w:pPr>
              <w:rPr>
                <w:color w:val="000000" w:themeColor="text1"/>
                <w:szCs w:val="21"/>
                <w14:textFill>
                  <w14:solidFill>
                    <w14:schemeClr w14:val="tx1"/>
                  </w14:solidFill>
                </w14:textFill>
              </w:rPr>
            </w:pPr>
          </w:p>
        </w:tc>
        <w:tc>
          <w:tcPr>
            <w:tcW w:w="710" w:type="dxa"/>
          </w:tcPr>
          <w:p w14:paraId="5BAF9874">
            <w:pPr>
              <w:rPr>
                <w:color w:val="000000" w:themeColor="text1"/>
                <w:szCs w:val="21"/>
                <w14:textFill>
                  <w14:solidFill>
                    <w14:schemeClr w14:val="tx1"/>
                  </w14:solidFill>
                </w14:textFill>
              </w:rPr>
            </w:pPr>
          </w:p>
        </w:tc>
        <w:tc>
          <w:tcPr>
            <w:tcW w:w="390" w:type="dxa"/>
          </w:tcPr>
          <w:p w14:paraId="4F699FBC">
            <w:pPr>
              <w:rPr>
                <w:color w:val="000000" w:themeColor="text1"/>
                <w:szCs w:val="21"/>
                <w14:textFill>
                  <w14:solidFill>
                    <w14:schemeClr w14:val="tx1"/>
                  </w14:solidFill>
                </w14:textFill>
              </w:rPr>
            </w:pPr>
          </w:p>
        </w:tc>
      </w:tr>
      <w:tr w14:paraId="2E49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85A277D">
            <w:pPr>
              <w:jc w:val="center"/>
              <w:rPr>
                <w:color w:val="000000" w:themeColor="text1"/>
                <w:szCs w:val="21"/>
                <w14:textFill>
                  <w14:solidFill>
                    <w14:schemeClr w14:val="tx1"/>
                  </w14:solidFill>
                </w14:textFill>
              </w:rPr>
            </w:pPr>
          </w:p>
        </w:tc>
        <w:tc>
          <w:tcPr>
            <w:tcW w:w="772" w:type="dxa"/>
            <w:vMerge w:val="continue"/>
            <w:vAlign w:val="center"/>
          </w:tcPr>
          <w:p w14:paraId="0E915F70">
            <w:pPr>
              <w:jc w:val="center"/>
              <w:rPr>
                <w:rFonts w:hint="eastAsia"/>
                <w:color w:val="000000" w:themeColor="text1"/>
                <w:szCs w:val="21"/>
                <w14:textFill>
                  <w14:solidFill>
                    <w14:schemeClr w14:val="tx1"/>
                  </w14:solidFill>
                </w14:textFill>
              </w:rPr>
            </w:pPr>
          </w:p>
        </w:tc>
        <w:tc>
          <w:tcPr>
            <w:tcW w:w="5446" w:type="dxa"/>
            <w:vAlign w:val="center"/>
          </w:tcPr>
          <w:p w14:paraId="2F1C23DA">
            <w:pPr>
              <w:keepNext w:val="0"/>
              <w:keepLines w:val="0"/>
              <w:widowControl/>
              <w:suppressLineNumbers w:val="0"/>
              <w:jc w:val="left"/>
              <w:textAlignment w:val="center"/>
              <w:rPr>
                <w:rFonts w:hint="eastAsia"/>
              </w:rPr>
            </w:pPr>
            <w:r>
              <w:rPr>
                <w:rFonts w:hint="eastAsia" w:ascii="宋体" w:hAnsi="宋体" w:eastAsia="宋体" w:cs="Times New Roman"/>
                <w:b/>
                <w:bCs/>
                <w:color w:val="FF0000"/>
                <w:szCs w:val="21"/>
              </w:rPr>
              <w:t>★</w:t>
            </w:r>
            <w:r>
              <w:rPr>
                <w:rFonts w:hint="eastAsia" w:asciiTheme="majorEastAsia" w:hAnsiTheme="majorEastAsia" w:eastAsiaTheme="majorEastAsia" w:cstheme="majorEastAsia"/>
                <w:i w:val="0"/>
                <w:iCs w:val="0"/>
                <w:color w:val="FF0000"/>
                <w:kern w:val="0"/>
                <w:sz w:val="21"/>
                <w:szCs w:val="21"/>
                <w:u w:val="none"/>
                <w:lang w:val="en-US" w:eastAsia="zh-CN" w:bidi="ar"/>
              </w:rPr>
              <w:t>86.课椅选择的具体调节型号范围，中标后可根据使用年级另行确定，存在不同调节范围的情况，中标供应商无条件配合。</w:t>
            </w:r>
          </w:p>
        </w:tc>
        <w:tc>
          <w:tcPr>
            <w:tcW w:w="972" w:type="dxa"/>
          </w:tcPr>
          <w:p w14:paraId="517A6A34">
            <w:pPr>
              <w:rPr>
                <w:color w:val="000000" w:themeColor="text1"/>
                <w:szCs w:val="21"/>
                <w14:textFill>
                  <w14:solidFill>
                    <w14:schemeClr w14:val="tx1"/>
                  </w14:solidFill>
                </w14:textFill>
              </w:rPr>
            </w:pPr>
          </w:p>
        </w:tc>
        <w:tc>
          <w:tcPr>
            <w:tcW w:w="710" w:type="dxa"/>
          </w:tcPr>
          <w:p w14:paraId="4782DF4D">
            <w:pPr>
              <w:rPr>
                <w:color w:val="000000" w:themeColor="text1"/>
                <w:szCs w:val="21"/>
                <w14:textFill>
                  <w14:solidFill>
                    <w14:schemeClr w14:val="tx1"/>
                  </w14:solidFill>
                </w14:textFill>
              </w:rPr>
            </w:pPr>
          </w:p>
        </w:tc>
        <w:tc>
          <w:tcPr>
            <w:tcW w:w="390" w:type="dxa"/>
          </w:tcPr>
          <w:p w14:paraId="65BBECA5">
            <w:pPr>
              <w:rPr>
                <w:color w:val="000000" w:themeColor="text1"/>
                <w:szCs w:val="21"/>
                <w14:textFill>
                  <w14:solidFill>
                    <w14:schemeClr w14:val="tx1"/>
                  </w14:solidFill>
                </w14:textFill>
              </w:rPr>
            </w:pPr>
          </w:p>
        </w:tc>
      </w:tr>
      <w:tr w14:paraId="30E0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C3264DD">
            <w:pPr>
              <w:jc w:val="center"/>
              <w:rPr>
                <w:color w:val="000000" w:themeColor="text1"/>
                <w:szCs w:val="21"/>
                <w14:textFill>
                  <w14:solidFill>
                    <w14:schemeClr w14:val="tx1"/>
                  </w14:solidFill>
                </w14:textFill>
              </w:rPr>
            </w:pPr>
          </w:p>
        </w:tc>
        <w:tc>
          <w:tcPr>
            <w:tcW w:w="772" w:type="dxa"/>
            <w:vMerge w:val="continue"/>
            <w:vAlign w:val="center"/>
          </w:tcPr>
          <w:p w14:paraId="46AC214B">
            <w:pPr>
              <w:jc w:val="center"/>
              <w:rPr>
                <w:rFonts w:hint="eastAsia"/>
                <w:color w:val="000000" w:themeColor="text1"/>
                <w:szCs w:val="21"/>
                <w14:textFill>
                  <w14:solidFill>
                    <w14:schemeClr w14:val="tx1"/>
                  </w14:solidFill>
                </w14:textFill>
              </w:rPr>
            </w:pPr>
          </w:p>
        </w:tc>
        <w:tc>
          <w:tcPr>
            <w:tcW w:w="5446" w:type="dxa"/>
            <w:vAlign w:val="center"/>
          </w:tcPr>
          <w:p w14:paraId="75057F50">
            <w:pPr>
              <w:keepNext w:val="0"/>
              <w:keepLines w:val="0"/>
              <w:widowControl/>
              <w:suppressLineNumbers w:val="0"/>
              <w:jc w:val="left"/>
              <w:textAlignment w:val="center"/>
              <w:rPr>
                <w:rFonts w:hint="eastAsia"/>
              </w:rPr>
            </w:pPr>
            <w:r>
              <w:rPr>
                <w:rFonts w:hint="eastAsia" w:asciiTheme="majorEastAsia" w:hAnsiTheme="majorEastAsia" w:eastAsiaTheme="majorEastAsia" w:cstheme="majorEastAsia"/>
                <w:i w:val="0"/>
                <w:iCs w:val="0"/>
                <w:color w:val="000000"/>
                <w:kern w:val="0"/>
                <w:sz w:val="21"/>
                <w:szCs w:val="21"/>
                <w:highlight w:val="none"/>
                <w:u w:val="none"/>
                <w:lang w:val="en-US" w:eastAsia="zh-CN" w:bidi="ar"/>
              </w:rPr>
              <w:t>8</w:t>
            </w:r>
            <w:r>
              <w:rPr>
                <w:rFonts w:hint="eastAsia" w:asciiTheme="majorEastAsia" w:hAnsiTheme="majorEastAsia" w:eastAsiaTheme="majorEastAsia" w:cstheme="majorEastAsia"/>
                <w:i w:val="0"/>
                <w:iCs w:val="0"/>
                <w:color w:val="auto"/>
                <w:kern w:val="0"/>
                <w:sz w:val="21"/>
                <w:szCs w:val="21"/>
                <w:highlight w:val="none"/>
                <w:u w:val="none"/>
                <w:lang w:val="en-US" w:eastAsia="zh-CN" w:bidi="ar"/>
              </w:rPr>
              <w:t>7.▲升降课桌椅：烟密度≤75；氧指数≥20%；垂直燃烧V-1级；氯乙烯单体残留量≤3mg/kg。单项判定均为合格。检验依据GB/T 8627-2007《建筑材料燃烧或分解的烟密度试验方法》、GB/T 2406.2-2009塑料用氧指数法测定燃烧行为第2部分:室温试验》、GB/T 2408-2021《塑料 燃烧性能的测定 水平法和垂直法》、GB/T 37866-2019《绿色产品评价塑料制品》、GB/T 33284-2016《室内装饰装修材料门、窗用未增塑聚氣乙烯(PVC-U)型材有害物质限量》。</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4FAB6E32">
            <w:pPr>
              <w:rPr>
                <w:color w:val="000000" w:themeColor="text1"/>
                <w:szCs w:val="21"/>
                <w14:textFill>
                  <w14:solidFill>
                    <w14:schemeClr w14:val="tx1"/>
                  </w14:solidFill>
                </w14:textFill>
              </w:rPr>
            </w:pPr>
          </w:p>
        </w:tc>
        <w:tc>
          <w:tcPr>
            <w:tcW w:w="710" w:type="dxa"/>
          </w:tcPr>
          <w:p w14:paraId="752941AB">
            <w:pPr>
              <w:rPr>
                <w:color w:val="000000" w:themeColor="text1"/>
                <w:szCs w:val="21"/>
                <w14:textFill>
                  <w14:solidFill>
                    <w14:schemeClr w14:val="tx1"/>
                  </w14:solidFill>
                </w14:textFill>
              </w:rPr>
            </w:pPr>
          </w:p>
        </w:tc>
        <w:tc>
          <w:tcPr>
            <w:tcW w:w="390" w:type="dxa"/>
          </w:tcPr>
          <w:p w14:paraId="0F60ADA8">
            <w:pPr>
              <w:rPr>
                <w:color w:val="000000" w:themeColor="text1"/>
                <w:szCs w:val="21"/>
                <w14:textFill>
                  <w14:solidFill>
                    <w14:schemeClr w14:val="tx1"/>
                  </w14:solidFill>
                </w14:textFill>
              </w:rPr>
            </w:pPr>
          </w:p>
        </w:tc>
      </w:tr>
      <w:tr w14:paraId="0864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59B6FAAA">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Theme="majorEastAsia" w:hAnsiTheme="majorEastAsia" w:eastAsiaTheme="majorEastAsia" w:cstheme="majorEastAsia"/>
                <w:i w:val="0"/>
                <w:iCs w:val="0"/>
                <w:color w:val="000000"/>
                <w:kern w:val="0"/>
                <w:sz w:val="21"/>
                <w:szCs w:val="21"/>
                <w:u w:val="none"/>
                <w:lang w:val="en-US" w:eastAsia="zh-CN" w:bidi="ar"/>
              </w:rPr>
              <w:t>5</w:t>
            </w:r>
          </w:p>
        </w:tc>
        <w:tc>
          <w:tcPr>
            <w:tcW w:w="772" w:type="dxa"/>
            <w:vMerge w:val="restart"/>
            <w:vAlign w:val="center"/>
          </w:tcPr>
          <w:p w14:paraId="33E299D2">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Theme="majorEastAsia" w:hAnsiTheme="majorEastAsia" w:eastAsiaTheme="majorEastAsia" w:cstheme="majorEastAsia"/>
                <w:i w:val="0"/>
                <w:iCs w:val="0"/>
                <w:color w:val="000000"/>
                <w:kern w:val="0"/>
                <w:sz w:val="21"/>
                <w:szCs w:val="21"/>
                <w:u w:val="none"/>
                <w:lang w:val="en-US" w:eastAsia="zh-CN" w:bidi="ar"/>
              </w:rPr>
              <w:t>清洁剂</w:t>
            </w:r>
          </w:p>
        </w:tc>
        <w:tc>
          <w:tcPr>
            <w:tcW w:w="5446" w:type="dxa"/>
            <w:vAlign w:val="center"/>
          </w:tcPr>
          <w:p w14:paraId="2E62FFD1">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1"/>
                <w:szCs w:val="21"/>
                <w:highlight w:val="none"/>
                <w:u w:val="none"/>
                <w:lang w:val="en-US" w:eastAsia="zh-CN" w:bidi="ar"/>
              </w:rPr>
            </w:pPr>
            <w:r>
              <w:rPr>
                <w:rFonts w:hint="eastAsia" w:asciiTheme="majorEastAsia" w:hAnsiTheme="majorEastAsia" w:eastAsiaTheme="majorEastAsia" w:cstheme="majorEastAsia"/>
                <w:i w:val="0"/>
                <w:iCs w:val="0"/>
                <w:color w:val="000000"/>
                <w:kern w:val="0"/>
                <w:sz w:val="21"/>
                <w:szCs w:val="21"/>
                <w:u w:val="none"/>
                <w:lang w:val="en-US" w:eastAsia="zh-CN" w:bidi="ar"/>
              </w:rPr>
              <w:t>88.规格：</w:t>
            </w:r>
            <w:r>
              <w:rPr>
                <w:rFonts w:hint="eastAsia" w:asciiTheme="majorEastAsia" w:hAnsiTheme="majorEastAsia" w:eastAsiaTheme="majorEastAsia" w:cstheme="majorEastAsia"/>
                <w:i w:val="0"/>
                <w:iCs w:val="0"/>
                <w:color w:val="000000"/>
                <w:sz w:val="21"/>
                <w:szCs w:val="21"/>
                <w:u w:val="none"/>
              </w:rPr>
              <w:t>≥</w:t>
            </w:r>
            <w:r>
              <w:rPr>
                <w:rFonts w:hint="eastAsia" w:asciiTheme="majorEastAsia" w:hAnsiTheme="majorEastAsia" w:eastAsiaTheme="majorEastAsia" w:cstheme="majorEastAsia"/>
                <w:i w:val="0"/>
                <w:iCs w:val="0"/>
                <w:color w:val="000000"/>
                <w:kern w:val="0"/>
                <w:sz w:val="21"/>
                <w:szCs w:val="21"/>
                <w:u w:val="none"/>
                <w:lang w:val="en-US" w:eastAsia="zh-CN" w:bidi="ar"/>
              </w:rPr>
              <w:t>500mL</w:t>
            </w:r>
          </w:p>
        </w:tc>
        <w:tc>
          <w:tcPr>
            <w:tcW w:w="972" w:type="dxa"/>
          </w:tcPr>
          <w:p w14:paraId="2EC3EC2B">
            <w:pPr>
              <w:rPr>
                <w:color w:val="000000" w:themeColor="text1"/>
                <w:szCs w:val="21"/>
                <w14:textFill>
                  <w14:solidFill>
                    <w14:schemeClr w14:val="tx1"/>
                  </w14:solidFill>
                </w14:textFill>
              </w:rPr>
            </w:pPr>
          </w:p>
        </w:tc>
        <w:tc>
          <w:tcPr>
            <w:tcW w:w="710" w:type="dxa"/>
          </w:tcPr>
          <w:p w14:paraId="68763916">
            <w:pPr>
              <w:rPr>
                <w:color w:val="000000" w:themeColor="text1"/>
                <w:szCs w:val="21"/>
                <w14:textFill>
                  <w14:solidFill>
                    <w14:schemeClr w14:val="tx1"/>
                  </w14:solidFill>
                </w14:textFill>
              </w:rPr>
            </w:pPr>
          </w:p>
        </w:tc>
        <w:tc>
          <w:tcPr>
            <w:tcW w:w="390" w:type="dxa"/>
          </w:tcPr>
          <w:p w14:paraId="55FA3D57">
            <w:pPr>
              <w:rPr>
                <w:color w:val="000000" w:themeColor="text1"/>
                <w:szCs w:val="21"/>
                <w14:textFill>
                  <w14:solidFill>
                    <w14:schemeClr w14:val="tx1"/>
                  </w14:solidFill>
                </w14:textFill>
              </w:rPr>
            </w:pPr>
          </w:p>
        </w:tc>
      </w:tr>
      <w:tr w14:paraId="6CD6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E561753">
            <w:pPr>
              <w:jc w:val="center"/>
              <w:rPr>
                <w:color w:val="000000" w:themeColor="text1"/>
                <w:szCs w:val="21"/>
                <w14:textFill>
                  <w14:solidFill>
                    <w14:schemeClr w14:val="tx1"/>
                  </w14:solidFill>
                </w14:textFill>
              </w:rPr>
            </w:pPr>
          </w:p>
        </w:tc>
        <w:tc>
          <w:tcPr>
            <w:tcW w:w="772" w:type="dxa"/>
            <w:vMerge w:val="continue"/>
            <w:vAlign w:val="center"/>
          </w:tcPr>
          <w:p w14:paraId="31C3D975">
            <w:pPr>
              <w:jc w:val="center"/>
              <w:rPr>
                <w:rFonts w:hint="eastAsia"/>
                <w:color w:val="000000" w:themeColor="text1"/>
                <w:szCs w:val="21"/>
                <w14:textFill>
                  <w14:solidFill>
                    <w14:schemeClr w14:val="tx1"/>
                  </w14:solidFill>
                </w14:textFill>
              </w:rPr>
            </w:pPr>
          </w:p>
        </w:tc>
        <w:tc>
          <w:tcPr>
            <w:tcW w:w="5446" w:type="dxa"/>
            <w:vAlign w:val="center"/>
          </w:tcPr>
          <w:p w14:paraId="6D53CD5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1"/>
                <w:szCs w:val="21"/>
                <w:highlight w:val="none"/>
                <w:u w:val="none"/>
                <w:lang w:val="en-US" w:eastAsia="zh-CN" w:bidi="ar"/>
              </w:rPr>
            </w:pPr>
            <w:r>
              <w:rPr>
                <w:rFonts w:hint="eastAsia" w:asciiTheme="majorEastAsia" w:hAnsiTheme="majorEastAsia" w:eastAsiaTheme="majorEastAsia" w:cstheme="majorEastAsia"/>
                <w:i w:val="0"/>
                <w:iCs w:val="0"/>
                <w:color w:val="000000"/>
                <w:kern w:val="0"/>
                <w:sz w:val="21"/>
                <w:szCs w:val="21"/>
                <w:u w:val="none"/>
                <w:lang w:val="en-US" w:eastAsia="zh-CN" w:bidi="ar"/>
              </w:rPr>
              <w:t>89.功能：针对课桌椅整体翻新，祛除课桌表面的笔迹，涂鸦，涂改液，修正带，胶带纸（海绵）。课桌椅长时间的锈渍，锈迹。达到整体清洁保养防锈的功能。</w:t>
            </w:r>
          </w:p>
        </w:tc>
        <w:tc>
          <w:tcPr>
            <w:tcW w:w="972" w:type="dxa"/>
          </w:tcPr>
          <w:p w14:paraId="16E8CC80">
            <w:pPr>
              <w:rPr>
                <w:color w:val="000000" w:themeColor="text1"/>
                <w:szCs w:val="21"/>
                <w14:textFill>
                  <w14:solidFill>
                    <w14:schemeClr w14:val="tx1"/>
                  </w14:solidFill>
                </w14:textFill>
              </w:rPr>
            </w:pPr>
          </w:p>
        </w:tc>
        <w:tc>
          <w:tcPr>
            <w:tcW w:w="710" w:type="dxa"/>
          </w:tcPr>
          <w:p w14:paraId="37B8BE7F">
            <w:pPr>
              <w:rPr>
                <w:color w:val="000000" w:themeColor="text1"/>
                <w:szCs w:val="21"/>
                <w14:textFill>
                  <w14:solidFill>
                    <w14:schemeClr w14:val="tx1"/>
                  </w14:solidFill>
                </w14:textFill>
              </w:rPr>
            </w:pPr>
          </w:p>
        </w:tc>
        <w:tc>
          <w:tcPr>
            <w:tcW w:w="390" w:type="dxa"/>
          </w:tcPr>
          <w:p w14:paraId="15B9D173">
            <w:pPr>
              <w:rPr>
                <w:color w:val="000000" w:themeColor="text1"/>
                <w:szCs w:val="21"/>
                <w14:textFill>
                  <w14:solidFill>
                    <w14:schemeClr w14:val="tx1"/>
                  </w14:solidFill>
                </w14:textFill>
              </w:rPr>
            </w:pPr>
          </w:p>
        </w:tc>
      </w:tr>
      <w:tr w14:paraId="4020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22C8549">
            <w:pPr>
              <w:jc w:val="center"/>
              <w:rPr>
                <w:color w:val="000000" w:themeColor="text1"/>
                <w:szCs w:val="21"/>
                <w14:textFill>
                  <w14:solidFill>
                    <w14:schemeClr w14:val="tx1"/>
                  </w14:solidFill>
                </w14:textFill>
              </w:rPr>
            </w:pPr>
          </w:p>
        </w:tc>
        <w:tc>
          <w:tcPr>
            <w:tcW w:w="772" w:type="dxa"/>
            <w:vMerge w:val="continue"/>
            <w:vAlign w:val="center"/>
          </w:tcPr>
          <w:p w14:paraId="497B2E4C">
            <w:pPr>
              <w:jc w:val="center"/>
              <w:rPr>
                <w:rFonts w:hint="eastAsia"/>
                <w:color w:val="000000" w:themeColor="text1"/>
                <w:szCs w:val="21"/>
                <w14:textFill>
                  <w14:solidFill>
                    <w14:schemeClr w14:val="tx1"/>
                  </w14:solidFill>
                </w14:textFill>
              </w:rPr>
            </w:pPr>
          </w:p>
        </w:tc>
        <w:tc>
          <w:tcPr>
            <w:tcW w:w="5446" w:type="dxa"/>
            <w:vAlign w:val="center"/>
          </w:tcPr>
          <w:p w14:paraId="059A71E3">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1"/>
                <w:szCs w:val="21"/>
                <w:highlight w:val="none"/>
                <w:u w:val="none"/>
                <w:lang w:val="en-US" w:eastAsia="zh-CN" w:bidi="ar"/>
              </w:rPr>
            </w:pPr>
            <w:r>
              <w:rPr>
                <w:rFonts w:hint="eastAsia" w:asciiTheme="majorEastAsia" w:hAnsiTheme="majorEastAsia" w:eastAsiaTheme="majorEastAsia" w:cstheme="majorEastAsia"/>
                <w:i w:val="0"/>
                <w:iCs w:val="0"/>
                <w:color w:val="000000"/>
                <w:kern w:val="0"/>
                <w:sz w:val="21"/>
                <w:szCs w:val="21"/>
                <w:u w:val="none"/>
                <w:lang w:val="en-US" w:eastAsia="zh-CN" w:bidi="ar"/>
              </w:rPr>
              <w:t>90.产品应符合以下要求：外观（液体产品均匀，不分层，无悬浮物或沉淀）；稳定性（①于-5℃±2℃的冰箱中放置24h,取出恢复至室温后观察，液体产品无分层、无结晶、无沉淀和变色现象，透明产品不混浊。②于40℃±2℃的保温箱中放置24h,取出恢复至室温后观察，液体产品无分层和变色现象，透明产品不混浊）；总活性物含量≥1.0%；碱度(以Na₂O计)≤3.0%；pH值(25℃,1%水溶液 )≤11.8；腐蚀量(LY12硬铝)≤100mg；总五氧化二磷含量≤1.1%；净含量≥500mL。</w:t>
            </w:r>
            <w:r>
              <w:rPr>
                <w:rFonts w:hint="eastAsia" w:asciiTheme="majorEastAsia" w:hAnsiTheme="majorEastAsia" w:eastAsiaTheme="majorEastAsia" w:cstheme="majorEastAsia"/>
                <w:b/>
                <w:bCs/>
                <w:i w:val="0"/>
                <w:iCs w:val="0"/>
                <w:color w:val="000000"/>
                <w:kern w:val="0"/>
                <w:sz w:val="21"/>
                <w:szCs w:val="21"/>
                <w:u w:val="none"/>
                <w:lang w:val="en-US" w:eastAsia="zh-CN" w:bidi="ar"/>
              </w:rPr>
              <w:t>单项判定均为合格</w:t>
            </w:r>
            <w:r>
              <w:rPr>
                <w:rFonts w:hint="eastAsia" w:asciiTheme="majorEastAsia" w:hAnsiTheme="majorEastAsia" w:eastAsiaTheme="majorEastAsia" w:cstheme="majorEastAsia"/>
                <w:i w:val="0"/>
                <w:iCs w:val="0"/>
                <w:color w:val="000000"/>
                <w:kern w:val="0"/>
                <w:sz w:val="21"/>
                <w:szCs w:val="21"/>
                <w:u w:val="none"/>
                <w:lang w:val="en-US" w:eastAsia="zh-CN" w:bidi="ar"/>
              </w:rPr>
              <w:t>。</w:t>
            </w:r>
          </w:p>
        </w:tc>
        <w:tc>
          <w:tcPr>
            <w:tcW w:w="972" w:type="dxa"/>
          </w:tcPr>
          <w:p w14:paraId="5D1204B0">
            <w:pPr>
              <w:rPr>
                <w:color w:val="000000" w:themeColor="text1"/>
                <w:szCs w:val="21"/>
                <w14:textFill>
                  <w14:solidFill>
                    <w14:schemeClr w14:val="tx1"/>
                  </w14:solidFill>
                </w14:textFill>
              </w:rPr>
            </w:pPr>
          </w:p>
        </w:tc>
        <w:tc>
          <w:tcPr>
            <w:tcW w:w="710" w:type="dxa"/>
          </w:tcPr>
          <w:p w14:paraId="10091701">
            <w:pPr>
              <w:rPr>
                <w:color w:val="000000" w:themeColor="text1"/>
                <w:szCs w:val="21"/>
                <w14:textFill>
                  <w14:solidFill>
                    <w14:schemeClr w14:val="tx1"/>
                  </w14:solidFill>
                </w14:textFill>
              </w:rPr>
            </w:pPr>
          </w:p>
        </w:tc>
        <w:tc>
          <w:tcPr>
            <w:tcW w:w="390" w:type="dxa"/>
          </w:tcPr>
          <w:p w14:paraId="5523B176">
            <w:pPr>
              <w:rPr>
                <w:color w:val="000000" w:themeColor="text1"/>
                <w:szCs w:val="21"/>
                <w14:textFill>
                  <w14:solidFill>
                    <w14:schemeClr w14:val="tx1"/>
                  </w14:solidFill>
                </w14:textFill>
              </w:rPr>
            </w:pPr>
          </w:p>
        </w:tc>
      </w:tr>
    </w:tbl>
    <w:p w14:paraId="0260EBF2">
      <w:pPr>
        <w:rPr>
          <w:sz w:val="24"/>
        </w:rPr>
      </w:pPr>
    </w:p>
    <w:p w14:paraId="5E15BC5F">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6" w:name="_Hlk72095977"/>
      <w:r>
        <w:rPr>
          <w:rFonts w:hint="eastAsia"/>
          <w:sz w:val="21"/>
          <w:szCs w:val="21"/>
        </w:rPr>
        <w:t>证明资料【如有的话，提供的证明资料应统一编号（排序），格式自定】</w:t>
      </w:r>
      <w:bookmarkEnd w:id="66"/>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2B91067">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7" w:name="_Hlk72094407"/>
      <w:r>
        <w:rPr>
          <w:rFonts w:hint="eastAsia"/>
          <w:b w:val="0"/>
          <w:bCs/>
          <w:sz w:val="21"/>
          <w:szCs w:val="21"/>
        </w:rPr>
        <w:t>对应“用户需求书”中的“技术要求”章节</w:t>
      </w:r>
      <w:bookmarkEnd w:id="67"/>
      <w:r>
        <w:rPr>
          <w:rFonts w:hint="eastAsia"/>
          <w:b w:val="0"/>
          <w:bCs/>
          <w:sz w:val="21"/>
          <w:szCs w:val="21"/>
        </w:rPr>
        <w:t>相关内容。</w:t>
      </w:r>
    </w:p>
    <w:p w14:paraId="5A72316A">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8" w:name="_Hlk72158270"/>
      <w:r>
        <w:rPr>
          <w:rFonts w:hint="eastAsia"/>
          <w:b w:val="0"/>
          <w:bCs/>
          <w:sz w:val="21"/>
          <w:szCs w:val="21"/>
        </w:rPr>
        <w:t>“偏离情况”</w:t>
      </w:r>
      <w:bookmarkEnd w:id="68"/>
      <w:r>
        <w:rPr>
          <w:rFonts w:hint="eastAsia"/>
          <w:b w:val="0"/>
          <w:bCs/>
          <w:sz w:val="21"/>
          <w:szCs w:val="21"/>
        </w:rPr>
        <w:t>一栏填写如实填写“正偏离”、“负偏离”或“无偏离”，其中：</w:t>
      </w:r>
      <w:bookmarkStart w:id="69" w:name="_Hlk72093866"/>
      <w:r>
        <w:rPr>
          <w:rFonts w:hint="eastAsia"/>
          <w:b w:val="0"/>
          <w:bCs/>
          <w:sz w:val="21"/>
          <w:szCs w:val="21"/>
        </w:rPr>
        <w:t>“正偏离”表示“投标响应优于招标技术要求”，“负偏离”表示“投标响应不满足招标技术要求”，“无偏离”表示“投标响应与招标技术要求一致”</w:t>
      </w:r>
      <w:bookmarkEnd w:id="69"/>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ind w:firstLine="420" w:firstLineChars="200"/>
        <w:rPr>
          <w:b w:val="0"/>
          <w:bCs/>
          <w:sz w:val="21"/>
          <w:szCs w:val="21"/>
        </w:rPr>
      </w:pPr>
      <w:r>
        <w:rPr>
          <w:rFonts w:hint="eastAsia"/>
          <w:b w:val="0"/>
          <w:bCs/>
          <w:sz w:val="21"/>
          <w:szCs w:val="21"/>
        </w:rPr>
        <w:t>5、</w:t>
      </w:r>
      <w:bookmarkStart w:id="70" w:name="_Hlk72096106"/>
      <w:r>
        <w:rPr>
          <w:rFonts w:hint="eastAsia"/>
          <w:b w:val="0"/>
          <w:bCs/>
          <w:sz w:val="21"/>
          <w:szCs w:val="21"/>
        </w:rPr>
        <w:t>证明资料条款响应要求</w:t>
      </w:r>
      <w:bookmarkEnd w:id="70"/>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1"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2" w:name="_Hlk73558164"/>
      <w:r>
        <w:rPr>
          <w:rFonts w:hint="eastAsia"/>
          <w:b w:val="0"/>
          <w:bCs/>
          <w:sz w:val="21"/>
          <w:szCs w:val="21"/>
        </w:rPr>
        <w:t>且投标人在“偏离情况”一栏响应为“正偏离”或“无偏离”的，经评审委员会认定，将判定为负偏离。</w:t>
      </w:r>
      <w:bookmarkEnd w:id="71"/>
      <w:bookmarkEnd w:id="72"/>
    </w:p>
    <w:p w14:paraId="40F3F29B">
      <w:pPr>
        <w:ind w:firstLine="420" w:firstLineChars="200"/>
        <w:rPr>
          <w:b w:val="0"/>
          <w:bCs/>
          <w:sz w:val="21"/>
          <w:szCs w:val="21"/>
        </w:rPr>
      </w:pPr>
      <w:r>
        <w:rPr>
          <w:rFonts w:hint="eastAsia"/>
          <w:b w:val="0"/>
          <w:bCs/>
          <w:sz w:val="21"/>
          <w:szCs w:val="21"/>
        </w:rPr>
        <w:t>6、</w:t>
      </w:r>
      <w:bookmarkStart w:id="73" w:name="_Hlk72096137"/>
      <w:r>
        <w:rPr>
          <w:rFonts w:hint="eastAsia"/>
          <w:b w:val="0"/>
          <w:bCs/>
          <w:sz w:val="21"/>
          <w:szCs w:val="21"/>
        </w:rPr>
        <w:t>表后“证明资料”部分内容的编制</w:t>
      </w:r>
      <w:bookmarkEnd w:id="73"/>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4" w:name="_Hlk73558180"/>
      <w:r>
        <w:rPr>
          <w:rFonts w:hint="eastAsia"/>
          <w:b w:val="0"/>
          <w:bCs/>
          <w:sz w:val="21"/>
          <w:szCs w:val="21"/>
        </w:rPr>
        <w:t>未按照招标文件要求在表后放置证明材料的供应商将承担不利后果，经评审委员会认定，相关技术要求将判定为负偏离。</w:t>
      </w:r>
      <w:bookmarkEnd w:id="74"/>
    </w:p>
    <w:p w14:paraId="68A00198">
      <w:pPr>
        <w:ind w:firstLine="420" w:firstLineChars="200"/>
        <w:rPr>
          <w:b w:val="0"/>
          <w:bCs/>
          <w:sz w:val="21"/>
          <w:szCs w:val="21"/>
        </w:rPr>
      </w:pPr>
      <w:r>
        <w:rPr>
          <w:rFonts w:hint="eastAsia"/>
          <w:b w:val="0"/>
          <w:bCs/>
          <w:sz w:val="21"/>
          <w:szCs w:val="21"/>
        </w:rPr>
        <w:t>7、</w:t>
      </w:r>
      <w:bookmarkStart w:id="75" w:name="_Hlk72096176"/>
      <w:r>
        <w:rPr>
          <w:rFonts w:hint="eastAsia"/>
          <w:b w:val="0"/>
          <w:bCs/>
          <w:sz w:val="21"/>
          <w:szCs w:val="21"/>
        </w:rPr>
        <w:t>证明资料的形式及其它具体要求</w:t>
      </w:r>
      <w:bookmarkEnd w:id="75"/>
      <w:r>
        <w:rPr>
          <w:rFonts w:hint="eastAsia"/>
          <w:b w:val="0"/>
          <w:bCs/>
          <w:sz w:val="21"/>
          <w:szCs w:val="21"/>
        </w:rPr>
        <w:t>：</w:t>
      </w:r>
    </w:p>
    <w:p w14:paraId="5E91309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 w:val="0"/>
          <w:bCs/>
          <w:sz w:val="21"/>
          <w:szCs w:val="21"/>
        </w:rPr>
      </w:pPr>
      <w:r>
        <w:rPr>
          <w:rFonts w:hint="eastAsia"/>
          <w:b w:val="0"/>
          <w:bCs/>
          <w:sz w:val="21"/>
          <w:szCs w:val="21"/>
        </w:rPr>
        <w:t>其它证明资料的形式要求参照以上要求执行；</w:t>
      </w:r>
    </w:p>
    <w:p w14:paraId="5223D0C9">
      <w:pPr>
        <w:ind w:firstLine="420" w:firstLineChars="200"/>
        <w:rPr>
          <w:b w:val="0"/>
          <w:bCs/>
          <w:sz w:val="21"/>
          <w:szCs w:val="21"/>
        </w:rPr>
      </w:pPr>
      <w:r>
        <w:rPr>
          <w:rFonts w:hint="eastAsia"/>
          <w:b w:val="0"/>
          <w:bCs/>
          <w:sz w:val="21"/>
          <w:szCs w:val="21"/>
        </w:rPr>
        <w:t>（4）证明资料均要求原件备查。</w:t>
      </w:r>
    </w:p>
    <w:p w14:paraId="2D188D80">
      <w:pPr>
        <w:ind w:firstLine="420" w:firstLineChars="200"/>
        <w:rPr>
          <w:b w:val="0"/>
          <w:bCs/>
          <w:sz w:val="21"/>
          <w:szCs w:val="21"/>
        </w:rPr>
      </w:pPr>
      <w:r>
        <w:rPr>
          <w:rFonts w:hint="eastAsia"/>
          <w:b w:val="0"/>
          <w:bCs/>
          <w:sz w:val="21"/>
          <w:szCs w:val="21"/>
        </w:rPr>
        <w:t>8、其它注意事项：</w:t>
      </w:r>
    </w:p>
    <w:p w14:paraId="61F7D860">
      <w:pPr>
        <w:ind w:firstLine="420" w:firstLineChars="200"/>
        <w:rPr>
          <w:b w:val="0"/>
          <w:bCs/>
          <w:sz w:val="21"/>
          <w:szCs w:val="21"/>
        </w:rPr>
      </w:pPr>
      <w:r>
        <w:rPr>
          <w:rFonts w:hint="eastAsia"/>
          <w:b w:val="0"/>
          <w:bCs/>
          <w:sz w:val="21"/>
          <w:szCs w:val="21"/>
        </w:rPr>
        <w:t>（1）评审委员会有权对投标人的响应情况作出判断（评审结论）；</w:t>
      </w:r>
    </w:p>
    <w:p w14:paraId="04CBD989">
      <w:pPr>
        <w:ind w:firstLine="420" w:firstLineChars="200"/>
        <w:rPr>
          <w:b w:val="0"/>
          <w:bCs/>
          <w:sz w:val="21"/>
          <w:szCs w:val="21"/>
        </w:rPr>
      </w:pPr>
      <w:r>
        <w:rPr>
          <w:rFonts w:hint="eastAsia"/>
          <w:b w:val="0"/>
          <w:bCs/>
          <w:sz w:val="21"/>
          <w:szCs w:val="21"/>
        </w:rPr>
        <w:t>（2）</w:t>
      </w:r>
      <w:bookmarkStart w:id="76"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6"/>
    </w:p>
    <w:p w14:paraId="2DC790E4">
      <w:pPr>
        <w:ind w:firstLine="482" w:firstLineChars="200"/>
        <w:rPr>
          <w:b/>
          <w:sz w:val="24"/>
        </w:rPr>
      </w:pPr>
    </w:p>
    <w:p w14:paraId="22DF9A68">
      <w:pPr>
        <w:pStyle w:val="3"/>
        <w:numPr>
          <w:ilvl w:val="0"/>
          <w:numId w:val="0"/>
        </w:numPr>
        <w:jc w:val="center"/>
        <w:rPr>
          <w:rFonts w:asciiTheme="minorEastAsia" w:hAnsiTheme="minorEastAsia" w:eastAsiaTheme="minorEastAsia" w:cstheme="minorEastAsia"/>
          <w:color w:val="FF0000"/>
          <w:sz w:val="24"/>
        </w:rPr>
      </w:pPr>
      <w:r>
        <w:rPr>
          <w:rFonts w:hint="eastAsia" w:ascii="黑体" w:hAnsi="黑体" w:eastAsia="黑体" w:cs="黑体"/>
          <w:b w:val="0"/>
          <w:bCs w:val="0"/>
          <w:sz w:val="24"/>
          <w:szCs w:val="24"/>
          <w:lang w:val="en-US" w:eastAsia="zh-CN"/>
        </w:rPr>
        <w:t>六、项目实施方案（格式自定）</w:t>
      </w:r>
    </w:p>
    <w:p w14:paraId="6AD66805">
      <w:pPr>
        <w:pStyle w:val="3"/>
        <w:numPr>
          <w:ilvl w:val="0"/>
          <w:numId w:val="0"/>
        </w:numPr>
        <w:jc w:val="both"/>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325DB74">
      <w:pPr>
        <w:pStyle w:val="3"/>
        <w:jc w:val="center"/>
        <w:rPr>
          <w:rFonts w:ascii="黑体" w:eastAsia="黑体"/>
          <w:b w:val="0"/>
          <w:kern w:val="0"/>
          <w:sz w:val="24"/>
          <w:szCs w:val="24"/>
        </w:rPr>
      </w:pPr>
      <w:r>
        <w:rPr>
          <w:rFonts w:hint="eastAsia" w:ascii="黑体" w:hAnsi="黑体" w:eastAsia="黑体" w:cs="黑体"/>
          <w:b w:val="0"/>
          <w:bCs w:val="0"/>
          <w:sz w:val="24"/>
          <w:szCs w:val="24"/>
          <w:lang w:val="en-US" w:eastAsia="zh-CN"/>
        </w:rPr>
        <w:t>七、售后服务方案</w:t>
      </w:r>
      <w:r>
        <w:rPr>
          <w:rFonts w:hint="eastAsia" w:ascii="黑体" w:eastAsia="黑体"/>
          <w:b w:val="0"/>
          <w:kern w:val="0"/>
          <w:sz w:val="24"/>
          <w:szCs w:val="24"/>
        </w:rPr>
        <w:t>（格式自定）</w:t>
      </w:r>
    </w:p>
    <w:p w14:paraId="6468D7E4">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ADEA226">
      <w:pPr>
        <w:pStyle w:val="3"/>
        <w:jc w:val="center"/>
        <w:rPr>
          <w:rFonts w:ascii="黑体" w:eastAsia="黑体"/>
          <w:b w:val="0"/>
          <w:kern w:val="0"/>
          <w:sz w:val="24"/>
          <w:szCs w:val="24"/>
        </w:rPr>
      </w:pPr>
      <w:r>
        <w:rPr>
          <w:rFonts w:hint="eastAsia" w:ascii="黑体" w:hAnsi="黑体" w:eastAsia="黑体" w:cs="黑体"/>
          <w:b w:val="0"/>
          <w:bCs w:val="0"/>
          <w:sz w:val="24"/>
          <w:szCs w:val="24"/>
          <w:lang w:val="en-US" w:eastAsia="zh-CN"/>
        </w:rPr>
        <w:t>八、绿色采购情况</w:t>
      </w:r>
      <w:r>
        <w:rPr>
          <w:rFonts w:hint="eastAsia" w:ascii="黑体" w:eastAsia="黑体"/>
          <w:b w:val="0"/>
          <w:kern w:val="0"/>
          <w:sz w:val="24"/>
          <w:szCs w:val="24"/>
        </w:rPr>
        <w:t>（格式自定）</w:t>
      </w:r>
    </w:p>
    <w:p w14:paraId="6634F661">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134F24F">
      <w:pPr>
        <w:pStyle w:val="3"/>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九、政府采购节能环保产品情况</w:t>
      </w:r>
      <w:r>
        <w:rPr>
          <w:rFonts w:hint="eastAsia" w:ascii="黑体" w:eastAsia="黑体"/>
          <w:b w:val="0"/>
          <w:kern w:val="0"/>
          <w:sz w:val="24"/>
          <w:szCs w:val="24"/>
        </w:rPr>
        <w:t>（格式自定）</w:t>
      </w:r>
    </w:p>
    <w:p w14:paraId="095E2BA1">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36A6B379">
      <w:pPr>
        <w:numPr>
          <w:ilvl w:val="0"/>
          <w:numId w:val="0"/>
        </w:numPr>
        <w:rPr>
          <w:rFonts w:hint="default"/>
          <w:lang w:val="en-US" w:eastAsia="zh-CN"/>
        </w:rPr>
      </w:pPr>
      <w:r>
        <w:rPr>
          <w:rFonts w:hint="eastAsia"/>
          <w:lang w:val="en-US" w:eastAsia="zh-CN"/>
        </w:rPr>
        <w:t xml:space="preserve"> </w:t>
      </w:r>
    </w:p>
    <w:p w14:paraId="35A1E6C5">
      <w:pPr>
        <w:jc w:val="center"/>
        <w:rPr>
          <w:sz w:val="24"/>
        </w:rPr>
      </w:pPr>
      <w:r>
        <w:rPr>
          <w:rFonts w:hint="eastAsia" w:ascii="黑体" w:hAnsi="黑体" w:eastAsia="黑体" w:cs="黑体"/>
          <w:b w:val="0"/>
          <w:bCs w:val="0"/>
          <w:sz w:val="24"/>
          <w:szCs w:val="24"/>
          <w:lang w:val="en-US" w:eastAsia="zh-CN"/>
        </w:rPr>
        <w:t>十、投标供应商认为需要加以说明的其他内容</w:t>
      </w:r>
    </w:p>
    <w:p w14:paraId="7D59A296">
      <w:pPr>
        <w:jc w:val="center"/>
        <w:rPr>
          <w:b/>
          <w:bCs/>
          <w:sz w:val="24"/>
        </w:rPr>
      </w:pPr>
      <w:bookmarkStart w:id="77" w:name="_Hlk72260576"/>
    </w:p>
    <w:bookmarkEnd w:id="77"/>
    <w:p w14:paraId="0C5B0004">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widowControl/>
        <w:jc w:val="center"/>
        <w:rPr>
          <w:rFonts w:ascii="黑体" w:hAnsi="宋体" w:eastAsia="黑体"/>
          <w:kern w:val="0"/>
          <w:sz w:val="24"/>
          <w:szCs w:val="20"/>
        </w:rPr>
      </w:pPr>
    </w:p>
    <w:p w14:paraId="5EF9E0F9">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510ADE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4C4F25A">
      <w:pPr>
        <w:spacing w:beforeLines="0" w:line="380" w:lineRule="exact"/>
        <w:ind w:firstLine="420" w:firstLineChars="200"/>
        <w:rPr>
          <w:color w:val="auto"/>
        </w:rPr>
      </w:pPr>
      <w:r>
        <w:rPr>
          <w:rFonts w:hint="eastAsia"/>
          <w:color w:val="auto"/>
        </w:rPr>
        <w:t>（三）项目负责人或者主要技术人员不是本单位人员的。</w:t>
      </w:r>
    </w:p>
    <w:p w14:paraId="174AC556">
      <w:pPr>
        <w:spacing w:beforeLines="0" w:line="380" w:lineRule="exact"/>
        <w:ind w:firstLine="420" w:firstLineChars="200"/>
        <w:rPr>
          <w:color w:val="auto"/>
        </w:rPr>
      </w:pPr>
      <w:r>
        <w:rPr>
          <w:rFonts w:hint="eastAsia"/>
          <w:color w:val="auto"/>
        </w:rPr>
        <w:t>（四）投标保证金不是从投标供应商基本账户转出的。</w:t>
      </w:r>
    </w:p>
    <w:p w14:paraId="72B8E0B2">
      <w:pPr>
        <w:spacing w:beforeLines="0" w:line="380" w:lineRule="exact"/>
        <w:ind w:firstLine="420" w:firstLineChars="200"/>
        <w:rPr>
          <w:color w:val="auto"/>
        </w:rPr>
      </w:pPr>
      <w:r>
        <w:rPr>
          <w:rFonts w:hint="eastAsia"/>
          <w:color w:val="auto"/>
        </w:rPr>
        <w:t>（五）其他隐瞒真实情况、提供虚假资料的行为。</w:t>
      </w:r>
    </w:p>
    <w:p w14:paraId="685D976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spacing w:beforeLines="0" w:line="380" w:lineRule="exact"/>
        <w:ind w:firstLine="420" w:firstLineChars="200"/>
        <w:rPr>
          <w:color w:val="auto"/>
        </w:rPr>
      </w:pPr>
      <w:r>
        <w:rPr>
          <w:rFonts w:hint="eastAsia"/>
          <w:color w:val="auto"/>
        </w:rPr>
        <w:t>（一）投标供应商之间相互约定给予未中标的供应商利益补偿。</w:t>
      </w:r>
    </w:p>
    <w:p w14:paraId="74C1038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E8800D7">
      <w:pPr>
        <w:spacing w:beforeLines="0" w:line="340" w:lineRule="exact"/>
        <w:ind w:firstLine="420" w:firstLineChars="200"/>
        <w:rPr>
          <w:color w:val="auto"/>
        </w:rPr>
      </w:pPr>
      <w:r>
        <w:rPr>
          <w:rFonts w:hint="eastAsia"/>
          <w:color w:val="auto"/>
        </w:rPr>
        <w:t>（四）不同投标供应商的投标文件或部分投标文件相互混装。</w:t>
      </w:r>
    </w:p>
    <w:p w14:paraId="62F8CD36">
      <w:pPr>
        <w:spacing w:beforeLines="0" w:line="340" w:lineRule="exact"/>
        <w:ind w:firstLine="420" w:firstLineChars="200"/>
        <w:rPr>
          <w:color w:val="auto"/>
        </w:rPr>
      </w:pPr>
      <w:r>
        <w:rPr>
          <w:rFonts w:hint="eastAsia"/>
          <w:color w:val="auto"/>
        </w:rPr>
        <w:t>（五）不同投标供应商的投标文件内容存在非正常一致。</w:t>
      </w:r>
    </w:p>
    <w:p w14:paraId="6C38631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2E628A8">
      <w:pPr>
        <w:spacing w:beforeLines="0" w:line="340" w:lineRule="exact"/>
        <w:ind w:firstLine="420" w:firstLineChars="200"/>
        <w:rPr>
          <w:color w:val="auto"/>
        </w:rPr>
      </w:pPr>
      <w:r>
        <w:rPr>
          <w:rFonts w:hint="eastAsia"/>
          <w:color w:val="auto"/>
        </w:rPr>
        <w:t>（七）不同投标人的投标报价呈规律性差异。</w:t>
      </w:r>
    </w:p>
    <w:p w14:paraId="644BF6C7">
      <w:pPr>
        <w:spacing w:beforeLines="0" w:line="340" w:lineRule="exact"/>
        <w:ind w:firstLine="420" w:firstLineChars="200"/>
        <w:rPr>
          <w:color w:val="auto"/>
        </w:rPr>
      </w:pPr>
      <w:r>
        <w:rPr>
          <w:rFonts w:hint="eastAsia"/>
          <w:color w:val="auto"/>
        </w:rPr>
        <w:t>（八）不同投标人的投标保证金从同一单位或者个人的账户转出。</w:t>
      </w:r>
    </w:p>
    <w:p w14:paraId="116F52F7">
      <w:pPr>
        <w:spacing w:beforeLines="0" w:line="340" w:lineRule="exact"/>
        <w:ind w:firstLine="420" w:firstLineChars="200"/>
        <w:rPr>
          <w:color w:val="auto"/>
        </w:rPr>
      </w:pPr>
      <w:r>
        <w:rPr>
          <w:rFonts w:hint="eastAsia"/>
          <w:color w:val="auto"/>
        </w:rPr>
        <w:t>（九）主管部门依照法律、法规认定的其他情形。</w:t>
      </w:r>
    </w:p>
    <w:p w14:paraId="3B19B662">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autoSpaceDE w:val="0"/>
              <w:autoSpaceDN w:val="0"/>
              <w:spacing w:line="400" w:lineRule="exact"/>
              <w:ind w:firstLine="1866"/>
              <w:rPr>
                <w:rFonts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autoSpaceDE w:val="0"/>
              <w:autoSpaceDN w:val="0"/>
              <w:spacing w:line="400" w:lineRule="exact"/>
              <w:ind w:firstLine="1866"/>
              <w:rPr>
                <w:rFonts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autoSpaceDE w:val="0"/>
              <w:autoSpaceDN w:val="0"/>
              <w:spacing w:line="400" w:lineRule="exact"/>
              <w:ind w:firstLine="1866"/>
              <w:rPr>
                <w:rFonts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autoSpaceDE w:val="0"/>
              <w:autoSpaceDN w:val="0"/>
              <w:spacing w:line="400" w:lineRule="exact"/>
              <w:ind w:firstLine="1866"/>
              <w:rPr>
                <w:rFonts w:ascii="宋体" w:hAnsi="宋体" w:eastAsiaTheme="minorEastAsia"/>
                <w:spacing w:val="-4"/>
                <w:kern w:val="0"/>
                <w:szCs w:val="21"/>
              </w:rPr>
            </w:pPr>
          </w:p>
        </w:tc>
      </w:tr>
    </w:tbl>
    <w:p w14:paraId="5CE08EB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widowControl/>
        <w:wordWrap/>
        <w:autoSpaceDE w:val="0"/>
        <w:autoSpaceDN w:val="0"/>
        <w:spacing w:line="400" w:lineRule="exact"/>
        <w:ind w:right="1414" w:firstLine="480" w:firstLineChars="200"/>
        <w:jc w:val="right"/>
        <w:rPr>
          <w:rFonts w:eastAsiaTheme="minorEastAsia"/>
          <w:kern w:val="0"/>
          <w:sz w:val="24"/>
        </w:rPr>
      </w:pPr>
    </w:p>
    <w:p w14:paraId="7FECE1B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ind w:left="420" w:leftChars="200" w:firstLine="210" w:firstLineChars="100"/>
        <w:rPr>
          <w:rFonts w:hint="eastAsia"/>
          <w:szCs w:val="21"/>
          <w:u w:val="none"/>
          <w:lang w:eastAsia="zh-CN"/>
        </w:rPr>
      </w:pPr>
    </w:p>
    <w:p w14:paraId="19A8D50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6B008E09">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20A782C7">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73E19EEB">
      <w:pPr>
        <w:widowControl/>
        <w:wordWrap/>
        <w:autoSpaceDE w:val="0"/>
        <w:autoSpaceDN w:val="0"/>
        <w:spacing w:line="400" w:lineRule="exact"/>
        <w:ind w:right="1414" w:firstLine="480" w:firstLineChars="200"/>
        <w:jc w:val="right"/>
        <w:rPr>
          <w:rFonts w:eastAsiaTheme="minorEastAsia"/>
          <w:kern w:val="0"/>
          <w:sz w:val="24"/>
        </w:rPr>
      </w:pPr>
    </w:p>
    <w:p w14:paraId="3A677C2E">
      <w:pPr>
        <w:ind w:firstLine="720" w:firstLineChars="300"/>
        <w:rPr>
          <w:sz w:val="24"/>
        </w:rPr>
      </w:pPr>
    </w:p>
    <w:p w14:paraId="2780DE6C">
      <w:pPr>
        <w:widowControl/>
        <w:spacing w:line="360" w:lineRule="auto"/>
        <w:jc w:val="left"/>
        <w:rPr>
          <w:rFonts w:eastAsiaTheme="minorEastAsia"/>
          <w:b/>
          <w:bCs/>
          <w:kern w:val="0"/>
          <w:sz w:val="24"/>
        </w:rPr>
      </w:pPr>
    </w:p>
    <w:p w14:paraId="26E534B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C071FC0">
      <w:pPr>
        <w:jc w:val="center"/>
        <w:rPr>
          <w:b/>
          <w:sz w:val="32"/>
          <w:szCs w:val="32"/>
        </w:rPr>
      </w:pPr>
    </w:p>
    <w:p w14:paraId="547B4BD6">
      <w:pPr>
        <w:ind w:firstLine="424" w:firstLineChars="202"/>
        <w:rPr>
          <w:rFonts w:ascii="宋体" w:hAnsi="宋体"/>
          <w:szCs w:val="21"/>
        </w:rPr>
      </w:pPr>
    </w:p>
    <w:p w14:paraId="4D924569">
      <w:pPr>
        <w:jc w:val="center"/>
        <w:rPr>
          <w:rFonts w:ascii="黑体" w:hAnsi="宋体" w:eastAsia="黑体"/>
          <w:bCs/>
          <w:kern w:val="0"/>
          <w:sz w:val="24"/>
        </w:rPr>
      </w:pPr>
    </w:p>
    <w:p w14:paraId="3C05AEFB">
      <w:pPr>
        <w:jc w:val="center"/>
        <w:rPr>
          <w:rFonts w:ascii="黑体" w:hAnsi="宋体" w:eastAsia="黑体"/>
          <w:bCs/>
          <w:kern w:val="0"/>
          <w:sz w:val="24"/>
        </w:rPr>
      </w:pPr>
    </w:p>
    <w:p w14:paraId="4A33D106">
      <w:pPr>
        <w:jc w:val="center"/>
        <w:rPr>
          <w:rFonts w:ascii="黑体" w:hAnsi="宋体" w:eastAsia="黑体"/>
          <w:bCs/>
          <w:kern w:val="0"/>
          <w:sz w:val="24"/>
        </w:rPr>
      </w:pPr>
    </w:p>
    <w:p w14:paraId="4B2BF690">
      <w:pPr>
        <w:jc w:val="center"/>
        <w:rPr>
          <w:rFonts w:ascii="黑体" w:hAnsi="宋体" w:eastAsia="黑体"/>
          <w:bCs/>
          <w:kern w:val="0"/>
          <w:sz w:val="24"/>
        </w:rPr>
      </w:pPr>
    </w:p>
    <w:p w14:paraId="21655C7F">
      <w:pPr>
        <w:jc w:val="center"/>
        <w:rPr>
          <w:rFonts w:ascii="黑体" w:hAnsi="宋体" w:eastAsia="黑体"/>
          <w:bCs/>
          <w:kern w:val="0"/>
          <w:sz w:val="24"/>
        </w:rPr>
      </w:pPr>
    </w:p>
    <w:p w14:paraId="5C690DFF">
      <w:pPr>
        <w:jc w:val="center"/>
        <w:rPr>
          <w:rFonts w:ascii="黑体" w:hAnsi="宋体" w:eastAsia="黑体"/>
          <w:bCs/>
          <w:kern w:val="0"/>
          <w:sz w:val="24"/>
        </w:rPr>
      </w:pPr>
    </w:p>
    <w:p w14:paraId="11CDEFD6">
      <w:pPr>
        <w:jc w:val="center"/>
        <w:rPr>
          <w:rFonts w:ascii="黑体" w:hAnsi="宋体" w:eastAsia="黑体"/>
          <w:bCs/>
          <w:kern w:val="0"/>
          <w:sz w:val="24"/>
        </w:rPr>
      </w:pPr>
    </w:p>
    <w:p w14:paraId="70DFF9FD">
      <w:pPr>
        <w:jc w:val="center"/>
        <w:rPr>
          <w:rFonts w:ascii="黑体" w:hAnsi="宋体" w:eastAsia="黑体"/>
          <w:bCs/>
          <w:kern w:val="0"/>
          <w:sz w:val="24"/>
        </w:rPr>
      </w:pPr>
    </w:p>
    <w:p w14:paraId="2ACEB201">
      <w:pPr>
        <w:jc w:val="center"/>
        <w:rPr>
          <w:rFonts w:ascii="黑体" w:hAnsi="宋体" w:eastAsia="黑体"/>
          <w:bCs/>
          <w:kern w:val="0"/>
          <w:sz w:val="24"/>
        </w:rPr>
      </w:pPr>
    </w:p>
    <w:p w14:paraId="2CDAD7C2">
      <w:pPr>
        <w:jc w:val="center"/>
        <w:rPr>
          <w:rFonts w:ascii="黑体" w:hAnsi="宋体" w:eastAsia="黑体"/>
          <w:bCs/>
          <w:kern w:val="0"/>
          <w:sz w:val="24"/>
        </w:rPr>
      </w:pPr>
    </w:p>
    <w:p w14:paraId="0E5D98A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5"/>
        <w:jc w:val="center"/>
      </w:pPr>
      <w:r>
        <w:rPr>
          <w:rFonts w:hint="eastAsia"/>
        </w:rPr>
        <w:t>第五章  合同条款及格式</w:t>
      </w:r>
    </w:p>
    <w:p w14:paraId="4B313D73"/>
    <w:p w14:paraId="4ABEACB1">
      <w:pPr>
        <w:jc w:val="center"/>
        <w:outlineLvl w:val="9"/>
      </w:pPr>
      <w:bookmarkStart w:id="78" w:name="_Toc3995"/>
      <w:r>
        <w:rPr>
          <w:rFonts w:hint="eastAsia"/>
          <w:b/>
          <w:sz w:val="24"/>
        </w:rPr>
        <w:t>（仅供参考，具体以项目需求及采购结果为准）</w:t>
      </w:r>
    </w:p>
    <w:p w14:paraId="1F1C126C">
      <w:pPr>
        <w:widowControl w:val="0"/>
        <w:spacing w:after="0"/>
        <w:jc w:val="center"/>
        <w:rPr>
          <w:rFonts w:ascii="宋体" w:hAnsi="宋体" w:eastAsia="宋体" w:cs="宋体"/>
          <w:b/>
          <w:bCs/>
          <w:spacing w:val="-20"/>
          <w:kern w:val="44"/>
          <w:sz w:val="48"/>
          <w:szCs w:val="48"/>
          <w:lang w:val="en-US" w:eastAsia="zh-CN" w:bidi="ar-SA"/>
        </w:rPr>
      </w:pPr>
    </w:p>
    <w:p w14:paraId="611A81BD">
      <w:pPr>
        <w:widowControl w:val="0"/>
        <w:spacing w:after="0"/>
        <w:jc w:val="center"/>
        <w:rPr>
          <w:rFonts w:ascii="宋体" w:hAnsi="宋体" w:eastAsia="宋体" w:cs="宋体"/>
          <w:b/>
          <w:bCs/>
          <w:spacing w:val="-20"/>
          <w:kern w:val="44"/>
          <w:sz w:val="48"/>
          <w:szCs w:val="48"/>
          <w:lang w:val="en-US" w:eastAsia="zh-CN" w:bidi="ar-SA"/>
        </w:rPr>
      </w:pPr>
    </w:p>
    <w:p w14:paraId="5E89CF02">
      <w:pPr>
        <w:pStyle w:val="7"/>
        <w:rPr>
          <w:lang w:val="en-US" w:eastAsia="zh-CN"/>
        </w:rPr>
      </w:pPr>
    </w:p>
    <w:p w14:paraId="3140C4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rPr>
          <w:rFonts w:ascii="宋体" w:hAnsi="宋体" w:eastAsia="宋体" w:cs="宋体"/>
          <w:b/>
          <w:bCs/>
          <w:spacing w:val="-20"/>
          <w:kern w:val="44"/>
          <w:sz w:val="40"/>
          <w:szCs w:val="40"/>
        </w:rPr>
      </w:pPr>
    </w:p>
    <w:p w14:paraId="1C5B4A91">
      <w:pPr>
        <w:rPr>
          <w:rFonts w:ascii="宋体" w:hAnsi="宋体" w:eastAsia="宋体" w:cs="宋体"/>
          <w:b/>
          <w:bCs/>
          <w:spacing w:val="-20"/>
          <w:kern w:val="44"/>
          <w:sz w:val="40"/>
          <w:szCs w:val="40"/>
        </w:rPr>
      </w:pPr>
    </w:p>
    <w:p w14:paraId="53499399">
      <w:pPr>
        <w:rPr>
          <w:rFonts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ind w:firstLine="640" w:firstLineChars="200"/>
        <w:rPr>
          <w:rFonts w:hint="eastAsia" w:ascii="仿宋_GB2312" w:hAnsi="仿宋_GB2312" w:eastAsia="仿宋_GB2312" w:cs="仿宋_GB2312"/>
          <w:sz w:val="32"/>
          <w:szCs w:val="32"/>
          <w:lang w:val="en-US" w:eastAsia="zh-CN"/>
        </w:rPr>
      </w:pPr>
    </w:p>
    <w:p w14:paraId="567A93B8">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470A16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8"/>
    <w:p w14:paraId="402E9C3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9" w:name="_Toc22209"/>
    </w:p>
    <w:p w14:paraId="0DB28B86">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9"/>
    </w:p>
    <w:p w14:paraId="24674A9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823CFDB">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beforeLines="0" w:line="400" w:lineRule="exact"/>
        <w:rPr>
          <w:rFonts w:hint="default" w:eastAsia="宋体"/>
          <w:lang w:val="en-US" w:eastAsia="zh-CN"/>
        </w:rPr>
      </w:pPr>
    </w:p>
    <w:p w14:paraId="025AC5B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numPr>
          <w:ilvl w:val="0"/>
          <w:numId w:val="6"/>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C1B6360">
      <w:pPr>
        <w:widowControl w:val="0"/>
        <w:numPr>
          <w:ilvl w:val="0"/>
          <w:numId w:val="7"/>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numPr>
          <w:ilvl w:val="0"/>
          <w:numId w:val="6"/>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6"/>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6"/>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9DDA10B">
      <w:pPr>
        <w:numPr>
          <w:ilvl w:val="0"/>
          <w:numId w:val="8"/>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numPr>
          <w:ilvl w:val="0"/>
          <w:numId w:val="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0BC33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numPr>
          <w:ilvl w:val="0"/>
          <w:numId w:val="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rPr>
          <w:rFonts w:hint="eastAsia" w:eastAsia="宋体"/>
        </w:rPr>
      </w:pPr>
      <w:r>
        <w:rPr>
          <w:rFonts w:hint="eastAsia" w:eastAsia="宋体"/>
        </w:rPr>
        <w:br w:type="page"/>
      </w:r>
    </w:p>
    <w:p w14:paraId="4F74CB3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adjustRightInd w:val="0"/>
              <w:snapToGrid w:val="0"/>
              <w:spacing w:line="300" w:lineRule="exact"/>
              <w:jc w:val="center"/>
              <w:rPr>
                <w:rFonts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adjustRightInd w:val="0"/>
              <w:snapToGrid w:val="0"/>
              <w:spacing w:line="300" w:lineRule="exact"/>
              <w:jc w:val="center"/>
              <w:rPr>
                <w:rFonts w:eastAsia="宋体"/>
                <w:szCs w:val="21"/>
              </w:rPr>
            </w:pPr>
            <w:r>
              <w:rPr>
                <w:rFonts w:eastAsia="宋体"/>
                <w:szCs w:val="21"/>
              </w:rPr>
              <w:t>法定代表人</w:t>
            </w:r>
          </w:p>
          <w:p w14:paraId="5E7F5213">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21FB533">
            <w:pPr>
              <w:adjustRightInd w:val="0"/>
              <w:snapToGrid w:val="0"/>
              <w:spacing w:line="300" w:lineRule="exact"/>
              <w:jc w:val="center"/>
              <w:rPr>
                <w:rFonts w:eastAsia="宋体"/>
                <w:szCs w:val="21"/>
              </w:rPr>
            </w:pPr>
            <w:r>
              <w:rPr>
                <w:rFonts w:eastAsia="宋体"/>
                <w:szCs w:val="21"/>
              </w:rPr>
              <w:t>法定代表人</w:t>
            </w:r>
          </w:p>
          <w:p w14:paraId="0CE74335">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adjustRightInd w:val="0"/>
              <w:snapToGrid w:val="0"/>
              <w:spacing w:line="300" w:lineRule="exact"/>
              <w:jc w:val="center"/>
              <w:rPr>
                <w:rFonts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adjustRightInd w:val="0"/>
              <w:snapToGrid w:val="0"/>
              <w:spacing w:line="300" w:lineRule="exact"/>
              <w:jc w:val="center"/>
              <w:rPr>
                <w:rFonts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adjustRightInd w:val="0"/>
              <w:snapToGrid w:val="0"/>
              <w:spacing w:line="300" w:lineRule="exact"/>
              <w:jc w:val="center"/>
              <w:rPr>
                <w:rFonts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adjustRightInd w:val="0"/>
              <w:snapToGrid w:val="0"/>
              <w:spacing w:line="300" w:lineRule="exact"/>
              <w:jc w:val="center"/>
              <w:rPr>
                <w:rFonts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adjustRightInd w:val="0"/>
              <w:snapToGrid w:val="0"/>
              <w:spacing w:line="300" w:lineRule="exact"/>
              <w:jc w:val="center"/>
              <w:rPr>
                <w:rFonts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adjustRightInd w:val="0"/>
              <w:snapToGrid w:val="0"/>
              <w:spacing w:line="300" w:lineRule="exact"/>
              <w:jc w:val="center"/>
              <w:rPr>
                <w:rFonts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adjustRightInd w:val="0"/>
              <w:snapToGrid w:val="0"/>
              <w:spacing w:line="300" w:lineRule="exact"/>
              <w:jc w:val="center"/>
              <w:rPr>
                <w:rFonts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adjustRightInd w:val="0"/>
              <w:snapToGrid w:val="0"/>
              <w:spacing w:line="300" w:lineRule="exact"/>
              <w:jc w:val="center"/>
              <w:rPr>
                <w:rFonts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adjustRightInd w:val="0"/>
              <w:snapToGrid w:val="0"/>
              <w:spacing w:line="300" w:lineRule="exact"/>
              <w:jc w:val="center"/>
              <w:rPr>
                <w:rFonts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adjustRightInd w:val="0"/>
              <w:snapToGrid w:val="0"/>
              <w:spacing w:line="300" w:lineRule="exact"/>
              <w:jc w:val="center"/>
              <w:rPr>
                <w:rFonts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adjustRightInd w:val="0"/>
              <w:snapToGrid w:val="0"/>
              <w:spacing w:line="300" w:lineRule="exact"/>
              <w:jc w:val="center"/>
              <w:rPr>
                <w:rFonts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adjustRightInd w:val="0"/>
              <w:snapToGrid w:val="0"/>
              <w:spacing w:line="300" w:lineRule="exact"/>
              <w:jc w:val="center"/>
              <w:rPr>
                <w:rFonts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0" w:name="_Toc27624"/>
      <w:r>
        <w:rPr>
          <w:rFonts w:hint="eastAsia" w:ascii="黑体" w:hAnsi="黑体" w:eastAsia="黑体" w:cs="Times New Roman"/>
          <w:b w:val="0"/>
          <w:bCs w:val="0"/>
          <w:kern w:val="2"/>
          <w:sz w:val="28"/>
          <w:szCs w:val="28"/>
          <w:lang w:val="en-US" w:eastAsia="zh-CN" w:bidi="ar-SA"/>
        </w:rPr>
        <w:t>第二节 政府采购合同通用条款</w:t>
      </w:r>
      <w:bookmarkEnd w:id="80"/>
    </w:p>
    <w:p w14:paraId="525918F2">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numPr>
          <w:ilvl w:val="0"/>
          <w:numId w:val="9"/>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numPr>
          <w:ilvl w:val="0"/>
          <w:numId w:val="10"/>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1"/>
      <w:r>
        <w:rPr>
          <w:rFonts w:hint="eastAsia" w:ascii="宋体" w:hAnsi="宋体" w:eastAsia="宋体"/>
          <w:color w:val="auto"/>
          <w:szCs w:val="21"/>
          <w:highlight w:val="none"/>
        </w:rPr>
        <w:t>。</w:t>
      </w:r>
    </w:p>
    <w:p w14:paraId="7B6FD8A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numPr>
          <w:ilvl w:val="0"/>
          <w:numId w:val="11"/>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numPr>
          <w:ilvl w:val="0"/>
          <w:numId w:val="12"/>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2" w:name="_Toc20313"/>
    </w:p>
    <w:p w14:paraId="047528C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2"/>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adjustRightInd w:val="0"/>
              <w:snapToGrid w:val="0"/>
              <w:jc w:val="center"/>
              <w:rPr>
                <w:rFonts w:ascii="宋体" w:hAnsi="宋体" w:eastAsia="宋体"/>
                <w:szCs w:val="21"/>
              </w:rPr>
            </w:pPr>
            <w:r>
              <w:rPr>
                <w:rFonts w:hint="eastAsia" w:ascii="宋体" w:hAnsi="宋体" w:eastAsia="宋体"/>
                <w:szCs w:val="21"/>
              </w:rPr>
              <w:t>第二节</w:t>
            </w:r>
          </w:p>
          <w:p w14:paraId="56AE9BF1">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adjustRightInd w:val="0"/>
              <w:snapToGrid w:val="0"/>
              <w:jc w:val="left"/>
              <w:rPr>
                <w:rFonts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adjustRightInd w:val="0"/>
              <w:snapToGrid w:val="0"/>
              <w:jc w:val="center"/>
              <w:rPr>
                <w:rFonts w:ascii="宋体" w:hAnsi="宋体" w:eastAsia="宋体"/>
                <w:szCs w:val="21"/>
              </w:rPr>
            </w:pPr>
            <w:r>
              <w:rPr>
                <w:rFonts w:hint="eastAsia" w:ascii="宋体" w:hAnsi="宋体" w:eastAsia="宋体"/>
                <w:szCs w:val="21"/>
              </w:rPr>
              <w:t>第二节</w:t>
            </w:r>
          </w:p>
          <w:p w14:paraId="17FCD57F">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adjustRightInd w:val="0"/>
              <w:snapToGrid w:val="0"/>
              <w:jc w:val="left"/>
              <w:rPr>
                <w:rFonts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adjustRightInd w:val="0"/>
              <w:snapToGrid w:val="0"/>
              <w:jc w:val="center"/>
              <w:rPr>
                <w:rFonts w:ascii="宋体" w:hAnsi="宋体" w:eastAsia="宋体"/>
                <w:szCs w:val="21"/>
              </w:rPr>
            </w:pPr>
            <w:r>
              <w:rPr>
                <w:rFonts w:hint="eastAsia" w:ascii="宋体" w:hAnsi="宋体" w:eastAsia="宋体"/>
                <w:szCs w:val="21"/>
              </w:rPr>
              <w:t>第二节</w:t>
            </w:r>
          </w:p>
          <w:p w14:paraId="30EA0D17">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adjustRightInd w:val="0"/>
              <w:snapToGrid w:val="0"/>
              <w:jc w:val="left"/>
              <w:rPr>
                <w:rFonts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adjustRightInd w:val="0"/>
              <w:snapToGrid w:val="0"/>
              <w:jc w:val="center"/>
              <w:rPr>
                <w:rFonts w:ascii="宋体" w:hAnsi="宋体" w:eastAsia="宋体"/>
                <w:szCs w:val="21"/>
              </w:rPr>
            </w:pPr>
            <w:r>
              <w:rPr>
                <w:rFonts w:hint="eastAsia" w:ascii="宋体" w:hAnsi="宋体" w:eastAsia="宋体"/>
                <w:szCs w:val="21"/>
              </w:rPr>
              <w:t>第二节</w:t>
            </w:r>
          </w:p>
          <w:p w14:paraId="0F99837A">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adjustRightInd w:val="0"/>
              <w:snapToGrid w:val="0"/>
              <w:jc w:val="left"/>
              <w:rPr>
                <w:rFonts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adjustRightInd w:val="0"/>
              <w:snapToGrid w:val="0"/>
              <w:jc w:val="left"/>
              <w:rPr>
                <w:rFonts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adjustRightInd w:val="0"/>
              <w:snapToGrid w:val="0"/>
              <w:jc w:val="left"/>
              <w:rPr>
                <w:rFonts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adjustRightInd w:val="0"/>
              <w:snapToGrid w:val="0"/>
              <w:jc w:val="center"/>
              <w:rPr>
                <w:rFonts w:ascii="宋体" w:hAnsi="宋体" w:eastAsia="宋体"/>
                <w:szCs w:val="21"/>
              </w:rPr>
            </w:pPr>
            <w:r>
              <w:rPr>
                <w:rFonts w:hint="eastAsia" w:ascii="宋体" w:hAnsi="宋体" w:eastAsia="宋体"/>
                <w:szCs w:val="21"/>
              </w:rPr>
              <w:t>第二节</w:t>
            </w:r>
          </w:p>
          <w:p w14:paraId="7D002900">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rPr>
                <w:rFonts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adjustRightInd w:val="0"/>
              <w:snapToGrid w:val="0"/>
              <w:jc w:val="center"/>
              <w:rPr>
                <w:rFonts w:hint="eastAsia" w:ascii="宋体" w:hAnsi="宋体" w:eastAsia="宋体"/>
                <w:szCs w:val="21"/>
              </w:rPr>
            </w:pPr>
          </w:p>
        </w:tc>
        <w:tc>
          <w:tcPr>
            <w:tcW w:w="1742" w:type="dxa"/>
            <w:vAlign w:val="center"/>
          </w:tcPr>
          <w:p w14:paraId="4623834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adjustRightInd w:val="0"/>
              <w:snapToGrid w:val="0"/>
              <w:jc w:val="center"/>
              <w:rPr>
                <w:rFonts w:ascii="宋体" w:hAnsi="宋体" w:eastAsia="宋体"/>
                <w:szCs w:val="21"/>
              </w:rPr>
            </w:pPr>
            <w:r>
              <w:rPr>
                <w:rFonts w:hint="eastAsia" w:ascii="宋体" w:hAnsi="宋体" w:eastAsia="宋体"/>
                <w:szCs w:val="21"/>
              </w:rPr>
              <w:t>第二节</w:t>
            </w:r>
          </w:p>
          <w:p w14:paraId="32D5FDFC">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adjustRightInd w:val="0"/>
              <w:snapToGrid w:val="0"/>
              <w:jc w:val="center"/>
              <w:rPr>
                <w:rFonts w:ascii="宋体" w:hAnsi="宋体" w:eastAsia="宋体"/>
                <w:szCs w:val="21"/>
              </w:rPr>
            </w:pPr>
            <w:r>
              <w:rPr>
                <w:rFonts w:hint="eastAsia" w:ascii="宋体" w:hAnsi="宋体" w:eastAsia="宋体"/>
                <w:szCs w:val="21"/>
              </w:rPr>
              <w:t>第二节</w:t>
            </w:r>
          </w:p>
          <w:p w14:paraId="2F3ED5B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adjustRightInd w:val="0"/>
              <w:snapToGrid w:val="0"/>
              <w:jc w:val="center"/>
              <w:rPr>
                <w:rFonts w:ascii="宋体" w:hAnsi="宋体" w:eastAsia="宋体"/>
                <w:szCs w:val="21"/>
              </w:rPr>
            </w:pPr>
            <w:r>
              <w:rPr>
                <w:rFonts w:hint="eastAsia" w:ascii="宋体" w:hAnsi="宋体" w:eastAsia="宋体"/>
                <w:szCs w:val="21"/>
              </w:rPr>
              <w:t>第二节</w:t>
            </w:r>
          </w:p>
          <w:p w14:paraId="7641D826">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0163C92B">
            <w:pPr>
              <w:autoSpaceDE w:val="0"/>
              <w:autoSpaceDN w:val="0"/>
              <w:adjustRightInd w:val="0"/>
              <w:snapToGrid w:val="0"/>
              <w:ind w:firstLine="420" w:firstLineChars="200"/>
              <w:jc w:val="left"/>
              <w:rPr>
                <w:rFonts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adjustRightInd w:val="0"/>
              <w:snapToGrid w:val="0"/>
              <w:jc w:val="center"/>
              <w:rPr>
                <w:rFonts w:ascii="宋体" w:hAnsi="宋体" w:eastAsia="宋体"/>
                <w:szCs w:val="21"/>
              </w:rPr>
            </w:pPr>
            <w:r>
              <w:rPr>
                <w:rFonts w:hint="eastAsia" w:ascii="宋体" w:hAnsi="宋体" w:eastAsia="宋体"/>
                <w:szCs w:val="21"/>
              </w:rPr>
              <w:t>第二节</w:t>
            </w:r>
          </w:p>
          <w:p w14:paraId="15C416F9">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2C98AD64">
            <w:pPr>
              <w:adjustRightInd w:val="0"/>
              <w:snapToGrid w:val="0"/>
              <w:jc w:val="left"/>
              <w:rPr>
                <w:rFonts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adjustRightInd w:val="0"/>
              <w:snapToGrid w:val="0"/>
              <w:jc w:val="left"/>
              <w:rPr>
                <w:rFonts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adjustRightInd w:val="0"/>
              <w:snapToGrid w:val="0"/>
              <w:jc w:val="center"/>
              <w:rPr>
                <w:rFonts w:ascii="宋体" w:hAnsi="宋体" w:eastAsia="宋体"/>
                <w:szCs w:val="21"/>
              </w:rPr>
            </w:pPr>
            <w:r>
              <w:rPr>
                <w:rFonts w:hint="eastAsia" w:ascii="宋体" w:hAnsi="宋体" w:eastAsia="宋体"/>
                <w:szCs w:val="21"/>
              </w:rPr>
              <w:t>第二节</w:t>
            </w:r>
          </w:p>
          <w:p w14:paraId="64C87EBF">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adjustRightInd w:val="0"/>
              <w:snapToGrid w:val="0"/>
              <w:jc w:val="left"/>
              <w:rPr>
                <w:rFonts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adjustRightInd w:val="0"/>
              <w:snapToGrid w:val="0"/>
              <w:jc w:val="center"/>
              <w:rPr>
                <w:rFonts w:hint="eastAsia" w:ascii="宋体" w:hAnsi="宋体" w:eastAsia="宋体"/>
                <w:szCs w:val="21"/>
              </w:rPr>
            </w:pPr>
            <w:r>
              <w:rPr>
                <w:rFonts w:hint="eastAsia" w:ascii="宋体" w:hAnsi="宋体" w:eastAsia="宋体"/>
                <w:szCs w:val="21"/>
              </w:rPr>
              <w:t>第二节</w:t>
            </w:r>
          </w:p>
          <w:p w14:paraId="7A5D41EB">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adjustRightInd w:val="0"/>
              <w:snapToGrid w:val="0"/>
              <w:jc w:val="left"/>
              <w:rPr>
                <w:rFonts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adjustRightInd w:val="0"/>
              <w:snapToGrid w:val="0"/>
              <w:jc w:val="center"/>
              <w:rPr>
                <w:rFonts w:hint="eastAsia" w:ascii="宋体" w:hAnsi="宋体" w:eastAsia="宋体"/>
                <w:szCs w:val="21"/>
              </w:rPr>
            </w:pPr>
            <w:r>
              <w:rPr>
                <w:rFonts w:hint="eastAsia" w:ascii="宋体" w:hAnsi="宋体" w:eastAsia="宋体"/>
                <w:szCs w:val="21"/>
              </w:rPr>
              <w:t>第二节</w:t>
            </w:r>
          </w:p>
          <w:p w14:paraId="39D0CE80">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adjustRightInd w:val="0"/>
              <w:snapToGrid w:val="0"/>
              <w:jc w:val="left"/>
              <w:rPr>
                <w:rFonts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adjustRightInd w:val="0"/>
              <w:snapToGrid w:val="0"/>
              <w:jc w:val="center"/>
              <w:rPr>
                <w:rFonts w:ascii="宋体" w:hAnsi="宋体" w:eastAsia="宋体"/>
                <w:szCs w:val="21"/>
              </w:rPr>
            </w:pPr>
            <w:r>
              <w:rPr>
                <w:rFonts w:hint="eastAsia" w:ascii="宋体" w:hAnsi="宋体" w:eastAsia="宋体"/>
                <w:szCs w:val="21"/>
              </w:rPr>
              <w:t>第二节</w:t>
            </w:r>
          </w:p>
          <w:p w14:paraId="36E7D20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adjustRightInd w:val="0"/>
              <w:snapToGrid w:val="0"/>
              <w:jc w:val="left"/>
              <w:rPr>
                <w:rFonts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adjustRightInd w:val="0"/>
              <w:snapToGrid w:val="0"/>
              <w:jc w:val="center"/>
              <w:rPr>
                <w:rFonts w:ascii="宋体" w:hAnsi="宋体" w:eastAsia="宋体"/>
                <w:szCs w:val="21"/>
              </w:rPr>
            </w:pPr>
            <w:r>
              <w:rPr>
                <w:rFonts w:hint="eastAsia" w:ascii="宋体" w:hAnsi="宋体" w:eastAsia="宋体"/>
                <w:szCs w:val="21"/>
              </w:rPr>
              <w:t>第二节</w:t>
            </w:r>
          </w:p>
          <w:p w14:paraId="1CAAB2BB">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adjustRightInd w:val="0"/>
              <w:snapToGrid w:val="0"/>
              <w:jc w:val="left"/>
              <w:rPr>
                <w:rFonts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adjustRightInd w:val="0"/>
              <w:snapToGrid w:val="0"/>
              <w:jc w:val="center"/>
              <w:rPr>
                <w:rFonts w:ascii="宋体" w:hAnsi="宋体" w:eastAsia="宋体"/>
                <w:szCs w:val="21"/>
              </w:rPr>
            </w:pPr>
            <w:r>
              <w:rPr>
                <w:rFonts w:hint="eastAsia" w:ascii="宋体" w:hAnsi="宋体" w:eastAsia="宋体"/>
                <w:szCs w:val="21"/>
              </w:rPr>
              <w:t>第二节</w:t>
            </w:r>
          </w:p>
          <w:p w14:paraId="19A3233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adjustRightInd w:val="0"/>
              <w:snapToGrid w:val="0"/>
              <w:jc w:val="left"/>
              <w:rPr>
                <w:rFonts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adjustRightInd w:val="0"/>
              <w:snapToGrid w:val="0"/>
              <w:jc w:val="center"/>
              <w:rPr>
                <w:rFonts w:ascii="宋体" w:hAnsi="宋体" w:eastAsia="宋体"/>
                <w:szCs w:val="21"/>
              </w:rPr>
            </w:pPr>
            <w:r>
              <w:rPr>
                <w:rFonts w:hint="eastAsia" w:ascii="宋体" w:hAnsi="宋体" w:eastAsia="宋体"/>
                <w:szCs w:val="21"/>
              </w:rPr>
              <w:t>第二节</w:t>
            </w:r>
          </w:p>
          <w:p w14:paraId="0C4FE2EF">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adjustRightInd w:val="0"/>
              <w:snapToGrid w:val="0"/>
              <w:jc w:val="left"/>
              <w:rPr>
                <w:rFonts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adjustRightInd w:val="0"/>
              <w:snapToGrid w:val="0"/>
              <w:jc w:val="center"/>
              <w:rPr>
                <w:rFonts w:ascii="宋体" w:hAnsi="宋体" w:eastAsia="宋体"/>
                <w:szCs w:val="21"/>
              </w:rPr>
            </w:pPr>
            <w:r>
              <w:rPr>
                <w:rFonts w:hint="eastAsia" w:ascii="宋体" w:hAnsi="宋体" w:eastAsia="宋体"/>
                <w:szCs w:val="21"/>
              </w:rPr>
              <w:t>第二节</w:t>
            </w:r>
          </w:p>
          <w:p w14:paraId="22CF69A5">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2398B804">
            <w:pPr>
              <w:adjustRightInd w:val="0"/>
              <w:snapToGrid w:val="0"/>
              <w:jc w:val="left"/>
              <w:rPr>
                <w:rFonts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adjustRightInd w:val="0"/>
              <w:snapToGrid w:val="0"/>
              <w:jc w:val="center"/>
              <w:rPr>
                <w:rFonts w:ascii="宋体" w:hAnsi="宋体" w:eastAsia="宋体"/>
                <w:szCs w:val="21"/>
              </w:rPr>
            </w:pPr>
            <w:r>
              <w:rPr>
                <w:rFonts w:hint="eastAsia" w:ascii="宋体" w:hAnsi="宋体" w:eastAsia="宋体"/>
                <w:szCs w:val="21"/>
              </w:rPr>
              <w:t>第二节</w:t>
            </w:r>
          </w:p>
          <w:p w14:paraId="46FB008E">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adjustRightInd w:val="0"/>
              <w:snapToGrid w:val="0"/>
              <w:jc w:val="left"/>
              <w:rPr>
                <w:rFonts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adjustRightInd w:val="0"/>
              <w:snapToGrid w:val="0"/>
              <w:jc w:val="center"/>
              <w:rPr>
                <w:rFonts w:ascii="宋体" w:hAnsi="宋体" w:eastAsia="宋体"/>
                <w:szCs w:val="21"/>
              </w:rPr>
            </w:pPr>
            <w:r>
              <w:rPr>
                <w:rFonts w:hint="eastAsia" w:ascii="宋体" w:hAnsi="宋体" w:eastAsia="宋体"/>
                <w:szCs w:val="21"/>
              </w:rPr>
              <w:t>第二节</w:t>
            </w:r>
          </w:p>
          <w:p w14:paraId="0444140A">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adjustRightInd w:val="0"/>
              <w:snapToGrid w:val="0"/>
              <w:jc w:val="left"/>
              <w:rPr>
                <w:rFonts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adjustRightInd w:val="0"/>
              <w:snapToGrid w:val="0"/>
              <w:jc w:val="center"/>
              <w:rPr>
                <w:rFonts w:ascii="宋体" w:hAnsi="宋体" w:eastAsia="宋体"/>
                <w:szCs w:val="21"/>
              </w:rPr>
            </w:pPr>
            <w:r>
              <w:rPr>
                <w:rFonts w:hint="eastAsia" w:ascii="宋体" w:hAnsi="宋体" w:eastAsia="宋体"/>
                <w:szCs w:val="21"/>
              </w:rPr>
              <w:t>第二节</w:t>
            </w:r>
          </w:p>
          <w:p w14:paraId="7B8EA34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adjustRightInd w:val="0"/>
              <w:snapToGrid w:val="0"/>
              <w:jc w:val="center"/>
              <w:rPr>
                <w:rFonts w:ascii="宋体" w:hAnsi="宋体" w:eastAsia="宋体"/>
                <w:szCs w:val="21"/>
              </w:rPr>
            </w:pPr>
            <w:r>
              <w:rPr>
                <w:rFonts w:hint="eastAsia" w:ascii="宋体" w:hAnsi="宋体" w:eastAsia="宋体"/>
                <w:szCs w:val="21"/>
              </w:rPr>
              <w:t>第二节</w:t>
            </w:r>
          </w:p>
          <w:p w14:paraId="3FE37884">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adjustRightInd w:val="0"/>
              <w:snapToGrid w:val="0"/>
              <w:jc w:val="left"/>
              <w:rPr>
                <w:rFonts w:hint="default" w:ascii="宋体" w:hAnsi="宋体" w:eastAsia="宋体"/>
                <w:szCs w:val="21"/>
                <w:lang w:val="en-US" w:eastAsia="zh-CN"/>
              </w:rPr>
            </w:pPr>
          </w:p>
        </w:tc>
      </w:tr>
    </w:tbl>
    <w:p w14:paraId="627271B5">
      <w:pPr>
        <w:rPr>
          <w:rFonts w:eastAsia="宋体"/>
        </w:rPr>
      </w:pPr>
    </w:p>
    <w:p w14:paraId="048C1827">
      <w:pPr>
        <w:rPr>
          <w:rFonts w:eastAsia="宋体"/>
        </w:rPr>
      </w:pPr>
    </w:p>
    <w:p w14:paraId="11CD464D">
      <w:pPr>
        <w:widowControl/>
        <w:jc w:val="left"/>
        <w:rPr>
          <w:rFonts w:ascii="宋体" w:hAnsi="宋体"/>
          <w:szCs w:val="21"/>
        </w:rPr>
      </w:pPr>
      <w:r>
        <w:rPr>
          <w:rFonts w:ascii="宋体" w:hAnsi="宋体"/>
          <w:szCs w:val="21"/>
        </w:rPr>
        <w:br w:type="page"/>
      </w:r>
    </w:p>
    <w:p w14:paraId="15900AF8">
      <w:pPr>
        <w:widowControl/>
        <w:jc w:val="left"/>
        <w:rPr>
          <w:rFonts w:ascii="宋体" w:hAnsi="宋体"/>
          <w:szCs w:val="21"/>
        </w:rPr>
      </w:pPr>
    </w:p>
    <w:p w14:paraId="39037967">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3" w:name="_Hlk72399513"/>
      <w:bookmarkStart w:id="84" w:name="_Hlk72439706"/>
      <w:r>
        <w:rPr>
          <w:rFonts w:hint="eastAsia" w:asciiTheme="majorHAnsi" w:hAnsiTheme="majorHAnsi" w:eastAsiaTheme="majorEastAsia" w:cstheme="majorBidi"/>
          <w:b/>
          <w:bCs/>
          <w:sz w:val="28"/>
          <w:szCs w:val="28"/>
        </w:rPr>
        <w:t>总则</w:t>
      </w:r>
    </w:p>
    <w:bookmarkEnd w:id="83"/>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5" w:name="_Hlk72399729"/>
      <w:r>
        <w:rPr>
          <w:rFonts w:hint="eastAsia" w:ascii="宋体" w:hAnsi="宋体"/>
          <w:szCs w:val="21"/>
        </w:rPr>
        <w:t>如有需要，政府集中采购机构可以对通用条款的内容进行补充。</w:t>
      </w:r>
      <w:bookmarkEnd w:id="85"/>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86"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7"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7"/>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6"/>
    <w:p w14:paraId="1D667FCD">
      <w:pPr>
        <w:ind w:firstLine="411" w:firstLineChars="196"/>
        <w:rPr>
          <w:rFonts w:ascii="宋体" w:hAnsi="宋体"/>
        </w:rPr>
      </w:pPr>
    </w:p>
    <w:p w14:paraId="03314A09">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8"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8"/>
    </w:p>
    <w:p w14:paraId="1A44C7FF">
      <w:pPr>
        <w:rPr>
          <w:rFonts w:ascii="宋体" w:hAnsi="宋体"/>
          <w:szCs w:val="21"/>
        </w:rPr>
      </w:pPr>
    </w:p>
    <w:p w14:paraId="3CEC1C9A">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89"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9"/>
    <w:p w14:paraId="6104A6B2">
      <w:pPr>
        <w:ind w:firstLine="420" w:firstLineChars="200"/>
        <w:rPr>
          <w:rFonts w:ascii="黑体" w:hAnsi="宋体" w:eastAsia="黑体"/>
          <w:szCs w:val="21"/>
        </w:rPr>
      </w:pPr>
      <w:r>
        <w:rPr>
          <w:rFonts w:hint="eastAsia" w:ascii="黑体" w:hAnsi="宋体" w:eastAsia="黑体"/>
          <w:szCs w:val="21"/>
        </w:rPr>
        <w:t>15．</w:t>
      </w:r>
      <w:bookmarkStart w:id="90"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90"/>
    <w:p w14:paraId="254F42F0">
      <w:pPr>
        <w:ind w:firstLine="420" w:firstLineChars="200"/>
        <w:rPr>
          <w:rFonts w:ascii="黑体" w:hAnsi="宋体" w:eastAsia="黑体"/>
          <w:szCs w:val="21"/>
        </w:rPr>
      </w:pPr>
      <w:r>
        <w:rPr>
          <w:rFonts w:hint="eastAsia" w:ascii="黑体" w:hAnsi="宋体" w:eastAsia="黑体"/>
          <w:szCs w:val="21"/>
        </w:rPr>
        <w:t>18．</w:t>
      </w:r>
      <w:bookmarkStart w:id="91"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1"/>
    <w:p w14:paraId="0F065120">
      <w:pPr>
        <w:ind w:firstLine="420" w:firstLineChars="200"/>
        <w:rPr>
          <w:rFonts w:ascii="黑体" w:hAnsi="宋体" w:eastAsia="黑体"/>
          <w:szCs w:val="21"/>
        </w:rPr>
      </w:pPr>
      <w:r>
        <w:rPr>
          <w:rFonts w:hint="eastAsia" w:ascii="黑体" w:hAnsi="宋体" w:eastAsia="黑体"/>
          <w:szCs w:val="21"/>
        </w:rPr>
        <w:t>19．</w:t>
      </w:r>
      <w:bookmarkStart w:id="92"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3" w:name="_Hlk71407299"/>
    </w:p>
    <w:bookmarkEnd w:id="93"/>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92"/>
    <w:p w14:paraId="69C777CA">
      <w:pPr>
        <w:ind w:firstLine="420" w:firstLineChars="200"/>
        <w:rPr>
          <w:rFonts w:ascii="宋体" w:hAnsi="宋体"/>
          <w:szCs w:val="21"/>
        </w:rPr>
      </w:pPr>
      <w:bookmarkStart w:id="94"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4"/>
    <w:p w14:paraId="1C5C45A8">
      <w:pPr>
        <w:ind w:firstLine="420" w:firstLineChars="200"/>
        <w:rPr>
          <w:rFonts w:ascii="黑体" w:hAnsi="宋体" w:eastAsia="黑体"/>
          <w:szCs w:val="21"/>
        </w:rPr>
      </w:pPr>
      <w:r>
        <w:rPr>
          <w:rFonts w:hint="eastAsia" w:ascii="黑体" w:hAnsi="宋体" w:eastAsia="黑体"/>
          <w:szCs w:val="21"/>
        </w:rPr>
        <w:t>21．</w:t>
      </w:r>
      <w:bookmarkStart w:id="95"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5"/>
    <w:p w14:paraId="5BE145EA">
      <w:pPr>
        <w:ind w:firstLine="420" w:firstLineChars="200"/>
        <w:rPr>
          <w:rFonts w:ascii="黑体" w:hAnsi="宋体" w:eastAsia="黑体"/>
          <w:szCs w:val="21"/>
        </w:rPr>
      </w:pPr>
      <w:r>
        <w:rPr>
          <w:rFonts w:hint="eastAsia" w:ascii="黑体" w:hAnsi="宋体" w:eastAsia="黑体"/>
          <w:szCs w:val="21"/>
        </w:rPr>
        <w:t>23．</w:t>
      </w:r>
      <w:bookmarkStart w:id="96"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6"/>
    </w:p>
    <w:p w14:paraId="731EFACC">
      <w:pPr>
        <w:ind w:firstLine="411" w:firstLineChars="196"/>
        <w:rPr>
          <w:rFonts w:ascii="宋体" w:hAnsi="宋体"/>
          <w:szCs w:val="21"/>
        </w:rPr>
      </w:pPr>
    </w:p>
    <w:p w14:paraId="75315EF3">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97"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7"/>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98"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8"/>
    <w:p w14:paraId="7BB95882">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99"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9"/>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100"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0"/>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101" w:name="_Toc73521669"/>
      <w:bookmarkStart w:id="102" w:name="_Toc100052400"/>
      <w:bookmarkStart w:id="103" w:name="_Toc73518151"/>
      <w:bookmarkStart w:id="104" w:name="_Toc73521581"/>
      <w:bookmarkStart w:id="105" w:name="_Toc73517673"/>
      <w:r>
        <w:rPr>
          <w:rFonts w:hint="eastAsia" w:ascii="黑体" w:hAnsi="宋体" w:eastAsia="黑体"/>
          <w:szCs w:val="21"/>
        </w:rPr>
        <w:t>34．错误的修正</w:t>
      </w:r>
      <w:bookmarkEnd w:id="101"/>
      <w:bookmarkEnd w:id="102"/>
      <w:bookmarkEnd w:id="103"/>
      <w:bookmarkEnd w:id="104"/>
      <w:bookmarkEnd w:id="105"/>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106"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6"/>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107"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8" w:name="_Hlk73821177"/>
      <w:r>
        <w:rPr>
          <w:rFonts w:hint="eastAsia" w:ascii="ˎ̥" w:hAnsi="ˎ̥"/>
          <w:szCs w:val="21"/>
        </w:rPr>
        <w:t>唯一候选中标供应商</w:t>
      </w:r>
      <w:bookmarkEnd w:id="108"/>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09"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110"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9"/>
      <w:bookmarkEnd w:id="110"/>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107"/>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111"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1"/>
      <w:bookmarkStart w:id="112"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2"/>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3"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3"/>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114" w:name="_Hlk71407340"/>
      <w:r>
        <w:rPr>
          <w:rFonts w:hint="eastAsia" w:ascii="宋体" w:hAnsi="宋体"/>
          <w:szCs w:val="21"/>
        </w:rPr>
        <w:t>41.3因质疑投诉或其他原因导致项目结果变更或采购终止的，政府集中采购机构有权吊销中标通知书。</w:t>
      </w:r>
    </w:p>
    <w:bookmarkEnd w:id="114"/>
    <w:p w14:paraId="7DEE8868">
      <w:pPr>
        <w:ind w:firstLine="411" w:firstLineChars="196"/>
        <w:rPr>
          <w:rFonts w:ascii="宋体" w:hAnsi="宋体"/>
          <w:szCs w:val="21"/>
        </w:rPr>
      </w:pPr>
    </w:p>
    <w:p w14:paraId="1E896C65">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5" w:name="_Hlk72439043"/>
      <w:r>
        <w:rPr>
          <w:rFonts w:hint="eastAsia" w:asciiTheme="majorHAnsi" w:hAnsiTheme="majorHAnsi" w:eastAsiaTheme="majorEastAsia" w:cstheme="majorBidi"/>
          <w:b/>
          <w:bCs/>
          <w:sz w:val="28"/>
          <w:szCs w:val="28"/>
        </w:rPr>
        <w:t>合同的授予与备案</w:t>
      </w:r>
      <w:bookmarkEnd w:id="115"/>
    </w:p>
    <w:p w14:paraId="1B9301EA">
      <w:pPr>
        <w:ind w:firstLine="420" w:firstLineChars="200"/>
        <w:rPr>
          <w:rFonts w:ascii="黑体" w:hAnsi="宋体" w:eastAsia="黑体"/>
          <w:szCs w:val="21"/>
        </w:rPr>
      </w:pPr>
      <w:bookmarkStart w:id="116" w:name="_Toc73521674"/>
      <w:bookmarkStart w:id="117" w:name="_Toc100052408"/>
      <w:bookmarkStart w:id="118" w:name="_Toc73517679"/>
      <w:bookmarkStart w:id="119" w:name="_Toc73521586"/>
      <w:bookmarkStart w:id="120" w:name="_Toc73518157"/>
      <w:bookmarkStart w:id="121" w:name="_Hlk72439088"/>
      <w:r>
        <w:rPr>
          <w:rFonts w:hint="eastAsia" w:ascii="黑体" w:hAnsi="宋体" w:eastAsia="黑体"/>
          <w:szCs w:val="21"/>
        </w:rPr>
        <w:t>43．合同授予标准</w:t>
      </w:r>
      <w:bookmarkEnd w:id="116"/>
      <w:bookmarkEnd w:id="117"/>
      <w:bookmarkEnd w:id="118"/>
      <w:bookmarkEnd w:id="119"/>
      <w:bookmarkEnd w:id="120"/>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122" w:name="_Toc73517680"/>
      <w:bookmarkStart w:id="123" w:name="_Toc73518158"/>
      <w:bookmarkStart w:id="124" w:name="_Toc73521587"/>
      <w:bookmarkStart w:id="125" w:name="_Toc100052409"/>
      <w:bookmarkStart w:id="126" w:name="_Toc73521675"/>
      <w:r>
        <w:rPr>
          <w:rFonts w:hint="eastAsia" w:ascii="黑体" w:hAnsi="宋体" w:eastAsia="黑体"/>
          <w:szCs w:val="21"/>
        </w:rPr>
        <w:t>44．</w:t>
      </w:r>
      <w:bookmarkEnd w:id="122"/>
      <w:bookmarkEnd w:id="123"/>
      <w:bookmarkEnd w:id="124"/>
      <w:bookmarkEnd w:id="125"/>
      <w:bookmarkEnd w:id="126"/>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127" w:name="_Toc73521677"/>
      <w:bookmarkStart w:id="128" w:name="_Toc73521589"/>
      <w:bookmarkStart w:id="129" w:name="_Toc73517682"/>
      <w:bookmarkStart w:id="130" w:name="_Toc100052410"/>
      <w:bookmarkStart w:id="131" w:name="_Toc73518160"/>
      <w:r>
        <w:rPr>
          <w:rFonts w:hint="eastAsia" w:ascii="黑体" w:hAnsi="宋体" w:eastAsia="黑体"/>
          <w:szCs w:val="21"/>
        </w:rPr>
        <w:t>45．合同的签订</w:t>
      </w:r>
      <w:bookmarkEnd w:id="127"/>
      <w:bookmarkEnd w:id="128"/>
      <w:bookmarkEnd w:id="129"/>
      <w:bookmarkEnd w:id="130"/>
      <w:bookmarkEnd w:id="131"/>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132" w:name="_Toc73517683"/>
      <w:bookmarkStart w:id="133" w:name="_Toc73521678"/>
      <w:bookmarkStart w:id="134" w:name="_Toc73518161"/>
      <w:bookmarkStart w:id="135" w:name="_Toc73521590"/>
      <w:bookmarkStart w:id="136" w:name="_Toc100052411"/>
      <w:r>
        <w:rPr>
          <w:rFonts w:hint="eastAsia" w:ascii="黑体" w:hAnsi="宋体" w:eastAsia="黑体"/>
          <w:szCs w:val="21"/>
        </w:rPr>
        <w:t>46．履约担保</w:t>
      </w:r>
      <w:bookmarkEnd w:id="132"/>
      <w:bookmarkEnd w:id="133"/>
      <w:bookmarkEnd w:id="134"/>
      <w:bookmarkEnd w:id="135"/>
      <w:bookmarkEnd w:id="136"/>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7" w:name="_Hlk72440769"/>
      <w:r>
        <w:rPr>
          <w:rFonts w:hint="eastAsia" w:ascii="宋体" w:hAnsi="宋体"/>
          <w:szCs w:val="21"/>
        </w:rPr>
        <w:t>政府集中采购机构或采购人不予退还其交纳的谈判保证金，情节严重的，并由主管部门</w:t>
      </w:r>
      <w:bookmarkEnd w:id="137"/>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7"/>
      </w:pPr>
    </w:p>
    <w:bookmarkEnd w:id="121"/>
    <w:p w14:paraId="65D798E8">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8" w:name="_Hlk75374941"/>
      <w:r>
        <w:rPr>
          <w:rFonts w:hint="eastAsia" w:ascii="宋体" w:hAnsi="宋体"/>
          <w:szCs w:val="21"/>
        </w:rPr>
        <w:t>以联合体形式参与的，质疑应当由组成联合体的所有成员共同提出</w:t>
      </w:r>
      <w:bookmarkEnd w:id="138"/>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84"/>
    </w:p>
    <w:p w14:paraId="5F05A429"/>
    <w:p w14:paraId="216B24CA"/>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5E11BA9-BA70-4B26-A5FD-DEED828E96F8}"/>
  </w:font>
  <w:font w:name="Arial">
    <w:panose1 w:val="020B0604020202020204"/>
    <w:charset w:val="01"/>
    <w:family w:val="swiss"/>
    <w:pitch w:val="default"/>
    <w:sig w:usb0="E0002EFF" w:usb1="C000785B" w:usb2="00000009" w:usb3="00000000" w:csb0="400001FF" w:csb1="FFFF0000"/>
    <w:embedRegular r:id="rId2" w:fontKey="{BEE8D12D-2BA9-405A-8054-624464A62E72}"/>
  </w:font>
  <w:font w:name="黑体">
    <w:panose1 w:val="02010609060101010101"/>
    <w:charset w:val="86"/>
    <w:family w:val="auto"/>
    <w:pitch w:val="default"/>
    <w:sig w:usb0="800002BF" w:usb1="38CF7CFA" w:usb2="00000016" w:usb3="00000000" w:csb0="00040001" w:csb1="00000000"/>
    <w:embedRegular r:id="rId3" w:fontKey="{D4079E12-713D-4CA7-9ED2-90D6F251D0A5}"/>
  </w:font>
  <w:font w:name="Courier New">
    <w:panose1 w:val="02070309020205020404"/>
    <w:charset w:val="01"/>
    <w:family w:val="modern"/>
    <w:pitch w:val="default"/>
    <w:sig w:usb0="E0002EFF" w:usb1="C0007843" w:usb2="00000009" w:usb3="00000000" w:csb0="400001FF" w:csb1="FFFF0000"/>
    <w:embedRegular r:id="rId4" w:fontKey="{C72223F2-8CE9-462D-B387-6435A0CD36D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5F956FCE-BDF2-4B48-9FB8-973C0BCE6CC6}"/>
  </w:font>
  <w:font w:name="Cambria">
    <w:panose1 w:val="02040503050406030204"/>
    <w:charset w:val="00"/>
    <w:family w:val="roman"/>
    <w:pitch w:val="default"/>
    <w:sig w:usb0="E00006FF" w:usb1="420024FF" w:usb2="02000000" w:usb3="00000000" w:csb0="2000019F" w:csb1="00000000"/>
    <w:embedRegular r:id="rId6" w:fontKey="{576DE930-EC48-4738-8326-95DC2497D935}"/>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D960C429-3024-4231-A059-2A73154C9B43}"/>
  </w:font>
  <w:font w:name="华文仿宋">
    <w:panose1 w:val="02010600040101010101"/>
    <w:charset w:val="86"/>
    <w:family w:val="auto"/>
    <w:pitch w:val="default"/>
    <w:sig w:usb0="00000287" w:usb1="080F0000" w:usb2="00000000" w:usb3="00000000" w:csb0="0004009F" w:csb1="DFD70000"/>
    <w:embedRegular r:id="rId8" w:fontKey="{4010D009-8C4F-48A4-8FAC-3C166FDF7DCD}"/>
  </w:font>
  <w:font w:name="方正仿宋_GBK">
    <w:panose1 w:val="02000000000000000000"/>
    <w:charset w:val="86"/>
    <w:family w:val="auto"/>
    <w:pitch w:val="default"/>
    <w:sig w:usb0="A00002BF" w:usb1="38CF7CFA" w:usb2="00082016" w:usb3="00000000" w:csb0="00040001" w:csb1="00000000"/>
    <w:embedRegular r:id="rId9" w:fontKey="{9BDD1D83-1AEA-4248-A64B-B2D6780C738F}"/>
  </w:font>
  <w:font w:name="华文中宋">
    <w:panose1 w:val="02010600040101010101"/>
    <w:charset w:val="86"/>
    <w:family w:val="auto"/>
    <w:pitch w:val="default"/>
    <w:sig w:usb0="00000287" w:usb1="080F0000" w:usb2="00000000" w:usb3="00000000" w:csb0="0004009F" w:csb1="DFD70000"/>
    <w:embedRegular r:id="rId10" w:fontKey="{FBC7470E-8130-4C8D-9C19-1834C2CDA3BC}"/>
  </w:font>
  <w:font w:name="汉仪书宋二S">
    <w:altName w:val="宋体"/>
    <w:panose1 w:val="00000000000000000000"/>
    <w:charset w:val="00"/>
    <w:family w:val="auto"/>
    <w:pitch w:val="default"/>
    <w:sig w:usb0="00000000" w:usb1="00000000" w:usb2="00000000" w:usb3="00000000" w:csb0="00000000" w:csb1="00000000"/>
    <w:embedRegular r:id="rId11" w:fontKey="{480EE46B-7FDD-41C4-B540-4C735C4B9D22}"/>
  </w:font>
  <w:font w:name="华文楷体">
    <w:panose1 w:val="02010600040101010101"/>
    <w:charset w:val="86"/>
    <w:family w:val="auto"/>
    <w:pitch w:val="default"/>
    <w:sig w:usb0="00000287" w:usb1="080F0000" w:usb2="00000000" w:usb3="00000000" w:csb0="0004009F" w:csb1="DFD70000"/>
    <w:embedRegular r:id="rId12" w:fontKey="{8F3F202F-D8F1-4373-A9B5-2A67B14C9959}"/>
  </w:font>
  <w:font w:name="ˎ̥">
    <w:altName w:val="Times New Roman"/>
    <w:panose1 w:val="00000000000000000000"/>
    <w:charset w:val="00"/>
    <w:family w:val="auto"/>
    <w:pitch w:val="default"/>
    <w:sig w:usb0="00000000" w:usb1="00000000" w:usb2="00000000" w:usb3="00000000" w:csb0="00040001" w:csb1="00000000"/>
    <w:embedRegular r:id="rId13" w:fontKey="{5A132726-5D35-4826-B129-BEE1A80D17DC}"/>
  </w:font>
  <w:font w:name="仿宋">
    <w:panose1 w:val="02010609060101010101"/>
    <w:charset w:val="86"/>
    <w:family w:val="modern"/>
    <w:pitch w:val="default"/>
    <w:sig w:usb0="800002BF" w:usb1="38CF7CFA" w:usb2="00000016" w:usb3="00000000" w:csb0="00040001" w:csb1="00000000"/>
    <w:embedRegular r:id="rId14" w:fontKey="{DB9F4C79-D691-4EEE-B9A1-4E34C01928F6}"/>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14:paraId="1373BD45">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0C241FC4">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11119F51"/>
    <w:multiLevelType w:val="singleLevel"/>
    <w:tmpl w:val="11119F51"/>
    <w:lvl w:ilvl="0" w:tentative="0">
      <w:start w:val="1"/>
      <w:numFmt w:val="decimal"/>
      <w:suff w:val="nothing"/>
      <w:lvlText w:val="%1、"/>
      <w:lvlJc w:val="left"/>
    </w:lvl>
  </w:abstractNum>
  <w:abstractNum w:abstractNumId="10">
    <w:nsid w:val="282D31ED"/>
    <w:multiLevelType w:val="singleLevel"/>
    <w:tmpl w:val="282D31ED"/>
    <w:lvl w:ilvl="0" w:tentative="0">
      <w:start w:val="12"/>
      <w:numFmt w:val="decimal"/>
      <w:lvlText w:val="%1."/>
      <w:lvlJc w:val="left"/>
      <w:pPr>
        <w:tabs>
          <w:tab w:val="left" w:pos="312"/>
        </w:tabs>
      </w:pPr>
    </w:lvl>
  </w:abstractNum>
  <w:abstractNum w:abstractNumId="11">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A0F6431"/>
    <w:multiLevelType w:val="singleLevel"/>
    <w:tmpl w:val="7A0F6431"/>
    <w:lvl w:ilvl="0" w:tentative="0">
      <w:start w:val="1"/>
      <w:numFmt w:val="decimal"/>
      <w:suff w:val="space"/>
      <w:lvlText w:val="%1."/>
      <w:lvlJc w:val="left"/>
    </w:lvl>
  </w:abstractNum>
  <w:num w:numId="1">
    <w:abstractNumId w:val="9"/>
  </w:num>
  <w:num w:numId="2">
    <w:abstractNumId w:val="7"/>
  </w:num>
  <w:num w:numId="3">
    <w:abstractNumId w:val="10"/>
  </w:num>
  <w:num w:numId="4">
    <w:abstractNumId w:val="0"/>
  </w:num>
  <w:num w:numId="5">
    <w:abstractNumId w:val="1"/>
  </w:num>
  <w:num w:numId="6">
    <w:abstractNumId w:val="12"/>
  </w:num>
  <w:num w:numId="7">
    <w:abstractNumId w:val="3"/>
  </w:num>
  <w:num w:numId="8">
    <w:abstractNumId w:val="8"/>
  </w:num>
  <w:num w:numId="9">
    <w:abstractNumId w:val="5"/>
  </w:num>
  <w:num w:numId="10">
    <w:abstractNumId w:val="4"/>
  </w:num>
  <w:num w:numId="11">
    <w:abstractNumId w:val="2"/>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EB20EA"/>
    <w:rsid w:val="02FC0E89"/>
    <w:rsid w:val="030516AD"/>
    <w:rsid w:val="038A3F97"/>
    <w:rsid w:val="03993BA4"/>
    <w:rsid w:val="03A66B69"/>
    <w:rsid w:val="03E017D2"/>
    <w:rsid w:val="042C4F6C"/>
    <w:rsid w:val="04446205"/>
    <w:rsid w:val="047255F5"/>
    <w:rsid w:val="048C54B6"/>
    <w:rsid w:val="049A4077"/>
    <w:rsid w:val="05130EC4"/>
    <w:rsid w:val="05452235"/>
    <w:rsid w:val="055334A9"/>
    <w:rsid w:val="05A21435"/>
    <w:rsid w:val="06127C3D"/>
    <w:rsid w:val="06215480"/>
    <w:rsid w:val="062E1176"/>
    <w:rsid w:val="06364550"/>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A80EA8"/>
    <w:rsid w:val="0DEE34CD"/>
    <w:rsid w:val="0E0B7D94"/>
    <w:rsid w:val="0E230C39"/>
    <w:rsid w:val="0E5E4367"/>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0F712A"/>
    <w:rsid w:val="182513C0"/>
    <w:rsid w:val="18397E11"/>
    <w:rsid w:val="184B6C59"/>
    <w:rsid w:val="194505FE"/>
    <w:rsid w:val="1952303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3D5237"/>
    <w:rsid w:val="1C4F3541"/>
    <w:rsid w:val="1C584649"/>
    <w:rsid w:val="1C792E22"/>
    <w:rsid w:val="1CB57848"/>
    <w:rsid w:val="1CBF2475"/>
    <w:rsid w:val="1D113FAB"/>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6223E8"/>
    <w:rsid w:val="219537A4"/>
    <w:rsid w:val="21C36564"/>
    <w:rsid w:val="21DF0EC4"/>
    <w:rsid w:val="225A4837"/>
    <w:rsid w:val="228D0920"/>
    <w:rsid w:val="23290736"/>
    <w:rsid w:val="23362D65"/>
    <w:rsid w:val="236E5E5F"/>
    <w:rsid w:val="2378337E"/>
    <w:rsid w:val="237B2CF6"/>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6AF46EB"/>
    <w:rsid w:val="270F7B55"/>
    <w:rsid w:val="273B6B9C"/>
    <w:rsid w:val="27427F2B"/>
    <w:rsid w:val="27857F9B"/>
    <w:rsid w:val="2795721C"/>
    <w:rsid w:val="27A641C3"/>
    <w:rsid w:val="27A6670B"/>
    <w:rsid w:val="27C546B8"/>
    <w:rsid w:val="27F74ECE"/>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BC2718"/>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A75BA9"/>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7755A6"/>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A94A24"/>
    <w:rsid w:val="3ED03C16"/>
    <w:rsid w:val="3EEB27FE"/>
    <w:rsid w:val="3F3423F7"/>
    <w:rsid w:val="3F8E1B07"/>
    <w:rsid w:val="40161AFD"/>
    <w:rsid w:val="403326AF"/>
    <w:rsid w:val="408B6047"/>
    <w:rsid w:val="40AF442B"/>
    <w:rsid w:val="40DB3735"/>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6F54837"/>
    <w:rsid w:val="47762C36"/>
    <w:rsid w:val="477C0DDF"/>
    <w:rsid w:val="47D17F22"/>
    <w:rsid w:val="480212E4"/>
    <w:rsid w:val="482B73A4"/>
    <w:rsid w:val="485F7D98"/>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C90623"/>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E4B9C"/>
    <w:rsid w:val="50A30487"/>
    <w:rsid w:val="50DD1804"/>
    <w:rsid w:val="51A52CE0"/>
    <w:rsid w:val="52195EFA"/>
    <w:rsid w:val="529674E9"/>
    <w:rsid w:val="52A0174F"/>
    <w:rsid w:val="535D3873"/>
    <w:rsid w:val="53663D86"/>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8EA18CA"/>
    <w:rsid w:val="590752B6"/>
    <w:rsid w:val="591F15CA"/>
    <w:rsid w:val="596D67DA"/>
    <w:rsid w:val="59760D08"/>
    <w:rsid w:val="599E6993"/>
    <w:rsid w:val="59AC5554"/>
    <w:rsid w:val="5A564466"/>
    <w:rsid w:val="5A902780"/>
    <w:rsid w:val="5A9F4737"/>
    <w:rsid w:val="5AAE2C06"/>
    <w:rsid w:val="5AE8436A"/>
    <w:rsid w:val="5AF80325"/>
    <w:rsid w:val="5B6339F0"/>
    <w:rsid w:val="5B92300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1D177F"/>
    <w:rsid w:val="60545FFD"/>
    <w:rsid w:val="60B116A2"/>
    <w:rsid w:val="60B42F40"/>
    <w:rsid w:val="60B7767B"/>
    <w:rsid w:val="61696F59"/>
    <w:rsid w:val="61D672CA"/>
    <w:rsid w:val="61E63AF5"/>
    <w:rsid w:val="626A2DAC"/>
    <w:rsid w:val="62784498"/>
    <w:rsid w:val="62EF051D"/>
    <w:rsid w:val="63293771"/>
    <w:rsid w:val="637C7D45"/>
    <w:rsid w:val="639808F7"/>
    <w:rsid w:val="640D77C3"/>
    <w:rsid w:val="645F2960"/>
    <w:rsid w:val="64654C7D"/>
    <w:rsid w:val="64990730"/>
    <w:rsid w:val="64BD496D"/>
    <w:rsid w:val="64BE25DF"/>
    <w:rsid w:val="64DB5DF9"/>
    <w:rsid w:val="64F93617"/>
    <w:rsid w:val="654436B9"/>
    <w:rsid w:val="655D3BA6"/>
    <w:rsid w:val="65655387"/>
    <w:rsid w:val="659A6BA8"/>
    <w:rsid w:val="65FE7BFD"/>
    <w:rsid w:val="66EC6F90"/>
    <w:rsid w:val="66F2031E"/>
    <w:rsid w:val="67AA7E58"/>
    <w:rsid w:val="67AB0BF9"/>
    <w:rsid w:val="67DD0E4F"/>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7D69F9"/>
    <w:rsid w:val="6F834B73"/>
    <w:rsid w:val="6F857F81"/>
    <w:rsid w:val="6FC62348"/>
    <w:rsid w:val="6FE10E18"/>
    <w:rsid w:val="6FEC14A9"/>
    <w:rsid w:val="6FEC6252"/>
    <w:rsid w:val="702E23C7"/>
    <w:rsid w:val="706B487A"/>
    <w:rsid w:val="70A15EF2"/>
    <w:rsid w:val="70CB230C"/>
    <w:rsid w:val="70E643D8"/>
    <w:rsid w:val="721E46BD"/>
    <w:rsid w:val="72271FEC"/>
    <w:rsid w:val="72655E48"/>
    <w:rsid w:val="72824C4C"/>
    <w:rsid w:val="728A3B01"/>
    <w:rsid w:val="72932F7F"/>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6105C1"/>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3"/>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Title"/>
    <w:basedOn w:val="1"/>
    <w:qFormat/>
    <w:uiPriority w:val="0"/>
    <w:pPr>
      <w:spacing w:before="240" w:after="60"/>
      <w:jc w:val="center"/>
      <w:outlineLvl w:val="0"/>
    </w:pPr>
    <w:rPr>
      <w:rFonts w:ascii="Arial" w:hAnsi="Arial" w:eastAsia="隶书" w:cs="Arial"/>
      <w:b/>
      <w:bCs/>
      <w:sz w:val="32"/>
      <w:szCs w:val="32"/>
    </w:rPr>
  </w:style>
  <w:style w:type="paragraph" w:styleId="9">
    <w:name w:val="Document Map"/>
    <w:basedOn w:val="1"/>
    <w:link w:val="32"/>
    <w:semiHidden/>
    <w:unhideWhenUsed/>
    <w:qFormat/>
    <w:uiPriority w:val="99"/>
    <w:rPr>
      <w:rFonts w:ascii="宋体" w:eastAsia="宋体"/>
      <w:sz w:val="18"/>
      <w:szCs w:val="18"/>
    </w:rPr>
  </w:style>
  <w:style w:type="paragraph" w:styleId="10">
    <w:name w:val="annotation text"/>
    <w:basedOn w:val="1"/>
    <w:link w:val="34"/>
    <w:unhideWhenUsed/>
    <w:qFormat/>
    <w:uiPriority w:val="99"/>
    <w:pPr>
      <w:jc w:val="left"/>
    </w:pPr>
  </w:style>
  <w:style w:type="paragraph" w:styleId="11">
    <w:name w:val="Balloon Text"/>
    <w:basedOn w:val="1"/>
    <w:link w:val="28"/>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6">
    <w:name w:val="annotation subject"/>
    <w:basedOn w:val="10"/>
    <w:next w:val="10"/>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3"/>
    <w:semiHidden/>
    <w:qFormat/>
    <w:uiPriority w:val="99"/>
    <w:rPr>
      <w:sz w:val="18"/>
      <w:szCs w:val="18"/>
    </w:rPr>
  </w:style>
  <w:style w:type="character" w:customStyle="1" w:styleId="27">
    <w:name w:val="页脚 Char"/>
    <w:basedOn w:val="19"/>
    <w:link w:val="12"/>
    <w:qFormat/>
    <w:uiPriority w:val="99"/>
    <w:rPr>
      <w:sz w:val="18"/>
      <w:szCs w:val="18"/>
    </w:rPr>
  </w:style>
  <w:style w:type="character" w:customStyle="1" w:styleId="28">
    <w:name w:val="批注框文本 Char"/>
    <w:basedOn w:val="19"/>
    <w:link w:val="11"/>
    <w:semiHidden/>
    <w:qFormat/>
    <w:uiPriority w:val="99"/>
    <w:rPr>
      <w:sz w:val="18"/>
      <w:szCs w:val="18"/>
    </w:rPr>
  </w:style>
  <w:style w:type="character" w:customStyle="1" w:styleId="29">
    <w:name w:val="普通(网站) Char"/>
    <w:link w:val="15"/>
    <w:qFormat/>
    <w:uiPriority w:val="99"/>
    <w:rPr>
      <w:rFonts w:ascii="宋体" w:hAnsi="宋体"/>
      <w:sz w:val="24"/>
      <w:szCs w:val="24"/>
    </w:rPr>
  </w:style>
  <w:style w:type="character" w:customStyle="1" w:styleId="30">
    <w:name w:val="标题 1 Char"/>
    <w:basedOn w:val="19"/>
    <w:link w:val="2"/>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9"/>
    <w:semiHidden/>
    <w:qFormat/>
    <w:uiPriority w:val="99"/>
    <w:rPr>
      <w:rFonts w:ascii="宋体" w:eastAsia="宋体"/>
      <w:sz w:val="18"/>
      <w:szCs w:val="18"/>
    </w:rPr>
  </w:style>
  <w:style w:type="character" w:customStyle="1" w:styleId="33">
    <w:name w:val="标题 2 Char"/>
    <w:basedOn w:val="19"/>
    <w:link w:val="5"/>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10"/>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21"/>
    <w:basedOn w:val="19"/>
    <w:qFormat/>
    <w:uiPriority w:val="0"/>
    <w:rPr>
      <w:rFonts w:hint="eastAsia" w:ascii="宋体" w:hAnsi="宋体" w:eastAsia="宋体" w:cs="宋体"/>
      <w:color w:val="000000"/>
      <w:sz w:val="21"/>
      <w:szCs w:val="21"/>
      <w:u w:val="none"/>
    </w:rPr>
  </w:style>
  <w:style w:type="character" w:customStyle="1" w:styleId="39">
    <w:name w:val="font11"/>
    <w:basedOn w:val="19"/>
    <w:qFormat/>
    <w:uiPriority w:val="0"/>
    <w:rPr>
      <w:rFonts w:hint="eastAsia" w:ascii="宋体" w:hAnsi="宋体" w:eastAsia="宋体" w:cs="宋体"/>
      <w:color w:val="000000"/>
      <w:sz w:val="21"/>
      <w:szCs w:val="21"/>
      <w:u w:val="none"/>
    </w:rPr>
  </w:style>
  <w:style w:type="character" w:customStyle="1" w:styleId="40">
    <w:name w:val="font41"/>
    <w:basedOn w:val="19"/>
    <w:qFormat/>
    <w:uiPriority w:val="0"/>
    <w:rPr>
      <w:rFonts w:hint="eastAsia" w:ascii="宋体" w:hAnsi="宋体" w:eastAsia="宋体" w:cs="宋体"/>
      <w:color w:val="FF0000"/>
      <w:sz w:val="21"/>
      <w:szCs w:val="21"/>
      <w:u w:val="none"/>
    </w:rPr>
  </w:style>
  <w:style w:type="character" w:customStyle="1" w:styleId="41">
    <w:name w:val="font51"/>
    <w:basedOn w:val="19"/>
    <w:qFormat/>
    <w:uiPriority w:val="0"/>
    <w:rPr>
      <w:rFonts w:hint="eastAsia" w:ascii="宋体" w:hAnsi="宋体" w:eastAsia="宋体" w:cs="宋体"/>
      <w:color w:val="FF0000"/>
      <w:sz w:val="21"/>
      <w:szCs w:val="21"/>
      <w:u w:val="none"/>
      <w:vertAlign w:val="superscript"/>
    </w:rPr>
  </w:style>
  <w:style w:type="character" w:customStyle="1" w:styleId="42">
    <w:name w:val="font61"/>
    <w:basedOn w:val="19"/>
    <w:qFormat/>
    <w:uiPriority w:val="0"/>
    <w:rPr>
      <w:rFonts w:hint="eastAsia" w:ascii="宋体" w:hAnsi="宋体" w:eastAsia="宋体" w:cs="宋体"/>
      <w:b/>
      <w:bCs/>
      <w:color w:val="0000F4"/>
      <w:sz w:val="21"/>
      <w:szCs w:val="21"/>
      <w:u w:val="none"/>
    </w:rPr>
  </w:style>
  <w:style w:type="character" w:customStyle="1" w:styleId="43">
    <w:name w:val="font71"/>
    <w:basedOn w:val="19"/>
    <w:qFormat/>
    <w:uiPriority w:val="0"/>
    <w:rPr>
      <w:rFonts w:hint="eastAsia" w:ascii="宋体" w:hAnsi="宋体" w:eastAsia="宋体" w:cs="宋体"/>
      <w:color w:val="FF0000"/>
      <w:sz w:val="21"/>
      <w:szCs w:val="21"/>
      <w:u w:val="none"/>
      <w:vertAlign w:val="subscript"/>
    </w:rPr>
  </w:style>
  <w:style w:type="character" w:customStyle="1" w:styleId="44">
    <w:name w:val="font81"/>
    <w:basedOn w:val="19"/>
    <w:qFormat/>
    <w:uiPriority w:val="0"/>
    <w:rPr>
      <w:rFonts w:hint="eastAsia" w:ascii="宋体" w:hAnsi="宋体" w:eastAsia="宋体" w:cs="宋体"/>
      <w:color w:val="0000FF"/>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84</Pages>
  <Words>18767</Words>
  <Characters>21196</Characters>
  <Lines>316</Lines>
  <Paragraphs>88</Paragraphs>
  <TotalTime>3</TotalTime>
  <ScaleCrop>false</ScaleCrop>
  <LinksUpToDate>false</LinksUpToDate>
  <CharactersWithSpaces>21361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彩虹</cp:lastModifiedBy>
  <cp:lastPrinted>2025-06-11T07:30:00Z</cp:lastPrinted>
  <dcterms:modified xsi:type="dcterms:W3CDTF">2025-06-11T10:49:39Z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EBB417B8C408401387D393A1A41C9078_13</vt:lpwstr>
  </property>
  <property fmtid="{D5CDD505-2E9C-101B-9397-08002B2CF9AE}" pid="4" name="KSOTemplateDocerSaveRecord">
    <vt:lpwstr>eyJoZGlkIjoiZWRjOWYzNmNkMjVlMzA5NzJiZjg4YmM3Y2FmNjY1NjciLCJ1c2VySWQiOiIxMDUyMDg0MjM1In0=</vt:lpwstr>
  </property>
</Properties>
</file>