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rFonts w:hint="default"/>
                <w:sz w:val="30"/>
                <w:szCs w:val="30"/>
                <w:lang w:val="en-US"/>
              </w:rPr>
            </w:pPr>
            <w:r>
              <w:rPr>
                <w:rFonts w:hint="eastAsia" w:asciiTheme="minorEastAsia" w:hAnsiTheme="minorEastAsia"/>
                <w:sz w:val="30"/>
                <w:szCs w:val="30"/>
                <w:highlight w:val="none"/>
              </w:rPr>
              <w:t>BAZXCG-2025-000</w:t>
            </w:r>
            <w:r>
              <w:rPr>
                <w:rFonts w:hint="eastAsia" w:asciiTheme="minorEastAsia" w:hAnsiTheme="minorEastAsia"/>
                <w:sz w:val="30"/>
                <w:szCs w:val="30"/>
                <w:highlight w:val="none"/>
                <w:lang w:val="en-US" w:eastAsia="zh-CN"/>
              </w:rPr>
              <w:t>75</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rFonts w:hint="eastAsia" w:eastAsiaTheme="minorEastAsia"/>
                <w:sz w:val="30"/>
                <w:szCs w:val="30"/>
                <w:lang w:eastAsia="zh-CN"/>
              </w:rPr>
            </w:pPr>
            <w:bookmarkStart w:id="1" w:name="OLE_LINK1"/>
            <w:r>
              <w:rPr>
                <w:rFonts w:hint="eastAsia"/>
                <w:sz w:val="30"/>
                <w:szCs w:val="30"/>
                <w:lang w:eastAsia="zh-CN"/>
              </w:rPr>
              <w:t>深圳市宝安区上星学校（深圳大学附属中学宝安学校）课桌椅设备采购项目</w:t>
            </w:r>
            <w:bookmarkEnd w:id="1"/>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4"/>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4"/>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2" w:name="_Hlk71832186"/>
            <w:r>
              <w:rPr>
                <w:rFonts w:hint="eastAsia"/>
              </w:rPr>
              <w:t>相应预算金额（或设定的预算金额下的最高限价）</w:t>
            </w:r>
            <w:bookmarkEnd w:id="2"/>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4"/>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22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46"/>
        <w:gridCol w:w="535"/>
        <w:gridCol w:w="681"/>
        <w:gridCol w:w="2005"/>
        <w:gridCol w:w="946"/>
        <w:gridCol w:w="4765"/>
        <w:gridCol w:w="14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4"/>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hint="eastAsia" w:asciiTheme="minorEastAsia" w:hAnsiTheme="minorEastAsia" w:eastAsiaTheme="minorEastAsia" w:cstheme="minorEastAsia"/>
                <w:b/>
                <w:bCs/>
                <w:szCs w:val="21"/>
              </w:rPr>
            </w:pPr>
            <w:bookmarkStart w:id="3" w:name="_Hlk72360569"/>
            <w:r>
              <w:rPr>
                <w:rFonts w:hint="eastAsia" w:asciiTheme="minorEastAsia" w:hAnsiTheme="minorEastAsia" w:eastAsiaTheme="minorEastAsia" w:cstheme="minorEastAsia"/>
                <w:b/>
                <w:bCs/>
                <w:kern w:val="0"/>
                <w:szCs w:val="21"/>
                <w:lang w:bidi="ar"/>
              </w:rPr>
              <w:t>序号</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评分项</w:t>
            </w:r>
          </w:p>
        </w:tc>
        <w:tc>
          <w:tcPr>
            <w:tcW w:w="4765"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1</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价格</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hint="eastAsia" w:asciiTheme="minorEastAsia" w:hAnsiTheme="minorEastAsia" w:eastAsiaTheme="minorEastAsia" w:cstheme="minorEastAsia"/>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2</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技术部分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asciiTheme="minorEastAsia" w:hAnsiTheme="minorEastAsia" w:eastAsiaTheme="minorEastAsia" w:cstheme="minorEastAsia"/>
                <w:b/>
                <w:bCs/>
                <w:color w:val="0000FF"/>
                <w:szCs w:val="21"/>
                <w:lang w:val="en-US" w:eastAsia="zh-CN"/>
              </w:rPr>
            </w:pPr>
            <w:r>
              <w:rPr>
                <w:rFonts w:hint="eastAsia" w:asciiTheme="minorEastAsia" w:hAnsiTheme="minorEastAsia" w:cstheme="minorEastAsia"/>
                <w:b/>
                <w:bCs/>
                <w:color w:val="0000FF"/>
                <w:szCs w:val="21"/>
                <w:lang w:val="en-US" w:eastAsia="zh-CN"/>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hint="eastAsia" w:asciiTheme="minorEastAsia" w:hAnsiTheme="minorEastAsia" w:eastAsiaTheme="minorEastAsia" w:cstheme="minorEastAsia"/>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“▲”参数响应情况评价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24</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pPr>
              <w:snapToGrid w:val="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bCs/>
                <w:kern w:val="0"/>
                <w:szCs w:val="21"/>
              </w:rPr>
              <w:t>“▲”参数响应</w:t>
            </w:r>
            <w:r>
              <w:rPr>
                <w:rFonts w:hint="eastAsia" w:asciiTheme="minorEastAsia" w:hAnsiTheme="minorEastAsia" w:eastAsiaTheme="minorEastAsia" w:cstheme="minorEastAsia"/>
                <w:kern w:val="0"/>
                <w:szCs w:val="21"/>
              </w:rPr>
              <w:t>情况。</w:t>
            </w:r>
          </w:p>
          <w:p>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12.5</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2</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非“</w:t>
            </w:r>
            <w:r>
              <w:rPr>
                <w:rFonts w:hint="eastAsia" w:asciiTheme="minorEastAsia" w:hAnsiTheme="minorEastAsia" w:eastAsiaTheme="minorEastAsia" w:cstheme="minorEastAsia"/>
                <w:bCs/>
                <w:szCs w:val="21"/>
              </w:rPr>
              <w:t>▲”参数</w:t>
            </w:r>
            <w:r>
              <w:rPr>
                <w:rFonts w:hint="eastAsia" w:asciiTheme="minorEastAsia" w:hAnsiTheme="minorEastAsia" w:eastAsiaTheme="minorEastAsia" w:cstheme="minorEastAsia"/>
                <w:szCs w:val="21"/>
              </w:rPr>
              <w:t>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15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pPr>
              <w:widowControl/>
              <w:spacing w:line="300" w:lineRule="exact"/>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kern w:val="0"/>
                <w:szCs w:val="21"/>
              </w:rPr>
              <w:t>非“▲”参数响应</w:t>
            </w:r>
            <w:r>
              <w:rPr>
                <w:rFonts w:hint="eastAsia" w:asciiTheme="minorEastAsia" w:hAnsiTheme="minorEastAsia" w:eastAsiaTheme="minorEastAsia" w:cstheme="minorEastAsia"/>
                <w:kern w:val="0"/>
                <w:szCs w:val="21"/>
              </w:rPr>
              <w:t>情况。</w:t>
            </w:r>
          </w:p>
          <w:p>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pPr>
              <w:autoSpaceDE w:val="0"/>
              <w:autoSpaceDN w:val="0"/>
              <w:adjustRightInd w:val="0"/>
              <w:spacing w:line="30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以投标文件《技术要求偏离表》为评审依据，完全符合招标要求的，得100分。每1项非“▲”参数不符合招标要求（或缺漏）的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2.5</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3</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项目实施方案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9</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根据投标人提供的项目实施方案进行评价，包括但不限于以下内容：</w:t>
            </w:r>
          </w:p>
          <w:p>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项目进度计划安排；</w:t>
            </w:r>
          </w:p>
          <w:p>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施工组织计划；</w:t>
            </w:r>
          </w:p>
          <w:p>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验收组织计划；</w:t>
            </w:r>
          </w:p>
          <w:p>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产品培训方案。</w:t>
            </w:r>
          </w:p>
          <w:p>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1、方案满足上述任意一项得15分，最高得60分。</w:t>
            </w:r>
          </w:p>
          <w:p>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2、在此基础上，由评审委员会根据方案响应情况进一步评审：</w:t>
            </w:r>
          </w:p>
          <w:p>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lang w:bidi="ar"/>
              </w:rPr>
            </w:pPr>
            <w:r>
              <w:rPr>
                <w:rFonts w:hint="eastAsia" w:asciiTheme="minorEastAsia" w:hAnsiTheme="minorEastAsia" w:eastAsiaTheme="minorEastAsia" w:cstheme="minorEastAsia"/>
                <w:color w:val="0000FF"/>
                <w:kern w:val="0"/>
                <w:szCs w:val="21"/>
                <w:lang w:bidi="ar"/>
              </w:rPr>
              <w:t>①方案极合理、条理极清晰、可操作性极强的得40分；</w:t>
            </w:r>
          </w:p>
          <w:p>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kern w:val="0"/>
                <w:szCs w:val="21"/>
                <w:highlight w:val="none"/>
                <w:lang w:bidi="ar"/>
              </w:rPr>
              <w:t>②方案合理、条理清晰、可操作强的得20分；</w:t>
            </w:r>
          </w:p>
          <w:p>
            <w:pPr>
              <w:widowControl/>
              <w:spacing w:line="240" w:lineRule="auto"/>
              <w:ind w:firstLine="420" w:firstLineChars="200"/>
              <w:jc w:val="left"/>
              <w:textAlignment w:val="center"/>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kern w:val="0"/>
                <w:szCs w:val="21"/>
                <w:highlight w:val="none"/>
                <w:lang w:bidi="ar"/>
              </w:rPr>
              <w:t>③</w:t>
            </w:r>
            <w:r>
              <w:rPr>
                <w:rFonts w:hint="eastAsia" w:asciiTheme="minorEastAsia" w:hAnsiTheme="minorEastAsia" w:eastAsiaTheme="minorEastAsia" w:cstheme="minorEastAsia"/>
                <w:color w:val="0000FF"/>
                <w:kern w:val="0"/>
                <w:szCs w:val="21"/>
                <w:highlight w:val="none"/>
                <w:lang w:val="en-US" w:eastAsia="zh-CN" w:bidi="ar"/>
              </w:rPr>
              <w:t>方案极不合理、条理极不清晰、可操作极差的不得分。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eastAsiaTheme="minorEastAsia" w:cstheme="minorEastAsia"/>
                <w:kern w:val="0"/>
                <w:szCs w:val="21"/>
                <w:lang w:val="en-US" w:eastAsia="zh-CN" w:bidi="ar"/>
              </w:rPr>
              <w:t>4</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售后服务方案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9</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根据投标人提供的售后服务方案进行评价，包括但不限于以下内容：</w:t>
            </w:r>
          </w:p>
          <w:p>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1、服务内容；</w:t>
            </w:r>
          </w:p>
          <w:p>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2、维修应急方案；</w:t>
            </w:r>
          </w:p>
          <w:p>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3、培训计划；</w:t>
            </w:r>
          </w:p>
          <w:p>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4、其他特色服务等。</w:t>
            </w:r>
          </w:p>
          <w:p>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pPr>
              <w:snapToGrid w:val="0"/>
              <w:ind w:firstLine="422"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b/>
                <w:bCs/>
                <w:color w:val="0000FF"/>
                <w:szCs w:val="21"/>
              </w:rPr>
              <w:t>1、方案满足上述任意一项得15分，最高得60分。</w:t>
            </w:r>
          </w:p>
          <w:p>
            <w:pPr>
              <w:snapToGrid w:val="0"/>
              <w:ind w:firstLine="422" w:firstLineChars="200"/>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2、在此基础上，由评审委员会根据方案响应情况进一步评审：</w:t>
            </w:r>
          </w:p>
          <w:p>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①方案极合理、条理极清晰、可操作性极强的得40分；</w:t>
            </w:r>
          </w:p>
          <w:p>
            <w:pPr>
              <w:snapToGrid w:val="0"/>
              <w:ind w:firstLine="420" w:firstLineChars="200"/>
              <w:rPr>
                <w:rFonts w:hint="eastAsia" w:asciiTheme="minorEastAsia" w:hAnsiTheme="minorEastAsia" w:eastAsiaTheme="minorEastAsia" w:cstheme="minorEastAsia"/>
                <w:color w:val="0000FF"/>
                <w:szCs w:val="21"/>
                <w:highlight w:val="none"/>
              </w:rPr>
            </w:pPr>
            <w:r>
              <w:rPr>
                <w:rFonts w:hint="eastAsia" w:asciiTheme="minorEastAsia" w:hAnsiTheme="minorEastAsia" w:eastAsiaTheme="minorEastAsia" w:cstheme="minorEastAsia"/>
                <w:color w:val="0000FF"/>
                <w:szCs w:val="21"/>
                <w:highlight w:val="none"/>
              </w:rPr>
              <w:t>②方案合理、条理清晰、可操作强的得20分；</w:t>
            </w:r>
          </w:p>
          <w:p>
            <w:pPr>
              <w:snapToGrid w:val="0"/>
              <w:ind w:firstLine="420" w:firstLineChars="200"/>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szCs w:val="21"/>
                <w:highlight w:val="none"/>
              </w:rPr>
              <w:t>③方案</w:t>
            </w:r>
            <w:r>
              <w:rPr>
                <w:rFonts w:hint="eastAsia" w:asciiTheme="minorEastAsia" w:hAnsiTheme="minorEastAsia" w:eastAsiaTheme="minorEastAsia" w:cstheme="minorEastAsia"/>
                <w:color w:val="0000FF"/>
                <w:szCs w:val="21"/>
              </w:rPr>
              <w:t>极不合理、条理极不清晰、可操作极差的不得分。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cstheme="minorEastAsia"/>
                <w:kern w:val="0"/>
                <w:szCs w:val="21"/>
                <w:lang w:val="en-US" w:eastAsia="zh-CN" w:bidi="ar"/>
              </w:rPr>
              <w:t>5</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绿色采购情况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投标人提供符合相关要求的承诺函得100分（格式自定，应在《</w:t>
            </w:r>
            <w:r>
              <w:rPr>
                <w:rFonts w:hint="eastAsia" w:asciiTheme="minorEastAsia" w:hAnsiTheme="minorEastAsia" w:cstheme="minorEastAsia"/>
                <w:color w:val="0000FF"/>
                <w:szCs w:val="21"/>
                <w:lang w:val="en-US" w:eastAsia="zh-CN"/>
              </w:rPr>
              <w:t>自行</w:t>
            </w:r>
            <w:r>
              <w:rPr>
                <w:rFonts w:hint="eastAsia" w:asciiTheme="minorEastAsia" w:hAnsiTheme="minorEastAsia" w:eastAsiaTheme="minorEastAsia" w:cstheme="minorEastAsia"/>
                <w:color w:val="0000FF"/>
                <w:szCs w:val="21"/>
              </w:rPr>
              <w:t>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cstheme="minorEastAsia"/>
                <w:kern w:val="0"/>
                <w:szCs w:val="21"/>
                <w:lang w:val="en-US" w:eastAsia="zh-CN" w:bidi="ar"/>
              </w:rPr>
              <w:t>6</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政府采购节能环保产品情况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pPr>
              <w:autoSpaceDE w:val="0"/>
              <w:autoSpaceDN w:val="0"/>
              <w:adjustRightInd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根据《关于印发节能产品政府采购品目清单的通知》（财库〔2019〕19号）以及《关于印发环境标志产品政府采购品目清单的通知》（财库〔2019〕18号）的要求，投标人所投任一产品（以招标文件第三章 用户需求书 二、货物需求明细中“货物名称”为准）被列入节能产品政府采购品目清单（</w:t>
            </w:r>
            <w:r>
              <w:rPr>
                <w:rFonts w:hint="eastAsia" w:asciiTheme="minorEastAsia" w:hAnsiTheme="minorEastAsia" w:eastAsiaTheme="minorEastAsia" w:cstheme="minorEastAsia"/>
                <w:color w:val="FF0000"/>
                <w:szCs w:val="21"/>
              </w:rPr>
              <w:t>已标注“★”号属政府强制采购产品需具有节能产品认证证书的除外</w:t>
            </w:r>
            <w:r>
              <w:rPr>
                <w:rFonts w:hint="eastAsia" w:asciiTheme="minorEastAsia" w:hAnsiTheme="minorEastAsia" w:eastAsiaTheme="minorEastAsia" w:cstheme="minorEastAsia"/>
                <w:szCs w:val="21"/>
              </w:rPr>
              <w:t>）或环境标志产品政府采购品目清单，且具有有效期内的节能产品或环境标志产品认证证书的，每提供1项得100分，最高得100分。</w:t>
            </w:r>
          </w:p>
          <w:p>
            <w:pPr>
              <w:snapToGrid w:val="0"/>
              <w:rPr>
                <w:rFonts w:hint="eastAsia" w:asciiTheme="minorEastAsia" w:hAnsiTheme="minorEastAsia" w:eastAsiaTheme="minorEastAsia" w:cstheme="minorEastAsia"/>
                <w:b/>
                <w:bCs/>
                <w:color w:val="0000CC"/>
                <w:szCs w:val="21"/>
              </w:rPr>
            </w:pPr>
            <w:r>
              <w:rPr>
                <w:rFonts w:hint="eastAsia" w:asciiTheme="minorEastAsia" w:hAnsiTheme="minorEastAsia" w:eastAsiaTheme="minorEastAsia" w:cstheme="minorEastAsia"/>
                <w:b/>
                <w:bCs/>
                <w:color w:val="0000CC"/>
                <w:szCs w:val="21"/>
              </w:rPr>
              <w:t>二、评审依据：</w:t>
            </w:r>
          </w:p>
          <w:p>
            <w:pPr>
              <w:snapToGrid w:val="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1、提供《市场监管总局关于发布参与实施政府采购节能产品、环境标志产品认证机构名录的公告》（2019年第16号）确定的认证机构出具的且处于有效期内的节能产品或环境标志产品认证证书扫描件；</w:t>
            </w:r>
          </w:p>
          <w:p>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商务部分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lang w:eastAsia="zh-CN"/>
              </w:rPr>
            </w:pPr>
            <w:r>
              <w:rPr>
                <w:rFonts w:hint="eastAsia" w:asciiTheme="minorEastAsia" w:hAnsiTheme="minorEastAsia" w:cstheme="minorEastAsia"/>
                <w:b/>
                <w:bCs/>
                <w:color w:val="0000FF"/>
                <w:szCs w:val="21"/>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hint="eastAsia" w:asciiTheme="minorEastAsia" w:hAnsiTheme="minorEastAsia" w:eastAsiaTheme="minorEastAsia" w:cstheme="minorEastAsia"/>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after="60" w:line="2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同类业绩情况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260" w:lineRule="exact"/>
              <w:jc w:val="center"/>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6</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pPr>
              <w:snapToGrid w:val="0"/>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自2022年1月1日以来（以合同签订日期为准），投标人</w:t>
            </w:r>
            <w:r>
              <w:rPr>
                <w:rFonts w:hint="eastAsia" w:asciiTheme="minorEastAsia" w:hAnsiTheme="minorEastAsia" w:eastAsiaTheme="minorEastAsia" w:cstheme="minorEastAsia"/>
                <w:b/>
                <w:bCs/>
                <w:szCs w:val="21"/>
              </w:rPr>
              <w:t>与本项目同类（</w:t>
            </w:r>
            <w:r>
              <w:rPr>
                <w:rFonts w:hint="eastAsia" w:asciiTheme="minorEastAsia" w:hAnsiTheme="minorEastAsia" w:eastAsiaTheme="minorEastAsia" w:cstheme="minorEastAsia"/>
                <w:b/>
                <w:bCs/>
                <w:szCs w:val="21"/>
                <w:lang w:val="en-US" w:eastAsia="zh-CN"/>
              </w:rPr>
              <w:t>学校升降课桌椅类</w:t>
            </w:r>
            <w:r>
              <w:rPr>
                <w:rFonts w:hint="eastAsia" w:asciiTheme="minorEastAsia" w:hAnsiTheme="minorEastAsia" w:eastAsiaTheme="minorEastAsia" w:cstheme="minorEastAsia"/>
                <w:b/>
                <w:bCs/>
                <w:szCs w:val="21"/>
              </w:rPr>
              <w:t>）项目</w:t>
            </w:r>
            <w:r>
              <w:rPr>
                <w:rFonts w:hint="eastAsia" w:asciiTheme="minorEastAsia" w:hAnsiTheme="minorEastAsia" w:cstheme="minorEastAsia"/>
                <w:b/>
                <w:bCs/>
                <w:szCs w:val="21"/>
                <w:lang w:val="en-US" w:eastAsia="zh-CN"/>
              </w:rPr>
              <w:t>供货</w:t>
            </w:r>
            <w:r>
              <w:rPr>
                <w:rFonts w:hint="eastAsia" w:asciiTheme="minorEastAsia" w:hAnsiTheme="minorEastAsia" w:eastAsiaTheme="minorEastAsia" w:cstheme="minorEastAsia"/>
                <w:b/>
                <w:bCs/>
                <w:szCs w:val="21"/>
              </w:rPr>
              <w:t>经验</w:t>
            </w:r>
            <w:r>
              <w:rPr>
                <w:rFonts w:hint="eastAsia" w:asciiTheme="minorEastAsia" w:hAnsiTheme="minorEastAsia" w:eastAsiaTheme="minorEastAsia" w:cstheme="minorEastAsia"/>
                <w:b/>
                <w:bCs/>
                <w:szCs w:val="21"/>
                <w:lang w:eastAsia="zh-CN"/>
              </w:rPr>
              <w:t>且</w:t>
            </w:r>
            <w:r>
              <w:rPr>
                <w:rFonts w:hint="eastAsia" w:asciiTheme="minorEastAsia" w:hAnsiTheme="minorEastAsia" w:eastAsiaTheme="minorEastAsia" w:cstheme="minorEastAsia"/>
                <w:szCs w:val="21"/>
              </w:rPr>
              <w:t>履约评价为优或满意（或同等评价），每提供一项得</w:t>
            </w:r>
            <w:r>
              <w:rPr>
                <w:rFonts w:hint="eastAsia" w:asciiTheme="minorEastAsia" w:hAnsiTheme="minorEastAsia" w:cstheme="minorEastAsia"/>
                <w:szCs w:val="21"/>
                <w:lang w:val="en-US" w:eastAsia="zh-CN"/>
              </w:rPr>
              <w:t>2</w:t>
            </w:r>
            <w:r>
              <w:rPr>
                <w:rFonts w:hint="eastAsia" w:asciiTheme="minorEastAsia" w:hAnsiTheme="minorEastAsia" w:eastAsiaTheme="minorEastAsia" w:cstheme="minorEastAsia"/>
                <w:szCs w:val="21"/>
              </w:rPr>
              <w:t>0分，本项最高得100分。</w:t>
            </w:r>
          </w:p>
          <w:p>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1、同时提供经验项目合同关键页（含签订合同双方的单位名称、合同项目名称、项目金额</w:t>
            </w:r>
            <w:r>
              <w:rPr>
                <w:rFonts w:hint="eastAsia" w:asciiTheme="minorEastAsia" w:hAnsiTheme="minorEastAsia" w:eastAsiaTheme="minorEastAsia" w:cstheme="minorEastAsia"/>
                <w:color w:val="0000FF"/>
                <w:szCs w:val="21"/>
                <w:lang w:eastAsia="zh-CN"/>
              </w:rPr>
              <w:t>与</w:t>
            </w:r>
            <w:r>
              <w:rPr>
                <w:rFonts w:hint="eastAsia" w:asciiTheme="minorEastAsia" w:hAnsiTheme="minorEastAsia" w:eastAsiaTheme="minorEastAsia" w:cstheme="minorEastAsia"/>
                <w:color w:val="0000FF"/>
                <w:szCs w:val="21"/>
              </w:rPr>
              <w:t>签</w:t>
            </w:r>
            <w:r>
              <w:rPr>
                <w:rFonts w:hint="eastAsia" w:asciiTheme="minorEastAsia" w:hAnsiTheme="minorEastAsia" w:eastAsiaTheme="minorEastAsia" w:cstheme="minorEastAsia"/>
                <w:color w:val="0000FF"/>
                <w:szCs w:val="21"/>
                <w:highlight w:val="none"/>
              </w:rPr>
              <w:t>订合同双方的落款盖章、签订日期等）扫描件、</w:t>
            </w:r>
            <w:r>
              <w:rPr>
                <w:rFonts w:hint="eastAsia" w:asciiTheme="minorEastAsia" w:hAnsiTheme="minorEastAsia" w:cstheme="minorEastAsia"/>
                <w:color w:val="0000FF"/>
                <w:szCs w:val="21"/>
                <w:highlight w:val="none"/>
                <w:lang w:val="en-US" w:eastAsia="zh-CN"/>
              </w:rPr>
              <w:t>货物</w:t>
            </w:r>
            <w:r>
              <w:rPr>
                <w:rFonts w:hint="eastAsia" w:asciiTheme="minorEastAsia" w:hAnsiTheme="minorEastAsia" w:eastAsiaTheme="minorEastAsia" w:cstheme="minorEastAsia"/>
                <w:color w:val="0000FF"/>
                <w:szCs w:val="21"/>
                <w:highlight w:val="none"/>
              </w:rPr>
              <w:t>清单及</w:t>
            </w:r>
            <w:r>
              <w:rPr>
                <w:rFonts w:hint="eastAsia" w:asciiTheme="minorEastAsia" w:hAnsiTheme="minorEastAsia" w:eastAsiaTheme="minorEastAsia" w:cstheme="minorEastAsia"/>
                <w:color w:val="0000FF"/>
                <w:szCs w:val="21"/>
              </w:rPr>
              <w:t>甲方（合同相对方）出具的验收报告并加盖合同甲方（合同相对方）公章或业务章；</w:t>
            </w:r>
          </w:p>
          <w:p>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r>
              <w:rPr>
                <w:rFonts w:hint="eastAsia" w:asciiTheme="minorEastAsia" w:hAnsiTheme="minorEastAsia" w:eastAsiaTheme="minorEastAsia" w:cstheme="minorEastAsia"/>
                <w:color w:val="0000FF"/>
                <w:szCs w:val="21"/>
                <w:lang w:val="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4</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诚信情况</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hint="eastAsia" w:asciiTheme="minorEastAsia" w:hAnsiTheme="minorEastAsia" w:eastAsiaTheme="minorEastAsia" w:cstheme="minorEastAsia"/>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诚信情况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pPr>
              <w:pStyle w:val="2"/>
              <w:wordWrap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pPr>
              <w:pStyle w:val="2"/>
              <w:wordWrap w:val="0"/>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3"/>
    </w:tbl>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4"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4"/>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5"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6" w:name="_Hlk71994379"/>
      <w:r>
        <w:rPr>
          <w:rFonts w:hint="eastAsia" w:ascii="宋体" w:hAnsi="宋体"/>
          <w:szCs w:val="21"/>
        </w:rPr>
        <w:t>对通用条款的补充内容及其他关键信息</w:t>
      </w:r>
      <w:bookmarkEnd w:id="6"/>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2"/>
        <w:rPr>
          <w:rFonts w:hint="eastAsia"/>
        </w:rPr>
      </w:pPr>
    </w:p>
    <w:p>
      <w:pPr>
        <w:pStyle w:val="13"/>
        <w:rPr>
          <w:rFonts w:hint="eastAsia"/>
        </w:rPr>
      </w:pPr>
    </w:p>
    <w:p>
      <w:pPr>
        <w:pStyle w:val="13"/>
        <w:rPr>
          <w:rFonts w:hint="eastAsia"/>
        </w:rPr>
      </w:pPr>
    </w:p>
    <w:p>
      <w:pPr>
        <w:pStyle w:val="2"/>
        <w:rPr>
          <w:rFonts w:hint="eastAsia"/>
        </w:rPr>
        <w:sectPr>
          <w:pgSz w:w="11907" w:h="16840"/>
          <w:pgMar w:top="1440" w:right="1797" w:bottom="1440" w:left="1797" w:header="851" w:footer="992" w:gutter="0"/>
          <w:cols w:space="425" w:num="1"/>
          <w:titlePg/>
          <w:docGrid w:linePitch="462" w:charSpace="0"/>
        </w:sectPr>
      </w:pPr>
    </w:p>
    <w:bookmarkEnd w:id="5"/>
    <w:p>
      <w:pPr>
        <w:pStyle w:val="3"/>
        <w:jc w:val="center"/>
        <w:rPr>
          <w:color w:val="FF0000"/>
          <w:sz w:val="24"/>
        </w:rPr>
      </w:pPr>
      <w:bookmarkStart w:id="7" w:name="bt合同格式"/>
      <w:bookmarkEnd w:id="7"/>
      <w:bookmarkStart w:id="8" w:name="bt项目管理班子配备情况"/>
      <w:bookmarkEnd w:id="8"/>
      <w:bookmarkStart w:id="9" w:name="bt投标报价汇总表"/>
      <w:bookmarkEnd w:id="9"/>
      <w:bookmarkStart w:id="10" w:name="bt投标人须知"/>
      <w:bookmarkEnd w:id="10"/>
      <w:bookmarkStart w:id="11" w:name="bt开标一览表"/>
      <w:bookmarkEnd w:id="11"/>
      <w:bookmarkStart w:id="12" w:name="bt合同条款"/>
      <w:bookmarkEnd w:id="12"/>
      <w:bookmarkStart w:id="13" w:name="bt技术标投标文件格式"/>
      <w:bookmarkEnd w:id="13"/>
      <w:bookmarkStart w:id="14" w:name="bt其他资料2"/>
      <w:bookmarkEnd w:id="14"/>
      <w:bookmarkStart w:id="15" w:name="bt其他资料由投标人自定"/>
      <w:bookmarkEnd w:id="15"/>
      <w:bookmarkStart w:id="16" w:name="bt投标文件签署授权委托书"/>
      <w:bookmarkEnd w:id="16"/>
      <w:bookmarkStart w:id="17" w:name="bt合同条款及格式"/>
      <w:bookmarkEnd w:id="17"/>
      <w:bookmarkStart w:id="18" w:name="bt本工程承诺书"/>
      <w:bookmarkEnd w:id="18"/>
      <w:bookmarkStart w:id="19" w:name="合同格式"/>
      <w:bookmarkEnd w:id="19"/>
      <w:bookmarkStart w:id="20" w:name="bt投标人情况介绍"/>
      <w:bookmarkEnd w:id="20"/>
      <w:bookmarkStart w:id="21" w:name="bt说明"/>
      <w:bookmarkEnd w:id="21"/>
      <w:bookmarkStart w:id="22" w:name="bt商务标投标文件格式"/>
      <w:bookmarkEnd w:id="22"/>
      <w:bookmarkStart w:id="23" w:name="bt投标函"/>
      <w:bookmarkEnd w:id="23"/>
      <w:r>
        <w:rPr>
          <w:rFonts w:hint="eastAsia"/>
        </w:rPr>
        <w:t>第一册  专用条款</w:t>
      </w:r>
    </w:p>
    <w:p>
      <w:pPr>
        <w:pStyle w:val="6"/>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w:t>
      </w:r>
      <w:r>
        <w:rPr>
          <w:rFonts w:hint="eastAsia" w:ascii="宋体" w:hAnsi="宋体" w:cs="宋体"/>
          <w:kern w:val="0"/>
          <w:szCs w:val="21"/>
          <w:highlight w:val="yellow"/>
          <w:lang w:val="en-US" w:eastAsia="zh-CN"/>
        </w:rPr>
        <w:t>是</w:t>
      </w:r>
      <w:r>
        <w:rPr>
          <w:rFonts w:hint="eastAsia" w:ascii="宋体" w:hAnsi="宋体" w:cs="宋体"/>
          <w:kern w:val="0"/>
          <w:szCs w:val="21"/>
        </w:rPr>
        <w:t>，供应商提供的货物全部由符合政策要求的中小微企业、残疾人福利性</w:t>
      </w:r>
      <w:r>
        <w:rPr>
          <w:rFonts w:hint="eastAsia" w:ascii="宋体" w:hAnsi="宋体" w:cs="宋体"/>
          <w:kern w:val="0"/>
          <w:szCs w:val="21"/>
          <w:lang w:val="en-US" w:eastAsia="zh-CN"/>
        </w:rPr>
        <w:t>单位或</w:t>
      </w:r>
      <w:r>
        <w:rPr>
          <w:rFonts w:hint="eastAsia" w:ascii="宋体" w:hAnsi="宋体" w:cs="宋体"/>
          <w:kern w:val="0"/>
          <w:szCs w:val="21"/>
        </w:rPr>
        <w:t>监狱企业制造（由供应商在《中小企业声明函、残疾人福利性单位声明函及监狱企业声明函》中作出声明</w:t>
      </w:r>
      <w:r>
        <w:rPr>
          <w:rFonts w:hint="eastAsia" w:ascii="宋体" w:hAnsi="宋体" w:cs="宋体"/>
          <w:kern w:val="0"/>
          <w:szCs w:val="21"/>
          <w:lang w:eastAsia="zh-CN"/>
        </w:rPr>
        <w:t>；</w:t>
      </w:r>
      <w:r>
        <w:rPr>
          <w:rFonts w:hint="eastAsia" w:ascii="宋体" w:hAnsi="宋体" w:cs="宋体"/>
          <w:kern w:val="0"/>
          <w:szCs w:val="21"/>
          <w:lang w:val="en-US" w:eastAsia="zh-CN"/>
        </w:rPr>
        <w:t>未提供声明函或声明函不符合政策要求的，按资格审查不通过处理</w:t>
      </w:r>
      <w:r>
        <w:rPr>
          <w:rFonts w:hint="eastAsia" w:ascii="宋体" w:hAnsi="宋体" w:cs="宋体"/>
          <w:kern w:val="0"/>
          <w:szCs w:val="21"/>
        </w:rPr>
        <w:t>）</w:t>
      </w:r>
      <w:r>
        <w:rPr>
          <w:rFonts w:hint="eastAsia" w:ascii="宋体" w:hAnsi="宋体" w:cs="宋体"/>
          <w:kern w:val="0"/>
          <w:szCs w:val="21"/>
          <w:lang w:eastAsia="zh-CN"/>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6"/>
        <w:jc w:val="center"/>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pPr>
        <w:pStyle w:val="6"/>
        <w:spacing w:before="120" w:beforeLines="50" w:after="120" w:afterLines="50"/>
        <w:jc w:val="center"/>
        <w:rPr>
          <w:szCs w:val="24"/>
        </w:rPr>
      </w:pPr>
      <w:bookmarkStart w:id="25" w:name="_Toc101074876"/>
      <w:bookmarkStart w:id="26" w:name="_Toc60631620"/>
      <w:bookmarkStart w:id="27" w:name="_Toc73521547"/>
      <w:bookmarkStart w:id="28" w:name="_Toc100052364"/>
      <w:bookmarkStart w:id="29" w:name="_Toc73518117"/>
      <w:bookmarkStart w:id="30" w:name="_Toc60560625"/>
      <w:bookmarkStart w:id="31" w:name="_Toc73521635"/>
      <w:bookmarkStart w:id="32" w:name="_Toc73517639"/>
      <w:r>
        <w:rPr>
          <w:rFonts w:hint="eastAsia"/>
          <w:szCs w:val="24"/>
        </w:rPr>
        <w:t>一、对通用条款的补充内容</w:t>
      </w:r>
    </w:p>
    <w:bookmarkEnd w:id="25"/>
    <w:bookmarkEnd w:id="26"/>
    <w:bookmarkEnd w:id="27"/>
    <w:bookmarkEnd w:id="28"/>
    <w:bookmarkEnd w:id="29"/>
    <w:bookmarkEnd w:id="30"/>
    <w:bookmarkEnd w:id="31"/>
    <w:bookmarkEnd w:id="32"/>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3"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lang w:eastAsia="zh-CN"/>
              </w:rPr>
              <w:t>深圳市宝安区上星学校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4" w:name="_Hlk71664860"/>
            <w:r>
              <w:rPr>
                <w:rFonts w:hint="eastAsia" w:ascii="宋体" w:hAnsi="宋体"/>
              </w:rPr>
              <w:t>样品、现场演示、方案讲解</w:t>
            </w:r>
            <w:bookmarkEnd w:id="34"/>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hint="eastAsia" w:ascii="宋体" w:hAnsi="宋体"/>
              </w:rPr>
            </w:pPr>
            <w:r>
              <w:rPr>
                <w:rFonts w:hint="eastAsia" w:ascii="宋体" w:hAnsi="宋体"/>
                <w:lang w:val="en-US" w:eastAsia="zh-CN"/>
              </w:rPr>
              <w:t>52.8</w:t>
            </w:r>
          </w:p>
        </w:tc>
        <w:tc>
          <w:tcPr>
            <w:tcW w:w="2409" w:type="dxa"/>
            <w:noWrap w:val="0"/>
            <w:vAlign w:val="center"/>
          </w:tcPr>
          <w:p>
            <w:pPr>
              <w:jc w:val="center"/>
              <w:rPr>
                <w:rFonts w:hint="eastAsia" w:ascii="宋体" w:hAnsi="宋体"/>
              </w:rPr>
            </w:pPr>
            <w:r>
              <w:rPr>
                <w:rFonts w:hint="eastAsia" w:ascii="宋体" w:hAnsi="宋体"/>
                <w:lang w:val="en-US" w:eastAsia="zh-CN"/>
              </w:rPr>
              <w:t>投诉</w:t>
            </w:r>
          </w:p>
        </w:tc>
        <w:tc>
          <w:tcPr>
            <w:tcW w:w="4980" w:type="dxa"/>
            <w:noWrap w:val="0"/>
            <w:vAlign w:val="center"/>
          </w:tcPr>
          <w:p>
            <w:pPr>
              <w:jc w:val="left"/>
              <w:rPr>
                <w:rFonts w:hint="eastAsi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3"/>
    <w:p>
      <w:pPr>
        <w:pStyle w:val="6"/>
        <w:spacing w:before="120" w:beforeLines="50" w:after="120" w:afterLines="50"/>
        <w:jc w:val="center"/>
        <w:rPr>
          <w:szCs w:val="24"/>
        </w:rPr>
      </w:pPr>
      <w:bookmarkStart w:id="35" w:name="_Hlk72218117"/>
      <w:r>
        <w:rPr>
          <w:rFonts w:hint="eastAsia"/>
          <w:szCs w:val="24"/>
        </w:rPr>
        <w:t>二、其他关键信息</w:t>
      </w:r>
    </w:p>
    <w:p>
      <w:pPr>
        <w:ind w:firstLine="422" w:firstLineChars="200"/>
        <w:rPr>
          <w:b/>
          <w:bCs/>
        </w:rPr>
      </w:pPr>
      <w:bookmarkStart w:id="36"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3"/>
      </w:pPr>
    </w:p>
    <w:p>
      <w:pPr>
        <w:ind w:firstLine="422" w:firstLineChars="200"/>
        <w:rPr>
          <w:rFonts w:hint="eastAsia"/>
          <w:b/>
        </w:rPr>
      </w:pPr>
    </w:p>
    <w:p>
      <w:pPr>
        <w:ind w:firstLine="422" w:firstLineChars="200"/>
        <w:rPr>
          <w:b/>
        </w:rPr>
      </w:pPr>
      <w:r>
        <w:rPr>
          <w:rFonts w:hint="eastAsia"/>
          <w:b/>
        </w:rPr>
        <w:t>（二）其他事项</w:t>
      </w:r>
      <w:bookmarkEnd w:id="36"/>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7"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7"/>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2"/>
        <w:rPr>
          <w:b/>
        </w:rPr>
      </w:pPr>
    </w:p>
    <w:p>
      <w:pPr>
        <w:pStyle w:val="13"/>
        <w:rPr>
          <w:b/>
        </w:rPr>
      </w:pPr>
    </w:p>
    <w:p>
      <w:pPr>
        <w:pStyle w:val="13"/>
        <w:rPr>
          <w:b/>
        </w:rPr>
      </w:pPr>
    </w:p>
    <w:p>
      <w:pPr>
        <w:pStyle w:val="13"/>
        <w:rPr>
          <w:b/>
        </w:rPr>
        <w:sectPr>
          <w:pgSz w:w="11907" w:h="16840"/>
          <w:pgMar w:top="1440" w:right="1797" w:bottom="1440" w:left="1797" w:header="851" w:footer="992" w:gutter="0"/>
          <w:cols w:space="425" w:num="1"/>
          <w:titlePg/>
          <w:docGrid w:linePitch="462" w:charSpace="0"/>
        </w:sectPr>
      </w:pPr>
    </w:p>
    <w:bookmarkEnd w:id="35"/>
    <w:p>
      <w:pPr>
        <w:pStyle w:val="6"/>
        <w:jc w:val="center"/>
        <w:rPr>
          <w:sz w:val="28"/>
          <w:szCs w:val="28"/>
        </w:rPr>
      </w:pPr>
      <w:r>
        <w:rPr>
          <w:rFonts w:hint="eastAsia"/>
          <w:sz w:val="28"/>
          <w:szCs w:val="28"/>
        </w:rPr>
        <w:t>第三章 用户需求书</w:t>
      </w:r>
    </w:p>
    <w:p>
      <w:pPr>
        <w:pStyle w:val="6"/>
        <w:spacing w:before="120" w:beforeLines="50" w:after="120" w:afterLines="50"/>
        <w:jc w:val="center"/>
        <w:rPr>
          <w:szCs w:val="24"/>
        </w:rPr>
      </w:pPr>
      <w:r>
        <w:rPr>
          <w:rFonts w:hint="eastAsia"/>
          <w:szCs w:val="24"/>
        </w:rPr>
        <w:t>一、项目基本信息</w:t>
      </w:r>
    </w:p>
    <w:tbl>
      <w:tblPr>
        <w:tblStyle w:val="17"/>
        <w:tblW w:w="8931" w:type="dxa"/>
        <w:jc w:val="center"/>
        <w:tblLayout w:type="fixed"/>
        <w:tblCellMar>
          <w:top w:w="15" w:type="dxa"/>
          <w:left w:w="15" w:type="dxa"/>
          <w:bottom w:w="15" w:type="dxa"/>
          <w:right w:w="15" w:type="dxa"/>
        </w:tblCellMar>
      </w:tblPr>
      <w:tblGrid>
        <w:gridCol w:w="710"/>
        <w:gridCol w:w="5599"/>
        <w:gridCol w:w="2622"/>
      </w:tblGrid>
      <w:tr>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0" w:themeFill="text2" w:themeFillTint="33"/>
            <w:vAlign w:val="center"/>
          </w:tcPr>
          <w:p>
            <w:pPr>
              <w:jc w:val="center"/>
              <w:rPr>
                <w:b w:val="0"/>
                <w:bCs w:val="0"/>
              </w:rPr>
            </w:pPr>
            <w:r>
              <w:rPr>
                <w:rFonts w:hint="eastAsia"/>
                <w:b w:val="0"/>
                <w:bCs w:val="0"/>
              </w:rPr>
              <w:t>序号</w:t>
            </w:r>
          </w:p>
        </w:tc>
        <w:tc>
          <w:tcPr>
            <w:tcW w:w="5599" w:type="dxa"/>
            <w:tcBorders>
              <w:top w:val="single" w:color="000000" w:sz="4" w:space="0"/>
              <w:left w:val="single" w:color="auto" w:sz="4" w:space="0"/>
              <w:bottom w:val="single" w:color="000000" w:sz="4" w:space="0"/>
              <w:right w:val="single" w:color="000000" w:sz="4" w:space="0"/>
            </w:tcBorders>
            <w:shd w:val="clear" w:color="auto" w:fill="C6D9F0" w:themeFill="text2" w:themeFillTint="33"/>
            <w:vAlign w:val="center"/>
          </w:tcPr>
          <w:p>
            <w:pPr>
              <w:jc w:val="center"/>
              <w:rPr>
                <w:b w:val="0"/>
                <w:bCs w:val="0"/>
              </w:rPr>
            </w:pPr>
            <w:r>
              <w:rPr>
                <w:rFonts w:hint="eastAsia"/>
                <w:b w:val="0"/>
                <w:bCs w:val="0"/>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pPr>
              <w:jc w:val="center"/>
              <w:rPr>
                <w:b w:val="0"/>
                <w:bCs w:val="0"/>
              </w:rPr>
            </w:pPr>
            <w:r>
              <w:rPr>
                <w:rFonts w:hint="eastAsia"/>
                <w:b w:val="0"/>
                <w:bCs w:val="0"/>
              </w:rPr>
              <w:t>预算金额（元）</w:t>
            </w:r>
          </w:p>
        </w:tc>
      </w:tr>
      <w:tr>
        <w:trPr>
          <w:trHeight w:val="1036" w:hRule="atLeast"/>
          <w:jc w:val="center"/>
        </w:trPr>
        <w:tc>
          <w:tcPr>
            <w:tcW w:w="710" w:type="dxa"/>
            <w:tcBorders>
              <w:top w:val="single" w:color="000000" w:sz="4" w:space="0"/>
              <w:left w:val="single" w:color="000000" w:sz="4" w:space="0"/>
              <w:right w:val="single" w:color="auto" w:sz="4" w:space="0"/>
            </w:tcBorders>
            <w:vAlign w:val="center"/>
          </w:tcPr>
          <w:p>
            <w:pPr>
              <w:jc w:val="center"/>
              <w:rPr>
                <w:rFonts w:hint="eastAsia" w:asciiTheme="minorEastAsia" w:hAnsiTheme="minorEastAsia" w:eastAsiaTheme="minorEastAsia"/>
                <w:b w:val="0"/>
                <w:bCs w:val="0"/>
                <w:sz w:val="24"/>
                <w:szCs w:val="24"/>
                <w:highlight w:val="none"/>
                <w:lang w:eastAsia="zh-CN"/>
              </w:rPr>
            </w:pPr>
            <w:r>
              <w:rPr>
                <w:rFonts w:hint="eastAsia" w:asciiTheme="minorEastAsia" w:hAnsiTheme="minorEastAsia"/>
                <w:b w:val="0"/>
                <w:bCs w:val="0"/>
                <w:sz w:val="24"/>
                <w:szCs w:val="24"/>
                <w:highlight w:val="none"/>
              </w:rPr>
              <w:t>1</w:t>
            </w:r>
          </w:p>
        </w:tc>
        <w:tc>
          <w:tcPr>
            <w:tcW w:w="5599" w:type="dxa"/>
            <w:tcBorders>
              <w:top w:val="single" w:color="000000" w:sz="4" w:space="0"/>
              <w:left w:val="single" w:color="auto" w:sz="4" w:space="0"/>
              <w:right w:val="single" w:color="000000" w:sz="4" w:space="0"/>
            </w:tcBorders>
            <w:vAlign w:val="center"/>
          </w:tcPr>
          <w:p>
            <w:pPr>
              <w:jc w:val="center"/>
              <w:rPr>
                <w:rFonts w:hint="eastAsia" w:eastAsiaTheme="minorEastAsia"/>
                <w:b w:val="0"/>
                <w:bCs w:val="0"/>
                <w:highlight w:val="none"/>
                <w:lang w:val="en-US" w:eastAsia="zh-CN"/>
              </w:rPr>
            </w:pPr>
            <w:r>
              <w:rPr>
                <w:rFonts w:hint="eastAsia" w:eastAsiaTheme="minorEastAsia"/>
                <w:b w:val="0"/>
                <w:bCs w:val="0"/>
                <w:highlight w:val="none"/>
                <w:lang w:val="en-US" w:eastAsia="zh-CN"/>
              </w:rPr>
              <w:t>深圳市宝安区上星学校（深圳大学附属中学宝安学校）课桌椅设备采购项目</w:t>
            </w:r>
          </w:p>
        </w:tc>
        <w:tc>
          <w:tcPr>
            <w:tcW w:w="262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378000.00</w:t>
            </w:r>
          </w:p>
        </w:tc>
      </w:tr>
      <w:tr>
        <w:tblPrEx>
          <w:tblCellMar>
            <w:top w:w="15" w:type="dxa"/>
            <w:left w:w="15" w:type="dxa"/>
            <w:bottom w:w="15" w:type="dxa"/>
            <w:right w:w="15" w:type="dxa"/>
          </w:tblCellMar>
        </w:tblPrEx>
        <w:trPr>
          <w:trHeight w:val="172" w:hRule="atLeast"/>
          <w:jc w:val="center"/>
        </w:trPr>
        <w:tc>
          <w:tcPr>
            <w:tcW w:w="6309" w:type="dxa"/>
            <w:gridSpan w:val="2"/>
            <w:tcBorders>
              <w:top w:val="single" w:color="000000" w:sz="4" w:space="0"/>
              <w:left w:val="single" w:color="000000" w:sz="4" w:space="0"/>
              <w:bottom w:val="single" w:color="auto" w:sz="4" w:space="0"/>
              <w:right w:val="single" w:color="000000" w:sz="4" w:space="0"/>
            </w:tcBorders>
            <w:vAlign w:val="center"/>
          </w:tcPr>
          <w:p>
            <w:pPr>
              <w:jc w:val="center"/>
              <w:rPr>
                <w:rFonts w:hint="eastAsia" w:eastAsiaTheme="minorEastAsia"/>
                <w:b w:val="0"/>
                <w:bCs w:val="0"/>
                <w:highlight w:val="none"/>
                <w:lang w:val="en-US" w:eastAsia="zh-CN"/>
              </w:rPr>
            </w:pPr>
            <w:r>
              <w:rPr>
                <w:rFonts w:hint="eastAsia"/>
                <w:b w:val="0"/>
                <w:bCs w:val="0"/>
                <w:highlight w:val="none"/>
                <w:lang w:val="en-US" w:eastAsia="zh-CN"/>
              </w:rPr>
              <w:t>合计（元）</w:t>
            </w:r>
          </w:p>
        </w:tc>
        <w:tc>
          <w:tcPr>
            <w:tcW w:w="2622" w:type="dxa"/>
            <w:tcBorders>
              <w:top w:val="single" w:color="000000" w:sz="4" w:space="0"/>
              <w:left w:val="single" w:color="000000" w:sz="4" w:space="0"/>
              <w:bottom w:val="single" w:color="auto" w:sz="4" w:space="0"/>
              <w:right w:val="single" w:color="000000" w:sz="4" w:space="0"/>
            </w:tcBorders>
            <w:vAlign w:val="center"/>
          </w:tcPr>
          <w:p>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378000.00</w:t>
            </w:r>
          </w:p>
        </w:tc>
      </w:tr>
    </w:tbl>
    <w:p>
      <w:pPr>
        <w:rPr>
          <w:rFonts w:ascii="宋体" w:hAnsi="宋体"/>
          <w:b/>
          <w:color w:val="FF0000"/>
          <w:szCs w:val="21"/>
        </w:rPr>
      </w:pPr>
    </w:p>
    <w:p>
      <w:pPr>
        <w:rPr>
          <w:rFonts w:ascii="宋体" w:hAnsi="宋体"/>
          <w:b/>
          <w:color w:val="FF0000"/>
          <w:szCs w:val="21"/>
        </w:rPr>
      </w:pPr>
    </w:p>
    <w:p>
      <w:pPr>
        <w:rPr>
          <w:rFonts w:ascii="宋体" w:hAnsi="宋体"/>
          <w:b/>
          <w:color w:val="FF0000"/>
          <w:szCs w:val="21"/>
        </w:rPr>
      </w:pPr>
    </w:p>
    <w:p>
      <w:pPr>
        <w:pStyle w:val="6"/>
        <w:spacing w:before="120" w:beforeLines="50" w:after="120" w:afterLines="50"/>
        <w:jc w:val="center"/>
        <w:rPr>
          <w:szCs w:val="24"/>
        </w:rPr>
      </w:pPr>
      <w:bookmarkStart w:id="38" w:name="_Hlk72258617"/>
      <w:r>
        <w:rPr>
          <w:rFonts w:hint="eastAsia"/>
          <w:szCs w:val="24"/>
        </w:rPr>
        <w:t>二、</w:t>
      </w:r>
      <w:bookmarkStart w:id="39" w:name="_Hlk72073432"/>
      <w:r>
        <w:rPr>
          <w:rFonts w:hint="eastAsia"/>
          <w:szCs w:val="24"/>
        </w:rPr>
        <w:t>货物需求明细</w:t>
      </w:r>
      <w:bookmarkEnd w:id="39"/>
    </w:p>
    <w:tbl>
      <w:tblPr>
        <w:tblStyle w:val="17"/>
        <w:tblW w:w="47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375"/>
        <w:gridCol w:w="605"/>
        <w:gridCol w:w="732"/>
        <w:gridCol w:w="1233"/>
        <w:gridCol w:w="1371"/>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pPr>
              <w:jc w:val="center"/>
              <w:rPr>
                <w:bCs/>
                <w:szCs w:val="21"/>
              </w:rPr>
            </w:pPr>
            <w:r>
              <w:rPr>
                <w:rFonts w:hint="eastAsia"/>
                <w:bCs/>
                <w:szCs w:val="21"/>
              </w:rPr>
              <w:t>序号</w:t>
            </w:r>
          </w:p>
        </w:tc>
        <w:tc>
          <w:tcPr>
            <w:tcW w:w="1469" w:type="pct"/>
            <w:vAlign w:val="center"/>
          </w:tcPr>
          <w:p>
            <w:pPr>
              <w:jc w:val="center"/>
              <w:rPr>
                <w:bCs/>
                <w:szCs w:val="21"/>
              </w:rPr>
            </w:pPr>
            <w:r>
              <w:rPr>
                <w:rFonts w:hint="eastAsia"/>
                <w:bCs/>
                <w:szCs w:val="21"/>
              </w:rPr>
              <w:t>货物名称（标的名称）</w:t>
            </w:r>
          </w:p>
        </w:tc>
        <w:tc>
          <w:tcPr>
            <w:tcW w:w="374" w:type="pct"/>
            <w:vAlign w:val="center"/>
          </w:tcPr>
          <w:p>
            <w:pPr>
              <w:jc w:val="center"/>
              <w:rPr>
                <w:bCs/>
                <w:szCs w:val="21"/>
              </w:rPr>
            </w:pPr>
            <w:r>
              <w:rPr>
                <w:rFonts w:hint="eastAsia"/>
                <w:bCs/>
                <w:szCs w:val="21"/>
              </w:rPr>
              <w:t>数量</w:t>
            </w:r>
          </w:p>
        </w:tc>
        <w:tc>
          <w:tcPr>
            <w:tcW w:w="452" w:type="pct"/>
            <w:vAlign w:val="center"/>
          </w:tcPr>
          <w:p>
            <w:pPr>
              <w:jc w:val="center"/>
              <w:rPr>
                <w:bCs/>
                <w:szCs w:val="21"/>
              </w:rPr>
            </w:pPr>
            <w:r>
              <w:rPr>
                <w:rFonts w:hint="eastAsia"/>
                <w:bCs/>
                <w:szCs w:val="21"/>
              </w:rPr>
              <w:t>单位</w:t>
            </w:r>
          </w:p>
        </w:tc>
        <w:tc>
          <w:tcPr>
            <w:tcW w:w="762"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848" w:type="pct"/>
            <w:vAlign w:val="center"/>
          </w:tcPr>
          <w:p>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619" w:type="pct"/>
            <w:vAlign w:val="center"/>
          </w:tcPr>
          <w:p>
            <w:pPr>
              <w:jc w:val="center"/>
              <w:rPr>
                <w:rFonts w:hint="default"/>
                <w:b/>
                <w:bCs/>
                <w:color w:val="FF0000"/>
                <w:szCs w:val="21"/>
                <w:lang w:val="en-US" w:eastAsia="zh-CN"/>
              </w:rPr>
            </w:pPr>
            <w:r>
              <w:rPr>
                <w:rFonts w:hint="eastAsia"/>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pPr>
              <w:jc w:val="center"/>
              <w:rPr>
                <w:bCs/>
                <w:szCs w:val="21"/>
              </w:rPr>
            </w:pPr>
            <w:r>
              <w:rPr>
                <w:rFonts w:hint="eastAsia"/>
                <w:bCs/>
                <w:szCs w:val="21"/>
              </w:rPr>
              <w:t>1</w:t>
            </w:r>
          </w:p>
        </w:tc>
        <w:tc>
          <w:tcPr>
            <w:tcW w:w="146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auto"/>
                <w:kern w:val="0"/>
                <w:sz w:val="22"/>
                <w:szCs w:val="22"/>
                <w:u w:val="none"/>
                <w:lang w:val="en-US" w:eastAsia="zh-CN" w:bidi="ar"/>
              </w:rPr>
              <w:t>升降课桌</w:t>
            </w:r>
          </w:p>
        </w:tc>
        <w:tc>
          <w:tcPr>
            <w:tcW w:w="374"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700</w:t>
            </w:r>
          </w:p>
        </w:tc>
        <w:tc>
          <w:tcPr>
            <w:tcW w:w="452" w:type="pct"/>
            <w:vAlign w:val="center"/>
          </w:tcPr>
          <w:p>
            <w:pPr>
              <w:jc w:val="center"/>
              <w:rPr>
                <w:bCs/>
                <w:szCs w:val="21"/>
              </w:rPr>
            </w:pPr>
            <w:r>
              <w:rPr>
                <w:rFonts w:hint="eastAsia" w:ascii="宋体" w:hAnsi="宋体" w:eastAsia="宋体" w:cs="宋体"/>
                <w:i w:val="0"/>
                <w:iCs w:val="0"/>
                <w:color w:val="000000"/>
                <w:sz w:val="21"/>
                <w:szCs w:val="21"/>
                <w:u w:val="none"/>
                <w:lang w:val="en-US" w:eastAsia="zh-CN"/>
              </w:rPr>
              <w:t>张</w:t>
            </w:r>
          </w:p>
        </w:tc>
        <w:tc>
          <w:tcPr>
            <w:tcW w:w="762" w:type="pct"/>
            <w:vAlign w:val="center"/>
          </w:tcPr>
          <w:p>
            <w:pPr>
              <w:jc w:val="center"/>
              <w:rPr>
                <w:b/>
                <w:bCs/>
                <w:color w:val="FF0000"/>
                <w:szCs w:val="21"/>
              </w:rPr>
            </w:pPr>
            <w:r>
              <w:rPr>
                <w:rFonts w:hint="eastAsia"/>
                <w:b/>
                <w:bCs/>
                <w:szCs w:val="21"/>
              </w:rPr>
              <w:t>拒绝进口</w:t>
            </w:r>
          </w:p>
        </w:tc>
        <w:tc>
          <w:tcPr>
            <w:tcW w:w="848" w:type="pct"/>
            <w:vAlign w:val="center"/>
          </w:tcPr>
          <w:p>
            <w:pPr>
              <w:jc w:val="center"/>
              <w:rPr>
                <w:rFonts w:hint="default" w:eastAsia="宋体"/>
                <w:b/>
                <w:bCs/>
                <w:color w:val="FF0000"/>
                <w:szCs w:val="21"/>
                <w:lang w:val="en-US" w:eastAsia="zh-CN"/>
              </w:rPr>
            </w:pPr>
            <w:r>
              <w:rPr>
                <w:rFonts w:hint="eastAsia" w:eastAsia="宋体"/>
                <w:b/>
                <w:bCs/>
                <w:color w:val="FF0000"/>
                <w:szCs w:val="21"/>
                <w:lang w:val="en-US" w:eastAsia="zh-CN"/>
              </w:rPr>
              <w:t>是</w:t>
            </w:r>
          </w:p>
        </w:tc>
        <w:tc>
          <w:tcPr>
            <w:tcW w:w="619"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pPr>
              <w:jc w:val="center"/>
              <w:rPr>
                <w:rFonts w:hint="eastAsia" w:eastAsiaTheme="minorEastAsia"/>
                <w:bCs/>
                <w:szCs w:val="21"/>
                <w:lang w:eastAsia="zh-CN"/>
              </w:rPr>
            </w:pPr>
            <w:r>
              <w:rPr>
                <w:rFonts w:hint="eastAsia"/>
                <w:bCs/>
                <w:szCs w:val="21"/>
                <w:lang w:val="en-US" w:eastAsia="zh-CN"/>
              </w:rPr>
              <w:t>2</w:t>
            </w:r>
          </w:p>
        </w:tc>
        <w:tc>
          <w:tcPr>
            <w:tcW w:w="146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auto"/>
                <w:kern w:val="0"/>
                <w:sz w:val="22"/>
                <w:szCs w:val="22"/>
                <w:u w:val="none"/>
                <w:lang w:val="en-US" w:eastAsia="zh-CN" w:bidi="ar"/>
              </w:rPr>
              <w:t>升降课椅</w:t>
            </w:r>
          </w:p>
        </w:tc>
        <w:tc>
          <w:tcPr>
            <w:tcW w:w="374" w:type="pct"/>
            <w:vAlign w:val="center"/>
          </w:tcPr>
          <w:p>
            <w:pPr>
              <w:keepNext w:val="0"/>
              <w:keepLines w:val="0"/>
              <w:widowControl/>
              <w:suppressLineNumbers w:val="0"/>
              <w:jc w:val="center"/>
              <w:textAlignment w:val="center"/>
              <w:rPr>
                <w:rFonts w:hint="default"/>
                <w:bCs/>
                <w:szCs w:val="21"/>
                <w:lang w:val="en-US"/>
              </w:rPr>
            </w:pPr>
            <w:r>
              <w:rPr>
                <w:rFonts w:hint="eastAsia" w:ascii="宋体" w:hAnsi="宋体" w:eastAsia="宋体" w:cs="宋体"/>
                <w:i w:val="0"/>
                <w:iCs w:val="0"/>
                <w:color w:val="000000"/>
                <w:kern w:val="0"/>
                <w:sz w:val="21"/>
                <w:szCs w:val="21"/>
                <w:u w:val="none"/>
                <w:lang w:val="en-US" w:eastAsia="zh-CN" w:bidi="ar"/>
              </w:rPr>
              <w:t>700</w:t>
            </w:r>
          </w:p>
        </w:tc>
        <w:tc>
          <w:tcPr>
            <w:tcW w:w="452" w:type="pct"/>
            <w:vAlign w:val="center"/>
          </w:tcPr>
          <w:p>
            <w:pPr>
              <w:jc w:val="center"/>
              <w:rPr>
                <w:bCs/>
                <w:szCs w:val="21"/>
              </w:rPr>
            </w:pPr>
            <w:r>
              <w:rPr>
                <w:rFonts w:hint="eastAsia" w:ascii="宋体" w:hAnsi="宋体" w:eastAsia="宋体" w:cs="宋体"/>
                <w:i w:val="0"/>
                <w:iCs w:val="0"/>
                <w:color w:val="000000"/>
                <w:sz w:val="21"/>
                <w:szCs w:val="21"/>
                <w:u w:val="none"/>
                <w:lang w:val="en-US" w:eastAsia="zh-CN"/>
              </w:rPr>
              <w:t>张</w:t>
            </w:r>
          </w:p>
        </w:tc>
        <w:tc>
          <w:tcPr>
            <w:tcW w:w="762" w:type="pct"/>
            <w:vAlign w:val="center"/>
          </w:tcPr>
          <w:p>
            <w:pPr>
              <w:jc w:val="center"/>
              <w:rPr>
                <w:b/>
                <w:bCs/>
                <w:szCs w:val="21"/>
              </w:rPr>
            </w:pPr>
            <w:r>
              <w:rPr>
                <w:rFonts w:hint="eastAsia"/>
                <w:b/>
                <w:bCs/>
                <w:szCs w:val="21"/>
              </w:rPr>
              <w:t>拒绝进口</w:t>
            </w:r>
          </w:p>
        </w:tc>
        <w:tc>
          <w:tcPr>
            <w:tcW w:w="848" w:type="pct"/>
            <w:vAlign w:val="center"/>
          </w:tcPr>
          <w:p>
            <w:pPr>
              <w:jc w:val="center"/>
              <w:rPr>
                <w:rFonts w:hint="eastAsia"/>
                <w:b/>
                <w:bCs/>
                <w:szCs w:val="21"/>
              </w:rPr>
            </w:pPr>
            <w:r>
              <w:rPr>
                <w:rFonts w:hint="eastAsia" w:eastAsia="宋体"/>
                <w:b/>
                <w:bCs/>
                <w:color w:val="FF0000"/>
                <w:szCs w:val="21"/>
                <w:lang w:val="en-US" w:eastAsia="zh-CN"/>
              </w:rPr>
              <w:t>是</w:t>
            </w:r>
          </w:p>
        </w:tc>
        <w:tc>
          <w:tcPr>
            <w:tcW w:w="619" w:type="pct"/>
            <w:vAlign w:val="center"/>
          </w:tcPr>
          <w:p>
            <w:pPr>
              <w:jc w:val="center"/>
              <w:rPr>
                <w:rFonts w:hint="eastAsia"/>
                <w:b/>
                <w:bCs/>
                <w:szCs w:val="21"/>
              </w:rPr>
            </w:pPr>
            <w:r>
              <w:rPr>
                <w:rFonts w:hint="eastAsia"/>
                <w:b/>
                <w:bCs/>
                <w:color w:val="FF0000"/>
                <w:szCs w:val="21"/>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2"/>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highlight w:val="yellow"/>
          <w:u w:val="single"/>
        </w:rPr>
        <w:t xml:space="preserve"> 升降课桌 </w:t>
      </w:r>
      <w:r>
        <w:rPr>
          <w:rFonts w:hint="eastAsia" w:ascii="宋体" w:hAnsi="宋体"/>
          <w:b/>
          <w:color w:val="FF0000"/>
          <w:szCs w:val="21"/>
          <w:u w:val="single"/>
        </w:rPr>
        <w:t xml:space="preserve">  </w:t>
      </w:r>
      <w:r>
        <w:rPr>
          <w:rFonts w:hint="eastAsia" w:ascii="宋体" w:hAnsi="宋体"/>
          <w:b/>
          <w:color w:val="FF0000"/>
          <w:szCs w:val="21"/>
        </w:rPr>
        <w:t>。</w:t>
      </w:r>
    </w:p>
    <w:bookmarkEnd w:id="38"/>
    <w:p>
      <w:pPr>
        <w:rPr>
          <w:rFonts w:ascii="宋体" w:hAnsi="宋体"/>
          <w:b/>
          <w:color w:val="FF0000"/>
          <w:szCs w:val="21"/>
        </w:rPr>
      </w:pPr>
    </w:p>
    <w:p>
      <w:pPr>
        <w:pStyle w:val="2"/>
      </w:pPr>
    </w:p>
    <w:p>
      <w:pPr>
        <w:pStyle w:val="6"/>
        <w:spacing w:before="120" w:beforeLines="50" w:after="120" w:afterLines="50"/>
        <w:jc w:val="center"/>
        <w:rPr>
          <w:sz w:val="28"/>
          <w:szCs w:val="28"/>
        </w:rPr>
      </w:pPr>
      <w:bookmarkStart w:id="40"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40"/>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2"/>
      </w:pPr>
    </w:p>
    <w:p>
      <w:pPr>
        <w:pStyle w:val="6"/>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1"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7"/>
        <w:tblW w:w="817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6"/>
        <w:gridCol w:w="821"/>
        <w:gridCol w:w="5606"/>
        <w:gridCol w:w="13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b/>
                <w:bCs/>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0160"/>
                  <wp:effectExtent l="0" t="0" r="8890" b="381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15"/>
                          <a:stretch>
                            <a:fillRect/>
                          </a:stretch>
                        </pic:blipFill>
                        <pic:spPr>
                          <a:xfrm>
                            <a:off x="0" y="0"/>
                            <a:ext cx="10160" cy="10160"/>
                          </a:xfrm>
                          <a:prstGeom prst="rect">
                            <a:avLst/>
                          </a:prstGeom>
                          <a:noFill/>
                          <a:ln>
                            <a:noFill/>
                          </a:ln>
                        </pic:spPr>
                      </pic:pic>
                    </a:graphicData>
                  </a:graphic>
                </wp:anchor>
              </w:drawing>
            </w:r>
            <w:r>
              <w:rPr>
                <w:rFonts w:hint="eastAsia" w:asciiTheme="majorEastAsia" w:hAnsiTheme="majorEastAsia" w:eastAsiaTheme="majorEastAsia" w:cstheme="majorEastAsia"/>
                <w:b/>
                <w:bCs/>
                <w:i w:val="0"/>
                <w:iCs w:val="0"/>
                <w:color w:val="000000"/>
                <w:kern w:val="0"/>
                <w:sz w:val="21"/>
                <w:szCs w:val="21"/>
                <w:u w:val="none"/>
                <w:lang w:val="en-US" w:eastAsia="zh-CN" w:bidi="ar"/>
              </w:rPr>
              <w:t>序号</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b/>
                <w:bCs/>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设备名称</w:t>
            </w: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Theme="majorEastAsia" w:hAnsiTheme="majorEastAsia" w:eastAsiaTheme="majorEastAsia" w:cstheme="majorEastAsia"/>
                <w:b/>
                <w:bCs/>
                <w:i w:val="0"/>
                <w:iCs w:val="0"/>
                <w:color w:val="000000"/>
                <w:kern w:val="0"/>
                <w:sz w:val="21"/>
                <w:szCs w:val="21"/>
                <w:u w:val="none"/>
                <w:lang w:val="en-US" w:eastAsia="zh-CN" w:bidi="ar"/>
              </w:rPr>
              <w:t>技术参数要求</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Theme="majorEastAsia" w:hAnsiTheme="majorEastAsia" w:eastAsiaTheme="majorEastAsia" w:cstheme="majorEastAsia"/>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升降课桌</w:t>
            </w: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A.桌面</w:t>
            </w:r>
          </w:p>
        </w:tc>
        <w:tc>
          <w:tcPr>
            <w:tcW w:w="131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szCs w:val="21"/>
              </w:rPr>
              <w:drawing>
                <wp:anchor distT="0" distB="0" distL="114300" distR="114300" simplePos="0" relativeHeight="251661312" behindDoc="0" locked="0" layoutInCell="1" allowOverlap="1">
                  <wp:simplePos x="0" y="0"/>
                  <wp:positionH relativeFrom="column">
                    <wp:posOffset>223520</wp:posOffset>
                  </wp:positionH>
                  <wp:positionV relativeFrom="paragraph">
                    <wp:posOffset>1015365</wp:posOffset>
                  </wp:positionV>
                  <wp:extent cx="817880" cy="1025525"/>
                  <wp:effectExtent l="0" t="0" r="1270" b="3175"/>
                  <wp:wrapTopAndBottom/>
                  <wp:docPr id="835320310" name="图片 14" descr="135045abcb232ce4a99ccd3e82a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20310" name="图片 14" descr="135045abcb232ce4a99ccd3e82a2849"/>
                          <pic:cNvPicPr>
                            <a:picLocks noChangeAspect="1" noChangeArrowheads="1"/>
                          </pic:cNvPicPr>
                        </pic:nvPicPr>
                        <pic:blipFill>
                          <a:blip r:embed="rId16">
                            <a:extLst>
                              <a:ext uri="{28A0092B-C50C-407E-A947-70E740481C1C}">
                                <a14:useLocalDpi xmlns:a14="http://schemas.microsoft.com/office/drawing/2010/main" val="0"/>
                              </a:ext>
                            </a:extLst>
                          </a:blip>
                          <a:srcRect l="28410" t="15263" r="28410" b="8182"/>
                          <a:stretch>
                            <a:fillRect/>
                          </a:stretch>
                        </pic:blipFill>
                        <pic:spPr>
                          <a:xfrm>
                            <a:off x="0" y="0"/>
                            <a:ext cx="817880" cy="10255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1.材质：ABS塑料（塑胶）一体注塑成型。</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2.▲ABS塑料（塑胶）检验：【洛氏硬度(HRR)：≥90），测试方法GB/T 3398.2-2008】；【表面电阻率≥1.0x10</w:t>
            </w:r>
            <w:r>
              <w:rPr>
                <w:rFonts w:hint="eastAsia" w:ascii="宋体" w:hAnsi="宋体" w:eastAsia="宋体" w:cs="宋体"/>
                <w:i w:val="0"/>
                <w:iCs w:val="0"/>
                <w:color w:val="auto"/>
                <w:kern w:val="0"/>
                <w:sz w:val="21"/>
                <w:szCs w:val="21"/>
                <w:u w:val="none"/>
                <w:vertAlign w:val="superscript"/>
                <w:lang w:val="en-US" w:eastAsia="zh-CN" w:bidi="ar"/>
              </w:rPr>
              <w:t>12</w:t>
            </w:r>
            <w:r>
              <w:rPr>
                <w:rFonts w:hint="eastAsia" w:ascii="宋体" w:hAnsi="宋体" w:eastAsia="宋体" w:cs="宋体"/>
                <w:i w:val="0"/>
                <w:iCs w:val="0"/>
                <w:color w:val="auto"/>
                <w:kern w:val="0"/>
                <w:sz w:val="21"/>
                <w:szCs w:val="21"/>
                <w:u w:val="none"/>
                <w:lang w:val="en-US" w:eastAsia="zh-CN" w:bidi="ar"/>
              </w:rPr>
              <w:t>Ω，测试方法GB/T 31838.3-2019】；【拉伸强度（试验速度：50mm/min）≥40MPa；拉伸断裂伸长率（试验速度：50mm/min）≥1.0%；测试方法GB/T 1040.2-2022】；【简支梁缺口冲击强度：≥10KJ∕㎡</w:t>
            </w:r>
            <w:r>
              <w:rPr>
                <w:rFonts w:hint="eastAsia" w:ascii="宋体" w:hAnsi="宋体" w:eastAsia="宋体" w:cs="宋体"/>
                <w:i w:val="0"/>
                <w:iCs w:val="0"/>
                <w:color w:val="auto"/>
                <w:kern w:val="0"/>
                <w:sz w:val="21"/>
                <w:szCs w:val="21"/>
                <w:u w:val="none"/>
                <w:vertAlign w:val="superscript"/>
                <w:lang w:val="en-US" w:eastAsia="zh-CN" w:bidi="ar"/>
              </w:rPr>
              <w:t xml:space="preserve"> </w:t>
            </w:r>
            <w:r>
              <w:rPr>
                <w:rFonts w:hint="eastAsia" w:ascii="宋体" w:hAnsi="宋体" w:eastAsia="宋体" w:cs="宋体"/>
                <w:i w:val="0"/>
                <w:iCs w:val="0"/>
                <w:color w:val="auto"/>
                <w:kern w:val="0"/>
                <w:sz w:val="21"/>
                <w:szCs w:val="21"/>
                <w:u w:val="none"/>
                <w:lang w:val="en-US" w:eastAsia="zh-CN" w:bidi="ar"/>
              </w:rPr>
              <w:t>，测试方法GB/T 1043.1-2008】；【耐磨性(CS-17，750g，100r)≤0.01g，测试方法GB/T 5478-2008】；【热老化（60℃，100h）无龟裂、鼓泡现象，测试方法GB/T 7141-2008】；【盐雾老化（中性盐雾，100h）无锈蚀现象，测试方法GB/T 10125-2021】；【荧光紫外灯老化（100h</w:t>
            </w:r>
            <w:r>
              <w:rPr>
                <w:rFonts w:hint="eastAsia" w:ascii="宋体" w:hAnsi="宋体" w:eastAsia="宋体" w:cs="宋体"/>
                <w:i w:val="0"/>
                <w:iCs w:val="0"/>
                <w:color w:val="auto"/>
                <w:kern w:val="0"/>
                <w:sz w:val="21"/>
                <w:szCs w:val="21"/>
                <w:u w:val="none"/>
                <w:vertAlign w:val="superscript"/>
                <w:lang w:val="en-US" w:eastAsia="zh-CN" w:bidi="ar"/>
              </w:rPr>
              <w:t>1</w:t>
            </w:r>
            <w:r>
              <w:rPr>
                <w:rFonts w:hint="eastAsia" w:ascii="宋体" w:hAnsi="宋体" w:eastAsia="宋体" w:cs="宋体"/>
                <w:i w:val="0"/>
                <w:iCs w:val="0"/>
                <w:color w:val="auto"/>
                <w:kern w:val="0"/>
                <w:sz w:val="21"/>
                <w:szCs w:val="21"/>
                <w:u w:val="none"/>
                <w:lang w:val="en-US" w:eastAsia="zh-CN" w:bidi="ar"/>
              </w:rPr>
              <w:t>）（拉伸强度保持率≥60%、断裂伸长率保持率≥60%、外观变色评级≥3级），测试方法GB/T 16422.3-2022GB/T 1040.2-2022、GB/T 250-2008】；【氧化诱导温度≥200℃，检测方法GB/T 19466.6-2009】；【熔融温度≥100℃，检测方法GB/T 19466.3-2004】；【结晶温度≥100℃，检测方法GB/T 19466.3-2004】；【热焓≥10kJ/kg，检测方法GB/T 19466.3-2004】；【苯酚不得检出，双酚A不得检出，检测方法SN/T 2407-2009】；【苯≤0.05mg/</w:t>
            </w:r>
            <w:r>
              <w:rPr>
                <w:rFonts w:ascii="Noto Sans SC" w:hAnsi="Noto Sans SC" w:eastAsia="Noto Sans SC" w:cs="Noto Sans SC"/>
                <w:i w:val="0"/>
                <w:iCs w:val="0"/>
                <w:color w:val="auto"/>
                <w:kern w:val="0"/>
                <w:sz w:val="21"/>
                <w:szCs w:val="21"/>
                <w:u w:val="none"/>
                <w:lang w:val="en-US" w:eastAsia="zh-CN" w:bidi="ar"/>
              </w:rPr>
              <w:t>㎥</w:t>
            </w:r>
            <w:r>
              <w:rPr>
                <w:rFonts w:ascii="微软雅黑" w:hAnsi="微软雅黑" w:eastAsia="微软雅黑" w:cs="微软雅黑"/>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甲苯≤0.1mg/</w:t>
            </w:r>
            <w:r>
              <w:rPr>
                <w:rFonts w:ascii="Noto Sans SC" w:hAnsi="Noto Sans SC" w:eastAsia="Noto Sans SC" w:cs="Noto Sans SC"/>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，二甲苯≤0.1mg/</w:t>
            </w:r>
            <w:r>
              <w:rPr>
                <w:rFonts w:ascii="Noto Sans SC" w:hAnsi="Noto Sans SC" w:eastAsia="Noto Sans SC" w:cs="Noto Sans SC"/>
                <w:i w:val="0"/>
                <w:iCs w:val="0"/>
                <w:color w:val="auto"/>
                <w:kern w:val="0"/>
                <w:sz w:val="21"/>
                <w:szCs w:val="21"/>
                <w:u w:val="none"/>
                <w:lang w:val="en-US" w:eastAsia="zh-CN" w:bidi="ar"/>
              </w:rPr>
              <w:t>㎥</w:t>
            </w:r>
            <w:r>
              <w:rPr>
                <w:rFonts w:ascii="微软雅黑" w:hAnsi="微软雅黑" w:eastAsia="微软雅黑" w:cs="微软雅黑"/>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总挥发性有机化合物(TVOC) ≤0.3mg/</w:t>
            </w:r>
            <w:r>
              <w:rPr>
                <w:rFonts w:ascii="Noto Sans SC" w:hAnsi="Noto Sans SC" w:eastAsia="Noto Sans SC" w:cs="Noto Sans SC"/>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】；【增塑剂，不得检出邻苯二甲酸二(2-乙基)己酯增塑剂，检测方法GB/T 37866-2019、GB/T 22048-2022】；【可分解芳香胺染料含量：邻甲苯胺≤5mg/kg；2,4-二甲基苯胺≤5mg/kg；2,6-二甲基苯胺≤5mg/kg；邻氨基苯甲醚≤5mg/kg；对氯苯胺≤5mg/kg；2-甲氧基-5-甲基苯胺≤5mg/kg；2,4,5-三甲基苯胺≤5mg/kg；4-氯邻甲苯胺≤5mg/kg；2,4-二氨基甲苯≤5mg/kg；2,4-二氨基苯甲醚≤5mg/kg；2-萘胺≤5mg/kg；5-硝基-邻甲苯胺≤5mg/kg；4-氨基联苯≤5mg/kg；4-氨基偶氮苯≤5mg/kg；4,4’-二氨基二苯醚≤5mg/kg；联苯胺≤5mg/kg；4,4’-二氨基二苯甲烷≤5mg/kg；邻氨基偶氮甲苯≤5mg/kg；3,3’-二甲基-4,4’-二氨基二苯甲烷≤5mg/kg；3,3’-二甲基联苯胺≤5mg/kg；4,4’-二氨基二苯硫醚≤5mg/kg；3,3’-二氯联苯胺≤5mg/kg；4,4’-亚甲基-二-(2-氯苯胺)≤5mg/kg；3,3’-二甲氧基联苯胺≤5mg/kg，检测方法GB/T 37866-2019】。</w:t>
            </w:r>
            <w:r>
              <w:rPr>
                <w:rFonts w:hint="eastAsia" w:ascii="宋体" w:hAnsi="宋体" w:eastAsia="宋体" w:cs="宋体"/>
                <w:b/>
                <w:bCs/>
                <w:i w:val="0"/>
                <w:iCs w:val="0"/>
                <w:color w:val="auto"/>
                <w:kern w:val="0"/>
                <w:sz w:val="21"/>
                <w:szCs w:val="21"/>
                <w:u w:val="none"/>
                <w:lang w:val="en-US" w:eastAsia="zh-CN" w:bidi="ar"/>
              </w:rPr>
              <w:t>单项符合判定均为合格</w:t>
            </w:r>
            <w:r>
              <w:rPr>
                <w:rFonts w:hint="eastAsia" w:ascii="宋体" w:hAnsi="宋体" w:eastAsia="宋体" w:cs="宋体"/>
                <w:i w:val="0"/>
                <w:iCs w:val="0"/>
                <w:color w:val="auto"/>
                <w:kern w:val="0"/>
                <w:sz w:val="21"/>
                <w:szCs w:val="21"/>
                <w:u w:val="none"/>
                <w:lang w:val="en-US" w:eastAsia="zh-CN" w:bidi="ar"/>
              </w:rPr>
              <w:t>。</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3.在课桌面做塑面硬化处理以增加桌面的表面硬度，抗污防腐，支持涂画，灰尘、水渍、汗渍造成桌面污浊不堪，清洁的问题，亦可保护桌面不变色，不褪色。</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4.▲桌面抗污材料要求：检验依据GB/T9274-1988《色漆和清漆 耐液体介质的测定》；检测要求：耐油性（200#溶剂油，24h）无异常；耐酸性（10g/L H</w:t>
            </w:r>
            <w:r>
              <w:rPr>
                <w:rStyle w:val="48"/>
                <w:color w:val="auto"/>
                <w:lang w:val="en-US" w:eastAsia="zh-CN" w:bidi="ar"/>
              </w:rPr>
              <w:t>2</w:t>
            </w:r>
            <w:r>
              <w:rPr>
                <w:rFonts w:hint="eastAsia" w:ascii="宋体" w:hAnsi="宋体" w:eastAsia="宋体" w:cs="宋体"/>
                <w:i w:val="0"/>
                <w:iCs w:val="0"/>
                <w:color w:val="auto"/>
                <w:kern w:val="0"/>
                <w:sz w:val="21"/>
                <w:szCs w:val="21"/>
                <w:u w:val="none"/>
                <w:lang w:val="en-US" w:eastAsia="zh-CN" w:bidi="ar"/>
              </w:rPr>
              <w:t>SO</w:t>
            </w:r>
            <w:r>
              <w:rPr>
                <w:rStyle w:val="48"/>
                <w:color w:val="auto"/>
                <w:lang w:val="en-US" w:eastAsia="zh-CN" w:bidi="ar"/>
              </w:rPr>
              <w:t>4</w:t>
            </w:r>
            <w:r>
              <w:rPr>
                <w:rFonts w:hint="eastAsia" w:ascii="宋体" w:hAnsi="宋体" w:eastAsia="宋体" w:cs="宋体"/>
                <w:i w:val="0"/>
                <w:iCs w:val="0"/>
                <w:color w:val="auto"/>
                <w:kern w:val="0"/>
                <w:sz w:val="21"/>
                <w:szCs w:val="21"/>
                <w:u w:val="none"/>
                <w:lang w:val="en-US" w:eastAsia="zh-CN" w:bidi="ar"/>
              </w:rPr>
              <w:t>，24h）无异常；耐碱性（50g/L NaHCO</w:t>
            </w:r>
            <w:r>
              <w:rPr>
                <w:rStyle w:val="48"/>
                <w:color w:val="auto"/>
                <w:lang w:val="en-US" w:eastAsia="zh-CN" w:bidi="ar"/>
              </w:rPr>
              <w:t>3</w:t>
            </w:r>
            <w:r>
              <w:rPr>
                <w:rFonts w:hint="eastAsia" w:ascii="宋体" w:hAnsi="宋体" w:eastAsia="宋体" w:cs="宋体"/>
                <w:i w:val="0"/>
                <w:iCs w:val="0"/>
                <w:color w:val="auto"/>
                <w:kern w:val="0"/>
                <w:sz w:val="21"/>
                <w:szCs w:val="21"/>
                <w:u w:val="none"/>
                <w:lang w:val="en-US" w:eastAsia="zh-CN" w:bidi="ar"/>
              </w:rPr>
              <w:t>，24h）无异常，</w:t>
            </w:r>
            <w:r>
              <w:rPr>
                <w:rFonts w:hint="eastAsia" w:ascii="宋体" w:hAnsi="宋体" w:eastAsia="宋体" w:cs="宋体"/>
                <w:b/>
                <w:bCs/>
                <w:i w:val="0"/>
                <w:iCs w:val="0"/>
                <w:color w:val="auto"/>
                <w:kern w:val="0"/>
                <w:sz w:val="21"/>
                <w:szCs w:val="21"/>
                <w:u w:val="none"/>
                <w:lang w:val="en-US" w:eastAsia="zh-CN" w:bidi="ar"/>
              </w:rPr>
              <w:t>单项符合判定均为合格。</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r>
              <w:rPr>
                <w:rFonts w:hint="eastAsia" w:ascii="宋体" w:hAnsi="宋体" w:eastAsia="宋体" w:cs="宋体"/>
                <w:i w:val="0"/>
                <w:iCs w:val="0"/>
                <w:color w:val="auto"/>
                <w:kern w:val="0"/>
                <w:sz w:val="21"/>
                <w:szCs w:val="21"/>
                <w:u w:val="none"/>
                <w:lang w:val="en-US" w:eastAsia="zh-CN" w:bidi="ar"/>
              </w:rPr>
              <w:t>.▲塑料桌面耐污染应符合以下要求：耐污染[墨水(蓝色和红色)、印泥、水笔、圆珠笔、涂改液，24h]能被符合QB/T2309-2020的普通橡皮擦拭；</w:t>
            </w:r>
            <w:r>
              <w:rPr>
                <w:rFonts w:hint="eastAsia" w:ascii="宋体" w:hAnsi="宋体" w:eastAsia="宋体" w:cs="宋体"/>
                <w:b/>
                <w:bCs/>
                <w:i w:val="0"/>
                <w:iCs w:val="0"/>
                <w:color w:val="auto"/>
                <w:kern w:val="0"/>
                <w:sz w:val="21"/>
                <w:szCs w:val="21"/>
                <w:u w:val="none"/>
                <w:lang w:val="en-US" w:eastAsia="zh-CN" w:bidi="ar"/>
              </w:rPr>
              <w:t>单项符合判定为合格</w:t>
            </w:r>
            <w:r>
              <w:rPr>
                <w:rFonts w:hint="eastAsia" w:ascii="宋体" w:hAnsi="宋体" w:eastAsia="宋体" w:cs="宋体"/>
                <w:i w:val="0"/>
                <w:iCs w:val="0"/>
                <w:color w:val="auto"/>
                <w:kern w:val="0"/>
                <w:sz w:val="21"/>
                <w:szCs w:val="21"/>
                <w:u w:val="none"/>
                <w:lang w:val="en-US" w:eastAsia="zh-CN" w:bidi="ar"/>
              </w:rPr>
              <w:t>。检测依据QB/T 4071-2021《课桌椅》。</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5"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6.规格（符合GB/T3976-2014《学校课桌椅功能尺寸及技术要求》要求）：具体尺寸中标后依据学校要求确认，尺寸：（长600mm×宽400mm×高20mm）±5mm（注：供应商对产品参数可响应区间内任意值也可响应区间范围）。</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功能：桌面靠胸前端处有一內弧造型设计；桌面两侧与前沿设置一冂字型防落凸条。表面有细蚀纹(咬花),不得有反光现象。桌面四周及底部不得有毛边，倒圆角光滑不刮手。面板底部有強化安全承重之设计。锁入双钢管支撑，并与面板底部平齐。</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B.书箱</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8.材质：PP塑料（塑胶）</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9.规格：内径尺寸：（长450mm×宽330mm×高90mm）±5mm；外径尺寸：（长500mm×宽340mm×高100mm）±5mm。（符合GB/T3976-2014《学校课桌椅功能尺寸及技术要求》要求）。</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书箱技术要求：书箱内部前沿设有（长370mm×宽60mm）±5mm凹槽。底部有排水槽缝设计（宽度≤5mm）不少于44条，清洗或擦拭底部易排水通风干燥。书箱三墙面为弧型设计，无尖角。书箱外围倒圆角光滑不刮手，无毛边。书箱底部外侧横向加强筋不少于6条、纵向加强筋不少于3条，加固承重，不易变形。左右两侧各有连体多功能挂钩（长87mm×宽38mm×高26mm）±5mm，书箱与挂钩一体成型设计。</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C.桌脚钢架</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11.材质及形状：采用符合标准异形亮光钢管、异包管亮光钢管组合焊接所有焊接部位满焊而成，结构牢固，长时间使用不得产生摇晃 、松散的现象。焊接完成钢管架，焊接部位牢固，无脱焊、虚焊、焊穿；焊缝均匀，无毛棱、锐棱、飞溅、裂纹等缺陷。</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尺寸：桌脚钢架贴地脚管采用30mm±1mm×60mm±1mm×厚1.5mm的椭圆形白皮钢管；桌脚上部支撑固定立管采用30mm±1mm×60mm±1mm×厚1.5mm的椭圆形白皮钢管；桌脚上部活动内管采用23mm±1mm×50mm±1mm×厚1.5mm的椭圆形白皮钢管；连接书箱P型支架管采用20mm±1mm×40mm±1mm×厚1.2mm的椭圆形白皮钢管，桌腿中间连接横档管采用20mm±1mm×40mm±1mm×厚1.2mm的椭圆形白皮钢管，该横档管到桌面内沿间距符合GB/T 3976-2014关于桌下净空深的要求。</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表面涂装：焊接完成后的钢管架，表面经除油、脱脂、磷化、皮膜处理。外表采用一级颗粒粉末，经高温粉体烤漆，不得有刮伤或脱漆现象。涂层无漏喷、锈蚀；涂层光滑均匀，色泽一致。涂层平整光滑、清晰。</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14.底坐P字型弯管左右组合焊接外型。</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15.产品符合QB/T 4071-2021 标准,无断裂或豁裂, 手揿圧各部件不松动, 零部件无严重影响使用功能的磨损或变形, 五金连接件不松动, 活动部件开关灵便。</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D.课桌椅标识</w:t>
            </w:r>
            <w:r>
              <w:rPr>
                <w:rFonts w:hint="eastAsia" w:ascii="宋体" w:hAnsi="宋体" w:eastAsia="宋体" w:cs="宋体"/>
                <w:i w:val="0"/>
                <w:iCs w:val="0"/>
                <w:color w:val="000000"/>
                <w:kern w:val="0"/>
                <w:sz w:val="21"/>
                <w:szCs w:val="21"/>
                <w:u w:val="none"/>
                <w:lang w:val="en-US" w:eastAsia="zh-CN" w:bidi="ar"/>
              </w:rPr>
              <w:t>：</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采用激光镭射标示，字体保证不会脱落掉色，用于学校管理使用及产品维护。在可调节的钢制脚架上外侧清晰标记，高度刻度尺按照（《学校课桌椅功能尺寸及技术要求》（GB/T3976-2014））用阿拉伯数字作标示。</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17.在课桌桌腿立管(钢制脚架上)外侧上做如下标示：</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a)标有统一的校名（简称）汉字或学校 LOGO，用于学校财产登记。</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b)标有生产（出厂）年月日数字标识，保证设备保修售后。</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c)标有产品序列号数字标识（编码从0001开始的四位流水号），用于学校财产登记。</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d)标有高度刻度尺数字标识。</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E.脚垫</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18.材质：PP塑料（塑胶） ，结实耐用不脱落。</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9"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19.▲规格及功能：长93mm±1mm×宽69mm±1mm×高50mm±1mm,垫跟高10mm±2mm。采用环保PP塑料一级新料一体射出注塑成型。并用圆头十字自攻螺丝紧固。课桌后侧两只脚垫底部有一只水平调节塑钢POM螺栓。当地面不平时，可通过调节水平螺栓，使座垫保持平衡不倾斜。表面光滑，无棱角。</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F.挂钩</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20.材质：PP塑料（塑胶） ，结实牢固耐用不脱落。 挂钩与书箱一体成型设计。</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G.其他配件（简述）</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快速升降调节组件</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21.可调式升降结构：采用上下安全升降结构组合成，课桌桌腿升降器由中间传动轴连接课桌的左右腿活动立管，可以同时升降。</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22.组件装置安全性：桌腿外侧外观无外露螺丝五金件，左右腿都可以调整高度。</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23.升降技术要求：手摇升降调节，每张课桌手摇升降调节行程不少于15cm,符合GB/T3976-2014《学校课桌椅功能尺寸及技术要求》 0～5号、4～9号学生课桌标准，可调节高度区间为64cm-79cm、52cm-67cm，在区间内可通过手摇升降快速调节到任意的高度，从而达到（GB/T3976-2014《学校课桌椅功能尺寸及技术要求》）要求（具体实际要求高度以学校要求为准）。升降刻度尺采用激光镭射打印。</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24.一把手摇柄可以支持该批全部课桌椅调节。课桌选择的具体调节型号范围，中标后可根据使用年级另行确定，存在不同调节范围的情况，中标供应商无条件配合。</w:t>
            </w:r>
          </w:p>
          <w:p>
            <w:pPr>
              <w:pStyle w:val="2"/>
              <w:rPr>
                <w:rFonts w:hint="eastAsia"/>
                <w:lang w:val="en-US" w:eastAsia="zh-CN"/>
              </w:rPr>
            </w:pP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升降课椅</w:t>
            </w: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A.靠背</w:t>
            </w:r>
          </w:p>
        </w:tc>
        <w:tc>
          <w:tcPr>
            <w:tcW w:w="1316" w:type="dxa"/>
            <w:vMerge w:val="restart"/>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drawing>
                <wp:anchor distT="0" distB="0" distL="114300" distR="114300" simplePos="0" relativeHeight="251660288" behindDoc="1" locked="0" layoutInCell="1" allowOverlap="1">
                  <wp:simplePos x="0" y="0"/>
                  <wp:positionH relativeFrom="column">
                    <wp:posOffset>26035</wp:posOffset>
                  </wp:positionH>
                  <wp:positionV relativeFrom="paragraph">
                    <wp:posOffset>139700</wp:posOffset>
                  </wp:positionV>
                  <wp:extent cx="688340" cy="1053465"/>
                  <wp:effectExtent l="0" t="0" r="6985" b="3810"/>
                  <wp:wrapTight wrapText="bothSides">
                    <wp:wrapPolygon>
                      <wp:start x="0" y="0"/>
                      <wp:lineTo x="0" y="21483"/>
                      <wp:lineTo x="21221" y="21483"/>
                      <wp:lineTo x="21221" y="0"/>
                      <wp:lineTo x="0" y="0"/>
                    </wp:wrapPolygon>
                  </wp:wrapTight>
                  <wp:docPr id="3088600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60012" name="图片 13"/>
                          <pic:cNvPicPr>
                            <a:picLocks noChangeAspect="1" noChangeArrowheads="1"/>
                          </pic:cNvPicPr>
                        </pic:nvPicPr>
                        <pic:blipFill>
                          <a:blip r:embed="rId17">
                            <a:extLst>
                              <a:ext uri="{28A0092B-C50C-407E-A947-70E740481C1C}">
                                <a14:useLocalDpi xmlns:a14="http://schemas.microsoft.com/office/drawing/2010/main" val="0"/>
                              </a:ext>
                            </a:extLst>
                          </a:blip>
                          <a:srcRect l="27753" t="17775" r="25993" b="11507"/>
                          <a:stretch>
                            <a:fillRect/>
                          </a:stretch>
                        </pic:blipFill>
                        <pic:spPr>
                          <a:xfrm>
                            <a:off x="0" y="0"/>
                            <a:ext cx="688340" cy="10534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25.材质：PP塑料（塑胶）</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2"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26.尺寸：（长410mm×宽270mm）±5mm（符合《学校课桌椅功能尺寸及技术要求》(</w:t>
            </w:r>
            <w:r>
              <w:rPr>
                <w:rFonts w:hint="eastAsia" w:ascii="宋体" w:hAnsi="宋体" w:eastAsia="宋体" w:cs="宋体"/>
                <w:i w:val="0"/>
                <w:iCs w:val="0"/>
                <w:color w:val="000000"/>
                <w:kern w:val="0"/>
                <w:sz w:val="21"/>
                <w:szCs w:val="21"/>
                <w:highlight w:val="green"/>
                <w:u w:val="none"/>
                <w:lang w:val="en-US" w:eastAsia="zh-CN" w:bidi="ar"/>
              </w:rPr>
              <w:t>GB/T3976-2014</w:t>
            </w:r>
            <w:r>
              <w:rPr>
                <w:rFonts w:hint="eastAsia" w:ascii="宋体" w:hAnsi="宋体" w:eastAsia="宋体" w:cs="宋体"/>
                <w:i w:val="0"/>
                <w:iCs w:val="0"/>
                <w:color w:val="000000"/>
                <w:kern w:val="0"/>
                <w:sz w:val="21"/>
                <w:szCs w:val="21"/>
                <w:u w:val="none"/>
                <w:lang w:val="en-US" w:eastAsia="zh-CN" w:bidi="ar"/>
              </w:rPr>
              <w:t>)）</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27.样式：靠背与钢管结合方式，采用直插套管卡扣式紧固，无外露螺丝等紧固件。牢固稳定无摇晃、松动现象。靠背呈弯孤曲面，人体工程学舒适设计，设有散热孔透气，孔直径均小于5mm。</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B.座垫</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28.材质：PP塑料（塑胶）。</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29.尺寸：（长400mm×宽414mm）±5mm（符合《学校课桌椅功能尺寸及技术要求》(GB/T3976-2014)）</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30.样式：座垫前端有两处下凹设计，座垫深部有内陷设计，座垫曲面有散热孔设计，孔直径均小于5mm。</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31.▲座垫抗滑应满足以下要求：抗滑值((湿测)（BPN,20℃）检测结果≥72.4；抗滑值((干测)（BPN,20℃）检测结果≥104.8。</w:t>
            </w:r>
            <w:r>
              <w:rPr>
                <w:rStyle w:val="47"/>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5"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C.椅腿钢架</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32.材质及规格: 符合标准椭圆形钢管，主要支撑部件（厚度不小于1.5mm）。椅腿钢架贴地脚管采用30mm±1mm×60mm±1mm壁厚1.5mm的椭圆形白皮钢管；椅腿部横档采用20mm±1mm×40mm±1mm，壁厚1.2mm的椭圆形白皮钢管；椅脚上部固定立管采用30mm±1mm×60mm±1mm，壁厚1.5mm的椭圆形白皮钢管；椅脚上部活动立管采用23mm±1mm×50mm±1mm，壁厚1.5mm的椭圆形白皮钢管；靠背支撑弯管采用16.5mm±1mm×34 mm×±1mm，壁厚1.2mm的椭圆形白皮钢管；椅座垫下设补强管采用16.5mm±1mm×34mm±1mm，壁厚1.2mm的椭圆形白皮钢管。</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33.工艺：采用上下安全升降结构，可调节区间（调节行程）不少于7cm，符合(GB/T3976-2014) 学生课椅标准（具体实际要求高度以学校要求为准）。升降刻度尺采用激光镭射打印。</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34.技术形状：底坐采用安全牢固的T字（或C字或工字)组合焊接外型结构，内配隐藏式上下升降结构。</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表面技术要求：焊接完成后的钢管架，表面经除油、脱脂、磷化、皮膜处理。外表采用一级颗粒粉末，经高温粉体烤漆，无刮伤或脱漆现象。涂层无漏喷、锈蚀涂层光滑均匀，色泽一致，无流挂、疙瘩、皱皮、飞漆等缺陷。涂层平整光滑、清晰，无明显粒子、涨边现象。</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D.课桌椅标识：</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采用激光镭射标示，字体保证不脱落掉色，用于学校管理使用及产品维护。在可调节的钢制脚架上外侧清晰标记，高度刻度尺按照课桌椅（《学校课桌椅功能尺寸及技术要求》（GB/T3976-2014））用阿拉伯数字作标示。</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37.表面标示至少满足以下要求：</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a)在课椅椅腿立管(钢制脚架上)外侧上做如下标示：</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b)标示并标有统一的校名（简称）标识，用于学校财产登记；</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c)并标示并标有生产（出厂）年月日数字标识，用于设备保修售后；</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d)标示并标有产品序列号数字标识（编号从0001开始的流水号），用于学校财产登记；</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e)标示并标有高度刻度尺数字标识，满足标准要求。</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F.脚垫</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38.材质：PP塑料（塑胶）。</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39.▲规格及功能：长93mm±1mm×宽69mm±1mm×高50mm±1mm,垫跟高10mm±2mm。采用环保PP塑料一级新料一体射出注塑成型。并用圆头十字自攻螺丝紧固。课椅后侧两只脚垫底部有一只水平调节塑钢POM螺栓。当地面不平时，可通过调节水平螺栓，使座垫保持平衡不倾斜。表面光滑，无棱角。</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G.其他配件</w:t>
            </w:r>
            <w:r>
              <w:rPr>
                <w:rFonts w:hint="eastAsia" w:ascii="宋体" w:hAnsi="宋体" w:eastAsia="宋体" w:cs="宋体"/>
                <w:i w:val="0"/>
                <w:iCs w:val="0"/>
                <w:color w:val="000000"/>
                <w:kern w:val="0"/>
                <w:sz w:val="21"/>
                <w:szCs w:val="21"/>
                <w:u w:val="none"/>
                <w:lang w:val="en-US" w:eastAsia="zh-CN" w:bidi="ar"/>
              </w:rPr>
              <w:t>（简述）</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422" w:firstLineChars="20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快速升降调节组件：</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40.手摇可调式结构：</w:t>
            </w:r>
            <w:r>
              <w:rPr>
                <w:rFonts w:hint="default" w:ascii="宋体" w:hAnsi="宋体" w:eastAsia="宋体" w:cs="宋体"/>
                <w:i w:val="0"/>
                <w:iCs w:val="0"/>
                <w:color w:val="000000"/>
                <w:kern w:val="0"/>
                <w:sz w:val="21"/>
                <w:szCs w:val="21"/>
                <w:u w:val="none"/>
                <w:lang w:val="en-US" w:eastAsia="zh-CN" w:bidi="ar"/>
              </w:rPr>
              <w:t>采用耐用且环保的材料制造，确保产品既轻便耐用，又能在运作过程中保持静音，同时有效预防长期使用后因生锈导致的活动受阻或卡死问题。</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41.手摇组件装置安全性：椅腿外侧外观无外露螺丝五金件，学生使用无安全隐患，左右腿都可以同时调整高度。</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42.升降技术要求：全手摇升降可调式调节，每张课椅手摇升降调节行程不少于7cm，可调节高度区间至少满足29cm～36cm、36cm～46cm，达到（《学校课桌椅功能尺寸及技术要求》（GB/T3976-2014））要求。</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43.一把手摇柄可以满足该批全部课桌椅调节。课椅选择的具体调节型号范围，中标后可根据使用年级另行确定，存在不同调节范围的情况，中标供应商无条件配合。</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44.▲升降课桌椅钢架检验：【化学成分：C≤0.22%，Si≤0.35%，Mn≤1.40%，P≤0.045%，S≤0.050%】；【力学性能：抗拉强度R</w:t>
            </w:r>
            <w:r>
              <w:rPr>
                <w:rStyle w:val="48"/>
                <w:color w:val="auto"/>
                <w:lang w:val="en-US" w:eastAsia="zh-CN" w:bidi="ar"/>
              </w:rPr>
              <w:t>m</w:t>
            </w:r>
            <w:r>
              <w:rPr>
                <w:rFonts w:hint="eastAsia" w:ascii="宋体" w:hAnsi="宋体" w:eastAsia="宋体" w:cs="宋体"/>
                <w:i w:val="0"/>
                <w:iCs w:val="0"/>
                <w:color w:val="auto"/>
                <w:kern w:val="0"/>
                <w:sz w:val="21"/>
                <w:szCs w:val="21"/>
                <w:u w:val="none"/>
                <w:lang w:val="en-US" w:eastAsia="zh-CN" w:bidi="ar"/>
              </w:rPr>
              <w:t>370～560MPa，下屈服强度R</w:t>
            </w:r>
            <w:r>
              <w:rPr>
                <w:rStyle w:val="48"/>
                <w:color w:val="auto"/>
                <w:lang w:val="en-US" w:eastAsia="zh-CN" w:bidi="ar"/>
              </w:rPr>
              <w:t>eL</w:t>
            </w:r>
            <w:r>
              <w:rPr>
                <w:rFonts w:hint="eastAsia" w:ascii="宋体" w:hAnsi="宋体" w:eastAsia="宋体" w:cs="宋体"/>
                <w:i w:val="0"/>
                <w:iCs w:val="0"/>
                <w:color w:val="auto"/>
                <w:kern w:val="0"/>
                <w:sz w:val="21"/>
                <w:szCs w:val="21"/>
                <w:u w:val="none"/>
                <w:lang w:val="en-US" w:eastAsia="zh-CN" w:bidi="ar"/>
              </w:rPr>
              <w:t>≥235MPa，断后伸长率A≥24%】；【维氏硬度HV5≥130】；【中性盐雾(18h)，符合 QB/T3832-1999标准中耐腐蚀等级≥9级】；【焊缝宏观和微观金相检验：焊缝宏观金相检验，焊缝不应有固体夹杂、未熔合及未焊透缺陷；焊缝微观金相检验，焊接后不应有固体夹杂、沉淀相、偏析、未熔合及未焊透缺陷;焊缝组织为索氏体和铁素体，呈柱状晶分布。】。检验依据GB/T 26955-2011《金属材料焊缝破坏性试验焊缝宏观和微观检验》、GB/T 4340.1-2024《金属材料维氏硬度试验第1部分:试验方法》、GB/T 6725-2017《冷弯型钢通用技术要求》、GB/T 10125-2021《人造气氛腐蚀试验 盐雾试验》、QB/T 3832-1999《轻工产品金属镀层腐蚀试验结果的评价》；</w:t>
            </w:r>
            <w:r>
              <w:rPr>
                <w:rFonts w:hint="eastAsia" w:ascii="宋体" w:hAnsi="宋体" w:eastAsia="宋体" w:cs="宋体"/>
                <w:b/>
                <w:bCs/>
                <w:i w:val="0"/>
                <w:iCs w:val="0"/>
                <w:color w:val="auto"/>
                <w:kern w:val="0"/>
                <w:sz w:val="21"/>
                <w:szCs w:val="21"/>
                <w:u w:val="none"/>
                <w:lang w:val="en-US" w:eastAsia="zh-CN" w:bidi="ar"/>
              </w:rPr>
              <w:t>单项符合判定均为合格。</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45.▲升降课桌椅：烟密度≤</w:t>
            </w:r>
            <w:r>
              <w:rPr>
                <w:rStyle w:val="50"/>
                <w:rFonts w:eastAsia="宋体"/>
                <w:color w:val="auto"/>
                <w:lang w:val="en-US" w:eastAsia="zh-CN" w:bidi="ar"/>
              </w:rPr>
              <w:t>75</w:t>
            </w:r>
            <w:r>
              <w:rPr>
                <w:rFonts w:hint="eastAsia" w:ascii="宋体" w:hAnsi="宋体" w:eastAsia="宋体" w:cs="宋体"/>
                <w:i w:val="0"/>
                <w:iCs w:val="0"/>
                <w:color w:val="auto"/>
                <w:kern w:val="0"/>
                <w:sz w:val="21"/>
                <w:szCs w:val="21"/>
                <w:u w:val="none"/>
                <w:lang w:val="en-US" w:eastAsia="zh-CN" w:bidi="ar"/>
              </w:rPr>
              <w:t>；氧指数≥</w:t>
            </w:r>
            <w:r>
              <w:rPr>
                <w:rStyle w:val="50"/>
                <w:rFonts w:eastAsia="宋体"/>
                <w:color w:val="auto"/>
                <w:lang w:val="en-US" w:eastAsia="zh-CN" w:bidi="ar"/>
              </w:rPr>
              <w:t>20%</w:t>
            </w:r>
            <w:r>
              <w:rPr>
                <w:rFonts w:hint="eastAsia" w:ascii="宋体" w:hAnsi="宋体" w:eastAsia="宋体" w:cs="宋体"/>
                <w:i w:val="0"/>
                <w:iCs w:val="0"/>
                <w:color w:val="auto"/>
                <w:kern w:val="0"/>
                <w:sz w:val="21"/>
                <w:szCs w:val="21"/>
                <w:u w:val="none"/>
                <w:lang w:val="en-US" w:eastAsia="zh-CN" w:bidi="ar"/>
              </w:rPr>
              <w:t>；垂直燃烧</w:t>
            </w:r>
            <w:r>
              <w:rPr>
                <w:rStyle w:val="50"/>
                <w:rFonts w:eastAsia="宋体"/>
                <w:color w:val="auto"/>
                <w:lang w:val="en-US" w:eastAsia="zh-CN" w:bidi="ar"/>
              </w:rPr>
              <w:t>V-1</w:t>
            </w:r>
            <w:r>
              <w:rPr>
                <w:rFonts w:hint="eastAsia" w:ascii="宋体" w:hAnsi="宋体" w:eastAsia="宋体" w:cs="宋体"/>
                <w:i w:val="0"/>
                <w:iCs w:val="0"/>
                <w:color w:val="auto"/>
                <w:kern w:val="0"/>
                <w:sz w:val="21"/>
                <w:szCs w:val="21"/>
                <w:u w:val="none"/>
                <w:lang w:val="en-US" w:eastAsia="zh-CN" w:bidi="ar"/>
              </w:rPr>
              <w:t>级；氯乙烯单体残留量≤</w:t>
            </w:r>
            <w:r>
              <w:rPr>
                <w:rStyle w:val="50"/>
                <w:rFonts w:eastAsia="宋体"/>
                <w:color w:val="auto"/>
                <w:lang w:val="en-US" w:eastAsia="zh-CN" w:bidi="ar"/>
              </w:rPr>
              <w:t>3mg/kg</w:t>
            </w:r>
            <w:r>
              <w:rPr>
                <w:rFonts w:hint="eastAsia" w:ascii="宋体" w:hAnsi="宋体" w:eastAsia="宋体" w:cs="宋体"/>
                <w:i w:val="0"/>
                <w:iCs w:val="0"/>
                <w:color w:val="auto"/>
                <w:kern w:val="0"/>
                <w:sz w:val="21"/>
                <w:szCs w:val="21"/>
                <w:u w:val="none"/>
                <w:lang w:val="en-US" w:eastAsia="zh-CN" w:bidi="ar"/>
              </w:rPr>
              <w:t>。单项判定均为合格。检验依据</w:t>
            </w:r>
            <w:r>
              <w:rPr>
                <w:rStyle w:val="50"/>
                <w:rFonts w:eastAsia="宋体"/>
                <w:color w:val="auto"/>
                <w:lang w:val="en-US" w:eastAsia="zh-CN" w:bidi="ar"/>
              </w:rPr>
              <w:t>GB/T 8627-2007</w:t>
            </w:r>
            <w:r>
              <w:rPr>
                <w:rFonts w:hint="eastAsia" w:ascii="宋体" w:hAnsi="宋体" w:eastAsia="宋体" w:cs="宋体"/>
                <w:i w:val="0"/>
                <w:iCs w:val="0"/>
                <w:color w:val="auto"/>
                <w:kern w:val="0"/>
                <w:sz w:val="21"/>
                <w:szCs w:val="21"/>
                <w:u w:val="none"/>
                <w:lang w:val="en-US" w:eastAsia="zh-CN" w:bidi="ar"/>
              </w:rPr>
              <w:t>《建筑材料燃烧或分解的烟密度试验方法》、</w:t>
            </w:r>
            <w:r>
              <w:rPr>
                <w:rStyle w:val="50"/>
                <w:rFonts w:eastAsia="宋体"/>
                <w:color w:val="auto"/>
                <w:lang w:val="en-US" w:eastAsia="zh-CN" w:bidi="ar"/>
              </w:rPr>
              <w:t>GB/T 2406.2-2009</w:t>
            </w:r>
            <w:r>
              <w:rPr>
                <w:rFonts w:hint="eastAsia" w:ascii="宋体" w:hAnsi="宋体" w:eastAsia="宋体" w:cs="宋体"/>
                <w:i w:val="0"/>
                <w:iCs w:val="0"/>
                <w:color w:val="auto"/>
                <w:kern w:val="0"/>
                <w:sz w:val="21"/>
                <w:szCs w:val="21"/>
                <w:u w:val="none"/>
                <w:lang w:val="en-US" w:eastAsia="zh-CN" w:bidi="ar"/>
              </w:rPr>
              <w:t>塑料用氧指数法测定燃烧行为第</w:t>
            </w:r>
            <w:r>
              <w:rPr>
                <w:rStyle w:val="50"/>
                <w:rFonts w:eastAsia="宋体"/>
                <w:color w:val="auto"/>
                <w:lang w:val="en-US" w:eastAsia="zh-CN" w:bidi="ar"/>
              </w:rPr>
              <w:t>2</w:t>
            </w:r>
            <w:r>
              <w:rPr>
                <w:rFonts w:hint="eastAsia" w:ascii="宋体" w:hAnsi="宋体" w:eastAsia="宋体" w:cs="宋体"/>
                <w:i w:val="0"/>
                <w:iCs w:val="0"/>
                <w:color w:val="auto"/>
                <w:kern w:val="0"/>
                <w:sz w:val="21"/>
                <w:szCs w:val="21"/>
                <w:u w:val="none"/>
                <w:lang w:val="en-US" w:eastAsia="zh-CN" w:bidi="ar"/>
              </w:rPr>
              <w:t>部分</w:t>
            </w:r>
            <w:r>
              <w:rPr>
                <w:rStyle w:val="50"/>
                <w:rFonts w:eastAsia="宋体"/>
                <w:color w:val="auto"/>
                <w:lang w:val="en-US" w:eastAsia="zh-CN" w:bidi="ar"/>
              </w:rPr>
              <w:t>:</w:t>
            </w:r>
            <w:r>
              <w:rPr>
                <w:rFonts w:hint="eastAsia" w:ascii="宋体" w:hAnsi="宋体" w:eastAsia="宋体" w:cs="宋体"/>
                <w:i w:val="0"/>
                <w:iCs w:val="0"/>
                <w:color w:val="auto"/>
                <w:kern w:val="0"/>
                <w:sz w:val="21"/>
                <w:szCs w:val="21"/>
                <w:u w:val="none"/>
                <w:lang w:val="en-US" w:eastAsia="zh-CN" w:bidi="ar"/>
              </w:rPr>
              <w:t>室温试验》、</w:t>
            </w:r>
            <w:r>
              <w:rPr>
                <w:rStyle w:val="50"/>
                <w:rFonts w:eastAsia="宋体"/>
                <w:color w:val="auto"/>
                <w:lang w:val="en-US" w:eastAsia="zh-CN" w:bidi="ar"/>
              </w:rPr>
              <w:t>GB/T 2408-2021</w:t>
            </w:r>
            <w:r>
              <w:rPr>
                <w:rFonts w:hint="eastAsia" w:ascii="宋体" w:hAnsi="宋体" w:eastAsia="宋体" w:cs="宋体"/>
                <w:i w:val="0"/>
                <w:iCs w:val="0"/>
                <w:color w:val="auto"/>
                <w:kern w:val="0"/>
                <w:sz w:val="21"/>
                <w:szCs w:val="21"/>
                <w:u w:val="none"/>
                <w:lang w:val="en-US" w:eastAsia="zh-CN" w:bidi="ar"/>
              </w:rPr>
              <w:t>《塑料 燃烧性能的测定 水平法和垂直法》、</w:t>
            </w:r>
            <w:r>
              <w:rPr>
                <w:rStyle w:val="50"/>
                <w:rFonts w:eastAsia="宋体"/>
                <w:color w:val="auto"/>
                <w:lang w:val="en-US" w:eastAsia="zh-CN" w:bidi="ar"/>
              </w:rPr>
              <w:t>GB/T 37866-2019</w:t>
            </w:r>
            <w:r>
              <w:rPr>
                <w:rFonts w:hint="eastAsia" w:ascii="宋体" w:hAnsi="宋体" w:eastAsia="宋体" w:cs="宋体"/>
                <w:i w:val="0"/>
                <w:iCs w:val="0"/>
                <w:color w:val="auto"/>
                <w:kern w:val="0"/>
                <w:sz w:val="21"/>
                <w:szCs w:val="21"/>
                <w:u w:val="none"/>
                <w:lang w:val="en-US" w:eastAsia="zh-CN" w:bidi="ar"/>
              </w:rPr>
              <w:t>《绿色产品评价塑料制品》、</w:t>
            </w:r>
            <w:r>
              <w:rPr>
                <w:rStyle w:val="50"/>
                <w:rFonts w:eastAsia="宋体"/>
                <w:color w:val="auto"/>
                <w:lang w:val="en-US" w:eastAsia="zh-CN" w:bidi="ar"/>
              </w:rPr>
              <w:t>GB/T 33284-2016</w:t>
            </w:r>
            <w:r>
              <w:rPr>
                <w:rFonts w:hint="eastAsia" w:ascii="宋体" w:hAnsi="宋体" w:eastAsia="宋体" w:cs="宋体"/>
                <w:i w:val="0"/>
                <w:iCs w:val="0"/>
                <w:color w:val="auto"/>
                <w:kern w:val="0"/>
                <w:sz w:val="21"/>
                <w:szCs w:val="21"/>
                <w:u w:val="none"/>
                <w:lang w:val="en-US" w:eastAsia="zh-CN" w:bidi="ar"/>
              </w:rPr>
              <w:t>《室内装饰装修材料门、窗用未增塑聚氣乙烯</w:t>
            </w:r>
            <w:r>
              <w:rPr>
                <w:rStyle w:val="50"/>
                <w:rFonts w:eastAsia="宋体"/>
                <w:color w:val="auto"/>
                <w:lang w:val="en-US" w:eastAsia="zh-CN" w:bidi="ar"/>
              </w:rPr>
              <w:t>(PVC-U)</w:t>
            </w:r>
            <w:r>
              <w:rPr>
                <w:rFonts w:hint="eastAsia" w:ascii="宋体" w:hAnsi="宋体" w:eastAsia="宋体" w:cs="宋体"/>
                <w:i w:val="0"/>
                <w:iCs w:val="0"/>
                <w:color w:val="auto"/>
                <w:kern w:val="0"/>
                <w:sz w:val="21"/>
                <w:szCs w:val="21"/>
                <w:u w:val="none"/>
                <w:lang w:val="en-US" w:eastAsia="zh-CN" w:bidi="ar"/>
              </w:rPr>
              <w:t>型材有害物质限量》。</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课椅置物篮：</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w:t>
            </w:r>
            <w:r>
              <w:rPr>
                <w:rFonts w:hint="eastAsia" w:ascii="宋体" w:hAnsi="宋体" w:eastAsia="宋体" w:cs="宋体"/>
                <w:i w:val="0"/>
                <w:iCs w:val="0"/>
                <w:color w:val="000000"/>
                <w:kern w:val="0"/>
                <w:sz w:val="21"/>
                <w:szCs w:val="21"/>
                <w:u w:val="none"/>
                <w:lang w:val="en-US" w:eastAsia="zh-CN" w:bidi="ar"/>
              </w:rPr>
              <w:t>材质：</w:t>
            </w:r>
            <w:r>
              <w:rPr>
                <w:rStyle w:val="51"/>
                <w:rFonts w:eastAsia="宋体"/>
                <w:lang w:val="en-US" w:eastAsia="zh-CN" w:bidi="ar"/>
              </w:rPr>
              <w:t>PP</w:t>
            </w:r>
            <w:r>
              <w:rPr>
                <w:rFonts w:hint="eastAsia" w:ascii="宋体" w:hAnsi="宋体" w:eastAsia="宋体" w:cs="宋体"/>
                <w:i w:val="0"/>
                <w:iCs w:val="0"/>
                <w:color w:val="000000"/>
                <w:kern w:val="0"/>
                <w:sz w:val="21"/>
                <w:szCs w:val="21"/>
                <w:u w:val="none"/>
                <w:lang w:val="en-US" w:eastAsia="zh-CN" w:bidi="ar"/>
              </w:rPr>
              <w:t>塑料，结实耐用不易脱落。</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w:t>
            </w:r>
            <w:r>
              <w:rPr>
                <w:rFonts w:hint="eastAsia" w:ascii="宋体" w:hAnsi="宋体" w:eastAsia="宋体" w:cs="宋体"/>
                <w:i w:val="0"/>
                <w:iCs w:val="0"/>
                <w:color w:val="000000"/>
                <w:kern w:val="0"/>
                <w:sz w:val="21"/>
                <w:szCs w:val="21"/>
                <w:u w:val="none"/>
                <w:lang w:val="en-US" w:eastAsia="zh-CN" w:bidi="ar"/>
              </w:rPr>
              <w:t>尺寸</w:t>
            </w:r>
            <w:r>
              <w:rPr>
                <w:rStyle w:val="51"/>
                <w:rFonts w:eastAsia="宋体"/>
                <w:lang w:val="en-US" w:eastAsia="zh-CN" w:bidi="ar"/>
              </w:rPr>
              <w:t>:</w:t>
            </w:r>
            <w:r>
              <w:rPr>
                <w:rFonts w:hint="eastAsia" w:ascii="宋体" w:hAnsi="宋体" w:eastAsia="宋体" w:cs="宋体"/>
                <w:i w:val="0"/>
                <w:iCs w:val="0"/>
                <w:color w:val="000000"/>
                <w:kern w:val="0"/>
                <w:sz w:val="21"/>
                <w:szCs w:val="21"/>
                <w:u w:val="none"/>
                <w:lang w:val="en-US" w:eastAsia="zh-CN" w:bidi="ar"/>
              </w:rPr>
              <w:t>外径长360mm±5mm×前宽330mm±5mm×后宽290mm±5mm×高86mm±5mm</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w:t>
            </w:r>
            <w:r>
              <w:rPr>
                <w:rFonts w:hint="eastAsia" w:ascii="宋体" w:hAnsi="宋体" w:eastAsia="宋体" w:cs="宋体"/>
                <w:i w:val="0"/>
                <w:iCs w:val="0"/>
                <w:color w:val="000000"/>
                <w:kern w:val="0"/>
                <w:sz w:val="21"/>
                <w:szCs w:val="21"/>
                <w:u w:val="none"/>
                <w:lang w:val="en-US" w:eastAsia="zh-CN" w:bidi="ar"/>
              </w:rPr>
              <w:t>样式：课椅置物篮前方开口宽大有—凹切口取物，篮二侧边及后侧边有排气孔，底部有排气孔。</w:t>
            </w:r>
          </w:p>
        </w:tc>
        <w:tc>
          <w:tcPr>
            <w:tcW w:w="1316"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r>
    </w:tbl>
    <w:p>
      <w:pPr>
        <w:ind w:firstLine="422" w:firstLineChars="200"/>
        <w:rPr>
          <w:rFonts w:hint="eastAsia"/>
          <w:b/>
          <w:szCs w:val="21"/>
        </w:rPr>
      </w:pPr>
    </w:p>
    <w:bookmarkEnd w:id="41"/>
    <w:p>
      <w:pPr>
        <w:rPr>
          <w:b/>
          <w:szCs w:val="21"/>
        </w:rPr>
      </w:pPr>
    </w:p>
    <w:p>
      <w:pPr>
        <w:rPr>
          <w:b/>
          <w:szCs w:val="21"/>
        </w:rPr>
      </w:pPr>
    </w:p>
    <w:p>
      <w:pPr>
        <w:pStyle w:val="6"/>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pStyle w:val="9"/>
      </w:pPr>
      <w:r>
        <w:rPr>
          <w:rFonts w:hint="eastAsia"/>
          <w:b/>
          <w:color w:val="FF0000"/>
          <w:szCs w:val="21"/>
        </w:rPr>
        <w:t>说明：本部分内容为项目正常开展的基本要求，均为★号条款要求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pPr>
        <w:ind w:firstLine="422" w:firstLineChars="200"/>
        <w:rPr>
          <w:b/>
          <w:szCs w:val="21"/>
        </w:rPr>
      </w:pPr>
    </w:p>
    <w:tbl>
      <w:tblPr>
        <w:tblStyle w:val="17"/>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336"/>
        <w:gridCol w:w="6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jc w:val="center"/>
              <w:rPr>
                <w:rFonts w:hint="eastAsia" w:ascii="宋体" w:hAnsi="宋体" w:eastAsia="宋体" w:cs="宋体"/>
                <w:b/>
                <w:color w:val="FF0000"/>
                <w:sz w:val="21"/>
                <w:szCs w:val="21"/>
              </w:rPr>
            </w:pPr>
            <w:bookmarkStart w:id="42" w:name="_Hlk72260973"/>
            <w:r>
              <w:rPr>
                <w:rFonts w:hint="eastAsia" w:ascii="宋体" w:hAnsi="宋体" w:eastAsia="宋体" w:cs="宋体"/>
                <w:b/>
                <w:color w:val="FF0000"/>
                <w:sz w:val="21"/>
                <w:szCs w:val="21"/>
              </w:rPr>
              <w:t>序号</w:t>
            </w:r>
          </w:p>
        </w:tc>
        <w:tc>
          <w:tcPr>
            <w:tcW w:w="1336" w:type="dxa"/>
            <w:vAlign w:val="center"/>
          </w:tcPr>
          <w:p>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商务需求项</w:t>
            </w:r>
          </w:p>
        </w:tc>
        <w:tc>
          <w:tcPr>
            <w:tcW w:w="6102" w:type="dxa"/>
            <w:vAlign w:val="center"/>
          </w:tcPr>
          <w:p>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top"/>
          </w:tcPr>
          <w:p>
            <w:pP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jc w:val="center"/>
              <w:rPr>
                <w:rFonts w:hint="eastAsia" w:ascii="宋体" w:hAnsi="宋体" w:eastAsia="宋体" w:cs="宋体"/>
                <w:b/>
                <w:color w:val="FF0000"/>
                <w:sz w:val="21"/>
                <w:szCs w:val="21"/>
              </w:rPr>
            </w:pPr>
            <w:r>
              <w:rPr>
                <w:rFonts w:hint="eastAsia" w:ascii="宋体" w:hAnsi="宋体" w:eastAsia="宋体" w:cs="宋体"/>
                <w:bCs/>
                <w:color w:val="FF0000"/>
                <w:sz w:val="21"/>
                <w:szCs w:val="21"/>
              </w:rPr>
              <w:t>1</w:t>
            </w:r>
          </w:p>
        </w:tc>
        <w:tc>
          <w:tcPr>
            <w:tcW w:w="1336" w:type="dxa"/>
            <w:vAlign w:val="top"/>
          </w:tcPr>
          <w:p>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维修响应及故障解决时间</w:t>
            </w:r>
          </w:p>
        </w:tc>
        <w:tc>
          <w:tcPr>
            <w:tcW w:w="6102" w:type="dxa"/>
            <w:vAlign w:val="top"/>
          </w:tcPr>
          <w:p>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在免费保修期内，一旦发生质量问题，中标人保证在接到通知24小时内赶到现场进行修理或更换。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2</w:t>
            </w:r>
          </w:p>
        </w:tc>
        <w:tc>
          <w:tcPr>
            <w:tcW w:w="1336" w:type="dxa"/>
            <w:vMerge w:val="restart"/>
            <w:vAlign w:val="center"/>
          </w:tcPr>
          <w:p>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免费保修期</w:t>
            </w:r>
          </w:p>
        </w:tc>
        <w:tc>
          <w:tcPr>
            <w:tcW w:w="6102" w:type="dxa"/>
            <w:vAlign w:val="top"/>
          </w:tcPr>
          <w:p>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1.货物免费保修期</w:t>
            </w:r>
            <w:r>
              <w:rPr>
                <w:rFonts w:hint="eastAsia" w:ascii="宋体" w:hAnsi="宋体" w:eastAsia="宋体" w:cs="宋体"/>
                <w:bCs/>
                <w:color w:val="FF0000"/>
                <w:sz w:val="21"/>
                <w:szCs w:val="21"/>
                <w:highlight w:val="yellow"/>
                <w:u w:val="single"/>
              </w:rPr>
              <w:t xml:space="preserve">  </w:t>
            </w:r>
            <w:r>
              <w:rPr>
                <w:rFonts w:hint="eastAsia" w:ascii="宋体" w:hAnsi="宋体" w:eastAsia="宋体" w:cs="宋体"/>
                <w:bCs/>
                <w:color w:val="FF0000"/>
                <w:sz w:val="21"/>
                <w:szCs w:val="21"/>
                <w:highlight w:val="yellow"/>
                <w:u w:val="single"/>
                <w:lang w:val="en-US" w:eastAsia="zh-CN"/>
              </w:rPr>
              <w:t>5</w:t>
            </w:r>
            <w:r>
              <w:rPr>
                <w:rFonts w:hint="eastAsia" w:ascii="宋体" w:hAnsi="宋体" w:eastAsia="宋体" w:cs="宋体"/>
                <w:bCs/>
                <w:color w:val="FF0000"/>
                <w:sz w:val="21"/>
                <w:szCs w:val="21"/>
                <w:highlight w:val="yellow"/>
                <w:u w:val="single"/>
              </w:rPr>
              <w:t xml:space="preserve">  </w:t>
            </w:r>
            <w:r>
              <w:rPr>
                <w:rFonts w:hint="eastAsia" w:ascii="宋体" w:hAnsi="宋体" w:eastAsia="宋体" w:cs="宋体"/>
                <w:bCs/>
                <w:color w:val="FF0000"/>
                <w:sz w:val="21"/>
                <w:szCs w:val="21"/>
              </w:rPr>
              <w:t>年，时间自最终验收合格并交付使用之日起计算。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pPr>
              <w:jc w:val="center"/>
              <w:rPr>
                <w:rFonts w:hint="eastAsia" w:ascii="宋体" w:hAnsi="宋体" w:eastAsia="宋体" w:cs="宋体"/>
                <w:b/>
                <w:color w:val="FF0000"/>
                <w:sz w:val="21"/>
                <w:szCs w:val="21"/>
              </w:rPr>
            </w:pPr>
          </w:p>
        </w:tc>
        <w:tc>
          <w:tcPr>
            <w:tcW w:w="1336" w:type="dxa"/>
            <w:vMerge w:val="continue"/>
            <w:vAlign w:val="center"/>
          </w:tcPr>
          <w:p>
            <w:pPr>
              <w:rPr>
                <w:rFonts w:hint="eastAsia" w:ascii="宋体" w:hAnsi="宋体" w:eastAsia="宋体" w:cs="宋体"/>
                <w:color w:val="FF0000"/>
                <w:sz w:val="21"/>
                <w:szCs w:val="21"/>
                <w:lang w:val="en-US" w:eastAsia="zh-CN"/>
              </w:rPr>
            </w:pPr>
          </w:p>
        </w:tc>
        <w:tc>
          <w:tcPr>
            <w:tcW w:w="6102" w:type="dxa"/>
            <w:vAlign w:val="center"/>
          </w:tcPr>
          <w:p>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2.免费保修期内，</w:t>
            </w:r>
            <w:r>
              <w:rPr>
                <w:rFonts w:hint="eastAsia" w:ascii="宋体" w:hAnsi="宋体" w:eastAsia="宋体" w:cs="宋体"/>
                <w:color w:val="FF0000"/>
                <w:sz w:val="21"/>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3</w:t>
            </w:r>
          </w:p>
        </w:tc>
        <w:tc>
          <w:tcPr>
            <w:tcW w:w="1336" w:type="dxa"/>
            <w:vAlign w:val="center"/>
          </w:tcPr>
          <w:p>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技术</w:t>
            </w:r>
            <w:r>
              <w:rPr>
                <w:rFonts w:hint="eastAsia" w:ascii="宋体" w:hAnsi="宋体" w:eastAsia="宋体" w:cs="宋体"/>
                <w:color w:val="FF0000"/>
                <w:sz w:val="21"/>
                <w:szCs w:val="21"/>
                <w:lang w:val="en-US" w:eastAsia="zh-CN"/>
              </w:rPr>
              <w:t>要求</w:t>
            </w:r>
          </w:p>
        </w:tc>
        <w:tc>
          <w:tcPr>
            <w:tcW w:w="6102" w:type="dxa"/>
            <w:vAlign w:val="center"/>
          </w:tcPr>
          <w:p>
            <w:pPr>
              <w:rPr>
                <w:rFonts w:hint="eastAsia" w:ascii="宋体" w:hAnsi="宋体" w:eastAsia="宋体" w:cs="宋体"/>
                <w:color w:val="FF0000"/>
                <w:sz w:val="21"/>
                <w:szCs w:val="21"/>
                <w:lang w:val="en-US" w:eastAsia="zh-CN"/>
              </w:rPr>
            </w:pPr>
            <w:r>
              <w:rPr>
                <w:rFonts w:hint="eastAsia" w:ascii="宋体" w:hAnsi="宋体" w:eastAsia="宋体" w:cs="宋体"/>
                <w:b w:val="0"/>
                <w:bCs w:val="0"/>
                <w:color w:val="FF0000"/>
                <w:sz w:val="21"/>
                <w:szCs w:val="21"/>
              </w:rPr>
              <w:t>要求投标人在工程完工后一周内，免费向用户方进行技术培训工作，直至用户能熟练操作设备。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Align w:val="center"/>
          </w:tcPr>
          <w:p>
            <w:pPr>
              <w:spacing w:line="360" w:lineRule="exact"/>
              <w:jc w:val="center"/>
              <w:rPr>
                <w:rFonts w:hint="eastAsia" w:ascii="宋体" w:hAnsi="宋体" w:eastAsia="宋体" w:cs="宋体"/>
                <w:color w:val="FF0000"/>
                <w:sz w:val="21"/>
                <w:szCs w:val="21"/>
                <w:lang w:val="en-US" w:eastAsia="zh-CN"/>
              </w:rPr>
            </w:pPr>
            <w:r>
              <w:rPr>
                <w:rStyle w:val="20"/>
                <w:rFonts w:hint="eastAsia" w:ascii="宋体" w:hAnsi="宋体" w:eastAsia="宋体" w:cs="宋体"/>
                <w:color w:val="FF0000"/>
                <w:sz w:val="21"/>
                <w:szCs w:val="21"/>
              </w:rPr>
              <w:t>维修零配件、消耗品和延续保修合同的报价</w:t>
            </w:r>
          </w:p>
        </w:tc>
        <w:tc>
          <w:tcPr>
            <w:tcW w:w="6102" w:type="dxa"/>
            <w:vAlign w:val="center"/>
          </w:tcPr>
          <w:p>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1.1由设备制造商提供售后服务，</w:t>
            </w:r>
            <w:r>
              <w:rPr>
                <w:rFonts w:hint="eastAsia" w:ascii="宋体" w:hAnsi="宋体" w:eastAsia="宋体" w:cs="宋体"/>
                <w:color w:val="FF0000"/>
                <w:sz w:val="21"/>
                <w:szCs w:val="21"/>
                <w:u w:val="single"/>
              </w:rPr>
              <w:t xml:space="preserve"> 1 </w:t>
            </w:r>
            <w:r>
              <w:rPr>
                <w:rFonts w:hint="eastAsia" w:ascii="宋体" w:hAnsi="宋体" w:eastAsia="宋体" w:cs="宋体"/>
                <w:color w:val="FF0000"/>
                <w:sz w:val="21"/>
                <w:szCs w:val="21"/>
              </w:rPr>
              <w:t>小时内响应，</w:t>
            </w:r>
            <w:r>
              <w:rPr>
                <w:rFonts w:hint="eastAsia" w:ascii="宋体" w:hAnsi="宋体" w:eastAsia="宋体" w:cs="宋体"/>
                <w:color w:val="FF0000"/>
                <w:sz w:val="21"/>
                <w:szCs w:val="21"/>
                <w:u w:val="single"/>
              </w:rPr>
              <w:t xml:space="preserve"> 24 </w:t>
            </w:r>
            <w:r>
              <w:rPr>
                <w:rFonts w:hint="eastAsia" w:ascii="宋体" w:hAnsi="宋体" w:eastAsia="宋体" w:cs="宋体"/>
                <w:color w:val="FF0000"/>
                <w:sz w:val="21"/>
                <w:szCs w:val="21"/>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Merge w:val="restart"/>
            <w:vAlign w:val="center"/>
          </w:tcPr>
          <w:p>
            <w:pPr>
              <w:spacing w:line="360" w:lineRule="exact"/>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违约责任</w:t>
            </w:r>
          </w:p>
        </w:tc>
        <w:tc>
          <w:tcPr>
            <w:tcW w:w="6102" w:type="dxa"/>
            <w:vAlign w:val="top"/>
          </w:tcPr>
          <w:p>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1.1中标人不能交货的，需偿付不能交货部分货款的</w:t>
            </w:r>
            <w:r>
              <w:rPr>
                <w:rFonts w:hint="eastAsia" w:ascii="宋体" w:hAnsi="宋体" w:eastAsia="宋体" w:cs="宋体"/>
                <w:color w:val="FF0000"/>
                <w:sz w:val="21"/>
                <w:szCs w:val="21"/>
                <w:u w:val="single"/>
              </w:rPr>
              <w:t xml:space="preserve"> 20 </w:t>
            </w:r>
            <w:r>
              <w:rPr>
                <w:rFonts w:hint="eastAsia" w:ascii="宋体" w:hAnsi="宋体" w:eastAsia="宋体" w:cs="宋体"/>
                <w:color w:val="FF0000"/>
                <w:sz w:val="21"/>
                <w:szCs w:val="21"/>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pPr>
              <w:spacing w:line="360" w:lineRule="exact"/>
              <w:jc w:val="center"/>
              <w:rPr>
                <w:rFonts w:hint="eastAsia" w:ascii="宋体" w:hAnsi="宋体" w:eastAsia="宋体" w:cs="宋体"/>
                <w:b/>
                <w:color w:val="FF0000"/>
                <w:sz w:val="21"/>
                <w:szCs w:val="21"/>
              </w:rPr>
            </w:pPr>
          </w:p>
        </w:tc>
        <w:tc>
          <w:tcPr>
            <w:tcW w:w="1336" w:type="dxa"/>
            <w:vMerge w:val="continue"/>
            <w:vAlign w:val="center"/>
          </w:tcPr>
          <w:p>
            <w:pPr>
              <w:spacing w:line="360" w:lineRule="exact"/>
              <w:jc w:val="center"/>
              <w:rPr>
                <w:rFonts w:hint="eastAsia" w:ascii="宋体" w:hAnsi="宋体" w:eastAsia="宋体" w:cs="宋体"/>
                <w:color w:val="FF0000"/>
                <w:sz w:val="21"/>
                <w:szCs w:val="21"/>
                <w:lang w:val="en-US" w:eastAsia="zh-CN"/>
              </w:rPr>
            </w:pPr>
          </w:p>
        </w:tc>
        <w:tc>
          <w:tcPr>
            <w:tcW w:w="6102" w:type="dxa"/>
            <w:vAlign w:val="top"/>
          </w:tcPr>
          <w:p>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pPr>
              <w:spacing w:line="360" w:lineRule="exact"/>
              <w:jc w:val="center"/>
              <w:rPr>
                <w:rFonts w:hint="eastAsia" w:ascii="宋体" w:hAnsi="宋体" w:eastAsia="宋体" w:cs="宋体"/>
                <w:b/>
                <w:color w:val="FF0000"/>
                <w:sz w:val="21"/>
                <w:szCs w:val="21"/>
              </w:rPr>
            </w:pPr>
          </w:p>
        </w:tc>
        <w:tc>
          <w:tcPr>
            <w:tcW w:w="1336" w:type="dxa"/>
            <w:vMerge w:val="continue"/>
            <w:vAlign w:val="center"/>
          </w:tcPr>
          <w:p>
            <w:pPr>
              <w:spacing w:line="360" w:lineRule="exact"/>
              <w:jc w:val="center"/>
              <w:rPr>
                <w:rFonts w:hint="eastAsia" w:ascii="宋体" w:hAnsi="宋体" w:eastAsia="宋体" w:cs="宋体"/>
                <w:color w:val="FF0000"/>
                <w:sz w:val="21"/>
                <w:szCs w:val="21"/>
                <w:lang w:val="en-US" w:eastAsia="zh-CN"/>
              </w:rPr>
            </w:pPr>
          </w:p>
        </w:tc>
        <w:tc>
          <w:tcPr>
            <w:tcW w:w="6102" w:type="dxa"/>
            <w:vAlign w:val="top"/>
          </w:tcPr>
          <w:p>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w:t>
            </w:r>
            <w:r>
              <w:rPr>
                <w:rFonts w:hint="eastAsia" w:ascii="宋体" w:hAnsi="宋体" w:eastAsia="宋体" w:cs="宋体"/>
                <w:color w:val="FF0000"/>
                <w:sz w:val="21"/>
                <w:szCs w:val="21"/>
                <w:lang w:val="en-US" w:eastAsia="zh-CN"/>
              </w:rPr>
              <w:t>做</w:t>
            </w:r>
            <w:r>
              <w:rPr>
                <w:rFonts w:hint="eastAsia" w:ascii="宋体" w:hAnsi="宋体" w:eastAsia="宋体" w:cs="宋体"/>
                <w:color w:val="FF0000"/>
                <w:sz w:val="21"/>
                <w:szCs w:val="21"/>
              </w:rPr>
              <w:t>、退货、减少价款或者报酬等违约责任。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2</w:t>
            </w:r>
          </w:p>
        </w:tc>
        <w:tc>
          <w:tcPr>
            <w:tcW w:w="1336" w:type="dxa"/>
            <w:vAlign w:val="center"/>
          </w:tcPr>
          <w:p>
            <w:pPr>
              <w:spacing w:after="60" w:afterLines="25" w:line="300" w:lineRule="auto"/>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报价要求</w:t>
            </w:r>
          </w:p>
        </w:tc>
        <w:tc>
          <w:tcPr>
            <w:tcW w:w="6102" w:type="dxa"/>
          </w:tcPr>
          <w:p>
            <w:pPr>
              <w:snapToGrid w:val="0"/>
              <w:rPr>
                <w:rFonts w:hint="eastAsia" w:ascii="宋体" w:hAnsi="宋体" w:eastAsia="宋体" w:cs="宋体"/>
                <w:color w:val="FF0000"/>
                <w:sz w:val="21"/>
                <w:szCs w:val="21"/>
              </w:rPr>
            </w:pPr>
            <w:r>
              <w:rPr>
                <w:rFonts w:hint="eastAsia" w:ascii="宋体" w:hAnsi="宋体" w:eastAsia="宋体" w:cs="宋体"/>
                <w:b/>
                <w:bCs/>
                <w:color w:val="FF0000"/>
                <w:sz w:val="21"/>
                <w:szCs w:val="21"/>
                <w:lang w:val="en-US" w:eastAsia="zh-CN"/>
              </w:rPr>
              <w:t>本项目报总价，</w:t>
            </w:r>
            <w:r>
              <w:rPr>
                <w:rFonts w:hint="eastAsia" w:ascii="宋体" w:hAnsi="宋体" w:eastAsia="宋体" w:cs="宋体"/>
                <w:color w:val="FF0000"/>
                <w:sz w:val="21"/>
                <w:szCs w:val="21"/>
              </w:rPr>
              <w:t>项目报价采用包干价格形式，各分项报价之和为本项目投标报价</w:t>
            </w:r>
            <w:r>
              <w:rPr>
                <w:rFonts w:hint="eastAsia" w:ascii="宋体" w:hAnsi="宋体" w:eastAsia="宋体" w:cs="宋体"/>
                <w:color w:val="FF0000"/>
                <w:sz w:val="21"/>
                <w:szCs w:val="21"/>
                <w:lang w:val="en-US" w:eastAsia="zh-CN"/>
              </w:rPr>
              <w:t>，投</w:t>
            </w:r>
            <w:r>
              <w:rPr>
                <w:rFonts w:hint="eastAsia" w:ascii="宋体" w:hAnsi="宋体" w:eastAsia="宋体" w:cs="宋体"/>
                <w:color w:val="FF0000"/>
                <w:sz w:val="21"/>
                <w:szCs w:val="21"/>
              </w:rPr>
              <w:t>标报价不得超过本项目预算。</w:t>
            </w:r>
          </w:p>
          <w:p>
            <w:pPr>
              <w:snapToGrid w:val="0"/>
              <w:rPr>
                <w:rFonts w:hint="eastAsia" w:ascii="宋体" w:hAnsi="宋体" w:eastAsia="宋体" w:cs="宋体"/>
                <w:color w:val="FF0000"/>
                <w:sz w:val="21"/>
                <w:szCs w:val="21"/>
              </w:rPr>
            </w:pPr>
            <w:r>
              <w:rPr>
                <w:rFonts w:hint="eastAsia" w:ascii="宋体" w:hAnsi="宋体" w:eastAsia="宋体" w:cs="宋体"/>
                <w:color w:val="FF0000"/>
                <w:sz w:val="21"/>
                <w:szCs w:val="21"/>
              </w:rPr>
              <w:t>投标报价以人民币报价，投标总价必须是完成该项目的一切费用总和，包括投标费、设备费、运输费、装卸费、保险费、技术培训费、设备安装费、调试费、检测费、国家规定的各项税费等。</w:t>
            </w:r>
          </w:p>
          <w:p>
            <w:pPr>
              <w:snapToGrid w:val="0"/>
              <w:rPr>
                <w:rFonts w:hint="eastAsia" w:ascii="宋体" w:hAnsi="宋体" w:eastAsia="宋体" w:cs="宋体"/>
                <w:b/>
                <w:color w:val="FF0000"/>
                <w:sz w:val="21"/>
                <w:szCs w:val="21"/>
              </w:rPr>
            </w:pPr>
            <w:r>
              <w:rPr>
                <w:rFonts w:hint="eastAsia" w:ascii="宋体" w:hAnsi="宋体" w:eastAsia="宋体" w:cs="宋体"/>
                <w:color w:val="FF0000"/>
                <w:sz w:val="21"/>
                <w:szCs w:val="21"/>
                <w:lang w:val="en-US" w:eastAsia="zh-CN"/>
              </w:rPr>
              <w:t>项目执行过程中中标方不得增加费用，因中标商考虑不周而造成费用增加，由中标商承担该部分费用。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3</w:t>
            </w:r>
          </w:p>
        </w:tc>
        <w:tc>
          <w:tcPr>
            <w:tcW w:w="1336" w:type="dxa"/>
            <w:vAlign w:val="center"/>
          </w:tcPr>
          <w:p>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交货地点</w:t>
            </w:r>
          </w:p>
        </w:tc>
        <w:tc>
          <w:tcPr>
            <w:tcW w:w="6102" w:type="dxa"/>
          </w:tcPr>
          <w:p>
            <w:pPr>
              <w:spacing w:after="60" w:afterLines="25" w:line="300" w:lineRule="auto"/>
              <w:rPr>
                <w:rFonts w:hint="eastAsia" w:ascii="宋体" w:hAnsi="宋体" w:eastAsia="宋体" w:cs="宋体"/>
                <w:b/>
                <w:color w:val="FF0000"/>
                <w:sz w:val="21"/>
                <w:szCs w:val="21"/>
                <w:lang w:eastAsia="zh-CN"/>
              </w:rPr>
            </w:pPr>
            <w:r>
              <w:rPr>
                <w:rFonts w:hint="eastAsia" w:ascii="宋体" w:hAnsi="宋体" w:eastAsia="宋体" w:cs="宋体"/>
                <w:b/>
                <w:color w:val="FF0000"/>
                <w:sz w:val="21"/>
                <w:szCs w:val="21"/>
                <w:highlight w:val="yellow"/>
                <w:lang w:eastAsia="zh-CN"/>
              </w:rPr>
              <w:t>深圳大学附属中学宝安学校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4</w:t>
            </w:r>
          </w:p>
        </w:tc>
        <w:tc>
          <w:tcPr>
            <w:tcW w:w="1336" w:type="dxa"/>
            <w:vAlign w:val="center"/>
          </w:tcPr>
          <w:p>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交货期或完工期</w:t>
            </w:r>
          </w:p>
        </w:tc>
        <w:tc>
          <w:tcPr>
            <w:tcW w:w="6102" w:type="dxa"/>
          </w:tcPr>
          <w:p>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sz w:val="21"/>
                <w:szCs w:val="21"/>
              </w:rPr>
              <w:t>本项目要求在进场施工日起</w:t>
            </w:r>
            <w:r>
              <w:rPr>
                <w:rFonts w:hint="eastAsia" w:ascii="宋体" w:hAnsi="宋体" w:eastAsia="宋体" w:cs="宋体"/>
                <w:color w:val="FF0000"/>
                <w:sz w:val="21"/>
                <w:szCs w:val="21"/>
                <w:highlight w:val="yellow"/>
                <w:lang w:val="en-US" w:eastAsia="zh-CN"/>
              </w:rPr>
              <w:t>2</w:t>
            </w:r>
            <w:r>
              <w:rPr>
                <w:rFonts w:hint="eastAsia" w:ascii="宋体" w:hAnsi="宋体" w:eastAsia="宋体" w:cs="宋体"/>
                <w:color w:val="FF0000"/>
                <w:sz w:val="21"/>
                <w:szCs w:val="21"/>
                <w:highlight w:val="yellow"/>
              </w:rPr>
              <w:t>0个日</w:t>
            </w:r>
            <w:r>
              <w:rPr>
                <w:rFonts w:hint="eastAsia" w:ascii="宋体" w:hAnsi="宋体" w:eastAsia="宋体" w:cs="宋体"/>
                <w:color w:val="FF0000"/>
                <w:sz w:val="21"/>
                <w:szCs w:val="21"/>
              </w:rPr>
              <w:t>历日内完工，进场施工时间由采购人确定。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vAlign w:val="center"/>
          </w:tcPr>
          <w:p>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5</w:t>
            </w:r>
          </w:p>
        </w:tc>
        <w:tc>
          <w:tcPr>
            <w:tcW w:w="1336" w:type="dxa"/>
            <w:vAlign w:val="center"/>
          </w:tcPr>
          <w:p>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付款方式</w:t>
            </w:r>
          </w:p>
        </w:tc>
        <w:tc>
          <w:tcPr>
            <w:tcW w:w="6102" w:type="dxa"/>
          </w:tcPr>
          <w:p>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kern w:val="0"/>
                <w:sz w:val="21"/>
                <w:szCs w:val="21"/>
              </w:rPr>
              <w:t>本项目完成并经验收合格后，对于满足合同约定支付条件的，采购人应当自收到发票</w:t>
            </w:r>
            <w:r>
              <w:rPr>
                <w:rFonts w:hint="eastAsia" w:ascii="宋体" w:hAnsi="宋体" w:eastAsia="宋体" w:cs="宋体"/>
                <w:color w:val="FF0000"/>
                <w:kern w:val="0"/>
                <w:sz w:val="21"/>
                <w:szCs w:val="21"/>
                <w:highlight w:val="none"/>
              </w:rPr>
              <w:t>后</w:t>
            </w:r>
            <w:r>
              <w:rPr>
                <w:rFonts w:hint="eastAsia" w:ascii="宋体" w:hAnsi="宋体" w:eastAsia="宋体" w:cs="宋体"/>
                <w:color w:val="FF0000"/>
                <w:kern w:val="0"/>
                <w:sz w:val="21"/>
                <w:szCs w:val="21"/>
                <w:highlight w:val="yellow"/>
              </w:rPr>
              <w:t>15日</w:t>
            </w:r>
            <w:r>
              <w:rPr>
                <w:rFonts w:hint="eastAsia" w:ascii="宋体" w:hAnsi="宋体" w:eastAsia="宋体" w:cs="宋体"/>
                <w:color w:val="FF0000"/>
                <w:kern w:val="0"/>
                <w:sz w:val="21"/>
                <w:szCs w:val="21"/>
              </w:rPr>
              <w:t>内将资金支付到合同约定的中标供应商账户。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6</w:t>
            </w:r>
          </w:p>
        </w:tc>
        <w:tc>
          <w:tcPr>
            <w:tcW w:w="1336" w:type="dxa"/>
            <w:vAlign w:val="center"/>
          </w:tcPr>
          <w:p>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验收条件</w:t>
            </w:r>
          </w:p>
        </w:tc>
        <w:tc>
          <w:tcPr>
            <w:tcW w:w="6102" w:type="dxa"/>
          </w:tcPr>
          <w:p>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sz w:val="21"/>
                <w:szCs w:val="21"/>
              </w:rPr>
              <w:t>（1）</w:t>
            </w:r>
            <w:r>
              <w:rPr>
                <w:rFonts w:hint="eastAsia" w:ascii="宋体" w:hAnsi="宋体" w:eastAsia="宋体" w:cs="宋体"/>
                <w:color w:val="FF0000"/>
                <w:kern w:val="0"/>
                <w:sz w:val="21"/>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7</w:t>
            </w:r>
          </w:p>
        </w:tc>
        <w:tc>
          <w:tcPr>
            <w:tcW w:w="1336" w:type="dxa"/>
            <w:vAlign w:val="center"/>
          </w:tcPr>
          <w:p>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包装及运输要求</w:t>
            </w:r>
          </w:p>
        </w:tc>
        <w:tc>
          <w:tcPr>
            <w:tcW w:w="6102" w:type="dxa"/>
          </w:tcPr>
          <w:p>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本次采购的设备和材料必须是全新的，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spacing w:line="360" w:lineRule="exact"/>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8</w:t>
            </w:r>
          </w:p>
        </w:tc>
        <w:tc>
          <w:tcPr>
            <w:tcW w:w="1336" w:type="dxa"/>
            <w:vAlign w:val="center"/>
          </w:tcPr>
          <w:p>
            <w:pPr>
              <w:spacing w:line="360" w:lineRule="exact"/>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争议解决方法</w:t>
            </w:r>
          </w:p>
        </w:tc>
        <w:tc>
          <w:tcPr>
            <w:tcW w:w="6102" w:type="dxa"/>
            <w:vAlign w:val="center"/>
          </w:tcPr>
          <w:p>
            <w:pPr>
              <w:spacing w:line="360" w:lineRule="exact"/>
              <w:rPr>
                <w:rFonts w:hint="eastAsia" w:ascii="宋体" w:hAnsi="宋体" w:eastAsia="宋体" w:cs="宋体"/>
                <w:b w:val="0"/>
                <w:bCs w:val="0"/>
                <w:color w:val="FF0000"/>
                <w:sz w:val="21"/>
                <w:szCs w:val="21"/>
              </w:rPr>
            </w:pPr>
            <w:r>
              <w:rPr>
                <w:rFonts w:hint="eastAsia" w:ascii="宋体" w:hAnsi="宋体" w:eastAsia="宋体" w:cs="宋体"/>
                <w:color w:val="FF0000"/>
                <w:sz w:val="21"/>
                <w:szCs w:val="21"/>
              </w:rPr>
              <w:t>因货物的质量问题发生争议的，应当邀请国家认可的质量检测机构对货物质量进行鉴定。货物符合标准的，鉴定费由甲方承担；货物不符合质量标准的，鉴定费由乙方承担。</w:t>
            </w:r>
          </w:p>
        </w:tc>
      </w:tr>
      <w:bookmarkEnd w:id="4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06" w:type="dxa"/>
            <w:shd w:val="clear" w:color="auto" w:fill="auto"/>
            <w:vAlign w:val="center"/>
          </w:tcPr>
          <w:p>
            <w:pPr>
              <w:spacing w:after="60" w:afterLines="25" w:line="300" w:lineRule="auto"/>
              <w:jc w:val="center"/>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9</w:t>
            </w:r>
          </w:p>
        </w:tc>
        <w:tc>
          <w:tcPr>
            <w:tcW w:w="1336" w:type="dxa"/>
            <w:vAlign w:val="center"/>
          </w:tcPr>
          <w:p>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其他要求</w:t>
            </w:r>
          </w:p>
        </w:tc>
        <w:tc>
          <w:tcPr>
            <w:tcW w:w="6102" w:type="dxa"/>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（1）中标供应商在签订合同时应提供投标文件打印稿贰份，并加盖公章（一份交给监理公司，一份交给学校），同时提供投标文件的OFFICE文档。</w:t>
            </w:r>
          </w:p>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3）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（4）投标商必须确保中标后提供的货物为正规渠道供货，不存在违反国家法律、法规的情况。</w:t>
            </w:r>
          </w:p>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（5）特别条款：对于单纯家具（含课桌椅）项目、含家具或装修的功能室项目及教室照明设备在验收时还需提供以下材料：</w:t>
            </w:r>
          </w:p>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①家具（含课桌椅）类货物应提供有害物质检测报告。根据深圳经济特区技术规范《家具成品及原辅材料中有害物质限量》（SZJG52-2016）的规定，</w:t>
            </w:r>
            <w:bookmarkStart w:id="43" w:name="_Hlk81842105"/>
            <w:r>
              <w:rPr>
                <w:rFonts w:hint="eastAsia" w:ascii="宋体" w:hAnsi="宋体" w:eastAsia="宋体" w:cs="宋体"/>
                <w:color w:val="FF0000"/>
                <w:sz w:val="21"/>
                <w:szCs w:val="21"/>
              </w:rPr>
              <w:t>需根据现场抽样并对以下项目进行检验且合格</w:t>
            </w:r>
            <w:bookmarkEnd w:id="43"/>
            <w:r>
              <w:rPr>
                <w:rFonts w:hint="eastAsia" w:ascii="宋体" w:hAnsi="宋体" w:eastAsia="宋体" w:cs="宋体"/>
                <w:color w:val="FF0000"/>
                <w:sz w:val="21"/>
                <w:szCs w:val="21"/>
              </w:rPr>
              <w:t>：</w:t>
            </w:r>
          </w:p>
          <w:tbl>
            <w:tblPr>
              <w:tblStyle w:val="17"/>
              <w:tblpPr w:leftFromText="180" w:rightFromText="180" w:vertAnchor="text" w:horzAnchor="page" w:tblpX="60" w:tblpY="217"/>
              <w:tblOverlap w:val="never"/>
              <w:tblW w:w="6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280"/>
              <w:gridCol w:w="1568"/>
              <w:gridCol w:w="1120"/>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tblHeader/>
              </w:trPr>
              <w:tc>
                <w:tcPr>
                  <w:tcW w:w="437"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128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1568"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c>
                <w:tcPr>
                  <w:tcW w:w="112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强制性/推荐性</w:t>
                  </w:r>
                </w:p>
              </w:tc>
              <w:tc>
                <w:tcPr>
                  <w:tcW w:w="1832"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128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甲醛释放量</w:t>
                  </w:r>
                </w:p>
              </w:tc>
              <w:tc>
                <w:tcPr>
                  <w:tcW w:w="1568"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128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苯释放量</w:t>
                  </w:r>
                </w:p>
              </w:tc>
              <w:tc>
                <w:tcPr>
                  <w:tcW w:w="1568"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128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甲苯释放量</w:t>
                  </w:r>
                </w:p>
              </w:tc>
              <w:tc>
                <w:tcPr>
                  <w:tcW w:w="1568"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128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二甲苯释放量</w:t>
                  </w:r>
                </w:p>
              </w:tc>
              <w:tc>
                <w:tcPr>
                  <w:tcW w:w="1568"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5" w:hRule="atLeast"/>
              </w:trPr>
              <w:tc>
                <w:tcPr>
                  <w:tcW w:w="437" w:type="dxa"/>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128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总挥发性有机化合物（TVOC）释放量</w:t>
                  </w:r>
                </w:p>
              </w:tc>
              <w:tc>
                <w:tcPr>
                  <w:tcW w:w="1568"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bl>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②含家具或装修的功能室应当另行提供室内环境污染检测报告。按照国家《室内空气质量标准》（GB/T 18883-2022）中的标准进行检测并合格（至少包括以下五项，如有更新则以最新标准为准）：</w:t>
            </w:r>
          </w:p>
          <w:tbl>
            <w:tblPr>
              <w:tblStyle w:val="17"/>
              <w:tblpPr w:leftFromText="180" w:rightFromText="180" w:vertAnchor="text" w:horzAnchor="page" w:tblpX="234" w:tblpY="176"/>
              <w:tblOverlap w:val="never"/>
              <w:tblW w:w="5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655"/>
              <w:gridCol w:w="2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blHeader/>
              </w:trPr>
              <w:tc>
                <w:tcPr>
                  <w:tcW w:w="721" w:type="dxa"/>
                  <w:vAlign w:val="center"/>
                </w:tcPr>
                <w:p>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2655"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2343"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721" w:type="dxa"/>
                </w:tcPr>
                <w:p>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2655"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甲醛</w:t>
                  </w:r>
                </w:p>
              </w:tc>
              <w:tc>
                <w:tcPr>
                  <w:tcW w:w="2343"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721" w:type="dxa"/>
                </w:tcPr>
                <w:p>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2655"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苯</w:t>
                  </w:r>
                </w:p>
              </w:tc>
              <w:tc>
                <w:tcPr>
                  <w:tcW w:w="2343"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721" w:type="dxa"/>
                </w:tcPr>
                <w:p>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2655"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甲苯</w:t>
                  </w:r>
                </w:p>
              </w:tc>
              <w:tc>
                <w:tcPr>
                  <w:tcW w:w="2343"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721" w:type="dxa"/>
                </w:tcPr>
                <w:p>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2655"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二甲苯</w:t>
                  </w:r>
                </w:p>
              </w:tc>
              <w:tc>
                <w:tcPr>
                  <w:tcW w:w="2343"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1" w:type="dxa"/>
                </w:tcPr>
                <w:p>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2655"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w:t>
                  </w:r>
                </w:p>
              </w:tc>
              <w:tc>
                <w:tcPr>
                  <w:tcW w:w="2343"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bl>
          <w:p>
            <w:pPr>
              <w:widowControl/>
              <w:jc w:val="left"/>
              <w:rPr>
                <w:rFonts w:hint="eastAsia" w:ascii="宋体" w:hAnsi="宋体" w:eastAsia="宋体" w:cs="宋体"/>
                <w:color w:val="FF0000"/>
                <w:sz w:val="21"/>
                <w:szCs w:val="21"/>
              </w:rPr>
            </w:pPr>
          </w:p>
        </w:tc>
      </w:tr>
    </w:tbl>
    <w:p>
      <w:pPr>
        <w:rPr>
          <w:b/>
        </w:rPr>
      </w:pPr>
    </w:p>
    <w:p>
      <w:pPr>
        <w:pStyle w:val="7"/>
        <w:spacing w:before="60" w:beforeLines="25" w:after="60" w:afterLines="25"/>
        <w:ind w:firstLine="0" w:firstLineChars="0"/>
        <w:rPr>
          <w:rFonts w:ascii="宋体" w:hAnsi="宋体"/>
          <w:szCs w:val="21"/>
        </w:rPr>
      </w:pPr>
    </w:p>
    <w:p>
      <w:pPr>
        <w:pStyle w:val="7"/>
        <w:spacing w:before="60" w:beforeLines="25" w:after="60" w:afterLines="25"/>
        <w:ind w:firstLine="0" w:firstLineChars="0"/>
        <w:rPr>
          <w:rFonts w:ascii="宋体" w:hAnsi="宋体"/>
          <w:szCs w:val="21"/>
        </w:rPr>
      </w:pPr>
    </w:p>
    <w:p>
      <w:pPr>
        <w:pStyle w:val="7"/>
        <w:spacing w:before="60" w:beforeLines="25" w:after="60" w:afterLines="25"/>
        <w:ind w:firstLine="0" w:firstLineChars="0"/>
        <w:rPr>
          <w:rFonts w:ascii="宋体" w:hAnsi="宋体"/>
          <w:szCs w:val="21"/>
        </w:rPr>
      </w:pPr>
    </w:p>
    <w:p>
      <w:pPr>
        <w:pStyle w:val="6"/>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2"/>
        <w:rPr>
          <w:rFonts w:ascii="宋体" w:hAnsi="宋体"/>
        </w:rPr>
      </w:pPr>
    </w:p>
    <w:p>
      <w:pPr>
        <w:pStyle w:val="13"/>
      </w:pPr>
    </w:p>
    <w:p>
      <w:pPr>
        <w:pStyle w:val="2"/>
        <w:rPr>
          <w:rFonts w:ascii="宋体" w:hAnsi="宋体"/>
        </w:rPr>
        <w:sectPr>
          <w:pgSz w:w="11907" w:h="16840"/>
          <w:pgMar w:top="1440" w:right="1797" w:bottom="1440" w:left="1797" w:header="851" w:footer="992" w:gutter="0"/>
          <w:cols w:space="425" w:num="1"/>
          <w:titlePg/>
          <w:docGrid w:linePitch="462" w:charSpace="0"/>
        </w:sectPr>
      </w:pPr>
    </w:p>
    <w:p>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8"/>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4"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4"/>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5" w:name="_Hlk72257771"/>
      <w:bookmarkStart w:id="46" w:name="_Hlk72263559"/>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7" w:name="_Hlk72070784"/>
      <w:r>
        <w:rPr>
          <w:rFonts w:hint="eastAsia"/>
          <w:szCs w:val="21"/>
        </w:rPr>
        <w:t>投标函</w:t>
      </w:r>
      <w:bookmarkEnd w:id="47"/>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8" w:name="_Hlk72257201"/>
      <w:r>
        <w:rPr>
          <w:rFonts w:hint="eastAsia"/>
          <w:szCs w:val="21"/>
        </w:rPr>
        <w:t>（</w:t>
      </w:r>
      <w:r>
        <w:rPr>
          <w:szCs w:val="21"/>
        </w:rPr>
        <w:t>4</w:t>
      </w:r>
      <w:r>
        <w:rPr>
          <w:rFonts w:hint="eastAsia"/>
          <w:szCs w:val="21"/>
        </w:rPr>
        <w:t>）</w:t>
      </w:r>
      <w:bookmarkEnd w:id="48"/>
      <w:bookmarkStart w:id="49" w:name="OLE_LINK2"/>
      <w:r>
        <w:rPr>
          <w:rFonts w:hint="eastAsia"/>
          <w:szCs w:val="21"/>
        </w:rPr>
        <w:t>项目详细报价</w:t>
      </w:r>
      <w:bookmarkEnd w:id="49"/>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bookmarkStart w:id="50" w:name="OLE_LINK3"/>
      <w:r>
        <w:rPr>
          <w:rFonts w:hint="eastAsia" w:asciiTheme="minorEastAsia" w:hAnsiTheme="minorEastAsia" w:eastAsiaTheme="minorEastAsia" w:cstheme="minorEastAsia"/>
          <w:szCs w:val="21"/>
        </w:rPr>
        <w:t>同类业绩情况</w:t>
      </w:r>
      <w:bookmarkEnd w:id="50"/>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bookmarkStart w:id="51" w:name="OLE_LINK4"/>
      <w:r>
        <w:rPr>
          <w:rFonts w:hint="eastAsia"/>
          <w:szCs w:val="21"/>
          <w:lang w:eastAsia="zh-CN"/>
        </w:rPr>
        <w:t>投标供应商</w:t>
      </w:r>
      <w:r>
        <w:rPr>
          <w:rFonts w:hint="eastAsia"/>
          <w:szCs w:val="21"/>
        </w:rPr>
        <w:t>认为需要加以说明的其他内容</w:t>
      </w:r>
      <w:bookmarkEnd w:id="51"/>
      <w:r>
        <w:rPr>
          <w:rFonts w:hint="eastAsia"/>
          <w:szCs w:val="21"/>
          <w:lang w:eastAsia="zh-CN"/>
        </w:rPr>
        <w:t>；</w:t>
      </w:r>
    </w:p>
    <w:p>
      <w:pPr>
        <w:ind w:left="718" w:leftChars="342" w:firstLine="1627" w:firstLineChars="775"/>
        <w:rPr>
          <w:szCs w:val="21"/>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bookmarkStart w:id="52" w:name="OLE_LINK5"/>
      <w:r>
        <w:rPr>
          <w:rFonts w:hint="eastAsia" w:asciiTheme="minorEastAsia" w:hAnsiTheme="minorEastAsia" w:eastAsiaTheme="minorEastAsia" w:cstheme="minorEastAsia"/>
          <w:szCs w:val="21"/>
        </w:rPr>
        <w:t>项目实施方案</w:t>
      </w:r>
      <w:bookmarkEnd w:id="52"/>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Theme="minorEastAsia" w:hAnsiTheme="minorEastAsia" w:eastAsiaTheme="minorEastAsia" w:cstheme="minorEastAsia"/>
          <w:szCs w:val="21"/>
        </w:rPr>
        <w:t>售后服务方案</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asciiTheme="minorEastAsia" w:hAnsiTheme="minorEastAsia" w:eastAsiaTheme="minorEastAsia" w:cstheme="minorEastAsia"/>
          <w:szCs w:val="21"/>
        </w:rPr>
        <w:t>绿色采购情况</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bookmarkStart w:id="53" w:name="OLE_LINK6"/>
      <w:r>
        <w:rPr>
          <w:rFonts w:hint="eastAsia" w:asciiTheme="minorEastAsia" w:hAnsiTheme="minorEastAsia" w:eastAsiaTheme="minorEastAsia" w:cstheme="minorEastAsia"/>
          <w:szCs w:val="21"/>
        </w:rPr>
        <w:t>政府采购节能环保产品情况</w:t>
      </w:r>
      <w:bookmarkEnd w:id="53"/>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bookmarkStart w:id="54" w:name="OLE_LINK7"/>
      <w:r>
        <w:rPr>
          <w:rFonts w:hint="eastAsia"/>
          <w:szCs w:val="21"/>
          <w:lang w:eastAsia="zh-CN"/>
        </w:rPr>
        <w:t>投标供应商</w:t>
      </w:r>
      <w:r>
        <w:rPr>
          <w:rFonts w:hint="eastAsia"/>
          <w:szCs w:val="21"/>
        </w:rPr>
        <w:t>认为需要加以说明的其他内容</w:t>
      </w:r>
      <w:bookmarkEnd w:id="54"/>
      <w:r>
        <w:rPr>
          <w:rFonts w:hint="eastAsia"/>
          <w:szCs w:val="21"/>
          <w:lang w:eastAsia="zh-CN"/>
        </w:rPr>
        <w:t>；</w:t>
      </w:r>
    </w:p>
    <w:p>
      <w:pPr>
        <w:pStyle w:val="2"/>
      </w:pPr>
    </w:p>
    <w:p>
      <w:pPr>
        <w:pStyle w:val="7"/>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5"/>
      <w:bookmarkEnd w:id="46"/>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4"/>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55"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56" w:name="_Hlk73818812"/>
      <w:r>
        <w:rPr>
          <w:rFonts w:hint="eastAsia"/>
          <w:szCs w:val="21"/>
        </w:rPr>
        <w:t>1、根据已收到贵单位的项目编号为</w:t>
      </w:r>
      <w:r>
        <w:rPr>
          <w:rFonts w:hint="eastAsia"/>
          <w:szCs w:val="21"/>
          <w:u w:val="thick"/>
        </w:rPr>
        <w:t xml:space="preserve">    </w:t>
      </w:r>
      <w:r>
        <w:rPr>
          <w:rFonts w:hint="eastAsia"/>
          <w:sz w:val="21"/>
          <w:szCs w:val="21"/>
          <w:u w:val="thick"/>
        </w:rPr>
        <w:t xml:space="preserve"> BAZXCG-2025-000</w:t>
      </w:r>
      <w:r>
        <w:rPr>
          <w:rFonts w:hint="eastAsia"/>
          <w:sz w:val="21"/>
          <w:szCs w:val="21"/>
          <w:u w:val="thick"/>
          <w:lang w:val="en-US" w:eastAsia="zh-CN"/>
        </w:rPr>
        <w:t>75</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深圳市宝安区上星学校（深圳大学附属中学宝安学校）课桌椅设备采购项目 </w:t>
      </w:r>
      <w:r>
        <w:rPr>
          <w:rFonts w:hint="eastAsia"/>
          <w:szCs w:val="21"/>
        </w:rPr>
        <w:t>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57" w:name="_Hlk72263588"/>
      <w:r>
        <w:rPr>
          <w:rFonts w:hint="eastAsia"/>
          <w:szCs w:val="21"/>
        </w:rPr>
        <w:t>愿意按照招标文件要求承包上述项目并修补其任何缺陷。</w:t>
      </w:r>
      <w:bookmarkEnd w:id="57"/>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8" w:name="_Hlk73819847"/>
      <w:r>
        <w:rPr>
          <w:rFonts w:hint="eastAsia" w:ascii="宋体" w:hAnsi="宋体"/>
          <w:szCs w:val="21"/>
        </w:rPr>
        <w:t>投标价格见</w:t>
      </w:r>
      <w:r>
        <w:rPr>
          <w:rFonts w:hint="eastAsia"/>
          <w:szCs w:val="21"/>
        </w:rPr>
        <w:t>投标书编制软件中《开标一览表》中填写的投标总价。</w:t>
      </w:r>
      <w:bookmarkEnd w:id="58"/>
    </w:p>
    <w:p>
      <w:pPr>
        <w:ind w:firstLine="420" w:firstLineChars="200"/>
        <w:rPr>
          <w:rFonts w:ascii="宋体" w:hAnsi="宋体"/>
          <w:szCs w:val="21"/>
        </w:rPr>
      </w:pPr>
      <w:r>
        <w:rPr>
          <w:rFonts w:hint="eastAsia" w:ascii="宋体" w:hAnsi="宋体"/>
          <w:szCs w:val="21"/>
        </w:rPr>
        <w:t>3、如果我单位中标，我单位将按照招标文件的要求</w:t>
      </w:r>
      <w:bookmarkStart w:id="146" w:name="_GoBack"/>
      <w:bookmarkEnd w:id="146"/>
      <w:r>
        <w:rPr>
          <w:rFonts w:hint="eastAsia" w:ascii="宋体" w:hAnsi="宋体"/>
          <w:szCs w:val="21"/>
        </w:rPr>
        <w:t>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56"/>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55"/>
    <w:p>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9"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60" w:name="_Hlk72587269"/>
      <w:bookmarkStart w:id="61"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60"/>
      <w:r>
        <w:rPr>
          <w:rFonts w:hint="eastAsia" w:ascii="宋体" w:hAnsi="宋体"/>
          <w:szCs w:val="21"/>
        </w:rPr>
        <w:t>。</w:t>
      </w:r>
    </w:p>
    <w:bookmarkEnd w:id="61"/>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9"/>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4"/>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62"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bookmarkEnd w:id="62"/>
    <w:p>
      <w:pPr>
        <w:ind w:firstLine="480" w:firstLineChars="200"/>
        <w:outlineLvl w:val="3"/>
        <w:rPr>
          <w:rFonts w:ascii="黑体" w:hAnsi="宋体" w:eastAsia="黑体"/>
          <w:bCs/>
          <w:kern w:val="0"/>
          <w:sz w:val="24"/>
          <w:szCs w:val="32"/>
        </w:rPr>
      </w:pPr>
      <w:bookmarkStart w:id="63" w:name="_Hlk72257908"/>
      <w:bookmarkStart w:id="64" w:name="_Hlk72259976"/>
      <w:r>
        <w:rPr>
          <w:rFonts w:hint="eastAsia" w:ascii="黑体" w:hAnsi="宋体" w:eastAsia="黑体"/>
          <w:bCs/>
          <w:kern w:val="0"/>
          <w:sz w:val="24"/>
          <w:szCs w:val="32"/>
        </w:rPr>
        <w:t>（二）中小企业声明函、残疾人福利性单位声明函及监狱企业声明函</w:t>
      </w:r>
    </w:p>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3"/>
        </w:numPr>
        <w:jc w:val="center"/>
        <w:outlineLvl w:val="9"/>
        <w:rPr>
          <w:b/>
          <w:sz w:val="24"/>
        </w:rPr>
      </w:pPr>
      <w:r>
        <w:rPr>
          <w:b/>
          <w:sz w:val="24"/>
        </w:rPr>
        <w:t>中小企业声明函（货物）</w:t>
      </w:r>
    </w:p>
    <w:p>
      <w:pPr>
        <w:pStyle w:val="2"/>
        <w:widowControl w:val="0"/>
        <w:numPr>
          <w:ilvl w:val="0"/>
          <w:numId w:val="0"/>
        </w:numPr>
        <w:spacing w:line="360" w:lineRule="auto"/>
        <w:jc w:val="both"/>
      </w:pP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3"/>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3"/>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65"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65"/>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66" w:name="_Hlk73562331"/>
      <w:bookmarkStart w:id="67"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66"/>
    </w:p>
    <w:bookmarkEnd w:id="67"/>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63"/>
    </w:p>
    <w:p>
      <w:pPr>
        <w:pStyle w:val="4"/>
        <w:jc w:val="center"/>
        <w:rPr>
          <w:rFonts w:ascii="黑体" w:eastAsia="黑体"/>
          <w:b w:val="0"/>
          <w:sz w:val="24"/>
          <w:szCs w:val="24"/>
        </w:rPr>
      </w:pPr>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pPr w:leftFromText="180" w:rightFromText="180" w:vertAnchor="text" w:horzAnchor="page" w:tblpX="1804" w:tblpY="469"/>
        <w:tblOverlap w:val="never"/>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324"/>
        <w:gridCol w:w="788"/>
        <w:gridCol w:w="788"/>
        <w:gridCol w:w="584"/>
        <w:gridCol w:w="822"/>
        <w:gridCol w:w="580"/>
        <w:gridCol w:w="449"/>
        <w:gridCol w:w="799"/>
        <w:gridCol w:w="767"/>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776" w:type="pc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462" w:type="pct"/>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462" w:type="pc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342" w:type="pc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482" w:type="pc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340" w:type="pc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63" w:type="pc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468" w:type="pc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450" w:type="pc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687"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pPr>
              <w:jc w:val="center"/>
              <w:rPr>
                <w:rFonts w:ascii="Times New Roman" w:hAnsi="Times New Roman" w:eastAsia="宋体" w:cs="Times New Roman"/>
                <w:bCs/>
                <w:szCs w:val="21"/>
              </w:rPr>
            </w:pPr>
            <w:r>
              <w:rPr>
                <w:rFonts w:hint="eastAsia"/>
                <w:bCs/>
                <w:szCs w:val="21"/>
              </w:rPr>
              <w:t>1</w:t>
            </w:r>
          </w:p>
        </w:tc>
        <w:tc>
          <w:tcPr>
            <w:tcW w:w="776" w:type="pct"/>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auto"/>
                <w:kern w:val="0"/>
                <w:sz w:val="22"/>
                <w:szCs w:val="22"/>
                <w:u w:val="none"/>
                <w:lang w:val="en-US" w:eastAsia="zh-CN" w:bidi="ar"/>
              </w:rPr>
              <w:t>升降课桌</w:t>
            </w:r>
          </w:p>
        </w:tc>
        <w:tc>
          <w:tcPr>
            <w:tcW w:w="462" w:type="pct"/>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pPr>
              <w:jc w:val="center"/>
              <w:rPr>
                <w:rFonts w:ascii="Times New Roman" w:hAnsi="Times New Roman" w:eastAsia="宋体" w:cs="Times New Roman"/>
                <w:bCs/>
                <w:szCs w:val="21"/>
              </w:rPr>
            </w:pPr>
          </w:p>
        </w:tc>
        <w:tc>
          <w:tcPr>
            <w:tcW w:w="342" w:type="pct"/>
            <w:vAlign w:val="center"/>
          </w:tcPr>
          <w:p>
            <w:pPr>
              <w:jc w:val="center"/>
              <w:rPr>
                <w:rFonts w:ascii="Times New Roman" w:hAnsi="Times New Roman" w:eastAsia="宋体" w:cs="Times New Roman"/>
                <w:bCs/>
                <w:szCs w:val="21"/>
              </w:rPr>
            </w:pPr>
          </w:p>
        </w:tc>
        <w:tc>
          <w:tcPr>
            <w:tcW w:w="482" w:type="pct"/>
            <w:vAlign w:val="center"/>
          </w:tcPr>
          <w:p>
            <w:pPr>
              <w:jc w:val="center"/>
              <w:rPr>
                <w:rFonts w:ascii="Times New Roman" w:hAnsi="Times New Roman" w:eastAsia="宋体" w:cs="Times New Roman"/>
                <w:bCs/>
                <w:szCs w:val="21"/>
              </w:rPr>
            </w:pPr>
          </w:p>
        </w:tc>
        <w:tc>
          <w:tcPr>
            <w:tcW w:w="340" w:type="pct"/>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700</w:t>
            </w:r>
          </w:p>
        </w:tc>
        <w:tc>
          <w:tcPr>
            <w:tcW w:w="263" w:type="pct"/>
            <w:vAlign w:val="center"/>
          </w:tcPr>
          <w:p>
            <w:pPr>
              <w:jc w:val="center"/>
              <w:rPr>
                <w:rFonts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张</w:t>
            </w:r>
          </w:p>
        </w:tc>
        <w:tc>
          <w:tcPr>
            <w:tcW w:w="468" w:type="pct"/>
            <w:vAlign w:val="center"/>
          </w:tcPr>
          <w:p>
            <w:pPr>
              <w:jc w:val="center"/>
              <w:rPr>
                <w:rFonts w:ascii="Times New Roman" w:hAnsi="Times New Roman" w:eastAsia="宋体" w:cs="Times New Roman"/>
                <w:bCs/>
                <w:szCs w:val="21"/>
              </w:rPr>
            </w:pPr>
          </w:p>
        </w:tc>
        <w:tc>
          <w:tcPr>
            <w:tcW w:w="450" w:type="pct"/>
            <w:vAlign w:val="center"/>
          </w:tcPr>
          <w:p>
            <w:pPr>
              <w:jc w:val="center"/>
              <w:rPr>
                <w:rFonts w:ascii="Times New Roman" w:hAnsi="Times New Roman" w:eastAsia="宋体" w:cs="Times New Roman"/>
                <w:bCs/>
                <w:szCs w:val="21"/>
              </w:rPr>
            </w:pPr>
          </w:p>
        </w:tc>
        <w:tc>
          <w:tcPr>
            <w:tcW w:w="687" w:type="pct"/>
            <w:vMerge w:val="restart"/>
            <w:vAlign w:val="center"/>
          </w:tcPr>
          <w:p>
            <w:pPr>
              <w:jc w:val="center"/>
              <w:rPr>
                <w:rFonts w:ascii="Times New Roman" w:hAnsi="Times New Roman" w:eastAsia="宋体" w:cs="Times New Roman"/>
                <w:b/>
                <w:bCs/>
                <w:szCs w:val="21"/>
              </w:rPr>
            </w:pPr>
            <w:r>
              <w:rPr>
                <w:rFonts w:hint="eastAsia" w:ascii="仿宋_GB2312" w:hAnsi="华文仿宋" w:eastAsia="仿宋_GB2312"/>
                <w:b/>
                <w:bCs/>
                <w:sz w:val="21"/>
                <w:szCs w:val="21"/>
                <w:lang w:val="en-US" w:eastAsia="zh-CN"/>
              </w:rPr>
              <w:t>378000.00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pPr>
              <w:jc w:val="center"/>
              <w:rPr>
                <w:rFonts w:hint="eastAsia" w:ascii="Times New Roman" w:hAnsi="Times New Roman" w:eastAsia="宋体" w:cs="Times New Roman"/>
                <w:bCs/>
                <w:szCs w:val="21"/>
              </w:rPr>
            </w:pPr>
            <w:r>
              <w:rPr>
                <w:rFonts w:hint="eastAsia"/>
                <w:bCs/>
                <w:szCs w:val="21"/>
              </w:rPr>
              <w:t>2</w:t>
            </w:r>
          </w:p>
        </w:tc>
        <w:tc>
          <w:tcPr>
            <w:tcW w:w="776" w:type="pct"/>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auto"/>
                <w:kern w:val="0"/>
                <w:sz w:val="22"/>
                <w:szCs w:val="22"/>
                <w:u w:val="none"/>
                <w:lang w:val="en-US" w:eastAsia="zh-CN" w:bidi="ar"/>
              </w:rPr>
              <w:t>升降课椅</w:t>
            </w:r>
          </w:p>
        </w:tc>
        <w:tc>
          <w:tcPr>
            <w:tcW w:w="462" w:type="pct"/>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pPr>
              <w:jc w:val="center"/>
              <w:rPr>
                <w:rFonts w:ascii="Times New Roman" w:hAnsi="Times New Roman" w:eastAsia="宋体" w:cs="Times New Roman"/>
                <w:bCs/>
                <w:szCs w:val="21"/>
              </w:rPr>
            </w:pPr>
          </w:p>
        </w:tc>
        <w:tc>
          <w:tcPr>
            <w:tcW w:w="342" w:type="pct"/>
            <w:vAlign w:val="center"/>
          </w:tcPr>
          <w:p>
            <w:pPr>
              <w:jc w:val="center"/>
              <w:rPr>
                <w:rFonts w:ascii="Times New Roman" w:hAnsi="Times New Roman" w:eastAsia="宋体" w:cs="Times New Roman"/>
                <w:bCs/>
                <w:szCs w:val="21"/>
              </w:rPr>
            </w:pPr>
          </w:p>
        </w:tc>
        <w:tc>
          <w:tcPr>
            <w:tcW w:w="482" w:type="pct"/>
            <w:vAlign w:val="center"/>
          </w:tcPr>
          <w:p>
            <w:pPr>
              <w:jc w:val="center"/>
              <w:rPr>
                <w:rFonts w:ascii="Times New Roman" w:hAnsi="Times New Roman" w:eastAsia="宋体" w:cs="Times New Roman"/>
                <w:bCs/>
                <w:szCs w:val="21"/>
              </w:rPr>
            </w:pPr>
          </w:p>
        </w:tc>
        <w:tc>
          <w:tcPr>
            <w:tcW w:w="340" w:type="pct"/>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700</w:t>
            </w:r>
          </w:p>
        </w:tc>
        <w:tc>
          <w:tcPr>
            <w:tcW w:w="263" w:type="pct"/>
            <w:vAlign w:val="center"/>
          </w:tcPr>
          <w:p>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张</w:t>
            </w:r>
          </w:p>
        </w:tc>
        <w:tc>
          <w:tcPr>
            <w:tcW w:w="468" w:type="pct"/>
            <w:vAlign w:val="center"/>
          </w:tcPr>
          <w:p>
            <w:pPr>
              <w:jc w:val="center"/>
              <w:rPr>
                <w:rFonts w:ascii="Times New Roman" w:hAnsi="Times New Roman" w:eastAsia="宋体" w:cs="Times New Roman"/>
                <w:bCs/>
                <w:szCs w:val="21"/>
              </w:rPr>
            </w:pPr>
          </w:p>
        </w:tc>
        <w:tc>
          <w:tcPr>
            <w:tcW w:w="450" w:type="pct"/>
            <w:vAlign w:val="center"/>
          </w:tcPr>
          <w:p>
            <w:pPr>
              <w:jc w:val="center"/>
              <w:rPr>
                <w:rFonts w:ascii="Times New Roman" w:hAnsi="Times New Roman" w:eastAsia="宋体" w:cs="Times New Roman"/>
                <w:bCs/>
                <w:szCs w:val="21"/>
              </w:rPr>
            </w:pPr>
          </w:p>
        </w:tc>
        <w:tc>
          <w:tcPr>
            <w:tcW w:w="687" w:type="pct"/>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11"/>
            <w:vAlign w:val="center"/>
          </w:tcPr>
          <w:p>
            <w:pPr>
              <w:jc w:val="center"/>
              <w:rPr>
                <w:rFonts w:ascii="Times New Roman" w:hAnsi="Times New Roman" w:eastAsia="宋体" w:cs="Times New Roman"/>
                <w:b/>
                <w:bCs/>
                <w:color w:val="FF0000"/>
                <w:szCs w:val="21"/>
              </w:rPr>
            </w:pPr>
            <w:r>
              <w:rPr>
                <w:rFonts w:hint="eastAsia" w:ascii="Times New Roman" w:hAnsi="Times New Roman" w:eastAsia="宋体" w:cs="Times New Roman"/>
                <w:bCs/>
                <w:szCs w:val="21"/>
              </w:rPr>
              <w:t>合计（即</w:t>
            </w:r>
            <w:r>
              <w:rPr>
                <w:rFonts w:hint="eastAsia" w:ascii="Times New Roman" w:hAnsi="Times New Roman" w:eastAsia="宋体" w:cs="Times New Roman"/>
                <w:bCs/>
                <w:szCs w:val="21"/>
                <w:highlight w:val="yellow"/>
                <w:lang w:eastAsia="zh-CN"/>
              </w:rPr>
              <w:t>投标（响应）</w:t>
            </w:r>
            <w:r>
              <w:rPr>
                <w:rFonts w:hint="eastAsia" w:ascii="Times New Roman" w:hAnsi="Times New Roman" w:eastAsia="宋体" w:cs="Times New Roman"/>
                <w:bCs/>
                <w:szCs w:val="21"/>
                <w:highlight w:val="yellow"/>
              </w:rPr>
              <w:t>总价</w:t>
            </w:r>
            <w:r>
              <w:rPr>
                <w:rFonts w:hint="eastAsia" w:ascii="Times New Roman" w:hAnsi="Times New Roman" w:eastAsia="宋体" w:cs="Times New Roman"/>
                <w:bCs/>
                <w:szCs w:val="21"/>
              </w:rPr>
              <w:t>；币种：人民币；单位：元）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8"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8"/>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9" w:name="_Hlk72073235"/>
      <w:r>
        <w:rPr>
          <w:rFonts w:hint="eastAsia"/>
          <w:b/>
          <w:sz w:val="24"/>
        </w:rPr>
        <w:t>投标人认为需要涉及的其他内容报价清单</w:t>
      </w:r>
      <w:bookmarkEnd w:id="69"/>
    </w:p>
    <w:p>
      <w:pPr>
        <w:rPr>
          <w:b/>
          <w:bCs/>
        </w:rPr>
      </w:pPr>
    </w:p>
    <w:p/>
    <w:p>
      <w:pPr>
        <w:pStyle w:val="4"/>
        <w:bidi w:val="0"/>
        <w:jc w:val="center"/>
        <w:rPr>
          <w:rFonts w:hint="eastAsia" w:ascii="黑体" w:hAnsi="宋体" w:eastAsia="黑体" w:cstheme="minorBidi"/>
          <w:b w:val="0"/>
          <w:bCs/>
          <w:kern w:val="2"/>
          <w:sz w:val="24"/>
          <w:szCs w:val="24"/>
          <w:lang w:val="en-US" w:eastAsia="zh-CN" w:bidi="ar-SA"/>
        </w:rPr>
      </w:pPr>
      <w:r>
        <w:rPr>
          <w:rFonts w:hint="eastAsia" w:ascii="黑体" w:hAnsi="宋体" w:cstheme="minorBidi"/>
          <w:b w:val="0"/>
          <w:bCs/>
          <w:kern w:val="2"/>
          <w:sz w:val="24"/>
          <w:szCs w:val="24"/>
          <w:lang w:val="en-US" w:eastAsia="zh-CN" w:bidi="ar-SA"/>
        </w:rPr>
        <w:t>五、</w:t>
      </w:r>
      <w:r>
        <w:rPr>
          <w:rFonts w:hint="eastAsia" w:ascii="黑体" w:hAnsi="宋体" w:eastAsia="黑体" w:cstheme="minorBidi"/>
          <w:b w:val="0"/>
          <w:bCs/>
          <w:kern w:val="2"/>
          <w:sz w:val="24"/>
          <w:szCs w:val="24"/>
          <w:lang w:val="en-US" w:eastAsia="zh-CN" w:bidi="ar-SA"/>
        </w:rPr>
        <w:t>同类业绩情况</w:t>
      </w:r>
    </w:p>
    <w:tbl>
      <w:tblPr>
        <w:tblStyle w:val="17"/>
        <w:tblpPr w:leftFromText="180" w:rightFromText="180" w:vertAnchor="text" w:horzAnchor="page" w:tblpX="2213" w:tblpY="175"/>
        <w:tblOverlap w:val="never"/>
        <w:tblW w:w="4906" w:type="pct"/>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737"/>
        <w:gridCol w:w="1703"/>
        <w:gridCol w:w="2101"/>
        <w:gridCol w:w="1227"/>
        <w:gridCol w:w="1279"/>
        <w:gridCol w:w="1322"/>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40" w:type="pct"/>
            <w:vAlign w:val="center"/>
          </w:tcPr>
          <w:p>
            <w:pPr>
              <w:snapToGrid w:val="0"/>
              <w:jc w:val="center"/>
              <w:rPr>
                <w:rFonts w:ascii="宋体" w:hAnsi="宋体" w:eastAsia="宋体" w:cs="Times New Roman"/>
                <w:b/>
                <w:sz w:val="24"/>
                <w:szCs w:val="24"/>
              </w:rPr>
            </w:pPr>
            <w:r>
              <w:rPr>
                <w:rFonts w:hint="eastAsia" w:ascii="宋体" w:hAnsi="宋体" w:eastAsia="宋体" w:cs="Times New Roman"/>
                <w:b/>
                <w:sz w:val="24"/>
                <w:szCs w:val="24"/>
              </w:rPr>
              <w:t>序号</w:t>
            </w:r>
          </w:p>
        </w:tc>
        <w:tc>
          <w:tcPr>
            <w:tcW w:w="1017" w:type="pct"/>
            <w:vAlign w:val="center"/>
          </w:tcPr>
          <w:p>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tc>
        <w:tc>
          <w:tcPr>
            <w:tcW w:w="1255" w:type="pct"/>
            <w:vAlign w:val="center"/>
          </w:tcPr>
          <w:p>
            <w:pPr>
              <w:snapToGrid w:val="0"/>
              <w:jc w:val="center"/>
              <w:rPr>
                <w:rFonts w:ascii="宋体" w:hAnsi="宋体" w:eastAsia="宋体" w:cs="Times New Roman"/>
                <w:b/>
                <w:sz w:val="24"/>
                <w:szCs w:val="24"/>
              </w:rPr>
            </w:pPr>
            <w:r>
              <w:rPr>
                <w:rFonts w:hint="eastAsia" w:ascii="Arial" w:hAnsi="Arial" w:eastAsia="宋体" w:cs="Arial"/>
                <w:b/>
                <w:sz w:val="24"/>
                <w:szCs w:val="24"/>
              </w:rPr>
              <w:t>项目</w:t>
            </w:r>
            <w:r>
              <w:rPr>
                <w:rFonts w:hint="eastAsia" w:ascii="宋体" w:hAnsi="宋体" w:eastAsia="宋体" w:cs="Times New Roman"/>
                <w:b/>
                <w:sz w:val="24"/>
                <w:szCs w:val="24"/>
              </w:rPr>
              <w:t>名称</w:t>
            </w:r>
          </w:p>
        </w:tc>
        <w:tc>
          <w:tcPr>
            <w:tcW w:w="733" w:type="pct"/>
            <w:vAlign w:val="center"/>
          </w:tcPr>
          <w:p>
            <w:pPr>
              <w:snapToGrid w:val="0"/>
              <w:jc w:val="center"/>
              <w:rPr>
                <w:rFonts w:ascii="宋体" w:hAnsi="宋体" w:eastAsia="宋体" w:cs="Times New Roman"/>
                <w:b/>
                <w:sz w:val="24"/>
                <w:szCs w:val="24"/>
              </w:rPr>
            </w:pPr>
            <w:r>
              <w:rPr>
                <w:rFonts w:hint="eastAsia" w:ascii="宋体" w:hAnsi="宋体" w:eastAsia="宋体" w:cs="Times New Roman"/>
                <w:b/>
                <w:sz w:val="24"/>
                <w:szCs w:val="24"/>
              </w:rPr>
              <w:t>时间</w:t>
            </w:r>
          </w:p>
        </w:tc>
        <w:tc>
          <w:tcPr>
            <w:tcW w:w="764" w:type="pct"/>
            <w:vAlign w:val="center"/>
          </w:tcPr>
          <w:p>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p>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联系人</w:t>
            </w:r>
          </w:p>
        </w:tc>
        <w:tc>
          <w:tcPr>
            <w:tcW w:w="789" w:type="pct"/>
            <w:vAlign w:val="center"/>
          </w:tcPr>
          <w:p>
            <w:pPr>
              <w:snapToGrid w:val="0"/>
              <w:jc w:val="center"/>
              <w:rPr>
                <w:rFonts w:hint="eastAsia" w:ascii="宋体" w:hAnsi="宋体" w:eastAsia="宋体" w:cs="Times New Roman"/>
                <w:b/>
                <w:sz w:val="24"/>
                <w:szCs w:val="24"/>
                <w:lang w:eastAsia="zh-CN"/>
              </w:rPr>
            </w:pPr>
            <w:r>
              <w:rPr>
                <w:rFonts w:hint="eastAsia" w:ascii="宋体" w:hAnsi="宋体" w:eastAsia="宋体" w:cs="Times New Roman"/>
                <w:b/>
                <w:sz w:val="24"/>
                <w:szCs w:val="24"/>
              </w:rPr>
              <w:t>用户单位</w:t>
            </w:r>
          </w:p>
          <w:p>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联系电话</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pPr>
              <w:spacing w:afterLines="25" w:line="300" w:lineRule="auto"/>
              <w:rPr>
                <w:rFonts w:ascii="宋体" w:hAnsi="宋体" w:eastAsia="宋体" w:cs="Arial"/>
                <w:sz w:val="24"/>
                <w:szCs w:val="24"/>
              </w:rPr>
            </w:pPr>
          </w:p>
        </w:tc>
        <w:tc>
          <w:tcPr>
            <w:tcW w:w="1017" w:type="pct"/>
          </w:tcPr>
          <w:p>
            <w:pPr>
              <w:spacing w:afterLines="25" w:line="300" w:lineRule="auto"/>
              <w:rPr>
                <w:rFonts w:ascii="宋体" w:hAnsi="宋体" w:eastAsia="宋体" w:cs="Arial"/>
                <w:sz w:val="24"/>
                <w:szCs w:val="24"/>
              </w:rPr>
            </w:pPr>
          </w:p>
        </w:tc>
        <w:tc>
          <w:tcPr>
            <w:tcW w:w="1255" w:type="pct"/>
          </w:tcPr>
          <w:p>
            <w:pPr>
              <w:spacing w:afterLines="25" w:line="300" w:lineRule="auto"/>
              <w:rPr>
                <w:rFonts w:ascii="宋体" w:hAnsi="宋体" w:eastAsia="宋体" w:cs="Arial"/>
                <w:sz w:val="24"/>
                <w:szCs w:val="24"/>
              </w:rPr>
            </w:pPr>
          </w:p>
        </w:tc>
        <w:tc>
          <w:tcPr>
            <w:tcW w:w="733" w:type="pct"/>
          </w:tcPr>
          <w:p>
            <w:pPr>
              <w:spacing w:afterLines="25" w:line="300" w:lineRule="auto"/>
              <w:rPr>
                <w:rFonts w:ascii="宋体" w:hAnsi="宋体" w:eastAsia="宋体" w:cs="Arial"/>
                <w:sz w:val="24"/>
                <w:szCs w:val="24"/>
              </w:rPr>
            </w:pPr>
          </w:p>
        </w:tc>
        <w:tc>
          <w:tcPr>
            <w:tcW w:w="764" w:type="pct"/>
          </w:tcPr>
          <w:p>
            <w:pPr>
              <w:spacing w:afterLines="25" w:line="300" w:lineRule="auto"/>
              <w:rPr>
                <w:rFonts w:ascii="宋体" w:hAnsi="宋体" w:eastAsia="宋体" w:cs="Arial"/>
                <w:sz w:val="24"/>
                <w:szCs w:val="24"/>
              </w:rPr>
            </w:pPr>
          </w:p>
        </w:tc>
        <w:tc>
          <w:tcPr>
            <w:tcW w:w="789" w:type="pct"/>
          </w:tcPr>
          <w:p>
            <w:pPr>
              <w:spacing w:afterLines="25" w:line="300" w:lineRule="auto"/>
              <w:rPr>
                <w:rFonts w:ascii="宋体" w:hAnsi="宋体" w:eastAsia="宋体" w:cs="Arial"/>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pPr>
              <w:spacing w:afterLines="25" w:line="300" w:lineRule="auto"/>
              <w:rPr>
                <w:rFonts w:ascii="宋体" w:hAnsi="宋体" w:eastAsia="宋体" w:cs="Arial"/>
                <w:sz w:val="24"/>
                <w:szCs w:val="24"/>
              </w:rPr>
            </w:pPr>
          </w:p>
        </w:tc>
        <w:tc>
          <w:tcPr>
            <w:tcW w:w="1017" w:type="pct"/>
          </w:tcPr>
          <w:p>
            <w:pPr>
              <w:spacing w:afterLines="25" w:line="300" w:lineRule="auto"/>
              <w:rPr>
                <w:rFonts w:ascii="宋体" w:hAnsi="宋体" w:eastAsia="宋体" w:cs="Arial"/>
                <w:sz w:val="24"/>
                <w:szCs w:val="24"/>
              </w:rPr>
            </w:pPr>
          </w:p>
        </w:tc>
        <w:tc>
          <w:tcPr>
            <w:tcW w:w="1255" w:type="pct"/>
          </w:tcPr>
          <w:p>
            <w:pPr>
              <w:spacing w:afterLines="25" w:line="300" w:lineRule="auto"/>
              <w:rPr>
                <w:rFonts w:ascii="宋体" w:hAnsi="宋体" w:eastAsia="宋体" w:cs="Arial"/>
                <w:sz w:val="24"/>
                <w:szCs w:val="24"/>
              </w:rPr>
            </w:pPr>
          </w:p>
        </w:tc>
        <w:tc>
          <w:tcPr>
            <w:tcW w:w="733" w:type="pct"/>
          </w:tcPr>
          <w:p>
            <w:pPr>
              <w:spacing w:afterLines="25" w:line="300" w:lineRule="auto"/>
              <w:rPr>
                <w:rFonts w:ascii="宋体" w:hAnsi="宋体" w:eastAsia="宋体" w:cs="Arial"/>
                <w:sz w:val="24"/>
                <w:szCs w:val="24"/>
              </w:rPr>
            </w:pPr>
          </w:p>
        </w:tc>
        <w:tc>
          <w:tcPr>
            <w:tcW w:w="764" w:type="pct"/>
          </w:tcPr>
          <w:p>
            <w:pPr>
              <w:spacing w:afterLines="25" w:line="300" w:lineRule="auto"/>
              <w:rPr>
                <w:rFonts w:ascii="宋体" w:hAnsi="宋体" w:eastAsia="宋体" w:cs="Arial"/>
                <w:sz w:val="24"/>
                <w:szCs w:val="24"/>
              </w:rPr>
            </w:pPr>
          </w:p>
        </w:tc>
        <w:tc>
          <w:tcPr>
            <w:tcW w:w="789" w:type="pct"/>
          </w:tcPr>
          <w:p>
            <w:pPr>
              <w:spacing w:afterLines="25" w:line="300" w:lineRule="auto"/>
              <w:rPr>
                <w:rFonts w:ascii="宋体" w:hAnsi="宋体" w:eastAsia="宋体" w:cs="Arial"/>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pPr>
              <w:spacing w:afterLines="25" w:line="300" w:lineRule="auto"/>
              <w:rPr>
                <w:rFonts w:ascii="宋体" w:hAnsi="宋体" w:eastAsia="宋体" w:cs="Arial"/>
                <w:sz w:val="24"/>
                <w:szCs w:val="24"/>
              </w:rPr>
            </w:pPr>
          </w:p>
        </w:tc>
        <w:tc>
          <w:tcPr>
            <w:tcW w:w="1017" w:type="pct"/>
          </w:tcPr>
          <w:p>
            <w:pPr>
              <w:spacing w:afterLines="25" w:line="300" w:lineRule="auto"/>
              <w:rPr>
                <w:rFonts w:ascii="宋体" w:hAnsi="宋体" w:eastAsia="宋体" w:cs="Arial"/>
                <w:sz w:val="24"/>
                <w:szCs w:val="24"/>
              </w:rPr>
            </w:pPr>
          </w:p>
        </w:tc>
        <w:tc>
          <w:tcPr>
            <w:tcW w:w="1255" w:type="pct"/>
          </w:tcPr>
          <w:p>
            <w:pPr>
              <w:spacing w:afterLines="25" w:line="300" w:lineRule="auto"/>
              <w:rPr>
                <w:rFonts w:ascii="宋体" w:hAnsi="宋体" w:eastAsia="宋体" w:cs="Arial"/>
                <w:sz w:val="24"/>
                <w:szCs w:val="24"/>
              </w:rPr>
            </w:pPr>
          </w:p>
        </w:tc>
        <w:tc>
          <w:tcPr>
            <w:tcW w:w="733" w:type="pct"/>
          </w:tcPr>
          <w:p>
            <w:pPr>
              <w:spacing w:afterLines="25" w:line="300" w:lineRule="auto"/>
              <w:rPr>
                <w:rFonts w:ascii="宋体" w:hAnsi="宋体" w:eastAsia="宋体" w:cs="Arial"/>
                <w:sz w:val="24"/>
                <w:szCs w:val="24"/>
              </w:rPr>
            </w:pPr>
          </w:p>
        </w:tc>
        <w:tc>
          <w:tcPr>
            <w:tcW w:w="764" w:type="pct"/>
          </w:tcPr>
          <w:p>
            <w:pPr>
              <w:spacing w:afterLines="25" w:line="300" w:lineRule="auto"/>
              <w:rPr>
                <w:rFonts w:ascii="宋体" w:hAnsi="宋体" w:eastAsia="宋体" w:cs="Arial"/>
                <w:sz w:val="24"/>
                <w:szCs w:val="24"/>
              </w:rPr>
            </w:pPr>
          </w:p>
        </w:tc>
        <w:tc>
          <w:tcPr>
            <w:tcW w:w="789" w:type="pct"/>
          </w:tcPr>
          <w:p>
            <w:pPr>
              <w:spacing w:afterLines="25" w:line="300" w:lineRule="auto"/>
              <w:rPr>
                <w:rFonts w:ascii="宋体" w:hAnsi="宋体" w:eastAsia="宋体" w:cs="Arial"/>
                <w:sz w:val="24"/>
                <w:szCs w:val="24"/>
              </w:rPr>
            </w:pPr>
          </w:p>
        </w:tc>
      </w:tr>
    </w:tbl>
    <w:p>
      <w:pPr>
        <w:spacing w:line="300" w:lineRule="auto"/>
        <w:rPr>
          <w:rFonts w:hint="eastAsia" w:ascii="Arial" w:hAnsi="Arial" w:eastAsia="宋体" w:cs="Times New Roman"/>
          <w:sz w:val="24"/>
          <w:szCs w:val="24"/>
        </w:rPr>
      </w:pPr>
    </w:p>
    <w:p>
      <w:pPr>
        <w:spacing w:line="300" w:lineRule="auto"/>
        <w:rPr>
          <w:rFonts w:ascii="Arial" w:hAnsi="Arial" w:eastAsia="宋体" w:cs="Times New Roman"/>
          <w:sz w:val="24"/>
          <w:szCs w:val="24"/>
        </w:rPr>
      </w:pPr>
      <w:r>
        <w:rPr>
          <w:rFonts w:hint="eastAsia" w:ascii="Arial" w:hAnsi="Arial" w:eastAsia="宋体" w:cs="Times New Roman"/>
          <w:sz w:val="24"/>
          <w:szCs w:val="24"/>
        </w:rPr>
        <w:t>此表格式可根据评分准则要求进行调整，并将要求提供的证明材料扫描件附后。</w:t>
      </w:r>
    </w:p>
    <w:p>
      <w:pPr>
        <w:spacing w:afterLines="25" w:line="300" w:lineRule="auto"/>
        <w:rPr>
          <w:rFonts w:ascii="Arial" w:hAnsi="Arial" w:eastAsia="宋体" w:cs="Times New Roman"/>
          <w:sz w:val="24"/>
          <w:szCs w:val="24"/>
        </w:rPr>
      </w:pPr>
    </w:p>
    <w:p>
      <w:pPr>
        <w:spacing w:afterLines="25" w:line="300" w:lineRule="auto"/>
        <w:rPr>
          <w:rFonts w:ascii="Arial" w:hAnsi="Arial" w:eastAsia="宋体" w:cs="Times New Roman"/>
          <w:sz w:val="24"/>
          <w:szCs w:val="24"/>
        </w:rPr>
      </w:pPr>
    </w:p>
    <w:p>
      <w:pPr>
        <w:pStyle w:val="4"/>
        <w:bidi w:val="0"/>
        <w:jc w:val="center"/>
        <w:rPr>
          <w:rFonts w:hint="eastAsia"/>
          <w:b w:val="0"/>
          <w:bCs w:val="0"/>
          <w:lang w:val="en-US" w:eastAsia="zh-CN"/>
        </w:rPr>
      </w:pPr>
      <w:r>
        <w:rPr>
          <w:rFonts w:hint="eastAsia" w:ascii="黑体" w:hAnsi="宋体" w:eastAsia="宋体" w:cstheme="minorBidi"/>
          <w:b w:val="0"/>
          <w:bCs/>
          <w:kern w:val="2"/>
          <w:sz w:val="24"/>
          <w:szCs w:val="24"/>
          <w:lang w:val="en-US" w:eastAsia="zh-CN" w:bidi="ar-SA"/>
        </w:rPr>
        <w:t>六、投标供应商认为需要加以说明的其他内容</w:t>
      </w:r>
    </w:p>
    <w:p/>
    <w:p>
      <w:pPr>
        <w:ind w:firstLine="723" w:firstLineChars="300"/>
        <w:rPr>
          <w:b/>
          <w:color w:val="FF0000"/>
          <w:sz w:val="24"/>
        </w:rPr>
      </w:pPr>
      <w:r>
        <w:rPr>
          <w:rFonts w:hint="eastAsia"/>
          <w:b/>
          <w:color w:val="FF0000"/>
          <w:sz w:val="24"/>
        </w:rPr>
        <w:t>（信息公开部分的内容到此为止！以下为信息不公开部分。）</w:t>
      </w:r>
    </w:p>
    <w:bookmarkEnd w:id="64"/>
    <w:p>
      <w:r>
        <w:br w:type="page"/>
      </w:r>
    </w:p>
    <w:p>
      <w:pPr>
        <w:outlineLvl w:val="1"/>
        <w:rPr>
          <w:rFonts w:ascii="宋体" w:hAnsi="宋体"/>
          <w:b/>
          <w:color w:val="FF0000"/>
          <w:sz w:val="28"/>
          <w:szCs w:val="28"/>
        </w:rPr>
      </w:pPr>
      <w:bookmarkStart w:id="70" w:name="_Hlk72260530"/>
      <w:r>
        <w:rPr>
          <w:rFonts w:hint="eastAsia" w:ascii="宋体" w:hAnsi="宋体"/>
          <w:b/>
          <w:color w:val="FF0000"/>
          <w:sz w:val="28"/>
          <w:szCs w:val="28"/>
        </w:rPr>
        <w:t>投标文件附件（信息不公开部分）</w:t>
      </w:r>
    </w:p>
    <w:p>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4"/>
        <w:spacing w:before="120" w:after="120"/>
        <w:jc w:val="center"/>
        <w:rPr>
          <w:rFonts w:ascii="黑体" w:eastAsia="黑体"/>
          <w:b w:val="0"/>
          <w:sz w:val="24"/>
        </w:rPr>
      </w:pPr>
      <w:r>
        <w:rPr>
          <w:rFonts w:hint="eastAsia" w:ascii="黑体" w:eastAsia="黑体"/>
          <w:b w:val="0"/>
          <w:sz w:val="24"/>
        </w:rPr>
        <w:t>二、</w:t>
      </w:r>
      <w:bookmarkStart w:id="71" w:name="_Hlk72092499"/>
      <w:r>
        <w:rPr>
          <w:rFonts w:hint="eastAsia" w:ascii="黑体" w:eastAsia="黑体"/>
          <w:b w:val="0"/>
          <w:sz w:val="24"/>
        </w:rPr>
        <w:t>法定代表人（负责人）证明书</w:t>
      </w:r>
      <w:bookmarkEnd w:id="71"/>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4"/>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4"/>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4"/>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2"/>
              <w:jc w:val="center"/>
              <w:rPr>
                <w:rFonts w:hint="eastAsia"/>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2"/>
              <w:jc w:val="center"/>
              <w:rPr>
                <w:rFonts w:hint="eastAsia"/>
                <w:lang w:val="en-US" w:eastAsia="zh-CN"/>
              </w:rPr>
            </w:pPr>
          </w:p>
          <w:p>
            <w:pPr>
              <w:pStyle w:val="13"/>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70"/>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2"/>
              <w:jc w:val="center"/>
              <w:rPr>
                <w:rFonts w:hint="eastAsia"/>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2"/>
              <w:jc w:val="center"/>
              <w:rPr>
                <w:rFonts w:hint="eastAsia"/>
                <w:lang w:val="en-US" w:eastAsia="zh-CN"/>
              </w:rPr>
            </w:pPr>
          </w:p>
          <w:p>
            <w:pPr>
              <w:pStyle w:val="13"/>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15"/>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72"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7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8754"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72"/>
        <w:gridCol w:w="5446"/>
        <w:gridCol w:w="972"/>
        <w:gridCol w:w="710"/>
        <w:gridCol w:w="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64" w:type="dxa"/>
            <w:vAlign w:val="center"/>
          </w:tcPr>
          <w:p>
            <w:pPr>
              <w:jc w:val="center"/>
              <w:rPr>
                <w:color w:val="000000" w:themeColor="text1"/>
                <w:szCs w:val="21"/>
                <w14:textFill>
                  <w14:solidFill>
                    <w14:schemeClr w14:val="tx1"/>
                  </w14:solidFill>
                </w14:textFill>
              </w:rPr>
            </w:pPr>
            <w:r>
              <w:rPr>
                <w:rFonts w:hint="eastAsia"/>
                <w:sz w:val="24"/>
              </w:rPr>
              <w:t>序号</w:t>
            </w:r>
          </w:p>
        </w:tc>
        <w:tc>
          <w:tcPr>
            <w:tcW w:w="772" w:type="dxa"/>
            <w:vAlign w:val="center"/>
          </w:tcPr>
          <w:p>
            <w:pPr>
              <w:jc w:val="center"/>
              <w:rPr>
                <w:color w:val="000000" w:themeColor="text1"/>
                <w:szCs w:val="21"/>
                <w14:textFill>
                  <w14:solidFill>
                    <w14:schemeClr w14:val="tx1"/>
                  </w14:solidFill>
                </w14:textFill>
              </w:rPr>
            </w:pPr>
            <w:r>
              <w:rPr>
                <w:rFonts w:hint="eastAsia"/>
                <w:sz w:val="24"/>
              </w:rPr>
              <w:t>货物名称</w:t>
            </w:r>
          </w:p>
        </w:tc>
        <w:tc>
          <w:tcPr>
            <w:tcW w:w="5446" w:type="dxa"/>
            <w:vAlign w:val="center"/>
          </w:tcPr>
          <w:p>
            <w:pPr>
              <w:jc w:val="center"/>
              <w:rPr>
                <w:color w:val="000000" w:themeColor="text1"/>
                <w:szCs w:val="21"/>
                <w14:textFill>
                  <w14:solidFill>
                    <w14:schemeClr w14:val="tx1"/>
                  </w14:solidFill>
                </w14:textFill>
              </w:rPr>
            </w:pPr>
            <w:r>
              <w:rPr>
                <w:rFonts w:hint="eastAsia"/>
                <w:sz w:val="24"/>
                <w:lang w:val="en-US" w:eastAsia="zh-CN"/>
              </w:rPr>
              <w:t>采购</w:t>
            </w:r>
            <w:r>
              <w:rPr>
                <w:rFonts w:hint="eastAsia"/>
                <w:sz w:val="24"/>
              </w:rPr>
              <w:t>技术要求</w:t>
            </w:r>
          </w:p>
        </w:tc>
        <w:tc>
          <w:tcPr>
            <w:tcW w:w="972" w:type="dxa"/>
            <w:vAlign w:val="center"/>
          </w:tcPr>
          <w:p>
            <w:pPr>
              <w:jc w:val="center"/>
              <w:rPr>
                <w:rFonts w:hint="eastAsia" w:eastAsiaTheme="minorEastAsia"/>
                <w:color w:val="000000" w:themeColor="text1"/>
                <w:szCs w:val="21"/>
                <w:lang w:eastAsia="zh-CN"/>
                <w14:textFill>
                  <w14:solidFill>
                    <w14:schemeClr w14:val="tx1"/>
                  </w14:solidFill>
                </w14:textFill>
              </w:rPr>
            </w:pPr>
            <w:r>
              <w:rPr>
                <w:rFonts w:hint="eastAsia"/>
                <w:sz w:val="24"/>
                <w:lang w:eastAsia="zh-CN"/>
              </w:rPr>
              <w:t>技术响应情况</w:t>
            </w:r>
          </w:p>
        </w:tc>
        <w:tc>
          <w:tcPr>
            <w:tcW w:w="710" w:type="dxa"/>
            <w:vAlign w:val="center"/>
          </w:tcPr>
          <w:p>
            <w:pPr>
              <w:jc w:val="center"/>
              <w:rPr>
                <w:color w:val="000000" w:themeColor="text1"/>
                <w:szCs w:val="21"/>
                <w14:textFill>
                  <w14:solidFill>
                    <w14:schemeClr w14:val="tx1"/>
                  </w14:solidFill>
                </w14:textFill>
              </w:rPr>
            </w:pPr>
            <w:r>
              <w:rPr>
                <w:rFonts w:hint="eastAsia"/>
                <w:sz w:val="24"/>
              </w:rPr>
              <w:t>偏离情况</w:t>
            </w:r>
          </w:p>
        </w:tc>
        <w:tc>
          <w:tcPr>
            <w:tcW w:w="390" w:type="dxa"/>
            <w:vAlign w:val="center"/>
          </w:tcPr>
          <w:p>
            <w:pPr>
              <w:jc w:val="center"/>
              <w:rPr>
                <w:color w:val="000000" w:themeColor="text1"/>
                <w:szCs w:val="21"/>
                <w14:textFill>
                  <w14:solidFill>
                    <w14:schemeClr w14:val="tx1"/>
                  </w14:solidFill>
                </w14:textFill>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vMerge w:val="restart"/>
            <w:vAlign w:val="center"/>
          </w:tcPr>
          <w:p>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升降课桌</w:t>
            </w: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A.桌面</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1.材质：ABS塑料（塑胶）一体注塑成型。</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2.▲ABS塑料（塑胶）检验：【洛氏硬度(HRR)：≥90），测试方法GB/T 3398.2-2008】；【表面电阻率≥1.0x10</w:t>
            </w:r>
            <w:r>
              <w:rPr>
                <w:rFonts w:hint="eastAsia" w:ascii="宋体" w:hAnsi="宋体" w:eastAsia="宋体" w:cs="宋体"/>
                <w:i w:val="0"/>
                <w:iCs w:val="0"/>
                <w:color w:val="auto"/>
                <w:kern w:val="0"/>
                <w:sz w:val="21"/>
                <w:szCs w:val="21"/>
                <w:u w:val="none"/>
                <w:vertAlign w:val="superscript"/>
                <w:lang w:val="en-US" w:eastAsia="zh-CN" w:bidi="ar"/>
              </w:rPr>
              <w:t>12</w:t>
            </w:r>
            <w:r>
              <w:rPr>
                <w:rFonts w:hint="eastAsia" w:ascii="宋体" w:hAnsi="宋体" w:eastAsia="宋体" w:cs="宋体"/>
                <w:i w:val="0"/>
                <w:iCs w:val="0"/>
                <w:color w:val="auto"/>
                <w:kern w:val="0"/>
                <w:sz w:val="21"/>
                <w:szCs w:val="21"/>
                <w:u w:val="none"/>
                <w:lang w:val="en-US" w:eastAsia="zh-CN" w:bidi="ar"/>
              </w:rPr>
              <w:t>Ω，测试方法GB/T 31838.3-2019】；【拉伸强度（试验速度：50mm/min）≥40MPa；拉伸断裂伸长率（试验速度：50mm/min）≥1.0%；测试方法GB/T 1040.2-2022】；【简支梁缺口冲击强度：≥10KJ∕㎡</w:t>
            </w:r>
            <w:r>
              <w:rPr>
                <w:rFonts w:hint="eastAsia" w:ascii="宋体" w:hAnsi="宋体" w:eastAsia="宋体" w:cs="宋体"/>
                <w:i w:val="0"/>
                <w:iCs w:val="0"/>
                <w:color w:val="auto"/>
                <w:kern w:val="0"/>
                <w:sz w:val="21"/>
                <w:szCs w:val="21"/>
                <w:u w:val="none"/>
                <w:vertAlign w:val="superscript"/>
                <w:lang w:val="en-US" w:eastAsia="zh-CN" w:bidi="ar"/>
              </w:rPr>
              <w:t xml:space="preserve"> </w:t>
            </w:r>
            <w:r>
              <w:rPr>
                <w:rFonts w:hint="eastAsia" w:ascii="宋体" w:hAnsi="宋体" w:eastAsia="宋体" w:cs="宋体"/>
                <w:i w:val="0"/>
                <w:iCs w:val="0"/>
                <w:color w:val="auto"/>
                <w:kern w:val="0"/>
                <w:sz w:val="21"/>
                <w:szCs w:val="21"/>
                <w:u w:val="none"/>
                <w:lang w:val="en-US" w:eastAsia="zh-CN" w:bidi="ar"/>
              </w:rPr>
              <w:t>，测试方法GB/T 1043.1-2008】；【耐磨性(CS-17，750g，100r)≤0.01g，测试方法GB/T 5478-2008】；【热老化（60℃，100h）无龟裂、鼓泡现象，测试方法GB/T 7141-2008】；【盐雾老化（中性盐雾，100h）无锈蚀现象，测试方法GB/T 10125-2021】；【荧光紫外灯老化（100h</w:t>
            </w:r>
            <w:r>
              <w:rPr>
                <w:rFonts w:hint="eastAsia" w:ascii="宋体" w:hAnsi="宋体" w:eastAsia="宋体" w:cs="宋体"/>
                <w:i w:val="0"/>
                <w:iCs w:val="0"/>
                <w:color w:val="auto"/>
                <w:kern w:val="0"/>
                <w:sz w:val="21"/>
                <w:szCs w:val="21"/>
                <w:u w:val="none"/>
                <w:vertAlign w:val="superscript"/>
                <w:lang w:val="en-US" w:eastAsia="zh-CN" w:bidi="ar"/>
              </w:rPr>
              <w:t>1</w:t>
            </w:r>
            <w:r>
              <w:rPr>
                <w:rFonts w:hint="eastAsia" w:ascii="宋体" w:hAnsi="宋体" w:eastAsia="宋体" w:cs="宋体"/>
                <w:i w:val="0"/>
                <w:iCs w:val="0"/>
                <w:color w:val="auto"/>
                <w:kern w:val="0"/>
                <w:sz w:val="21"/>
                <w:szCs w:val="21"/>
                <w:u w:val="none"/>
                <w:lang w:val="en-US" w:eastAsia="zh-CN" w:bidi="ar"/>
              </w:rPr>
              <w:t>）（拉伸强度保持率≥60%、断裂伸长率保持率≥60%、外观变色评级≥3级），测试方法GB/T 16422.3-2022GB/T 1040.2-2022、GB/T 250-2008】；【氧化诱导温度≥200℃，检测方法GB/T 19466.6-2009】；【熔融温度≥100℃，检测方法GB/T 19466.3-2004】；【结晶温度≥100℃，检测方法GB/T 19466.3-2004】；【热焓≥10kJ/kg，检测方法GB/T 19466.3-2004】；【苯酚不得检出，双酚A不得检出，检测方法SN/T 2407-2009】；【苯≤0.05mg/</w:t>
            </w:r>
            <w:r>
              <w:rPr>
                <w:rFonts w:ascii="Noto Sans SC" w:hAnsi="Noto Sans SC" w:eastAsia="Noto Sans SC" w:cs="Noto Sans SC"/>
                <w:i w:val="0"/>
                <w:iCs w:val="0"/>
                <w:color w:val="auto"/>
                <w:kern w:val="0"/>
                <w:sz w:val="21"/>
                <w:szCs w:val="21"/>
                <w:u w:val="none"/>
                <w:lang w:val="en-US" w:eastAsia="zh-CN" w:bidi="ar"/>
              </w:rPr>
              <w:t>㎥</w:t>
            </w:r>
            <w:r>
              <w:rPr>
                <w:rFonts w:ascii="微软雅黑" w:hAnsi="微软雅黑" w:eastAsia="微软雅黑" w:cs="微软雅黑"/>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甲苯≤0.1mg/</w:t>
            </w:r>
            <w:r>
              <w:rPr>
                <w:rFonts w:ascii="Noto Sans SC" w:hAnsi="Noto Sans SC" w:eastAsia="Noto Sans SC" w:cs="Noto Sans SC"/>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，二甲苯≤0.1mg/</w:t>
            </w:r>
            <w:r>
              <w:rPr>
                <w:rFonts w:ascii="Noto Sans SC" w:hAnsi="Noto Sans SC" w:eastAsia="Noto Sans SC" w:cs="Noto Sans SC"/>
                <w:i w:val="0"/>
                <w:iCs w:val="0"/>
                <w:color w:val="auto"/>
                <w:kern w:val="0"/>
                <w:sz w:val="21"/>
                <w:szCs w:val="21"/>
                <w:u w:val="none"/>
                <w:lang w:val="en-US" w:eastAsia="zh-CN" w:bidi="ar"/>
              </w:rPr>
              <w:t>㎥</w:t>
            </w:r>
            <w:r>
              <w:rPr>
                <w:rFonts w:ascii="微软雅黑" w:hAnsi="微软雅黑" w:eastAsia="微软雅黑" w:cs="微软雅黑"/>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总挥发性有机化合物(TVOC) ≤0.3mg/</w:t>
            </w:r>
            <w:r>
              <w:rPr>
                <w:rFonts w:ascii="Noto Sans SC" w:hAnsi="Noto Sans SC" w:eastAsia="Noto Sans SC" w:cs="Noto Sans SC"/>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】；【增塑剂，不得检出邻苯二甲酸二(2-乙基)己酯增塑剂，检测方法GB/T 37866-2019、GB/T 22048-2022】；【可分解芳香胺染料含量：邻甲苯胺≤5mg/kg；2,4-二甲基苯胺≤5mg/kg；2,6-二甲基苯胺≤5mg/kg；邻氨基苯甲醚≤5mg/kg；对氯苯胺≤5mg/kg；2-甲氧基-5-甲基苯胺≤5mg/kg；2,4,5-三甲基苯胺≤5mg/kg；4-氯邻甲苯胺≤5mg/kg；2,4-二氨基甲苯≤5mg/kg；2,4-二氨基苯甲醚≤5mg/kg；2-萘胺≤5mg/kg；5-硝基-邻甲苯胺≤5mg/kg；4-氨基联苯≤5mg/kg；4-氨基偶氮苯≤5mg/kg；4,4’-二氨基二苯醚≤5mg/kg；联苯胺≤5mg/kg；4,4’-二氨基二苯甲烷≤5mg/kg；邻氨基偶氮甲苯≤5mg/kg；3,3’-二甲基-4,4’-二氨基二苯甲烷≤5mg/kg；3,3’-二甲基联苯胺≤5mg/kg；4,4’-二氨基二苯硫醚≤5mg/kg；3,3’-二氯联苯胺≤5mg/kg；4,4’-亚甲基-二-(2-氯苯胺)≤5mg/kg；3,3’-二甲氧基联苯胺≤5mg/kg，检测方法GB/T 37866-2019】。</w:t>
            </w:r>
            <w:r>
              <w:rPr>
                <w:rFonts w:hint="eastAsia" w:ascii="宋体" w:hAnsi="宋体" w:eastAsia="宋体" w:cs="宋体"/>
                <w:b/>
                <w:bCs/>
                <w:i w:val="0"/>
                <w:iCs w:val="0"/>
                <w:color w:val="auto"/>
                <w:kern w:val="0"/>
                <w:sz w:val="21"/>
                <w:szCs w:val="21"/>
                <w:u w:val="none"/>
                <w:lang w:val="en-US" w:eastAsia="zh-CN" w:bidi="ar"/>
              </w:rPr>
              <w:t>单项符合判定均为合格</w:t>
            </w:r>
            <w:r>
              <w:rPr>
                <w:rFonts w:hint="eastAsia" w:ascii="宋体" w:hAnsi="宋体" w:eastAsia="宋体" w:cs="宋体"/>
                <w:i w:val="0"/>
                <w:iCs w:val="0"/>
                <w:color w:val="auto"/>
                <w:kern w:val="0"/>
                <w:sz w:val="21"/>
                <w:szCs w:val="21"/>
                <w:u w:val="none"/>
                <w:lang w:val="en-US" w:eastAsia="zh-CN" w:bidi="ar"/>
              </w:rPr>
              <w:t>。</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3.在课桌面做塑面硬化处理以增加桌面的表面硬度，抗污防腐，支持涂画，灰尘、水渍、汗渍造成桌面污浊不堪，清洁的问题，亦可保护桌面不变色，不褪色。</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4.▲桌面抗污材料要求：检验依据GB/T9274-1988《色漆和清漆 耐液体介质的测定》；检测要求：耐油性（200#溶剂油，24h）无异常；耐酸性（10g/L H</w:t>
            </w:r>
            <w:r>
              <w:rPr>
                <w:rStyle w:val="48"/>
                <w:color w:val="auto"/>
                <w:lang w:val="en-US" w:eastAsia="zh-CN" w:bidi="ar"/>
              </w:rPr>
              <w:t>2</w:t>
            </w:r>
            <w:r>
              <w:rPr>
                <w:rFonts w:hint="eastAsia" w:ascii="宋体" w:hAnsi="宋体" w:eastAsia="宋体" w:cs="宋体"/>
                <w:i w:val="0"/>
                <w:iCs w:val="0"/>
                <w:color w:val="auto"/>
                <w:kern w:val="0"/>
                <w:sz w:val="21"/>
                <w:szCs w:val="21"/>
                <w:u w:val="none"/>
                <w:lang w:val="en-US" w:eastAsia="zh-CN" w:bidi="ar"/>
              </w:rPr>
              <w:t>SO</w:t>
            </w:r>
            <w:r>
              <w:rPr>
                <w:rStyle w:val="48"/>
                <w:color w:val="auto"/>
                <w:lang w:val="en-US" w:eastAsia="zh-CN" w:bidi="ar"/>
              </w:rPr>
              <w:t>4</w:t>
            </w:r>
            <w:r>
              <w:rPr>
                <w:rFonts w:hint="eastAsia" w:ascii="宋体" w:hAnsi="宋体" w:eastAsia="宋体" w:cs="宋体"/>
                <w:i w:val="0"/>
                <w:iCs w:val="0"/>
                <w:color w:val="auto"/>
                <w:kern w:val="0"/>
                <w:sz w:val="21"/>
                <w:szCs w:val="21"/>
                <w:u w:val="none"/>
                <w:lang w:val="en-US" w:eastAsia="zh-CN" w:bidi="ar"/>
              </w:rPr>
              <w:t>，24h）无异常；耐碱性（50g/L NaHCO</w:t>
            </w:r>
            <w:r>
              <w:rPr>
                <w:rStyle w:val="48"/>
                <w:color w:val="auto"/>
                <w:lang w:val="en-US" w:eastAsia="zh-CN" w:bidi="ar"/>
              </w:rPr>
              <w:t>3</w:t>
            </w:r>
            <w:r>
              <w:rPr>
                <w:rFonts w:hint="eastAsia" w:ascii="宋体" w:hAnsi="宋体" w:eastAsia="宋体" w:cs="宋体"/>
                <w:i w:val="0"/>
                <w:iCs w:val="0"/>
                <w:color w:val="auto"/>
                <w:kern w:val="0"/>
                <w:sz w:val="21"/>
                <w:szCs w:val="21"/>
                <w:u w:val="none"/>
                <w:lang w:val="en-US" w:eastAsia="zh-CN" w:bidi="ar"/>
              </w:rPr>
              <w:t>，24h）无异常，</w:t>
            </w:r>
            <w:r>
              <w:rPr>
                <w:rFonts w:hint="eastAsia" w:ascii="宋体" w:hAnsi="宋体" w:eastAsia="宋体" w:cs="宋体"/>
                <w:b/>
                <w:bCs/>
                <w:i w:val="0"/>
                <w:iCs w:val="0"/>
                <w:color w:val="auto"/>
                <w:kern w:val="0"/>
                <w:sz w:val="21"/>
                <w:szCs w:val="21"/>
                <w:u w:val="none"/>
                <w:lang w:val="en-US" w:eastAsia="zh-CN" w:bidi="ar"/>
              </w:rPr>
              <w:t>单项符合判定均为合格。</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r>
              <w:rPr>
                <w:rFonts w:hint="eastAsia" w:ascii="宋体" w:hAnsi="宋体" w:eastAsia="宋体" w:cs="宋体"/>
                <w:i w:val="0"/>
                <w:iCs w:val="0"/>
                <w:color w:val="auto"/>
                <w:kern w:val="0"/>
                <w:sz w:val="21"/>
                <w:szCs w:val="21"/>
                <w:u w:val="none"/>
                <w:lang w:val="en-US" w:eastAsia="zh-CN" w:bidi="ar"/>
              </w:rPr>
              <w:t>.▲塑料桌面耐污染应符合以下要求：耐污染[墨水(蓝色和红色)、印泥、水笔、圆珠笔、涂改液，24h]能被符合QB/T2309-2020的普通橡皮擦拭；</w:t>
            </w:r>
            <w:r>
              <w:rPr>
                <w:rFonts w:hint="eastAsia" w:ascii="宋体" w:hAnsi="宋体" w:eastAsia="宋体" w:cs="宋体"/>
                <w:b/>
                <w:bCs/>
                <w:i w:val="0"/>
                <w:iCs w:val="0"/>
                <w:color w:val="auto"/>
                <w:kern w:val="0"/>
                <w:sz w:val="21"/>
                <w:szCs w:val="21"/>
                <w:u w:val="none"/>
                <w:lang w:val="en-US" w:eastAsia="zh-CN" w:bidi="ar"/>
              </w:rPr>
              <w:t>单项符合判定为合格</w:t>
            </w:r>
            <w:r>
              <w:rPr>
                <w:rFonts w:hint="eastAsia" w:ascii="宋体" w:hAnsi="宋体" w:eastAsia="宋体" w:cs="宋体"/>
                <w:i w:val="0"/>
                <w:iCs w:val="0"/>
                <w:color w:val="auto"/>
                <w:kern w:val="0"/>
                <w:sz w:val="21"/>
                <w:szCs w:val="21"/>
                <w:u w:val="none"/>
                <w:lang w:val="en-US" w:eastAsia="zh-CN" w:bidi="ar"/>
              </w:rPr>
              <w:t>。检测依据QB/T 4071-2021《课桌椅》。</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6.规格（符合GB/T3976-2014《学校课桌椅功能尺寸及技术要求》要求）：具体尺寸中标后依据学校要求确认，尺寸：（长600mm×宽400mm×高20mm）±5mm（注：供应商对产品参数可响应区间内任意值也可响应区间范围）。</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功能：桌面靠胸前端处有一內弧造型设计；桌面两侧与前沿设置一冂字型防落凸条。表面有细蚀纹(咬花),不得有反光现象。桌面四周及底部不得有毛边，倒圆角光滑不刮手。面板底部有強化安全承重之设计。锁入双钢管支撑，并与面板底部平齐。</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B.书箱</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8.材质：PP塑料（塑胶）</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9.规格：内径尺寸：（长450mm×宽330mm×高90mm）±5mm；外径尺寸：（长500mm×宽340mm×高100mm）±5mm。（符合GB/T3976-2014《学校课桌椅功能尺寸及技术要求》要求）。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书箱技术要求：书箱内部前沿设有（长370mm×宽60mm）±5mm凹槽。底部有排水槽缝设计（宽度≤5mm）不少于44条，清洗或擦拭底部易排水通风干燥。书箱三墙面为弧型设计，无尖角。书箱外围倒圆角光滑不刮手，无毛边。书箱底部外侧横向加强筋不少于6条、纵向加强筋不少于3条，加固承重，不易变形。左右两侧各有连体多功能挂钩（长87mm×宽38mm×高26mm）±5mm，书箱与挂钩一体成型设计。</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C.桌脚钢架</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11.材质及形状：采用符合标准异形亮光钢管、异包管亮光钢管组合焊接所有焊接部位满焊而成，结构牢固，长时间使用不得产生摇晃 、松散的现象。焊接完成钢管架，焊接部位牢固，无脱焊、虚焊、焊穿；焊缝均匀，无毛棱、锐棱、飞溅、裂纹等缺陷。</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尺寸：桌脚钢架贴地脚管采用30mm±1mm×60mm±1mm×厚1.5mm的椭圆形白皮钢管；桌脚上部支撑固定立管采用30mm±1mm×60mm±1mm×厚1.5mm的椭圆形白皮钢管；桌脚上部活动内管采用23mm±1mm×50mm±1mm×厚1.5mm的椭圆形白皮钢管；连接书箱P型支架管采用20mm±1mm×40mm±1mm×厚1.2mm的椭圆形白皮钢管，桌腿中间连接横档管采用20mm±1mm×40mm±1mm×厚1.2mm的椭圆形白皮钢管，该横档管到桌面内沿间距符合GB/T 3976-2014关于桌下净空深的要求。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表面涂装：焊接完成后的钢管架，表面经除油、脱脂、磷化、皮膜处理。外表采用一级颗粒粉末，经高温粉体烤漆，不得有刮伤或脱漆现象。涂层无漏喷、锈蚀；涂层光滑均匀，色泽一致。涂层平整光滑、清晰。</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14.底坐P字型弯管左右组合焊接外型。</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15.产品符合QB/T 4071-2021 标准,无断裂或豁裂, 手揿圧各部件不松动, 零部件无严重影响使用功能的磨损或变形, 五金连接件不松动, 活动部件开关灵便。</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D.课桌椅标识</w:t>
            </w:r>
            <w:r>
              <w:rPr>
                <w:rFonts w:hint="eastAsia" w:ascii="宋体" w:hAnsi="宋体" w:eastAsia="宋体" w:cs="宋体"/>
                <w:i w:val="0"/>
                <w:iCs w:val="0"/>
                <w:color w:val="000000"/>
                <w:kern w:val="0"/>
                <w:sz w:val="21"/>
                <w:szCs w:val="21"/>
                <w:u w:val="none"/>
                <w:lang w:val="en-US" w:eastAsia="zh-CN" w:bidi="ar"/>
              </w:rPr>
              <w:t>：</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采用激光镭射标示，字体保证不会脱落掉色，用于学校管理使用及产品维护。在可调节的钢制脚架上外侧清晰标记，高度刻度尺按照（《学校课桌椅功能尺寸及技术要求》（GB/T3976-2014））用阿拉伯数字作标示。</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17.在课桌桌腿立管(钢制脚架上)外侧上做如下标示：</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a)标有统一的校名（简称）汉字或学校 LOGO，用于学校财产登记。</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b)标有生产（出厂）年月日数字标识，保证设备保修售后。</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c)标有产品序列号数字标识（编码从0001开始的四位流水号），用于学校财产登记。</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d)标有高度刻度尺数字标识。</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E.脚垫</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18.材质：PP塑料（塑胶） ，结实耐用不脱落。</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19.▲规格及功能：长93mm±1mm×宽69mm±1mm×高50mm±1mm,垫跟高10mm±2mm。采用环保PP塑料一级新料一体射出注塑成型。并用圆头十字自攻螺丝紧固。课桌后侧两只脚垫底部有一只水平调节塑钢POM螺栓。当地面不平时，可通过调节水平螺栓，使座垫保持平衡不倾斜。表面光滑，无棱角。</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F.挂钩</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20.材质：PP塑料（塑胶） ，结实牢固耐用不脱落。 挂钩与书箱一体成型设计。</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G.其他配件（简述）</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快速升降调节组件</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21.可调式升降结构：采用上下安全升降结构组合成，课桌桌腿升降器由中间传动轴连接课桌的左右腿活动立管，可以同时升降。</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22.组件装置安全性：桌腿外侧外观无外露螺丝五金件，左右腿都可以调整高度。</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23.升降技术要求：手摇升降调节，每张课桌手摇升降调节行程不少于15cm,符合GB/T3976-2014《学校课桌椅功能尺寸及技术要求》 0～5号、4～9号学生课桌标准，可调节高度区间为64cm-79cm、52cm-67cm，在区间内可通过手摇升降快速调节到任意的高度，从而达到（GB/T3976-2014《学校课桌椅功能尺寸及技术要求》）要求（具体实际要求高度以学校要求为准）。升降刻度尺采用激光镭射打印。</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24.一把手摇柄可以支持该批全部课桌椅调节。课桌选择的具体调节型号范围，中标后可根据使用年级另行确定，存在不同调节范围的情况，中标供应商无条件配合。</w:t>
            </w:r>
          </w:p>
          <w:p>
            <w:pPr>
              <w:pStyle w:val="2"/>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772" w:type="dxa"/>
            <w:vMerge w:val="restart"/>
            <w:vAlign w:val="center"/>
          </w:tcPr>
          <w:p>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升降课椅</w:t>
            </w:r>
          </w:p>
        </w:tc>
        <w:tc>
          <w:tcPr>
            <w:tcW w:w="5446" w:type="dxa"/>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A.靠背</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25.材质：PP塑料（塑胶）</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26.尺寸：（长410mm×宽270mm）±5mm（符合《学校课桌椅功能尺寸及技术要求》(</w:t>
            </w:r>
            <w:r>
              <w:rPr>
                <w:rFonts w:hint="eastAsia" w:ascii="宋体" w:hAnsi="宋体" w:eastAsia="宋体" w:cs="宋体"/>
                <w:i w:val="0"/>
                <w:iCs w:val="0"/>
                <w:color w:val="000000"/>
                <w:kern w:val="0"/>
                <w:sz w:val="21"/>
                <w:szCs w:val="21"/>
                <w:highlight w:val="green"/>
                <w:u w:val="none"/>
                <w:lang w:val="en-US" w:eastAsia="zh-CN" w:bidi="ar"/>
              </w:rPr>
              <w:t>GB/T3976-2014</w:t>
            </w:r>
            <w:r>
              <w:rPr>
                <w:rFonts w:hint="eastAsia" w:ascii="宋体" w:hAnsi="宋体" w:eastAsia="宋体" w:cs="宋体"/>
                <w:i w:val="0"/>
                <w:iCs w:val="0"/>
                <w:color w:val="000000"/>
                <w:kern w:val="0"/>
                <w:sz w:val="21"/>
                <w:szCs w:val="21"/>
                <w:u w:val="none"/>
                <w:lang w:val="en-US" w:eastAsia="zh-CN" w:bidi="ar"/>
              </w:rPr>
              <w:t>)）</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27.样式：靠背与钢管结合方式，采用直插套管卡扣式紧固，无外露螺丝等紧固件。牢固稳定无摇晃、松动现象。靠背呈弯孤曲面，人体工程学舒适设计，设有散热孔透气，孔直径均小于5mm。</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B.座垫</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28.材质：PP塑料（塑胶）。</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29.尺寸：（长400mm×宽414mm）±5mm（符合《学校课桌椅功能尺寸及技术要求》(GB/T3976-2014)）</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30.样式：座垫前端有两处下凹设计，座垫深部有内陷设计，座垫曲面有散热孔设计，孔直径均小于5mm。</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31.▲座垫抗滑应满足以下要求：抗滑值((湿测)（BPN,20℃）检测结果≥72.4；抗滑值((干测)（BPN,20℃）检测结果≥104.8。</w:t>
            </w:r>
            <w:r>
              <w:rPr>
                <w:rStyle w:val="47"/>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C.椅腿钢架</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32.材质及规格: 符合标准椭圆形钢管，主要支撑部件（厚度不小于1.5mm）。椅腿钢架贴地脚管采用30mm±1mm×60mm±1mm壁厚1.5mm的椭圆形白皮钢管；椅腿部横档采用20mm±1mm×40mm±1mm，壁厚1.2mm的椭圆形白皮钢管；椅脚上部固定立管采用30mm±1mm×60mm±1mm，壁厚1.5mm的椭圆形白皮钢管；椅脚上部活动立管采用23mm±1mm×50mm±1mm，壁厚1.5mm的椭圆形白皮钢管；靠背支撑弯管采用16.5mm±1mm×34 mm×±1mm，壁厚1.2mm的椭圆形白皮钢管；椅座垫下设补强管采用16.5mm±1mm×34mm±1mm，壁厚1.2mm的椭圆形白皮钢管。</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33.工艺：采用上下安全升降结构，可调节区间（调节行程）不少于7cm，符合(GB/T3976-2014) 学生课椅标准（具体实际要求高度以学校要求为准）。升降刻度尺采用激光镭射打印。</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34.技术形状：底坐采用安全牢固的T字（或C字或工字)组合焊接外型结构，内配隐藏式上下升降结构。</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表面技术要求：焊接完成后的钢管架，表面经除油、脱脂、磷化、皮膜处理。外表采用一级颗粒粉末，经高温粉体烤漆，无刮伤或脱漆现象。涂层无漏喷、锈蚀涂层光滑均匀，色泽一致，无流挂、疙瘩、皱皮、飞漆等缺陷。涂层平整光滑、清晰，无明显粒子、涨边现象。</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D.课桌椅标识：</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采用激光镭射标示，字体保证不脱落掉色，用于学校管理使用及产品维护。在可调节的钢制脚架上外侧清晰标记，高度刻度尺按照课桌椅（《学校课桌椅功能尺寸及技术要求》（GB/T3976-2014））用阿拉伯数字作标示。</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37.表面标示至少满足以下要求：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a)在课椅椅腿立管(钢制脚架上)外侧上做如下标示：</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b)标示并标有统一的校名（简称）标识，用于学校财产登记；</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c)并标示并标有生产（出厂）年月日数字标识，用于设备保修售后；</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d)标示并标有产品序列号数字标识（编号从0001开始的流水号），用于学校财产登记；</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e)标示并标有高度刻度尺数字标识，满足标准要求。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F.脚垫</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38.材质：PP塑料（塑胶）。</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39.▲规格及功能：长93mm±1mm×宽69mm±1mm×高50mm±1mm,垫跟高10mm±2mm。采用环保PP塑料一级新料一体射出注塑成型。并用圆头十字自攻螺丝紧固。课椅后侧两只脚垫底部有一只水平调节塑钢POM螺栓。当地面不平时，可通过调节水平螺栓，使座垫保持平衡不倾斜。表面光滑，无棱角。</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G.其他配件</w:t>
            </w:r>
            <w:r>
              <w:rPr>
                <w:rFonts w:hint="eastAsia" w:ascii="宋体" w:hAnsi="宋体" w:eastAsia="宋体" w:cs="宋体"/>
                <w:i w:val="0"/>
                <w:iCs w:val="0"/>
                <w:color w:val="000000"/>
                <w:kern w:val="0"/>
                <w:sz w:val="21"/>
                <w:szCs w:val="21"/>
                <w:u w:val="none"/>
                <w:lang w:val="en-US" w:eastAsia="zh-CN" w:bidi="ar"/>
              </w:rPr>
              <w:t>（简述）</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ind w:firstLine="422" w:firstLineChars="20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快速升降调节组件：</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40.手摇可调式结构：</w:t>
            </w:r>
            <w:r>
              <w:rPr>
                <w:rFonts w:hint="default" w:ascii="宋体" w:hAnsi="宋体" w:eastAsia="宋体" w:cs="宋体"/>
                <w:i w:val="0"/>
                <w:iCs w:val="0"/>
                <w:color w:val="000000"/>
                <w:kern w:val="0"/>
                <w:sz w:val="21"/>
                <w:szCs w:val="21"/>
                <w:u w:val="none"/>
                <w:lang w:val="en-US" w:eastAsia="zh-CN" w:bidi="ar"/>
              </w:rPr>
              <w:t>采用耐用且环保的材料制造，确保产品既轻便耐用，又能在运作过程中保持静音，同时有效预防长期使用后因生锈导致的活动受阻或卡死问题。</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41.手摇组件装置安全性：椅腿外侧外观无外露螺丝五金件，学生使用无安全隐患，左右腿都可以同时调整高度。</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42.升降技术要求：全手摇升降可调式调节，每张课椅手摇升降调节行程不少于7cm，可调节高度区间至少满足29cm～36cm、36cm～46cm，达到（《学校课桌椅功能尺寸及技术要求》（GB/T3976-2014））要求。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43.一把手摇柄可以满足该批全部课桌椅调节。课椅选择的具体调节型号范围，中标后可根据使用年级另行确定，存在不同调节范围的情况，中标供应商无条件配合。</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44.▲升降课桌椅钢架检验：【化学成分：C≤0.22%，Si≤0.35%，Mn≤1.40%，P≤0.045%，S≤0.050%】；【力学性能：抗拉强度R</w:t>
            </w:r>
            <w:r>
              <w:rPr>
                <w:rStyle w:val="48"/>
                <w:color w:val="auto"/>
                <w:lang w:val="en-US" w:eastAsia="zh-CN" w:bidi="ar"/>
              </w:rPr>
              <w:t>m</w:t>
            </w:r>
            <w:r>
              <w:rPr>
                <w:rFonts w:hint="eastAsia" w:ascii="宋体" w:hAnsi="宋体" w:eastAsia="宋体" w:cs="宋体"/>
                <w:i w:val="0"/>
                <w:iCs w:val="0"/>
                <w:color w:val="auto"/>
                <w:kern w:val="0"/>
                <w:sz w:val="21"/>
                <w:szCs w:val="21"/>
                <w:u w:val="none"/>
                <w:lang w:val="en-US" w:eastAsia="zh-CN" w:bidi="ar"/>
              </w:rPr>
              <w:t>370～560MPa，下屈服强度R</w:t>
            </w:r>
            <w:r>
              <w:rPr>
                <w:rStyle w:val="48"/>
                <w:color w:val="auto"/>
                <w:lang w:val="en-US" w:eastAsia="zh-CN" w:bidi="ar"/>
              </w:rPr>
              <w:t>eL</w:t>
            </w:r>
            <w:r>
              <w:rPr>
                <w:rFonts w:hint="eastAsia" w:ascii="宋体" w:hAnsi="宋体" w:eastAsia="宋体" w:cs="宋体"/>
                <w:i w:val="0"/>
                <w:iCs w:val="0"/>
                <w:color w:val="auto"/>
                <w:kern w:val="0"/>
                <w:sz w:val="21"/>
                <w:szCs w:val="21"/>
                <w:u w:val="none"/>
                <w:lang w:val="en-US" w:eastAsia="zh-CN" w:bidi="ar"/>
              </w:rPr>
              <w:t>≥235MPa，断后伸长率A≥24%】；【维氏硬度HV5≥130】；【中性盐雾(18h)，符合 QB/T3832-1999标准中耐腐蚀等级≥9级】；【焊缝宏观和微观金相检验：焊缝宏观金相检验，焊缝不应有固体夹杂、未熔合及未焊透缺陷；焊缝微观金相检验，焊接后不应有固体夹杂、沉淀相、偏析、未熔合及未焊透缺陷;焊缝组织为索氏体和铁素体，呈柱状晶分布。】。检验依据GB/T 26955-2011《金属材料焊缝破坏性试验焊缝宏观和微观检验》、GB/T 4340.1-2024《金属材料维氏硬度试验第1部分:试验方法》、GB/T 6725-2017《冷弯型钢通用技术要求》、GB/T 10125-2021《人造气氛腐蚀试验 盐雾试验》、QB/T 3832-1999《轻工产品金属镀层腐蚀试验结果的评价》；</w:t>
            </w:r>
            <w:r>
              <w:rPr>
                <w:rFonts w:hint="eastAsia" w:ascii="宋体" w:hAnsi="宋体" w:eastAsia="宋体" w:cs="宋体"/>
                <w:b/>
                <w:bCs/>
                <w:i w:val="0"/>
                <w:iCs w:val="0"/>
                <w:color w:val="auto"/>
                <w:kern w:val="0"/>
                <w:sz w:val="21"/>
                <w:szCs w:val="21"/>
                <w:u w:val="none"/>
                <w:lang w:val="en-US" w:eastAsia="zh-CN" w:bidi="ar"/>
              </w:rPr>
              <w:t>单项符合判定均为合格。</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45.▲升降课桌椅：烟密度≤</w:t>
            </w:r>
            <w:r>
              <w:rPr>
                <w:rStyle w:val="50"/>
                <w:rFonts w:eastAsia="宋体"/>
                <w:color w:val="auto"/>
                <w:lang w:val="en-US" w:eastAsia="zh-CN" w:bidi="ar"/>
              </w:rPr>
              <w:t>75</w:t>
            </w:r>
            <w:r>
              <w:rPr>
                <w:rFonts w:hint="eastAsia" w:ascii="宋体" w:hAnsi="宋体" w:eastAsia="宋体" w:cs="宋体"/>
                <w:i w:val="0"/>
                <w:iCs w:val="0"/>
                <w:color w:val="auto"/>
                <w:kern w:val="0"/>
                <w:sz w:val="21"/>
                <w:szCs w:val="21"/>
                <w:u w:val="none"/>
                <w:lang w:val="en-US" w:eastAsia="zh-CN" w:bidi="ar"/>
              </w:rPr>
              <w:t>；氧指数≥</w:t>
            </w:r>
            <w:r>
              <w:rPr>
                <w:rStyle w:val="50"/>
                <w:rFonts w:eastAsia="宋体"/>
                <w:color w:val="auto"/>
                <w:lang w:val="en-US" w:eastAsia="zh-CN" w:bidi="ar"/>
              </w:rPr>
              <w:t>20%</w:t>
            </w:r>
            <w:r>
              <w:rPr>
                <w:rFonts w:hint="eastAsia" w:ascii="宋体" w:hAnsi="宋体" w:eastAsia="宋体" w:cs="宋体"/>
                <w:i w:val="0"/>
                <w:iCs w:val="0"/>
                <w:color w:val="auto"/>
                <w:kern w:val="0"/>
                <w:sz w:val="21"/>
                <w:szCs w:val="21"/>
                <w:u w:val="none"/>
                <w:lang w:val="en-US" w:eastAsia="zh-CN" w:bidi="ar"/>
              </w:rPr>
              <w:t>；垂直燃烧</w:t>
            </w:r>
            <w:r>
              <w:rPr>
                <w:rStyle w:val="50"/>
                <w:rFonts w:eastAsia="宋体"/>
                <w:color w:val="auto"/>
                <w:lang w:val="en-US" w:eastAsia="zh-CN" w:bidi="ar"/>
              </w:rPr>
              <w:t>V-1</w:t>
            </w:r>
            <w:r>
              <w:rPr>
                <w:rFonts w:hint="eastAsia" w:ascii="宋体" w:hAnsi="宋体" w:eastAsia="宋体" w:cs="宋体"/>
                <w:i w:val="0"/>
                <w:iCs w:val="0"/>
                <w:color w:val="auto"/>
                <w:kern w:val="0"/>
                <w:sz w:val="21"/>
                <w:szCs w:val="21"/>
                <w:u w:val="none"/>
                <w:lang w:val="en-US" w:eastAsia="zh-CN" w:bidi="ar"/>
              </w:rPr>
              <w:t>级；氯乙烯单体残留量≤</w:t>
            </w:r>
            <w:r>
              <w:rPr>
                <w:rStyle w:val="50"/>
                <w:rFonts w:eastAsia="宋体"/>
                <w:color w:val="auto"/>
                <w:lang w:val="en-US" w:eastAsia="zh-CN" w:bidi="ar"/>
              </w:rPr>
              <w:t>3mg/kg</w:t>
            </w:r>
            <w:r>
              <w:rPr>
                <w:rFonts w:hint="eastAsia" w:ascii="宋体" w:hAnsi="宋体" w:eastAsia="宋体" w:cs="宋体"/>
                <w:i w:val="0"/>
                <w:iCs w:val="0"/>
                <w:color w:val="auto"/>
                <w:kern w:val="0"/>
                <w:sz w:val="21"/>
                <w:szCs w:val="21"/>
                <w:u w:val="none"/>
                <w:lang w:val="en-US" w:eastAsia="zh-CN" w:bidi="ar"/>
              </w:rPr>
              <w:t>。单项判定均为合格。检验依据</w:t>
            </w:r>
            <w:r>
              <w:rPr>
                <w:rStyle w:val="50"/>
                <w:rFonts w:eastAsia="宋体"/>
                <w:color w:val="auto"/>
                <w:lang w:val="en-US" w:eastAsia="zh-CN" w:bidi="ar"/>
              </w:rPr>
              <w:t>GB/T 8627-2007</w:t>
            </w:r>
            <w:r>
              <w:rPr>
                <w:rFonts w:hint="eastAsia" w:ascii="宋体" w:hAnsi="宋体" w:eastAsia="宋体" w:cs="宋体"/>
                <w:i w:val="0"/>
                <w:iCs w:val="0"/>
                <w:color w:val="auto"/>
                <w:kern w:val="0"/>
                <w:sz w:val="21"/>
                <w:szCs w:val="21"/>
                <w:u w:val="none"/>
                <w:lang w:val="en-US" w:eastAsia="zh-CN" w:bidi="ar"/>
              </w:rPr>
              <w:t>《建筑材料燃烧或分解的烟密度试验方法》、</w:t>
            </w:r>
            <w:r>
              <w:rPr>
                <w:rStyle w:val="50"/>
                <w:rFonts w:eastAsia="宋体"/>
                <w:color w:val="auto"/>
                <w:lang w:val="en-US" w:eastAsia="zh-CN" w:bidi="ar"/>
              </w:rPr>
              <w:t>GB/T 2406.2-2009</w:t>
            </w:r>
            <w:r>
              <w:rPr>
                <w:rFonts w:hint="eastAsia" w:ascii="宋体" w:hAnsi="宋体" w:eastAsia="宋体" w:cs="宋体"/>
                <w:i w:val="0"/>
                <w:iCs w:val="0"/>
                <w:color w:val="auto"/>
                <w:kern w:val="0"/>
                <w:sz w:val="21"/>
                <w:szCs w:val="21"/>
                <w:u w:val="none"/>
                <w:lang w:val="en-US" w:eastAsia="zh-CN" w:bidi="ar"/>
              </w:rPr>
              <w:t>塑料用氧指数法测定燃烧行为第</w:t>
            </w:r>
            <w:r>
              <w:rPr>
                <w:rStyle w:val="50"/>
                <w:rFonts w:eastAsia="宋体"/>
                <w:color w:val="auto"/>
                <w:lang w:val="en-US" w:eastAsia="zh-CN" w:bidi="ar"/>
              </w:rPr>
              <w:t>2</w:t>
            </w:r>
            <w:r>
              <w:rPr>
                <w:rFonts w:hint="eastAsia" w:ascii="宋体" w:hAnsi="宋体" w:eastAsia="宋体" w:cs="宋体"/>
                <w:i w:val="0"/>
                <w:iCs w:val="0"/>
                <w:color w:val="auto"/>
                <w:kern w:val="0"/>
                <w:sz w:val="21"/>
                <w:szCs w:val="21"/>
                <w:u w:val="none"/>
                <w:lang w:val="en-US" w:eastAsia="zh-CN" w:bidi="ar"/>
              </w:rPr>
              <w:t>部分</w:t>
            </w:r>
            <w:r>
              <w:rPr>
                <w:rStyle w:val="50"/>
                <w:rFonts w:eastAsia="宋体"/>
                <w:color w:val="auto"/>
                <w:lang w:val="en-US" w:eastAsia="zh-CN" w:bidi="ar"/>
              </w:rPr>
              <w:t>:</w:t>
            </w:r>
            <w:r>
              <w:rPr>
                <w:rFonts w:hint="eastAsia" w:ascii="宋体" w:hAnsi="宋体" w:eastAsia="宋体" w:cs="宋体"/>
                <w:i w:val="0"/>
                <w:iCs w:val="0"/>
                <w:color w:val="auto"/>
                <w:kern w:val="0"/>
                <w:sz w:val="21"/>
                <w:szCs w:val="21"/>
                <w:u w:val="none"/>
                <w:lang w:val="en-US" w:eastAsia="zh-CN" w:bidi="ar"/>
              </w:rPr>
              <w:t>室温试验》、</w:t>
            </w:r>
            <w:r>
              <w:rPr>
                <w:rStyle w:val="50"/>
                <w:rFonts w:eastAsia="宋体"/>
                <w:color w:val="auto"/>
                <w:lang w:val="en-US" w:eastAsia="zh-CN" w:bidi="ar"/>
              </w:rPr>
              <w:t>GB/T 2408-2021</w:t>
            </w:r>
            <w:r>
              <w:rPr>
                <w:rFonts w:hint="eastAsia" w:ascii="宋体" w:hAnsi="宋体" w:eastAsia="宋体" w:cs="宋体"/>
                <w:i w:val="0"/>
                <w:iCs w:val="0"/>
                <w:color w:val="auto"/>
                <w:kern w:val="0"/>
                <w:sz w:val="21"/>
                <w:szCs w:val="21"/>
                <w:u w:val="none"/>
                <w:lang w:val="en-US" w:eastAsia="zh-CN" w:bidi="ar"/>
              </w:rPr>
              <w:t>《塑料 燃烧性能的测定 水平法和垂直法》、</w:t>
            </w:r>
            <w:r>
              <w:rPr>
                <w:rStyle w:val="50"/>
                <w:rFonts w:eastAsia="宋体"/>
                <w:color w:val="auto"/>
                <w:lang w:val="en-US" w:eastAsia="zh-CN" w:bidi="ar"/>
              </w:rPr>
              <w:t>GB/T 37866-2019</w:t>
            </w:r>
            <w:r>
              <w:rPr>
                <w:rFonts w:hint="eastAsia" w:ascii="宋体" w:hAnsi="宋体" w:eastAsia="宋体" w:cs="宋体"/>
                <w:i w:val="0"/>
                <w:iCs w:val="0"/>
                <w:color w:val="auto"/>
                <w:kern w:val="0"/>
                <w:sz w:val="21"/>
                <w:szCs w:val="21"/>
                <w:u w:val="none"/>
                <w:lang w:val="en-US" w:eastAsia="zh-CN" w:bidi="ar"/>
              </w:rPr>
              <w:t>《绿色产品评价塑料制品》、</w:t>
            </w:r>
            <w:r>
              <w:rPr>
                <w:rStyle w:val="50"/>
                <w:rFonts w:eastAsia="宋体"/>
                <w:color w:val="auto"/>
                <w:lang w:val="en-US" w:eastAsia="zh-CN" w:bidi="ar"/>
              </w:rPr>
              <w:t>GB/T 33284-2016</w:t>
            </w:r>
            <w:r>
              <w:rPr>
                <w:rFonts w:hint="eastAsia" w:ascii="宋体" w:hAnsi="宋体" w:eastAsia="宋体" w:cs="宋体"/>
                <w:i w:val="0"/>
                <w:iCs w:val="0"/>
                <w:color w:val="auto"/>
                <w:kern w:val="0"/>
                <w:sz w:val="21"/>
                <w:szCs w:val="21"/>
                <w:u w:val="none"/>
                <w:lang w:val="en-US" w:eastAsia="zh-CN" w:bidi="ar"/>
              </w:rPr>
              <w:t>《室内装饰装修材料门、窗用未增塑聚氣乙烯</w:t>
            </w:r>
            <w:r>
              <w:rPr>
                <w:rStyle w:val="50"/>
                <w:rFonts w:eastAsia="宋体"/>
                <w:color w:val="auto"/>
                <w:lang w:val="en-US" w:eastAsia="zh-CN" w:bidi="ar"/>
              </w:rPr>
              <w:t>(PVC-U)</w:t>
            </w:r>
            <w:r>
              <w:rPr>
                <w:rFonts w:hint="eastAsia" w:ascii="宋体" w:hAnsi="宋体" w:eastAsia="宋体" w:cs="宋体"/>
                <w:i w:val="0"/>
                <w:iCs w:val="0"/>
                <w:color w:val="auto"/>
                <w:kern w:val="0"/>
                <w:sz w:val="21"/>
                <w:szCs w:val="21"/>
                <w:u w:val="none"/>
                <w:lang w:val="en-US" w:eastAsia="zh-CN" w:bidi="ar"/>
              </w:rPr>
              <w:t>型材有害物质限量》。</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课椅置物篮：</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w:t>
            </w:r>
            <w:r>
              <w:rPr>
                <w:rFonts w:hint="eastAsia" w:ascii="宋体" w:hAnsi="宋体" w:eastAsia="宋体" w:cs="宋体"/>
                <w:i w:val="0"/>
                <w:iCs w:val="0"/>
                <w:color w:val="000000"/>
                <w:kern w:val="0"/>
                <w:sz w:val="21"/>
                <w:szCs w:val="21"/>
                <w:u w:val="none"/>
                <w:lang w:val="en-US" w:eastAsia="zh-CN" w:bidi="ar"/>
              </w:rPr>
              <w:t>材质：</w:t>
            </w:r>
            <w:r>
              <w:rPr>
                <w:rStyle w:val="51"/>
                <w:rFonts w:eastAsia="宋体"/>
                <w:lang w:val="en-US" w:eastAsia="zh-CN" w:bidi="ar"/>
              </w:rPr>
              <w:t>PP</w:t>
            </w:r>
            <w:r>
              <w:rPr>
                <w:rFonts w:hint="eastAsia" w:ascii="宋体" w:hAnsi="宋体" w:eastAsia="宋体" w:cs="宋体"/>
                <w:i w:val="0"/>
                <w:iCs w:val="0"/>
                <w:color w:val="000000"/>
                <w:kern w:val="0"/>
                <w:sz w:val="21"/>
                <w:szCs w:val="21"/>
                <w:u w:val="none"/>
                <w:lang w:val="en-US" w:eastAsia="zh-CN" w:bidi="ar"/>
              </w:rPr>
              <w:t>塑料，结实耐用不易脱落。</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w:t>
            </w:r>
            <w:r>
              <w:rPr>
                <w:rFonts w:hint="eastAsia" w:ascii="宋体" w:hAnsi="宋体" w:eastAsia="宋体" w:cs="宋体"/>
                <w:i w:val="0"/>
                <w:iCs w:val="0"/>
                <w:color w:val="000000"/>
                <w:kern w:val="0"/>
                <w:sz w:val="21"/>
                <w:szCs w:val="21"/>
                <w:u w:val="none"/>
                <w:lang w:val="en-US" w:eastAsia="zh-CN" w:bidi="ar"/>
              </w:rPr>
              <w:t>尺寸</w:t>
            </w:r>
            <w:r>
              <w:rPr>
                <w:rStyle w:val="51"/>
                <w:rFonts w:eastAsia="宋体"/>
                <w:lang w:val="en-US" w:eastAsia="zh-CN" w:bidi="ar"/>
              </w:rPr>
              <w:t>:</w:t>
            </w:r>
            <w:r>
              <w:rPr>
                <w:rFonts w:hint="eastAsia" w:ascii="宋体" w:hAnsi="宋体" w:eastAsia="宋体" w:cs="宋体"/>
                <w:i w:val="0"/>
                <w:iCs w:val="0"/>
                <w:color w:val="000000"/>
                <w:kern w:val="0"/>
                <w:sz w:val="21"/>
                <w:szCs w:val="21"/>
                <w:u w:val="none"/>
                <w:lang w:val="en-US" w:eastAsia="zh-CN" w:bidi="ar"/>
              </w:rPr>
              <w:t>外径长360mm±5mm×前宽330mm±5mm×后宽290mm±5mm×高86mm±5mm</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w:t>
            </w:r>
            <w:r>
              <w:rPr>
                <w:rFonts w:hint="eastAsia" w:ascii="宋体" w:hAnsi="宋体" w:eastAsia="宋体" w:cs="宋体"/>
                <w:i w:val="0"/>
                <w:iCs w:val="0"/>
                <w:color w:val="000000"/>
                <w:kern w:val="0"/>
                <w:sz w:val="21"/>
                <w:szCs w:val="21"/>
                <w:u w:val="none"/>
                <w:lang w:val="en-US" w:eastAsia="zh-CN" w:bidi="ar"/>
              </w:rPr>
              <w:t>样式：课椅置物篮前方开口宽大有—凹切口取物，篮二侧边及后侧边有排气孔，底部有排气孔。</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73" w:name="_Hlk72095977"/>
      <w:r>
        <w:rPr>
          <w:rFonts w:hint="eastAsia"/>
          <w:sz w:val="21"/>
          <w:szCs w:val="21"/>
        </w:rPr>
        <w:t>证明资料【如有的话，提供的证明资料应统一编号（排序），格式自定】</w:t>
      </w:r>
      <w:bookmarkEnd w:id="73"/>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74" w:name="_Hlk72094407"/>
      <w:r>
        <w:rPr>
          <w:rFonts w:hint="eastAsia"/>
          <w:b w:val="0"/>
          <w:bCs/>
          <w:sz w:val="21"/>
          <w:szCs w:val="21"/>
        </w:rPr>
        <w:t>对应“用户需求书”中的“技术要求”章节</w:t>
      </w:r>
      <w:bookmarkEnd w:id="74"/>
      <w:r>
        <w:rPr>
          <w:rFonts w:hint="eastAsia"/>
          <w:b w:val="0"/>
          <w:bCs/>
          <w:sz w:val="21"/>
          <w:szCs w:val="21"/>
        </w:rPr>
        <w:t>相关内容。</w:t>
      </w:r>
    </w:p>
    <w:p>
      <w:pPr>
        <w:pStyle w:val="14"/>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75" w:name="_Hlk72158270"/>
      <w:r>
        <w:rPr>
          <w:rFonts w:hint="eastAsia"/>
          <w:b w:val="0"/>
          <w:bCs/>
          <w:sz w:val="21"/>
          <w:szCs w:val="21"/>
        </w:rPr>
        <w:t>“偏离情况”</w:t>
      </w:r>
      <w:bookmarkEnd w:id="75"/>
      <w:r>
        <w:rPr>
          <w:rFonts w:hint="eastAsia"/>
          <w:b w:val="0"/>
          <w:bCs/>
          <w:sz w:val="21"/>
          <w:szCs w:val="21"/>
        </w:rPr>
        <w:t>一栏填写如实填写“正偏离”、“负偏离”或“无偏离”，其中：</w:t>
      </w:r>
      <w:bookmarkStart w:id="76" w:name="_Hlk72093866"/>
      <w:r>
        <w:rPr>
          <w:rFonts w:hint="eastAsia"/>
          <w:b w:val="0"/>
          <w:bCs/>
          <w:sz w:val="21"/>
          <w:szCs w:val="21"/>
        </w:rPr>
        <w:t>“正偏离”表示“投标响应优于招标技术要求”，“负偏离”表示“投标响应不满足招标技术要求”，“无偏离”表示“投标响应与招标技术要求一致”</w:t>
      </w:r>
      <w:bookmarkEnd w:id="76"/>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77" w:name="_Hlk72096106"/>
      <w:r>
        <w:rPr>
          <w:rFonts w:hint="eastAsia"/>
          <w:b w:val="0"/>
          <w:bCs/>
          <w:sz w:val="21"/>
          <w:szCs w:val="21"/>
        </w:rPr>
        <w:t>证明资料条款响应要求</w:t>
      </w:r>
      <w:bookmarkEnd w:id="77"/>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8"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9" w:name="_Hlk73558164"/>
      <w:r>
        <w:rPr>
          <w:rFonts w:hint="eastAsia"/>
          <w:b w:val="0"/>
          <w:bCs/>
          <w:sz w:val="21"/>
          <w:szCs w:val="21"/>
        </w:rPr>
        <w:t>且投标人在“偏离情况”一栏响应为“正偏离”或“无偏离”的，经评审委员会认定，将判定为负偏离。</w:t>
      </w:r>
      <w:bookmarkEnd w:id="78"/>
      <w:bookmarkEnd w:id="79"/>
    </w:p>
    <w:p>
      <w:pPr>
        <w:ind w:firstLine="420" w:firstLineChars="200"/>
        <w:rPr>
          <w:b w:val="0"/>
          <w:bCs/>
          <w:sz w:val="21"/>
          <w:szCs w:val="21"/>
        </w:rPr>
      </w:pPr>
      <w:r>
        <w:rPr>
          <w:rFonts w:hint="eastAsia"/>
          <w:b w:val="0"/>
          <w:bCs/>
          <w:sz w:val="21"/>
          <w:szCs w:val="21"/>
        </w:rPr>
        <w:t>6、</w:t>
      </w:r>
      <w:bookmarkStart w:id="80" w:name="_Hlk72096137"/>
      <w:r>
        <w:rPr>
          <w:rFonts w:hint="eastAsia"/>
          <w:b w:val="0"/>
          <w:bCs/>
          <w:sz w:val="21"/>
          <w:szCs w:val="21"/>
        </w:rPr>
        <w:t>表后“证明资料”部分内容的编制</w:t>
      </w:r>
      <w:bookmarkEnd w:id="80"/>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81" w:name="_Hlk73558180"/>
      <w:r>
        <w:rPr>
          <w:rFonts w:hint="eastAsia"/>
          <w:b w:val="0"/>
          <w:bCs/>
          <w:sz w:val="21"/>
          <w:szCs w:val="21"/>
        </w:rPr>
        <w:t>未按照招标文件要求在表后放置证明材料的供应商将承担不利后果，经评审委员会认定，相关技术要求将判定为负偏离。</w:t>
      </w:r>
      <w:bookmarkEnd w:id="81"/>
    </w:p>
    <w:p>
      <w:pPr>
        <w:ind w:firstLine="420" w:firstLineChars="200"/>
        <w:rPr>
          <w:b w:val="0"/>
          <w:bCs/>
          <w:sz w:val="21"/>
          <w:szCs w:val="21"/>
        </w:rPr>
      </w:pPr>
      <w:r>
        <w:rPr>
          <w:rFonts w:hint="eastAsia"/>
          <w:b w:val="0"/>
          <w:bCs/>
          <w:sz w:val="21"/>
          <w:szCs w:val="21"/>
        </w:rPr>
        <w:t>7、</w:t>
      </w:r>
      <w:bookmarkStart w:id="82" w:name="_Hlk72096176"/>
      <w:r>
        <w:rPr>
          <w:rFonts w:hint="eastAsia"/>
          <w:b w:val="0"/>
          <w:bCs/>
          <w:sz w:val="21"/>
          <w:szCs w:val="21"/>
        </w:rPr>
        <w:t>证明资料的形式及其它具体要求</w:t>
      </w:r>
      <w:bookmarkEnd w:id="82"/>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83"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83"/>
    </w:p>
    <w:p>
      <w:pPr>
        <w:ind w:firstLine="482" w:firstLineChars="200"/>
        <w:rPr>
          <w:b/>
          <w:sz w:val="24"/>
        </w:rPr>
      </w:pPr>
    </w:p>
    <w:p>
      <w:pPr>
        <w:pStyle w:val="4"/>
        <w:numPr>
          <w:ilvl w:val="0"/>
          <w:numId w:val="0"/>
        </w:numPr>
        <w:jc w:val="center"/>
        <w:rPr>
          <w:rFonts w:asciiTheme="minorEastAsia" w:hAnsiTheme="minorEastAsia" w:eastAsiaTheme="minorEastAsia" w:cstheme="minorEastAsia"/>
          <w:color w:val="FF0000"/>
          <w:sz w:val="24"/>
        </w:rPr>
      </w:pPr>
      <w:r>
        <w:rPr>
          <w:rFonts w:hint="eastAsia" w:ascii="黑体" w:hAnsi="黑体" w:eastAsia="黑体" w:cs="黑体"/>
          <w:b w:val="0"/>
          <w:bCs w:val="0"/>
          <w:sz w:val="24"/>
          <w:szCs w:val="24"/>
          <w:lang w:val="en-US" w:eastAsia="zh-CN"/>
        </w:rPr>
        <w:t>六、项目实施方案（格式自定）</w:t>
      </w:r>
    </w:p>
    <w:p>
      <w:pPr>
        <w:pStyle w:val="4"/>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4"/>
        <w:jc w:val="center"/>
        <w:rPr>
          <w:rFonts w:ascii="黑体" w:eastAsia="黑体"/>
          <w:b w:val="0"/>
          <w:kern w:val="0"/>
          <w:sz w:val="24"/>
          <w:szCs w:val="24"/>
        </w:rPr>
      </w:pPr>
      <w:r>
        <w:rPr>
          <w:rFonts w:hint="eastAsia" w:ascii="黑体" w:hAnsi="黑体" w:eastAsia="黑体" w:cs="黑体"/>
          <w:b w:val="0"/>
          <w:bCs w:val="0"/>
          <w:sz w:val="24"/>
          <w:szCs w:val="24"/>
          <w:lang w:val="en-US" w:eastAsia="zh-CN"/>
        </w:rPr>
        <w:t>七、售后服务方案</w:t>
      </w:r>
      <w:r>
        <w:rPr>
          <w:rFonts w:hint="eastAsia" w:ascii="黑体" w:eastAsia="黑体"/>
          <w:b w:val="0"/>
          <w:kern w:val="0"/>
          <w:sz w:val="24"/>
          <w:szCs w:val="24"/>
        </w:rPr>
        <w:t>（格式自定）</w:t>
      </w:r>
    </w:p>
    <w:p>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4"/>
        <w:jc w:val="center"/>
        <w:rPr>
          <w:rFonts w:ascii="黑体" w:eastAsia="黑体"/>
          <w:b w:val="0"/>
          <w:kern w:val="0"/>
          <w:sz w:val="24"/>
          <w:szCs w:val="24"/>
        </w:rPr>
      </w:pPr>
      <w:r>
        <w:rPr>
          <w:rFonts w:hint="eastAsia" w:ascii="黑体" w:hAnsi="黑体" w:eastAsia="黑体" w:cs="黑体"/>
          <w:b w:val="0"/>
          <w:bCs w:val="0"/>
          <w:sz w:val="24"/>
          <w:szCs w:val="24"/>
          <w:lang w:val="en-US" w:eastAsia="zh-CN"/>
        </w:rPr>
        <w:t>八、绿色采购情况</w:t>
      </w:r>
      <w:r>
        <w:rPr>
          <w:rFonts w:hint="eastAsia" w:ascii="黑体" w:eastAsia="黑体"/>
          <w:b w:val="0"/>
          <w:kern w:val="0"/>
          <w:sz w:val="24"/>
          <w:szCs w:val="24"/>
        </w:rPr>
        <w:t>（格式自定）</w:t>
      </w:r>
    </w:p>
    <w:p>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4"/>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九、政府采购节能环保产品情况</w:t>
      </w:r>
      <w:r>
        <w:rPr>
          <w:rFonts w:hint="eastAsia" w:ascii="黑体" w:eastAsia="黑体"/>
          <w:b w:val="0"/>
          <w:kern w:val="0"/>
          <w:sz w:val="24"/>
          <w:szCs w:val="24"/>
        </w:rPr>
        <w:t>（格式自定）</w:t>
      </w:r>
    </w:p>
    <w:p>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numPr>
          <w:ilvl w:val="0"/>
          <w:numId w:val="0"/>
        </w:numPr>
        <w:rPr>
          <w:rFonts w:hint="default"/>
          <w:lang w:val="en-US" w:eastAsia="zh-CN"/>
        </w:rPr>
      </w:pPr>
      <w:r>
        <w:rPr>
          <w:rFonts w:hint="eastAsia"/>
          <w:lang w:val="en-US" w:eastAsia="zh-CN"/>
        </w:rPr>
        <w:t xml:space="preserve"> </w:t>
      </w:r>
    </w:p>
    <w:p>
      <w:pPr>
        <w:pStyle w:val="4"/>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十、投标供应商认为需要加以说明的其他内容</w:t>
      </w:r>
    </w:p>
    <w:p>
      <w:pPr>
        <w:jc w:val="center"/>
        <w:rPr>
          <w:b/>
          <w:bCs/>
          <w:sz w:val="24"/>
        </w:rPr>
      </w:pPr>
      <w:bookmarkStart w:id="84" w:name="_Hlk72260576"/>
    </w:p>
    <w:bookmarkEnd w:id="84"/>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6"/>
        <w:jc w:val="center"/>
      </w:pPr>
      <w:r>
        <w:rPr>
          <w:rFonts w:hint="eastAsia"/>
        </w:rPr>
        <w:t>第五章  合同条款及格式</w:t>
      </w:r>
    </w:p>
    <w:p/>
    <w:p>
      <w:pPr>
        <w:jc w:val="center"/>
        <w:outlineLvl w:val="9"/>
      </w:pPr>
      <w:bookmarkStart w:id="85"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2"/>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85"/>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6"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6"/>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6"/>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5"/>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5"/>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7"/>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7" w:name="_Toc27624"/>
      <w:r>
        <w:rPr>
          <w:rFonts w:hint="eastAsia" w:ascii="黑体" w:hAnsi="黑体" w:eastAsia="黑体" w:cs="Times New Roman"/>
          <w:b w:val="0"/>
          <w:bCs w:val="0"/>
          <w:kern w:val="2"/>
          <w:sz w:val="28"/>
          <w:szCs w:val="28"/>
          <w:lang w:val="en-US" w:eastAsia="zh-CN" w:bidi="ar-SA"/>
        </w:rPr>
        <w:t>第二节 政府采购合同通用条款</w:t>
      </w:r>
      <w:bookmarkEnd w:id="87"/>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8"/>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9"/>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8"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8"/>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1"/>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9"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9"/>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90" w:name="_Hlk72399513"/>
      <w:bookmarkStart w:id="91" w:name="_Hlk72439706"/>
      <w:r>
        <w:rPr>
          <w:rFonts w:hint="eastAsia" w:asciiTheme="majorHAnsi" w:hAnsiTheme="majorHAnsi" w:eastAsiaTheme="majorEastAsia" w:cstheme="majorBidi"/>
          <w:b/>
          <w:bCs/>
          <w:sz w:val="28"/>
          <w:szCs w:val="28"/>
        </w:rPr>
        <w:t>总则</w:t>
      </w:r>
    </w:p>
    <w:bookmarkEnd w:id="90"/>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92" w:name="_Hlk72399729"/>
      <w:r>
        <w:rPr>
          <w:rFonts w:hint="eastAsia" w:ascii="宋体" w:hAnsi="宋体"/>
          <w:szCs w:val="21"/>
        </w:rPr>
        <w:t>如有需要，政府集中采购机构可以对通用条款的内容进行补充。</w:t>
      </w:r>
      <w:bookmarkEnd w:id="92"/>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93"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94"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94"/>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93"/>
    <w:p>
      <w:pPr>
        <w:ind w:firstLine="411" w:firstLineChars="196"/>
        <w:rPr>
          <w:rFonts w:ascii="宋体" w:hAnsi="宋体"/>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95"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5"/>
    </w:p>
    <w:p>
      <w:pPr>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96"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96"/>
    <w:p>
      <w:pPr>
        <w:ind w:firstLine="420" w:firstLineChars="200"/>
        <w:rPr>
          <w:rFonts w:ascii="黑体" w:hAnsi="宋体" w:eastAsia="黑体"/>
          <w:szCs w:val="21"/>
        </w:rPr>
      </w:pPr>
      <w:r>
        <w:rPr>
          <w:rFonts w:hint="eastAsia" w:ascii="黑体" w:hAnsi="宋体" w:eastAsia="黑体"/>
          <w:szCs w:val="21"/>
        </w:rPr>
        <w:t>15．</w:t>
      </w:r>
      <w:bookmarkStart w:id="97"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7"/>
    <w:p>
      <w:pPr>
        <w:ind w:firstLine="420" w:firstLineChars="200"/>
        <w:rPr>
          <w:rFonts w:ascii="黑体" w:hAnsi="宋体" w:eastAsia="黑体"/>
          <w:szCs w:val="21"/>
        </w:rPr>
      </w:pPr>
      <w:r>
        <w:rPr>
          <w:rFonts w:hint="eastAsia" w:ascii="黑体" w:hAnsi="宋体" w:eastAsia="黑体"/>
          <w:szCs w:val="21"/>
        </w:rPr>
        <w:t>18．</w:t>
      </w:r>
      <w:bookmarkStart w:id="98"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8"/>
    <w:p>
      <w:pPr>
        <w:ind w:firstLine="420" w:firstLineChars="200"/>
        <w:rPr>
          <w:rFonts w:ascii="黑体" w:hAnsi="宋体" w:eastAsia="黑体"/>
          <w:szCs w:val="21"/>
        </w:rPr>
      </w:pPr>
      <w:r>
        <w:rPr>
          <w:rFonts w:hint="eastAsia" w:ascii="黑体" w:hAnsi="宋体" w:eastAsia="黑体"/>
          <w:szCs w:val="21"/>
        </w:rPr>
        <w:t>19．</w:t>
      </w:r>
      <w:bookmarkStart w:id="99"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100" w:name="_Hlk71407299"/>
    </w:p>
    <w:bookmarkEnd w:id="100"/>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9"/>
    <w:p>
      <w:pPr>
        <w:ind w:firstLine="420" w:firstLineChars="200"/>
        <w:rPr>
          <w:rFonts w:ascii="宋体" w:hAnsi="宋体"/>
          <w:szCs w:val="21"/>
        </w:rPr>
      </w:pPr>
      <w:bookmarkStart w:id="101"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101"/>
    <w:p>
      <w:pPr>
        <w:ind w:firstLine="420" w:firstLineChars="200"/>
        <w:rPr>
          <w:rFonts w:ascii="黑体" w:hAnsi="宋体" w:eastAsia="黑体"/>
          <w:szCs w:val="21"/>
        </w:rPr>
      </w:pPr>
      <w:r>
        <w:rPr>
          <w:rFonts w:hint="eastAsia" w:ascii="黑体" w:hAnsi="宋体" w:eastAsia="黑体"/>
          <w:szCs w:val="21"/>
        </w:rPr>
        <w:t>21．</w:t>
      </w:r>
      <w:bookmarkStart w:id="102"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102"/>
    <w:p>
      <w:pPr>
        <w:ind w:firstLine="420" w:firstLineChars="200"/>
        <w:rPr>
          <w:rFonts w:ascii="黑体" w:hAnsi="宋体" w:eastAsia="黑体"/>
          <w:szCs w:val="21"/>
        </w:rPr>
      </w:pPr>
      <w:r>
        <w:rPr>
          <w:rFonts w:hint="eastAsia" w:ascii="黑体" w:hAnsi="宋体" w:eastAsia="黑体"/>
          <w:szCs w:val="21"/>
        </w:rPr>
        <w:t>23．</w:t>
      </w:r>
      <w:bookmarkStart w:id="103"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103"/>
    </w:p>
    <w:p>
      <w:pPr>
        <w:ind w:firstLine="411" w:firstLineChars="196"/>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104"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104"/>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105"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105"/>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106"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106"/>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7"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7"/>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8" w:name="_Toc73521669"/>
      <w:bookmarkStart w:id="109" w:name="_Toc73521581"/>
      <w:bookmarkStart w:id="110" w:name="_Toc100052400"/>
      <w:bookmarkStart w:id="111" w:name="_Toc73518151"/>
      <w:bookmarkStart w:id="112" w:name="_Toc73517673"/>
      <w:r>
        <w:rPr>
          <w:rFonts w:hint="eastAsia" w:ascii="黑体" w:hAnsi="宋体" w:eastAsia="黑体"/>
          <w:szCs w:val="21"/>
        </w:rPr>
        <w:t>34．错误的修正</w:t>
      </w:r>
      <w:bookmarkEnd w:id="108"/>
      <w:bookmarkEnd w:id="109"/>
      <w:bookmarkEnd w:id="110"/>
      <w:bookmarkEnd w:id="111"/>
      <w:bookmarkEnd w:id="112"/>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13"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13"/>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14"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15" w:name="_Hlk73821177"/>
      <w:r>
        <w:rPr>
          <w:rFonts w:hint="eastAsia" w:ascii="ˎ̥" w:hAnsi="ˎ̥"/>
          <w:szCs w:val="21"/>
        </w:rPr>
        <w:t>唯一候选中标供应商</w:t>
      </w:r>
      <w:bookmarkEnd w:id="115"/>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16"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7"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16"/>
      <w:bookmarkEnd w:id="117"/>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14"/>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8"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8"/>
      <w:bookmarkStart w:id="119"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9"/>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20"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20"/>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21" w:name="_Hlk71407340"/>
      <w:r>
        <w:rPr>
          <w:rFonts w:hint="eastAsia" w:ascii="宋体" w:hAnsi="宋体"/>
          <w:szCs w:val="21"/>
        </w:rPr>
        <w:t>41.3因质疑投诉或其他原因导致项目结果变更或采购终止的，政府集中采购机构有权吊销中标通知书。</w:t>
      </w:r>
    </w:p>
    <w:bookmarkEnd w:id="121"/>
    <w:p>
      <w:pPr>
        <w:ind w:firstLine="411" w:firstLineChars="196"/>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22" w:name="_Hlk72439043"/>
      <w:r>
        <w:rPr>
          <w:rFonts w:hint="eastAsia" w:asciiTheme="majorHAnsi" w:hAnsiTheme="majorHAnsi" w:eastAsiaTheme="majorEastAsia" w:cstheme="majorBidi"/>
          <w:b/>
          <w:bCs/>
          <w:sz w:val="28"/>
          <w:szCs w:val="28"/>
        </w:rPr>
        <w:t>合同的授予与备案</w:t>
      </w:r>
      <w:bookmarkEnd w:id="122"/>
    </w:p>
    <w:p>
      <w:pPr>
        <w:ind w:firstLine="420" w:firstLineChars="200"/>
        <w:rPr>
          <w:rFonts w:ascii="黑体" w:hAnsi="宋体" w:eastAsia="黑体"/>
          <w:szCs w:val="21"/>
        </w:rPr>
      </w:pPr>
      <w:bookmarkStart w:id="123" w:name="_Toc73521586"/>
      <w:bookmarkStart w:id="124" w:name="_Toc100052408"/>
      <w:bookmarkStart w:id="125" w:name="_Toc73521674"/>
      <w:bookmarkStart w:id="126" w:name="_Toc73517679"/>
      <w:bookmarkStart w:id="127" w:name="_Toc73518157"/>
      <w:bookmarkStart w:id="128" w:name="_Hlk72439088"/>
      <w:r>
        <w:rPr>
          <w:rFonts w:hint="eastAsia" w:ascii="黑体" w:hAnsi="宋体" w:eastAsia="黑体"/>
          <w:szCs w:val="21"/>
        </w:rPr>
        <w:t>43．合同授予标准</w:t>
      </w:r>
      <w:bookmarkEnd w:id="123"/>
      <w:bookmarkEnd w:id="124"/>
      <w:bookmarkEnd w:id="125"/>
      <w:bookmarkEnd w:id="126"/>
      <w:bookmarkEnd w:id="127"/>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9" w:name="_Toc73521587"/>
      <w:bookmarkStart w:id="130" w:name="_Toc73517680"/>
      <w:bookmarkStart w:id="131" w:name="_Toc73518158"/>
      <w:bookmarkStart w:id="132" w:name="_Toc100052409"/>
      <w:bookmarkStart w:id="133" w:name="_Toc73521675"/>
      <w:r>
        <w:rPr>
          <w:rFonts w:hint="eastAsia" w:ascii="黑体" w:hAnsi="宋体" w:eastAsia="黑体"/>
          <w:szCs w:val="21"/>
        </w:rPr>
        <w:t>44．</w:t>
      </w:r>
      <w:bookmarkEnd w:id="129"/>
      <w:bookmarkEnd w:id="130"/>
      <w:bookmarkEnd w:id="131"/>
      <w:bookmarkEnd w:id="132"/>
      <w:bookmarkEnd w:id="133"/>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34" w:name="_Toc100052410"/>
      <w:bookmarkStart w:id="135" w:name="_Toc73517682"/>
      <w:bookmarkStart w:id="136" w:name="_Toc73518160"/>
      <w:bookmarkStart w:id="137" w:name="_Toc73521677"/>
      <w:bookmarkStart w:id="138" w:name="_Toc73521589"/>
      <w:r>
        <w:rPr>
          <w:rFonts w:hint="eastAsia" w:ascii="黑体" w:hAnsi="宋体" w:eastAsia="黑体"/>
          <w:szCs w:val="21"/>
        </w:rPr>
        <w:t>45．合同的签订</w:t>
      </w:r>
      <w:bookmarkEnd w:id="134"/>
      <w:bookmarkEnd w:id="135"/>
      <w:bookmarkEnd w:id="136"/>
      <w:bookmarkEnd w:id="137"/>
      <w:bookmarkEnd w:id="138"/>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9" w:name="_Toc100052411"/>
      <w:bookmarkStart w:id="140" w:name="_Toc73521678"/>
      <w:bookmarkStart w:id="141" w:name="_Toc73521590"/>
      <w:bookmarkStart w:id="142" w:name="_Toc73517683"/>
      <w:bookmarkStart w:id="143" w:name="_Toc73518161"/>
      <w:r>
        <w:rPr>
          <w:rFonts w:hint="eastAsia" w:ascii="黑体" w:hAnsi="宋体" w:eastAsia="黑体"/>
          <w:szCs w:val="21"/>
        </w:rPr>
        <w:t>46．履约担保</w:t>
      </w:r>
      <w:bookmarkEnd w:id="139"/>
      <w:bookmarkEnd w:id="140"/>
      <w:bookmarkEnd w:id="141"/>
      <w:bookmarkEnd w:id="142"/>
      <w:bookmarkEnd w:id="143"/>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44" w:name="_Hlk72440769"/>
      <w:r>
        <w:rPr>
          <w:rFonts w:hint="eastAsia" w:ascii="宋体" w:hAnsi="宋体"/>
          <w:szCs w:val="21"/>
        </w:rPr>
        <w:t>政府集中采购机构或采购人不予退还其交纳的谈判保证金，情节严重的，并由主管部门</w:t>
      </w:r>
      <w:bookmarkEnd w:id="144"/>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2"/>
      </w:pPr>
    </w:p>
    <w:bookmarkEnd w:id="128"/>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45" w:name="_Hlk75374941"/>
      <w:r>
        <w:rPr>
          <w:rFonts w:hint="eastAsia" w:ascii="宋体" w:hAnsi="宋体"/>
          <w:szCs w:val="21"/>
        </w:rPr>
        <w:t>以联合体形式参与的，质疑应当由组成联合体的所有成员共同提出</w:t>
      </w:r>
      <w:bookmarkEnd w:id="145"/>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91"/>
    </w:p>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9EDC75D-7793-4638-8F44-BB83C6C130C7}"/>
  </w:font>
  <w:font w:name="Arial">
    <w:panose1 w:val="020B0604020202020204"/>
    <w:charset w:val="01"/>
    <w:family w:val="swiss"/>
    <w:pitch w:val="default"/>
    <w:sig w:usb0="E0002EFF" w:usb1="C000785B" w:usb2="00000009" w:usb3="00000000" w:csb0="400001FF" w:csb1="FFFF0000"/>
    <w:embedRegular r:id="rId2" w:fontKey="{A97ABA7A-948B-4C90-B33C-1F980B1ACC2D}"/>
  </w:font>
  <w:font w:name="黑体">
    <w:panose1 w:val="02010609060101010101"/>
    <w:charset w:val="86"/>
    <w:family w:val="auto"/>
    <w:pitch w:val="default"/>
    <w:sig w:usb0="800002BF" w:usb1="38CF7CFA" w:usb2="00000016" w:usb3="00000000" w:csb0="00040001" w:csb1="00000000"/>
    <w:embedRegular r:id="rId3" w:fontKey="{7F300A9A-28F5-4791-9099-ED9680BFF47B}"/>
  </w:font>
  <w:font w:name="Courier New">
    <w:panose1 w:val="02070309020205020404"/>
    <w:charset w:val="01"/>
    <w:family w:val="modern"/>
    <w:pitch w:val="default"/>
    <w:sig w:usb0="E0002EFF" w:usb1="C0007843" w:usb2="00000009" w:usb3="00000000" w:csb0="400001FF" w:csb1="FFFF0000"/>
    <w:embedRegular r:id="rId4" w:fontKey="{84FE26B2-43AE-4B6D-BB84-AC2305FB51A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AA97CA85-93A2-4822-8DA2-C1B53FE42CAC}"/>
  </w:font>
  <w:font w:name="Cambria">
    <w:panose1 w:val="02040503050406030204"/>
    <w:charset w:val="00"/>
    <w:family w:val="roman"/>
    <w:pitch w:val="default"/>
    <w:sig w:usb0="E00006FF" w:usb1="420024FF" w:usb2="02000000" w:usb3="00000000" w:csb0="2000019F" w:csb1="00000000"/>
    <w:embedRegular r:id="rId6" w:fontKey="{232042C8-5061-426F-9790-00995231EAEE}"/>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7" w:fontKey="{B47DC9B3-8832-41C0-B7B4-194A8BA11EA9}"/>
  </w:font>
  <w:font w:name="仿宋_GB2312">
    <w:panose1 w:val="02010609030101010101"/>
    <w:charset w:val="86"/>
    <w:family w:val="auto"/>
    <w:pitch w:val="default"/>
    <w:sig w:usb0="00000001" w:usb1="080E0000" w:usb2="00000000" w:usb3="00000000" w:csb0="00040000" w:csb1="00000000"/>
    <w:embedRegular r:id="rId8" w:fontKey="{0CC71716-7B19-4A1D-BB5A-498E3D85E6B1}"/>
  </w:font>
  <w:font w:name="华文仿宋">
    <w:panose1 w:val="02010600040101010101"/>
    <w:charset w:val="86"/>
    <w:family w:val="auto"/>
    <w:pitch w:val="default"/>
    <w:sig w:usb0="00000287" w:usb1="080F0000" w:usb2="00000000" w:usb3="00000000" w:csb0="0004009F" w:csb1="DFD70000"/>
    <w:embedRegular r:id="rId9" w:fontKey="{9C5F6225-1FF3-4F6E-A7B9-18E33D21BACB}"/>
  </w:font>
  <w:font w:name="Noto Sans SC">
    <w:panose1 w:val="020B0200000000000000"/>
    <w:charset w:val="86"/>
    <w:family w:val="auto"/>
    <w:pitch w:val="default"/>
    <w:sig w:usb0="20000083" w:usb1="2ADF3C10" w:usb2="00000016" w:usb3="00000000" w:csb0="60060107" w:csb1="00000000"/>
    <w:embedRegular r:id="rId10" w:fontKey="{DD0B260D-C800-4D55-A86B-20A90D871D54}"/>
  </w:font>
  <w:font w:name="方正仿宋_GBK">
    <w:panose1 w:val="02000000000000000000"/>
    <w:charset w:val="86"/>
    <w:family w:val="auto"/>
    <w:pitch w:val="default"/>
    <w:sig w:usb0="A00002BF" w:usb1="38CF7CFA" w:usb2="00082016" w:usb3="00000000" w:csb0="00040001" w:csb1="00000000"/>
    <w:embedRegular r:id="rId11" w:fontKey="{7E7B644D-3201-4E3C-B90E-1788437D8722}"/>
  </w:font>
  <w:font w:name="华文中宋">
    <w:panose1 w:val="02010600040101010101"/>
    <w:charset w:val="86"/>
    <w:family w:val="auto"/>
    <w:pitch w:val="default"/>
    <w:sig w:usb0="00000287" w:usb1="080F0000" w:usb2="00000000" w:usb3="00000000" w:csb0="0004009F" w:csb1="DFD70000"/>
    <w:embedRegular r:id="rId12" w:fontKey="{0370C319-5A51-4555-91EB-EE5DBF0E484E}"/>
  </w:font>
  <w:font w:name="汉仪书宋二S">
    <w:altName w:val="宋体"/>
    <w:panose1 w:val="00000000000000000000"/>
    <w:charset w:val="00"/>
    <w:family w:val="auto"/>
    <w:pitch w:val="default"/>
    <w:sig w:usb0="00000000" w:usb1="00000000" w:usb2="00000000" w:usb3="00000000" w:csb0="00000000" w:csb1="00000000"/>
    <w:embedRegular r:id="rId13" w:fontKey="{745D87E0-7F92-4933-AD2B-F404E8FEEC79}"/>
  </w:font>
  <w:font w:name="华文楷体">
    <w:panose1 w:val="02010600040101010101"/>
    <w:charset w:val="86"/>
    <w:family w:val="auto"/>
    <w:pitch w:val="default"/>
    <w:sig w:usb0="00000287" w:usb1="080F0000" w:usb2="00000000" w:usb3="00000000" w:csb0="0004009F" w:csb1="DFD70000"/>
    <w:embedRegular r:id="rId14" w:fontKey="{3558CD9F-ACFE-46DA-A432-374747780C54}"/>
  </w:font>
  <w:font w:name="ˎ̥">
    <w:altName w:val="Times New Roman"/>
    <w:panose1 w:val="00000000000000000000"/>
    <w:charset w:val="00"/>
    <w:family w:val="auto"/>
    <w:pitch w:val="default"/>
    <w:sig w:usb0="00000000" w:usb1="00000000" w:usb2="00000000" w:usb3="00000000" w:csb0="00040001" w:csb1="00000000"/>
    <w:embedRegular r:id="rId15" w:fontKey="{1622AA37-43A6-45C3-94DF-F8AE5A279D3F}"/>
  </w:font>
  <w:font w:name="仿宋">
    <w:panose1 w:val="02010609060101010101"/>
    <w:charset w:val="86"/>
    <w:family w:val="modern"/>
    <w:pitch w:val="default"/>
    <w:sig w:usb0="800002BF" w:usb1="38CF7CFA" w:usb2="00000016" w:usb3="00000000" w:csb0="00040001" w:csb1="00000000"/>
    <w:embedRegular r:id="rId16" w:fontKey="{C3445A37-E003-4BA4-A44B-125D7412B6BC}"/>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1"/>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1"/>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11119F51"/>
    <w:multiLevelType w:val="singleLevel"/>
    <w:tmpl w:val="11119F51"/>
    <w:lvl w:ilvl="0" w:tentative="0">
      <w:start w:val="1"/>
      <w:numFmt w:val="decimal"/>
      <w:suff w:val="nothing"/>
      <w:lvlText w:val="%1、"/>
      <w:lvlJc w:val="left"/>
    </w:lvl>
  </w:abstractNum>
  <w:abstractNum w:abstractNumId="10">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A0F6431"/>
    <w:multiLevelType w:val="singleLevel"/>
    <w:tmpl w:val="7A0F6431"/>
    <w:lvl w:ilvl="0" w:tentative="0">
      <w:start w:val="1"/>
      <w:numFmt w:val="decimal"/>
      <w:suff w:val="space"/>
      <w:lvlText w:val="%1."/>
      <w:lvlJc w:val="left"/>
    </w:lvl>
  </w:abstractNum>
  <w:num w:numId="1">
    <w:abstractNumId w:val="9"/>
  </w:num>
  <w:num w:numId="2">
    <w:abstractNumId w:val="7"/>
  </w:num>
  <w:num w:numId="3">
    <w:abstractNumId w:val="0"/>
  </w:num>
  <w:num w:numId="4">
    <w:abstractNumId w:val="1"/>
  </w:num>
  <w:num w:numId="5">
    <w:abstractNumId w:val="11"/>
  </w:num>
  <w:num w:numId="6">
    <w:abstractNumId w:val="3"/>
  </w:num>
  <w:num w:numId="7">
    <w:abstractNumId w:val="8"/>
  </w:num>
  <w:num w:numId="8">
    <w:abstractNumId w:val="5"/>
  </w:num>
  <w:num w:numId="9">
    <w:abstractNumId w:val="4"/>
  </w:num>
  <w:num w:numId="10">
    <w:abstractNumId w:val="2"/>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TrueTypeFonts/>
  <w:saveSubsetFonts/>
  <w:bordersDoNotSurroundHeader w:val="0"/>
  <w:bordersDoNotSurroundFooter w:val="0"/>
  <w:revisionView w:markup="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EB20EA"/>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64550"/>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5E4367"/>
    <w:rsid w:val="0E607F86"/>
    <w:rsid w:val="0E8504C4"/>
    <w:rsid w:val="0E8A0CB9"/>
    <w:rsid w:val="0E9C279A"/>
    <w:rsid w:val="0EB421D9"/>
    <w:rsid w:val="0F142273"/>
    <w:rsid w:val="0F5B4403"/>
    <w:rsid w:val="0F5D008C"/>
    <w:rsid w:val="0FD3114F"/>
    <w:rsid w:val="0FEE5EBF"/>
    <w:rsid w:val="104E23A1"/>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7C538B"/>
    <w:rsid w:val="169A5359"/>
    <w:rsid w:val="16B965DF"/>
    <w:rsid w:val="1741793A"/>
    <w:rsid w:val="1743234C"/>
    <w:rsid w:val="17933E49"/>
    <w:rsid w:val="17966F3F"/>
    <w:rsid w:val="179901BE"/>
    <w:rsid w:val="17C24EE1"/>
    <w:rsid w:val="17C27715"/>
    <w:rsid w:val="17C57205"/>
    <w:rsid w:val="17E4768B"/>
    <w:rsid w:val="17FC3BA5"/>
    <w:rsid w:val="180F712A"/>
    <w:rsid w:val="182513C0"/>
    <w:rsid w:val="18397E11"/>
    <w:rsid w:val="184B6C59"/>
    <w:rsid w:val="194505FE"/>
    <w:rsid w:val="1952303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3D5237"/>
    <w:rsid w:val="1C4F3541"/>
    <w:rsid w:val="1C584649"/>
    <w:rsid w:val="1C792E22"/>
    <w:rsid w:val="1CB57848"/>
    <w:rsid w:val="1CBF2475"/>
    <w:rsid w:val="1D113FAB"/>
    <w:rsid w:val="1D2D5631"/>
    <w:rsid w:val="1D345E0F"/>
    <w:rsid w:val="1D880AB9"/>
    <w:rsid w:val="1DB9452C"/>
    <w:rsid w:val="1DE33F41"/>
    <w:rsid w:val="1DE71C83"/>
    <w:rsid w:val="1E206809"/>
    <w:rsid w:val="1E5A29B0"/>
    <w:rsid w:val="1E71779F"/>
    <w:rsid w:val="1E8A6AB3"/>
    <w:rsid w:val="1EFB3211"/>
    <w:rsid w:val="1F103EA9"/>
    <w:rsid w:val="1F1D7927"/>
    <w:rsid w:val="1F784B5D"/>
    <w:rsid w:val="1F886928"/>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7B2CF6"/>
    <w:rsid w:val="239A32F4"/>
    <w:rsid w:val="23A61C99"/>
    <w:rsid w:val="23C5440E"/>
    <w:rsid w:val="23F30C56"/>
    <w:rsid w:val="24266C7C"/>
    <w:rsid w:val="244A2F6C"/>
    <w:rsid w:val="246A64EC"/>
    <w:rsid w:val="248E0882"/>
    <w:rsid w:val="24AB04CD"/>
    <w:rsid w:val="24B85FE4"/>
    <w:rsid w:val="24CE130A"/>
    <w:rsid w:val="24D67678"/>
    <w:rsid w:val="252E63EA"/>
    <w:rsid w:val="25493224"/>
    <w:rsid w:val="256533FF"/>
    <w:rsid w:val="25E847EB"/>
    <w:rsid w:val="267047E0"/>
    <w:rsid w:val="26AF46EB"/>
    <w:rsid w:val="270F7B55"/>
    <w:rsid w:val="273B6B9C"/>
    <w:rsid w:val="27427F2B"/>
    <w:rsid w:val="27857F9B"/>
    <w:rsid w:val="2795721C"/>
    <w:rsid w:val="27A641C3"/>
    <w:rsid w:val="27A6670B"/>
    <w:rsid w:val="27C546B8"/>
    <w:rsid w:val="27F74ECE"/>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BC2718"/>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A75BA9"/>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7755A6"/>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A94A24"/>
    <w:rsid w:val="3ED03C16"/>
    <w:rsid w:val="3EEB27FE"/>
    <w:rsid w:val="3F3423F7"/>
    <w:rsid w:val="3F8E1B07"/>
    <w:rsid w:val="3FEE01AC"/>
    <w:rsid w:val="40161AFD"/>
    <w:rsid w:val="403326AF"/>
    <w:rsid w:val="40546B63"/>
    <w:rsid w:val="408B6047"/>
    <w:rsid w:val="40AF442B"/>
    <w:rsid w:val="40DB3735"/>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6F54837"/>
    <w:rsid w:val="47762C36"/>
    <w:rsid w:val="477C0DDF"/>
    <w:rsid w:val="47D17F22"/>
    <w:rsid w:val="47F55012"/>
    <w:rsid w:val="480212E4"/>
    <w:rsid w:val="482B73A4"/>
    <w:rsid w:val="485F7D98"/>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953952"/>
    <w:rsid w:val="4CA26BF2"/>
    <w:rsid w:val="4CC90623"/>
    <w:rsid w:val="4CEE1E37"/>
    <w:rsid w:val="4CF64AB0"/>
    <w:rsid w:val="4D0470DF"/>
    <w:rsid w:val="4D145F92"/>
    <w:rsid w:val="4D330192"/>
    <w:rsid w:val="4D461C73"/>
    <w:rsid w:val="4E092CA1"/>
    <w:rsid w:val="4E4156DB"/>
    <w:rsid w:val="4E93713A"/>
    <w:rsid w:val="4F1456D4"/>
    <w:rsid w:val="4F9905AE"/>
    <w:rsid w:val="4FAB235A"/>
    <w:rsid w:val="4FC33F25"/>
    <w:rsid w:val="4FD001C7"/>
    <w:rsid w:val="4FFF6109"/>
    <w:rsid w:val="500B71A4"/>
    <w:rsid w:val="502E60F8"/>
    <w:rsid w:val="50334005"/>
    <w:rsid w:val="505E4B9C"/>
    <w:rsid w:val="50A30487"/>
    <w:rsid w:val="50DD1804"/>
    <w:rsid w:val="51A52CE0"/>
    <w:rsid w:val="52195EFA"/>
    <w:rsid w:val="529674E9"/>
    <w:rsid w:val="52A0174F"/>
    <w:rsid w:val="52C26C4A"/>
    <w:rsid w:val="535D3873"/>
    <w:rsid w:val="53663D86"/>
    <w:rsid w:val="53876B42"/>
    <w:rsid w:val="54153BAB"/>
    <w:rsid w:val="543E18F6"/>
    <w:rsid w:val="546B1FBF"/>
    <w:rsid w:val="54996B2C"/>
    <w:rsid w:val="54F5352B"/>
    <w:rsid w:val="550A7A2A"/>
    <w:rsid w:val="554A7E27"/>
    <w:rsid w:val="555E1B24"/>
    <w:rsid w:val="556A04C9"/>
    <w:rsid w:val="559E5653"/>
    <w:rsid w:val="55AB3C2F"/>
    <w:rsid w:val="55EC35D4"/>
    <w:rsid w:val="5623439F"/>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8F83E6F"/>
    <w:rsid w:val="590752B6"/>
    <w:rsid w:val="591F15CA"/>
    <w:rsid w:val="596D67DA"/>
    <w:rsid w:val="59760D08"/>
    <w:rsid w:val="599E6993"/>
    <w:rsid w:val="59AC5554"/>
    <w:rsid w:val="5A564466"/>
    <w:rsid w:val="5A902780"/>
    <w:rsid w:val="5A9F4737"/>
    <w:rsid w:val="5AAE2C06"/>
    <w:rsid w:val="5AE8436A"/>
    <w:rsid w:val="5AF80325"/>
    <w:rsid w:val="5B6339F0"/>
    <w:rsid w:val="5B923000"/>
    <w:rsid w:val="5BF6561B"/>
    <w:rsid w:val="5BFA4C14"/>
    <w:rsid w:val="5C2A6C04"/>
    <w:rsid w:val="5C3543D2"/>
    <w:rsid w:val="5CE36031"/>
    <w:rsid w:val="5D9C1AF9"/>
    <w:rsid w:val="5DB26EB1"/>
    <w:rsid w:val="5DBA559D"/>
    <w:rsid w:val="5DFE3EA4"/>
    <w:rsid w:val="5E465887"/>
    <w:rsid w:val="5E473A9D"/>
    <w:rsid w:val="5E5E5C0A"/>
    <w:rsid w:val="5E8425FB"/>
    <w:rsid w:val="5ECB5703"/>
    <w:rsid w:val="5EE50BC0"/>
    <w:rsid w:val="5F181B76"/>
    <w:rsid w:val="5F463D55"/>
    <w:rsid w:val="5F633086"/>
    <w:rsid w:val="5FD4389C"/>
    <w:rsid w:val="5FEC48FC"/>
    <w:rsid w:val="6013374F"/>
    <w:rsid w:val="601D177F"/>
    <w:rsid w:val="60545FFD"/>
    <w:rsid w:val="60B116A2"/>
    <w:rsid w:val="60B42F40"/>
    <w:rsid w:val="60B7767B"/>
    <w:rsid w:val="61696F59"/>
    <w:rsid w:val="61D672CA"/>
    <w:rsid w:val="61E63AF5"/>
    <w:rsid w:val="626A2DAC"/>
    <w:rsid w:val="62784498"/>
    <w:rsid w:val="62EF051D"/>
    <w:rsid w:val="63293771"/>
    <w:rsid w:val="637C7D45"/>
    <w:rsid w:val="639808F7"/>
    <w:rsid w:val="645F2960"/>
    <w:rsid w:val="64654C7D"/>
    <w:rsid w:val="64990730"/>
    <w:rsid w:val="64BD496D"/>
    <w:rsid w:val="64BE25DF"/>
    <w:rsid w:val="64DB5DF9"/>
    <w:rsid w:val="64F93617"/>
    <w:rsid w:val="654436B9"/>
    <w:rsid w:val="655D3BA6"/>
    <w:rsid w:val="65655387"/>
    <w:rsid w:val="65751170"/>
    <w:rsid w:val="659A6BA8"/>
    <w:rsid w:val="65BA33B9"/>
    <w:rsid w:val="65FE7BFD"/>
    <w:rsid w:val="66EC6F90"/>
    <w:rsid w:val="66F2031E"/>
    <w:rsid w:val="672F79A6"/>
    <w:rsid w:val="67AA7E58"/>
    <w:rsid w:val="67AB0BF9"/>
    <w:rsid w:val="67DD0E4F"/>
    <w:rsid w:val="67EA0511"/>
    <w:rsid w:val="68077DF9"/>
    <w:rsid w:val="68382663"/>
    <w:rsid w:val="683E270C"/>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4E11BD"/>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7D69F9"/>
    <w:rsid w:val="6F834B73"/>
    <w:rsid w:val="6F857F81"/>
    <w:rsid w:val="6FC62348"/>
    <w:rsid w:val="6FE10E18"/>
    <w:rsid w:val="6FEC14A9"/>
    <w:rsid w:val="6FEC6252"/>
    <w:rsid w:val="702E23C7"/>
    <w:rsid w:val="706B487A"/>
    <w:rsid w:val="70A15EF2"/>
    <w:rsid w:val="70CB230C"/>
    <w:rsid w:val="70E643D8"/>
    <w:rsid w:val="71D90D6A"/>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DF0E7A"/>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6A3CE6"/>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3"/>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line="360" w:lineRule="auto"/>
    </w:pPr>
    <w:rPr>
      <w:b/>
      <w:bCs/>
      <w:sz w:val="24"/>
    </w:rPr>
  </w:style>
  <w:style w:type="paragraph" w:styleId="7">
    <w:name w:val="Normal Indent"/>
    <w:basedOn w:val="1"/>
    <w:next w:val="2"/>
    <w:qFormat/>
    <w:uiPriority w:val="0"/>
    <w:pPr>
      <w:ind w:firstLine="420"/>
    </w:pPr>
    <w:rPr>
      <w:szCs w:val="20"/>
    </w:rPr>
  </w:style>
  <w:style w:type="paragraph" w:styleId="8">
    <w:name w:val="Document Map"/>
    <w:basedOn w:val="1"/>
    <w:link w:val="32"/>
    <w:semiHidden/>
    <w:unhideWhenUsed/>
    <w:qFormat/>
    <w:uiPriority w:val="99"/>
    <w:rPr>
      <w:rFonts w:ascii="宋体" w:eastAsia="宋体"/>
      <w:sz w:val="18"/>
      <w:szCs w:val="18"/>
    </w:rPr>
  </w:style>
  <w:style w:type="paragraph" w:styleId="9">
    <w:name w:val="annotation text"/>
    <w:basedOn w:val="1"/>
    <w:link w:val="34"/>
    <w:unhideWhenUsed/>
    <w:qFormat/>
    <w:uiPriority w:val="99"/>
    <w:pPr>
      <w:jc w:val="left"/>
    </w:pPr>
  </w:style>
  <w:style w:type="paragraph" w:styleId="10">
    <w:name w:val="Balloon Text"/>
    <w:basedOn w:val="1"/>
    <w:link w:val="28"/>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line="360" w:lineRule="auto"/>
    </w:pPr>
    <w:rPr>
      <w:sz w:val="24"/>
    </w:rPr>
  </w:style>
  <w:style w:type="paragraph" w:styleId="14">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9"/>
    <w:next w:val="9"/>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2"/>
    <w:semiHidden/>
    <w:qFormat/>
    <w:uiPriority w:val="99"/>
    <w:rPr>
      <w:sz w:val="18"/>
      <w:szCs w:val="18"/>
    </w:rPr>
  </w:style>
  <w:style w:type="character" w:customStyle="1" w:styleId="27">
    <w:name w:val="页脚 Char"/>
    <w:basedOn w:val="19"/>
    <w:link w:val="11"/>
    <w:qFormat/>
    <w:uiPriority w:val="99"/>
    <w:rPr>
      <w:sz w:val="18"/>
      <w:szCs w:val="18"/>
    </w:rPr>
  </w:style>
  <w:style w:type="character" w:customStyle="1" w:styleId="28">
    <w:name w:val="批注框文本 Char"/>
    <w:basedOn w:val="19"/>
    <w:link w:val="10"/>
    <w:semiHidden/>
    <w:qFormat/>
    <w:uiPriority w:val="99"/>
    <w:rPr>
      <w:sz w:val="18"/>
      <w:szCs w:val="18"/>
    </w:rPr>
  </w:style>
  <w:style w:type="character" w:customStyle="1" w:styleId="29">
    <w:name w:val="普通(网站) Char"/>
    <w:link w:val="14"/>
    <w:qFormat/>
    <w:uiPriority w:val="99"/>
    <w:rPr>
      <w:rFonts w:ascii="宋体" w:hAnsi="宋体"/>
      <w:sz w:val="24"/>
      <w:szCs w:val="24"/>
    </w:rPr>
  </w:style>
  <w:style w:type="character" w:customStyle="1" w:styleId="30">
    <w:name w:val="标题 1 Char"/>
    <w:basedOn w:val="19"/>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8"/>
    <w:semiHidden/>
    <w:qFormat/>
    <w:uiPriority w:val="99"/>
    <w:rPr>
      <w:rFonts w:ascii="宋体" w:eastAsia="宋体"/>
      <w:sz w:val="18"/>
      <w:szCs w:val="18"/>
    </w:rPr>
  </w:style>
  <w:style w:type="character" w:customStyle="1" w:styleId="33">
    <w:name w:val="标题 2 Char"/>
    <w:basedOn w:val="19"/>
    <w:link w:val="6"/>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9"/>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21"/>
    <w:basedOn w:val="19"/>
    <w:qFormat/>
    <w:uiPriority w:val="0"/>
    <w:rPr>
      <w:rFonts w:hint="eastAsia" w:ascii="宋体" w:hAnsi="宋体" w:eastAsia="宋体" w:cs="宋体"/>
      <w:color w:val="000000"/>
      <w:sz w:val="21"/>
      <w:szCs w:val="21"/>
      <w:u w:val="none"/>
    </w:rPr>
  </w:style>
  <w:style w:type="character" w:customStyle="1" w:styleId="39">
    <w:name w:val="font11"/>
    <w:basedOn w:val="19"/>
    <w:qFormat/>
    <w:uiPriority w:val="0"/>
    <w:rPr>
      <w:rFonts w:hint="eastAsia" w:ascii="宋体" w:hAnsi="宋体" w:eastAsia="宋体" w:cs="宋体"/>
      <w:color w:val="000000"/>
      <w:sz w:val="21"/>
      <w:szCs w:val="21"/>
      <w:u w:val="none"/>
    </w:rPr>
  </w:style>
  <w:style w:type="character" w:customStyle="1" w:styleId="40">
    <w:name w:val="font41"/>
    <w:basedOn w:val="19"/>
    <w:qFormat/>
    <w:uiPriority w:val="0"/>
    <w:rPr>
      <w:rFonts w:hint="eastAsia" w:ascii="宋体" w:hAnsi="宋体" w:eastAsia="宋体" w:cs="宋体"/>
      <w:color w:val="FF0000"/>
      <w:sz w:val="21"/>
      <w:szCs w:val="21"/>
      <w:u w:val="none"/>
    </w:rPr>
  </w:style>
  <w:style w:type="character" w:customStyle="1" w:styleId="41">
    <w:name w:val="font51"/>
    <w:basedOn w:val="19"/>
    <w:qFormat/>
    <w:uiPriority w:val="0"/>
    <w:rPr>
      <w:rFonts w:hint="eastAsia" w:ascii="宋体" w:hAnsi="宋体" w:eastAsia="宋体" w:cs="宋体"/>
      <w:color w:val="FF0000"/>
      <w:sz w:val="21"/>
      <w:szCs w:val="21"/>
      <w:u w:val="none"/>
      <w:vertAlign w:val="superscript"/>
    </w:rPr>
  </w:style>
  <w:style w:type="character" w:customStyle="1" w:styleId="42">
    <w:name w:val="font61"/>
    <w:basedOn w:val="19"/>
    <w:qFormat/>
    <w:uiPriority w:val="0"/>
    <w:rPr>
      <w:rFonts w:hint="eastAsia" w:ascii="宋体" w:hAnsi="宋体" w:eastAsia="宋体" w:cs="宋体"/>
      <w:b/>
      <w:bCs/>
      <w:color w:val="0000F4"/>
      <w:sz w:val="21"/>
      <w:szCs w:val="21"/>
      <w:u w:val="none"/>
    </w:rPr>
  </w:style>
  <w:style w:type="character" w:customStyle="1" w:styleId="43">
    <w:name w:val="font71"/>
    <w:basedOn w:val="19"/>
    <w:qFormat/>
    <w:uiPriority w:val="0"/>
    <w:rPr>
      <w:rFonts w:hint="eastAsia" w:ascii="宋体" w:hAnsi="宋体" w:eastAsia="宋体" w:cs="宋体"/>
      <w:color w:val="FF0000"/>
      <w:sz w:val="21"/>
      <w:szCs w:val="21"/>
      <w:u w:val="none"/>
      <w:vertAlign w:val="subscript"/>
    </w:rPr>
  </w:style>
  <w:style w:type="character" w:customStyle="1" w:styleId="44">
    <w:name w:val="font81"/>
    <w:basedOn w:val="19"/>
    <w:qFormat/>
    <w:uiPriority w:val="0"/>
    <w:rPr>
      <w:rFonts w:hint="eastAsia" w:ascii="宋体" w:hAnsi="宋体" w:eastAsia="宋体" w:cs="宋体"/>
      <w:color w:val="0000FF"/>
      <w:sz w:val="21"/>
      <w:szCs w:val="21"/>
      <w:u w:val="none"/>
    </w:rPr>
  </w:style>
  <w:style w:type="character" w:customStyle="1" w:styleId="45">
    <w:name w:val="font31"/>
    <w:basedOn w:val="19"/>
    <w:qFormat/>
    <w:uiPriority w:val="0"/>
    <w:rPr>
      <w:rFonts w:hint="eastAsia" w:ascii="宋体" w:hAnsi="宋体" w:eastAsia="宋体" w:cs="宋体"/>
      <w:b/>
      <w:bCs/>
      <w:color w:val="000000"/>
      <w:sz w:val="21"/>
      <w:szCs w:val="21"/>
      <w:u w:val="none"/>
    </w:rPr>
  </w:style>
  <w:style w:type="character" w:customStyle="1" w:styleId="46">
    <w:name w:val="font01"/>
    <w:basedOn w:val="19"/>
    <w:qFormat/>
    <w:uiPriority w:val="0"/>
    <w:rPr>
      <w:rFonts w:hint="eastAsia" w:ascii="宋体" w:hAnsi="宋体" w:eastAsia="宋体" w:cs="宋体"/>
      <w:color w:val="000000"/>
      <w:sz w:val="22"/>
      <w:szCs w:val="22"/>
      <w:u w:val="none"/>
    </w:rPr>
  </w:style>
  <w:style w:type="character" w:customStyle="1" w:styleId="47">
    <w:name w:val="font91"/>
    <w:basedOn w:val="19"/>
    <w:qFormat/>
    <w:uiPriority w:val="0"/>
    <w:rPr>
      <w:rFonts w:hint="eastAsia" w:ascii="宋体" w:hAnsi="宋体" w:eastAsia="宋体" w:cs="宋体"/>
      <w:b/>
      <w:bCs/>
      <w:color w:val="0000F4"/>
      <w:sz w:val="21"/>
      <w:szCs w:val="21"/>
      <w:u w:val="none"/>
    </w:rPr>
  </w:style>
  <w:style w:type="character" w:customStyle="1" w:styleId="48">
    <w:name w:val="font101"/>
    <w:basedOn w:val="19"/>
    <w:qFormat/>
    <w:uiPriority w:val="0"/>
    <w:rPr>
      <w:rFonts w:hint="eastAsia" w:ascii="宋体" w:hAnsi="宋体" w:eastAsia="宋体" w:cs="宋体"/>
      <w:color w:val="FF0000"/>
      <w:sz w:val="21"/>
      <w:szCs w:val="21"/>
      <w:u w:val="none"/>
      <w:vertAlign w:val="subscript"/>
    </w:rPr>
  </w:style>
  <w:style w:type="character" w:customStyle="1" w:styleId="49">
    <w:name w:val="font112"/>
    <w:basedOn w:val="19"/>
    <w:qFormat/>
    <w:uiPriority w:val="0"/>
    <w:rPr>
      <w:rFonts w:hint="eastAsia" w:ascii="宋体" w:hAnsi="宋体" w:eastAsia="宋体" w:cs="宋体"/>
      <w:color w:val="0000FF"/>
      <w:sz w:val="21"/>
      <w:szCs w:val="21"/>
      <w:u w:val="none"/>
    </w:rPr>
  </w:style>
  <w:style w:type="character" w:customStyle="1" w:styleId="50">
    <w:name w:val="font121"/>
    <w:basedOn w:val="19"/>
    <w:qFormat/>
    <w:uiPriority w:val="0"/>
    <w:rPr>
      <w:rFonts w:hint="default" w:ascii="Times New Roman" w:hAnsi="Times New Roman" w:cs="Times New Roman"/>
      <w:color w:val="FF0000"/>
      <w:sz w:val="21"/>
      <w:szCs w:val="21"/>
      <w:u w:val="none"/>
    </w:rPr>
  </w:style>
  <w:style w:type="character" w:customStyle="1" w:styleId="51">
    <w:name w:val="font131"/>
    <w:basedOn w:val="19"/>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79</Pages>
  <Words>8979</Words>
  <Characters>9587</Characters>
  <Lines>316</Lines>
  <Paragraphs>88</Paragraphs>
  <TotalTime>16</TotalTime>
  <ScaleCrop>false</ScaleCrop>
  <LinksUpToDate>false</LinksUpToDate>
  <CharactersWithSpaces>9679</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qinpu</cp:lastModifiedBy>
  <cp:lastPrinted>2021-01-15T01:17:00Z</cp:lastPrinted>
  <dcterms:modified xsi:type="dcterms:W3CDTF">2025-06-20T03:47:47Z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F71DEF8FA8134F19A0FD4D4C39EE6E4E_13</vt:lpwstr>
  </property>
  <property fmtid="{D5CDD505-2E9C-101B-9397-08002B2CF9AE}" pid="4" name="KSOTemplateDocerSaveRecord">
    <vt:lpwstr>eyJoZGlkIjoiZWRjOWYzNmNkMjVlMzA5NzJiZjg4YmM3Y2FmNjY1NjciLCJ1c2VySWQiOiIxMDUyMDg0MjM1In0=</vt:lpwstr>
  </property>
</Properties>
</file>