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r>
              <w:rPr>
                <w:rFonts w:hint="eastAsia" w:ascii="宋体" w:hAnsi="宋体"/>
                <w:sz w:val="30"/>
                <w:szCs w:val="30"/>
              </w:rPr>
              <w:t>BAZXCG-2025-00083</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sz w:val="30"/>
                <w:szCs w:val="30"/>
                <w:lang w:val="en-US" w:eastAsia="zh-CN"/>
              </w:rPr>
              <w:t>深圳市宝安中学（集团）海天学校校园网络系统采购项目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bookmarkStart w:id="134" w:name="_GoBack"/>
            <w:bookmarkEnd w:id="134"/>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194D16D8">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138"/>
        <w:gridCol w:w="744"/>
        <w:gridCol w:w="4834"/>
        <w:gridCol w:w="63"/>
      </w:tblGrid>
      <w:tr w14:paraId="2E779A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5A855F4">
            <w:pPr>
              <w:jc w:val="left"/>
              <w:rPr>
                <w:rFonts w:ascii="宋体"/>
                <w:b/>
                <w:bCs/>
                <w:sz w:val="24"/>
              </w:rPr>
            </w:pPr>
            <w:r>
              <w:rPr>
                <w:b/>
                <w:bCs/>
              </w:rPr>
              <w:t>评标方法：综合评分法</w:t>
            </w:r>
          </w:p>
        </w:tc>
      </w:tr>
      <w:tr w14:paraId="09E759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36438247">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Cs w:val="21"/>
                <w:lang w:eastAsia="zh-CN"/>
              </w:rPr>
            </w:pPr>
            <w:r>
              <w:rPr>
                <w:szCs w:val="21"/>
              </w:rPr>
              <w:t>综合评分法，</w:t>
            </w:r>
            <w:r>
              <w:rPr>
                <w:rFonts w:hint="eastAsia"/>
                <w:szCs w:val="21"/>
              </w:rPr>
              <w:t>是指投标文件满足招标文件全部实质性要求，且按照评审因素的量化指标评审得分最高的投标人为中标候选人的评标方法。</w:t>
            </w:r>
          </w:p>
          <w:p w14:paraId="23D5EABF">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Cs w:val="21"/>
              </w:rPr>
            </w:pPr>
            <w:r>
              <w:rPr>
                <w:szCs w:val="21"/>
              </w:rPr>
              <w:t>价格分计算方法：</w:t>
            </w:r>
          </w:p>
          <w:p w14:paraId="1DB688B8">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25AD7ED9">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58CF0B14">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089DAB92">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3AC02A73">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583FAEB2">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72316135">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4E41A49A">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r w14:paraId="301F70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1440E416">
            <w:pPr>
              <w:widowControl/>
              <w:wordWrap w:val="0"/>
              <w:jc w:val="center"/>
              <w:rPr>
                <w:b/>
                <w:bCs/>
                <w:sz w:val="24"/>
              </w:rPr>
            </w:pPr>
            <w:r>
              <w:rPr>
                <w:rFonts w:ascii="宋体" w:hAnsi="宋体" w:cs="宋体"/>
                <w:b/>
                <w:bCs/>
                <w:kern w:val="0"/>
                <w:sz w:val="24"/>
                <w:lang w:bidi="ar"/>
              </w:rPr>
              <w:t>序号</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45F7DB59">
            <w:pPr>
              <w:widowControl/>
              <w:wordWrap w:val="0"/>
              <w:jc w:val="center"/>
              <w:rPr>
                <w:b/>
                <w:bCs/>
                <w:sz w:val="24"/>
              </w:rPr>
            </w:pPr>
            <w:r>
              <w:rPr>
                <w:rFonts w:ascii="宋体" w:hAnsi="宋体" w:cs="宋体"/>
                <w:b/>
                <w:bCs/>
                <w:kern w:val="0"/>
                <w:sz w:val="24"/>
                <w:lang w:bidi="ar"/>
              </w:rPr>
              <w:t>评分项</w:t>
            </w:r>
          </w:p>
        </w:tc>
        <w:tc>
          <w:tcPr>
            <w:tcW w:w="483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A379C9A">
            <w:pPr>
              <w:widowControl/>
              <w:wordWrap w:val="0"/>
              <w:jc w:val="center"/>
              <w:rPr>
                <w:b/>
                <w:bCs/>
                <w:sz w:val="24"/>
              </w:rPr>
            </w:pPr>
            <w:r>
              <w:rPr>
                <w:rFonts w:ascii="宋体" w:hAnsi="宋体" w:cs="宋体"/>
                <w:b/>
                <w:bCs/>
                <w:kern w:val="0"/>
                <w:sz w:val="24"/>
                <w:lang w:bidi="ar"/>
              </w:rPr>
              <w:t>权重(%)</w:t>
            </w:r>
          </w:p>
        </w:tc>
      </w:tr>
      <w:tr w14:paraId="64BB3E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79579BF">
            <w:pPr>
              <w:widowControl/>
              <w:wordWrap w:val="0"/>
              <w:jc w:val="center"/>
              <w:rPr>
                <w:b/>
                <w:bCs/>
                <w:color w:val="0000FF"/>
                <w:sz w:val="24"/>
              </w:rPr>
            </w:pPr>
            <w:r>
              <w:rPr>
                <w:rFonts w:ascii="宋体" w:hAnsi="宋体" w:cs="宋体"/>
                <w:b/>
                <w:bCs/>
                <w:color w:val="0000FF"/>
                <w:kern w:val="0"/>
                <w:sz w:val="24"/>
                <w:lang w:bidi="ar"/>
              </w:rPr>
              <w:t>1</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5DAE7F8">
            <w:pPr>
              <w:widowControl/>
              <w:wordWrap w:val="0"/>
              <w:jc w:val="center"/>
              <w:rPr>
                <w:b/>
                <w:bCs/>
                <w:color w:val="0000FF"/>
                <w:sz w:val="24"/>
              </w:rPr>
            </w:pPr>
            <w:r>
              <w:rPr>
                <w:rFonts w:ascii="宋体" w:hAnsi="宋体" w:cs="宋体"/>
                <w:b/>
                <w:bCs/>
                <w:color w:val="0000FF"/>
                <w:kern w:val="0"/>
                <w:sz w:val="24"/>
                <w:lang w:bidi="ar"/>
              </w:rPr>
              <w:t>价格</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48FEA3">
            <w:pPr>
              <w:widowControl/>
              <w:wordWrap w:val="0"/>
              <w:jc w:val="center"/>
              <w:rPr>
                <w:b/>
                <w:bCs/>
                <w:color w:val="0000FF"/>
                <w:sz w:val="24"/>
              </w:rPr>
            </w:pPr>
            <w:r>
              <w:rPr>
                <w:rFonts w:ascii="宋体" w:hAnsi="宋体" w:cs="宋体"/>
                <w:b/>
                <w:bCs/>
                <w:color w:val="0000FF"/>
                <w:kern w:val="0"/>
                <w:sz w:val="24"/>
                <w:lang w:bidi="ar"/>
              </w:rPr>
              <w:t>30</w:t>
            </w:r>
          </w:p>
        </w:tc>
      </w:tr>
      <w:tr w14:paraId="78A237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C671B76">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5FFB6D71">
            <w:pPr>
              <w:rPr>
                <w:rFonts w:ascii="宋体"/>
                <w:szCs w:val="21"/>
              </w:rPr>
            </w:pPr>
          </w:p>
        </w:tc>
      </w:tr>
      <w:tr w14:paraId="2D8BA8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596F911D">
            <w:pPr>
              <w:widowControl/>
              <w:wordWrap w:val="0"/>
              <w:jc w:val="center"/>
              <w:rPr>
                <w:b/>
                <w:bCs/>
                <w:color w:val="0000FF"/>
                <w:sz w:val="24"/>
              </w:rPr>
            </w:pPr>
            <w:r>
              <w:rPr>
                <w:rFonts w:ascii="宋体" w:hAnsi="宋体" w:cs="宋体"/>
                <w:b/>
                <w:bCs/>
                <w:color w:val="0000FF"/>
                <w:kern w:val="0"/>
                <w:sz w:val="24"/>
                <w:lang w:bidi="ar"/>
              </w:rPr>
              <w:t>2</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E92A864">
            <w:pPr>
              <w:widowControl/>
              <w:wordWrap w:val="0"/>
              <w:jc w:val="center"/>
              <w:rPr>
                <w:b/>
                <w:bCs/>
                <w:color w:val="0000FF"/>
                <w:sz w:val="24"/>
              </w:rPr>
            </w:pPr>
            <w:r>
              <w:rPr>
                <w:rFonts w:ascii="宋体" w:hAnsi="宋体" w:cs="宋体"/>
                <w:b/>
                <w:bCs/>
                <w:color w:val="0000FF"/>
                <w:kern w:val="0"/>
                <w:sz w:val="24"/>
                <w:lang w:bidi="ar"/>
              </w:rPr>
              <w:t>技术部分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5748DA">
            <w:pPr>
              <w:widowControl/>
              <w:wordWrap w:val="0"/>
              <w:jc w:val="center"/>
              <w:rPr>
                <w:rFonts w:hint="default" w:eastAsia="宋体"/>
                <w:b/>
                <w:bCs/>
                <w:color w:val="0000FF"/>
                <w:sz w:val="24"/>
                <w:lang w:val="en-US" w:eastAsia="zh-CN"/>
              </w:rPr>
            </w:pPr>
            <w:r>
              <w:rPr>
                <w:rFonts w:hint="eastAsia" w:ascii="宋体" w:hAnsi="宋体" w:cs="宋体"/>
                <w:b/>
                <w:bCs/>
                <w:color w:val="0000FF"/>
                <w:kern w:val="0"/>
                <w:sz w:val="24"/>
                <w:lang w:val="en-US" w:eastAsia="zh-CN" w:bidi="ar"/>
              </w:rPr>
              <w:t>62</w:t>
            </w:r>
          </w:p>
        </w:tc>
      </w:tr>
      <w:tr w14:paraId="486522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C11A8A2">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53C6E3BE">
            <w:pPr>
              <w:rPr>
                <w:rFonts w:ascii="宋体"/>
                <w:szCs w:val="21"/>
              </w:rPr>
            </w:pPr>
          </w:p>
        </w:tc>
      </w:tr>
      <w:tr w14:paraId="13366D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355C1D8">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C0AA7D1">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3B1AE38">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051FF0">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24D695F">
            <w:pPr>
              <w:widowControl/>
              <w:wordWrap w:val="0"/>
              <w:jc w:val="center"/>
              <w:rPr>
                <w:szCs w:val="21"/>
              </w:rPr>
            </w:pPr>
            <w:r>
              <w:rPr>
                <w:rFonts w:ascii="宋体" w:hAnsi="宋体" w:cs="宋体"/>
                <w:kern w:val="0"/>
                <w:szCs w:val="21"/>
                <w:lang w:bidi="ar"/>
              </w:rPr>
              <w:t>评分准则</w:t>
            </w:r>
          </w:p>
        </w:tc>
      </w:tr>
      <w:tr w14:paraId="48EAB7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A11090D">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0C4943">
            <w:pPr>
              <w:widowControl/>
              <w:wordWrap w:val="0"/>
              <w:jc w:val="center"/>
              <w:textAlignment w:val="top"/>
              <w:rPr>
                <w:szCs w:val="21"/>
              </w:rPr>
            </w:pPr>
            <w:r>
              <w:rPr>
                <w:rFonts w:ascii="宋体" w:hAnsi="宋体" w:cs="宋体"/>
                <w:kern w:val="0"/>
                <w:szCs w:val="21"/>
                <w:lang w:bidi="ar"/>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054213">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416A3C">
            <w:pPr>
              <w:widowControl/>
              <w:wordWrap w:val="0"/>
              <w:jc w:val="center"/>
              <w:textAlignment w:val="top"/>
              <w:rPr>
                <w:rFonts w:hint="default" w:eastAsia="宋体"/>
                <w:szCs w:val="21"/>
                <w:lang w:val="en-US" w:eastAsia="zh-CN"/>
              </w:rPr>
            </w:pPr>
            <w:r>
              <w:rPr>
                <w:rFonts w:hint="eastAsia"/>
                <w:szCs w:val="21"/>
                <w:lang w:val="en-US" w:eastAsia="zh-CN"/>
              </w:rPr>
              <w:t>20</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42264431">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59AC7BDB">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64FF4C4D">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4E0C3F91">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14.3</w:t>
            </w:r>
            <w:r>
              <w:rPr>
                <w:rFonts w:hint="eastAsia" w:ascii="宋体" w:hAnsi="宋体" w:eastAsia="宋体" w:cs="宋体"/>
                <w:color w:val="0000FF"/>
                <w:kern w:val="0"/>
                <w:szCs w:val="21"/>
                <w:highlight w:val="none"/>
              </w:rPr>
              <w:t>分，最低得0分。</w:t>
            </w:r>
          </w:p>
        </w:tc>
      </w:tr>
      <w:tr w14:paraId="0EE6DC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207036A">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2F0C94">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6BBD82">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533066">
            <w:pPr>
              <w:widowControl/>
              <w:wordWrap w:val="0"/>
              <w:jc w:val="center"/>
              <w:textAlignment w:val="top"/>
              <w:rPr>
                <w:rFonts w:hint="default" w:eastAsia="宋体"/>
                <w:szCs w:val="21"/>
                <w:lang w:val="en-US" w:eastAsia="zh-CN"/>
              </w:rPr>
            </w:pPr>
            <w:r>
              <w:rPr>
                <w:rFonts w:hint="eastAsia"/>
                <w:szCs w:val="21"/>
                <w:lang w:val="en-US" w:eastAsia="zh-CN"/>
              </w:rPr>
              <w:t>28</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23725267">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50873CB5">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7836E5A9">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1B9A87C8">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3.8</w:t>
            </w:r>
            <w:r>
              <w:rPr>
                <w:rFonts w:hint="eastAsia" w:ascii="宋体" w:hAnsi="宋体" w:eastAsia="宋体" w:cs="宋体"/>
                <w:color w:val="0000FF"/>
                <w:kern w:val="0"/>
                <w:szCs w:val="21"/>
                <w:highlight w:val="none"/>
              </w:rPr>
              <w:t>分，最低得0分。</w:t>
            </w:r>
          </w:p>
        </w:tc>
      </w:tr>
      <w:tr w14:paraId="381A67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182187B">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07D89">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2138"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774D50">
            <w:pPr>
              <w:keepNext w:val="0"/>
              <w:keepLines w:val="0"/>
              <w:widowControl/>
              <w:suppressLineNumbers w:val="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0"/>
                <w:sz w:val="21"/>
                <w:szCs w:val="21"/>
                <w:lang w:val="en-US" w:eastAsia="zh-CN" w:bidi="ar"/>
              </w:rPr>
              <w:t>设计图评价</w:t>
            </w:r>
          </w:p>
        </w:tc>
        <w:tc>
          <w:tcPr>
            <w:tcW w:w="74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BC6888">
            <w:pPr>
              <w:keepNext w:val="0"/>
              <w:keepLines w:val="0"/>
              <w:widowControl/>
              <w:suppressLineNumbers w:val="0"/>
              <w:jc w:val="center"/>
              <w:textAlignment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kern w:val="0"/>
                <w:sz w:val="21"/>
                <w:szCs w:val="21"/>
                <w:lang w:val="en-US" w:eastAsia="zh-CN" w:bidi="ar"/>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F89349">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（一）评审内容：</w:t>
            </w:r>
          </w:p>
          <w:p w14:paraId="558CB368">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cstheme="minorEastAsia"/>
                <w:kern w:val="0"/>
                <w:sz w:val="21"/>
                <w:szCs w:val="21"/>
                <w:lang w:val="en-US" w:eastAsia="zh-CN" w:bidi="ar"/>
              </w:rPr>
              <w:t>根据投标人提供</w:t>
            </w:r>
            <w:r>
              <w:rPr>
                <w:rFonts w:hint="eastAsia" w:asciiTheme="minorEastAsia" w:hAnsiTheme="minorEastAsia" w:eastAsiaTheme="minorEastAsia" w:cstheme="minorEastAsia"/>
                <w:kern w:val="0"/>
                <w:sz w:val="21"/>
                <w:szCs w:val="21"/>
                <w:lang w:val="en-US" w:eastAsia="zh-CN" w:bidi="ar"/>
              </w:rPr>
              <w:t>本项目设计图方案</w:t>
            </w:r>
            <w:r>
              <w:rPr>
                <w:rFonts w:hint="eastAsia" w:asciiTheme="minorEastAsia" w:hAnsiTheme="minorEastAsia" w:cstheme="minorEastAsia"/>
                <w:kern w:val="0"/>
                <w:sz w:val="21"/>
                <w:szCs w:val="21"/>
                <w:lang w:val="en-US" w:eastAsia="zh-CN" w:bidi="ar"/>
              </w:rPr>
              <w:t>进行评价</w:t>
            </w:r>
            <w:r>
              <w:rPr>
                <w:rFonts w:hint="eastAsia" w:asciiTheme="minorEastAsia" w:hAnsiTheme="minorEastAsia" w:eastAsiaTheme="minorEastAsia" w:cstheme="minorEastAsia"/>
                <w:kern w:val="0"/>
                <w:sz w:val="21"/>
                <w:szCs w:val="21"/>
                <w:lang w:val="en-US" w:eastAsia="zh-CN" w:bidi="ar"/>
              </w:rPr>
              <w:t>，方案中应包含：</w:t>
            </w:r>
          </w:p>
          <w:p w14:paraId="2FDD4821">
            <w:pPr>
              <w:keepNext w:val="0"/>
              <w:keepLines w:val="0"/>
              <w:widowControl/>
              <w:suppressLineNumbers w:val="0"/>
              <w:jc w:val="left"/>
              <w:textAlignment w:val="center"/>
              <w:rPr>
                <w:rFonts w:hint="eastAsia" w:asciiTheme="minorEastAsia" w:hAnsiTheme="minorEastAsia" w:eastAsiaTheme="minorEastAsia" w:cstheme="minorEastAsia"/>
                <w:b/>
                <w:bCs/>
                <w:kern w:val="0"/>
                <w:sz w:val="21"/>
                <w:szCs w:val="21"/>
                <w:lang w:val="en-US" w:eastAsia="zh-CN" w:bidi="ar"/>
              </w:rPr>
            </w:pPr>
            <w:r>
              <w:rPr>
                <w:rFonts w:hint="eastAsia" w:asciiTheme="minorEastAsia" w:hAnsiTheme="minorEastAsia" w:eastAsiaTheme="minorEastAsia" w:cstheme="minorEastAsia"/>
                <w:b/>
                <w:bCs/>
                <w:kern w:val="0"/>
                <w:sz w:val="21"/>
                <w:szCs w:val="21"/>
                <w:lang w:val="en-US" w:eastAsia="zh-CN" w:bidi="ar"/>
              </w:rPr>
              <w:t xml:space="preserve"> 1、提供网络设备分布表、网络设备布置图方案；</w:t>
            </w:r>
          </w:p>
          <w:p w14:paraId="51E74FC0">
            <w:pPr>
              <w:keepNext w:val="0"/>
              <w:keepLines w:val="0"/>
              <w:widowControl/>
              <w:suppressLineNumbers w:val="0"/>
              <w:jc w:val="left"/>
              <w:textAlignment w:val="center"/>
              <w:rPr>
                <w:rFonts w:hint="eastAsia" w:asciiTheme="minorEastAsia" w:hAnsiTheme="minorEastAsia" w:eastAsiaTheme="minorEastAsia" w:cstheme="minorEastAsia"/>
                <w:b/>
                <w:bCs/>
                <w:kern w:val="0"/>
                <w:sz w:val="21"/>
                <w:szCs w:val="21"/>
                <w:lang w:val="en-US" w:eastAsia="zh-CN" w:bidi="ar"/>
              </w:rPr>
            </w:pPr>
            <w:r>
              <w:rPr>
                <w:rFonts w:hint="eastAsia" w:asciiTheme="minorEastAsia" w:hAnsiTheme="minorEastAsia" w:eastAsiaTheme="minorEastAsia" w:cstheme="minorEastAsia"/>
                <w:b/>
                <w:bCs/>
                <w:kern w:val="0"/>
                <w:sz w:val="21"/>
                <w:szCs w:val="21"/>
                <w:lang w:val="en-US" w:eastAsia="zh-CN" w:bidi="ar"/>
              </w:rPr>
              <w:t xml:space="preserve"> 2、提供校园网络系统图方案。</w:t>
            </w:r>
          </w:p>
          <w:p w14:paraId="26EF4CDC">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eastAsiaTheme="minorEastAsia" w:cstheme="minorEastAsia"/>
                <w:color w:val="0000FF"/>
                <w:kern w:val="0"/>
                <w:sz w:val="21"/>
                <w:szCs w:val="21"/>
                <w:lang w:val="en-US" w:eastAsia="zh-CN" w:bidi="ar"/>
              </w:rPr>
              <w:t>（二）评审标准：</w:t>
            </w:r>
          </w:p>
          <w:p w14:paraId="5EC95A77">
            <w:pPr>
              <w:widowControl/>
              <w:snapToGrid w:val="0"/>
              <w:spacing w:line="320" w:lineRule="exact"/>
              <w:rPr>
                <w:rFonts w:ascii="宋体" w:hAnsi="宋体" w:cs="宋体"/>
                <w:color w:val="0000FF"/>
                <w:szCs w:val="21"/>
                <w:highlight w:val="none"/>
              </w:rPr>
            </w:pPr>
            <w:r>
              <w:rPr>
                <w:rFonts w:hint="eastAsia" w:ascii="宋体" w:hAnsi="宋体" w:cs="宋体"/>
                <w:color w:val="0000FF"/>
                <w:szCs w:val="21"/>
                <w:highlight w:val="none"/>
              </w:rPr>
              <w:t>提供的方案每满足上述</w:t>
            </w:r>
            <w:r>
              <w:rPr>
                <w:rFonts w:hint="eastAsia" w:ascii="宋体" w:hAnsi="宋体" w:cs="宋体"/>
                <w:color w:val="0000FF"/>
                <w:szCs w:val="21"/>
                <w:highlight w:val="none"/>
                <w:lang w:val="en-US" w:eastAsia="zh-CN"/>
              </w:rPr>
              <w:t>一项得30分，最高得60分</w:t>
            </w:r>
            <w:r>
              <w:rPr>
                <w:rFonts w:hint="eastAsia" w:ascii="宋体" w:hAnsi="宋体" w:cs="宋体"/>
                <w:bCs/>
                <w:color w:val="0000FF"/>
                <w:szCs w:val="21"/>
                <w:highlight w:val="none"/>
              </w:rPr>
              <w:t>。</w:t>
            </w:r>
          </w:p>
          <w:p w14:paraId="6643ED9E">
            <w:pPr>
              <w:spacing w:line="320" w:lineRule="exact"/>
              <w:rPr>
                <w:rFonts w:ascii="宋体" w:hAnsi="宋体" w:cs="宋体"/>
                <w:color w:val="0000FF"/>
                <w:szCs w:val="21"/>
                <w:highlight w:val="none"/>
              </w:rPr>
            </w:pPr>
            <w:r>
              <w:rPr>
                <w:rFonts w:hint="eastAsia" w:ascii="宋体" w:hAnsi="宋体" w:cs="宋体"/>
                <w:color w:val="0000FF"/>
                <w:szCs w:val="21"/>
                <w:highlight w:val="none"/>
              </w:rPr>
              <w:t>在此基础上，由评审委员会对具体响应内容进一步评审:</w:t>
            </w:r>
          </w:p>
          <w:p w14:paraId="4FF1AF88">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eastAsiaTheme="minorEastAsia" w:cstheme="minorEastAsia"/>
                <w:color w:val="0000FF"/>
                <w:kern w:val="0"/>
                <w:sz w:val="21"/>
                <w:szCs w:val="21"/>
                <w:lang w:val="en-US" w:eastAsia="zh-CN" w:bidi="ar"/>
              </w:rPr>
              <w:t>1、设计合理、内容完整，实用性强，图片清晰、整体规划布置效果完全符合场地实际需求的评价为优，得 40分。</w:t>
            </w:r>
          </w:p>
          <w:p w14:paraId="567E1BF5">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color w:val="0000FF"/>
                <w:sz w:val="21"/>
                <w:szCs w:val="21"/>
                <w:lang w:val="en-US" w:eastAsia="zh-CN"/>
              </w:rPr>
            </w:pPr>
            <w:r>
              <w:rPr>
                <w:rFonts w:hint="eastAsia" w:asciiTheme="minorEastAsia" w:hAnsiTheme="minorEastAsia" w:eastAsiaTheme="minorEastAsia" w:cstheme="minorEastAsia"/>
                <w:color w:val="0000FF"/>
                <w:kern w:val="0"/>
                <w:sz w:val="21"/>
                <w:szCs w:val="21"/>
                <w:lang w:val="en-US" w:eastAsia="zh-CN" w:bidi="ar"/>
              </w:rPr>
              <w:t>2、内容完整，设计较为合理、实用性一般，图片清晰、 整体规划布置效果基本符合场地实际需求的评价为良，得 20 分。</w:t>
            </w:r>
          </w:p>
          <w:p w14:paraId="6AD648ED">
            <w:pPr>
              <w:keepNext w:val="0"/>
              <w:keepLines w:val="0"/>
              <w:widowControl/>
              <w:suppressLineNumbers w:val="0"/>
              <w:jc w:val="left"/>
              <w:textAlignment w:val="center"/>
              <w:rPr>
                <w:rFonts w:hint="eastAsia"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eastAsiaTheme="minorEastAsia" w:cstheme="minorEastAsia"/>
                <w:color w:val="0000FF"/>
                <w:kern w:val="0"/>
                <w:sz w:val="21"/>
                <w:szCs w:val="21"/>
                <w:lang w:val="en-US" w:eastAsia="zh-CN" w:bidi="ar"/>
              </w:rPr>
              <w:t>3、设计</w:t>
            </w:r>
            <w:r>
              <w:rPr>
                <w:rFonts w:hint="eastAsia" w:asciiTheme="minorEastAsia" w:hAnsiTheme="minorEastAsia" w:cstheme="minorEastAsia"/>
                <w:color w:val="0000FF"/>
                <w:kern w:val="0"/>
                <w:sz w:val="21"/>
                <w:szCs w:val="21"/>
                <w:lang w:val="en-US" w:eastAsia="zh-CN" w:bidi="ar"/>
              </w:rPr>
              <w:t>一般</w:t>
            </w:r>
            <w:r>
              <w:rPr>
                <w:rFonts w:hint="eastAsia" w:asciiTheme="minorEastAsia" w:hAnsiTheme="minorEastAsia" w:eastAsiaTheme="minorEastAsia" w:cstheme="minorEastAsia"/>
                <w:color w:val="0000FF"/>
                <w:kern w:val="0"/>
                <w:sz w:val="21"/>
                <w:szCs w:val="21"/>
                <w:lang w:val="en-US" w:eastAsia="zh-CN" w:bidi="ar"/>
              </w:rPr>
              <w:t>、实用性</w:t>
            </w:r>
            <w:r>
              <w:rPr>
                <w:rFonts w:hint="eastAsia" w:asciiTheme="minorEastAsia" w:hAnsiTheme="minorEastAsia" w:cstheme="minorEastAsia"/>
                <w:color w:val="0000FF"/>
                <w:kern w:val="0"/>
                <w:sz w:val="21"/>
                <w:szCs w:val="21"/>
                <w:lang w:val="en-US" w:eastAsia="zh-CN" w:bidi="ar"/>
              </w:rPr>
              <w:t>较为符合要求</w:t>
            </w:r>
            <w:r>
              <w:rPr>
                <w:rFonts w:hint="eastAsia" w:asciiTheme="minorEastAsia" w:hAnsiTheme="minorEastAsia" w:eastAsiaTheme="minorEastAsia" w:cstheme="minorEastAsia"/>
                <w:color w:val="0000FF"/>
                <w:kern w:val="0"/>
                <w:sz w:val="21"/>
                <w:szCs w:val="21"/>
                <w:lang w:val="en-US" w:eastAsia="zh-CN" w:bidi="ar"/>
              </w:rPr>
              <w:t>，图片、 整体规划布置效果</w:t>
            </w:r>
            <w:r>
              <w:rPr>
                <w:rFonts w:hint="eastAsia" w:asciiTheme="minorEastAsia" w:hAnsiTheme="minorEastAsia" w:cstheme="minorEastAsia"/>
                <w:color w:val="0000FF"/>
                <w:kern w:val="0"/>
                <w:sz w:val="21"/>
                <w:szCs w:val="21"/>
                <w:lang w:val="en-US" w:eastAsia="zh-CN" w:bidi="ar"/>
              </w:rPr>
              <w:t>比较</w:t>
            </w:r>
            <w:r>
              <w:rPr>
                <w:rFonts w:hint="eastAsia" w:asciiTheme="minorEastAsia" w:hAnsiTheme="minorEastAsia" w:eastAsiaTheme="minorEastAsia" w:cstheme="minorEastAsia"/>
                <w:color w:val="0000FF"/>
                <w:kern w:val="0"/>
                <w:sz w:val="21"/>
                <w:szCs w:val="21"/>
                <w:lang w:val="en-US" w:eastAsia="zh-CN" w:bidi="ar"/>
              </w:rPr>
              <w:t>符合场地实际需求的评价为</w:t>
            </w:r>
            <w:r>
              <w:rPr>
                <w:rFonts w:hint="eastAsia" w:asciiTheme="minorEastAsia" w:hAnsiTheme="minorEastAsia" w:cstheme="minorEastAsia"/>
                <w:color w:val="0000FF"/>
                <w:kern w:val="0"/>
                <w:sz w:val="21"/>
                <w:szCs w:val="21"/>
                <w:lang w:val="en-US" w:eastAsia="zh-CN" w:bidi="ar"/>
              </w:rPr>
              <w:t>中</w:t>
            </w:r>
            <w:r>
              <w:rPr>
                <w:rFonts w:hint="eastAsia" w:asciiTheme="minorEastAsia" w:hAnsiTheme="minorEastAsia" w:eastAsiaTheme="minorEastAsia" w:cstheme="minorEastAsia"/>
                <w:color w:val="0000FF"/>
                <w:kern w:val="0"/>
                <w:sz w:val="21"/>
                <w:szCs w:val="21"/>
                <w:lang w:val="en-US" w:eastAsia="zh-CN" w:bidi="ar"/>
              </w:rPr>
              <w:t xml:space="preserve">，得 </w:t>
            </w:r>
            <w:r>
              <w:rPr>
                <w:rFonts w:hint="eastAsia" w:asciiTheme="minorEastAsia" w:hAnsiTheme="minorEastAsia" w:cstheme="minorEastAsia"/>
                <w:color w:val="0000FF"/>
                <w:kern w:val="0"/>
                <w:sz w:val="21"/>
                <w:szCs w:val="21"/>
                <w:lang w:val="en-US" w:eastAsia="zh-CN" w:bidi="ar"/>
              </w:rPr>
              <w:t>1</w:t>
            </w:r>
            <w:r>
              <w:rPr>
                <w:rFonts w:hint="eastAsia" w:asciiTheme="minorEastAsia" w:hAnsiTheme="minorEastAsia" w:eastAsiaTheme="minorEastAsia" w:cstheme="minorEastAsia"/>
                <w:color w:val="0000FF"/>
                <w:kern w:val="0"/>
                <w:sz w:val="21"/>
                <w:szCs w:val="21"/>
                <w:lang w:val="en-US" w:eastAsia="zh-CN" w:bidi="ar"/>
              </w:rPr>
              <w:t>0 分。</w:t>
            </w:r>
          </w:p>
          <w:p w14:paraId="59B8D822">
            <w:pPr>
              <w:keepNext w:val="0"/>
              <w:keepLines w:val="0"/>
              <w:widowControl/>
              <w:suppressLineNumbers w:val="0"/>
              <w:jc w:val="left"/>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color w:val="0000FF"/>
                <w:kern w:val="0"/>
                <w:sz w:val="21"/>
                <w:szCs w:val="21"/>
                <w:lang w:val="en-US" w:eastAsia="zh-CN" w:bidi="ar"/>
              </w:rPr>
              <w:t>4、</w:t>
            </w:r>
            <w:r>
              <w:rPr>
                <w:rFonts w:hint="eastAsia" w:asciiTheme="minorEastAsia" w:hAnsiTheme="minorEastAsia" w:eastAsiaTheme="minorEastAsia" w:cstheme="minorEastAsia"/>
                <w:color w:val="0000FF"/>
                <w:kern w:val="0"/>
                <w:sz w:val="21"/>
                <w:szCs w:val="21"/>
                <w:lang w:val="en-US" w:eastAsia="zh-CN" w:bidi="ar"/>
              </w:rPr>
              <w:t>未按要求提供或提供图片模糊不清晰导致专家无法判断的不得分。</w:t>
            </w:r>
          </w:p>
        </w:tc>
      </w:tr>
      <w:tr w14:paraId="4341F6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7B4F832">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EF36B2">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138"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311846">
            <w:pPr>
              <w:keepNext w:val="0"/>
              <w:keepLines w:val="0"/>
              <w:widowControl/>
              <w:suppressLineNumbers w:val="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项目组织实施方案的评价</w:t>
            </w:r>
          </w:p>
        </w:tc>
        <w:tc>
          <w:tcPr>
            <w:tcW w:w="74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682E29">
            <w:pPr>
              <w:keepNext w:val="0"/>
              <w:keepLines w:val="0"/>
              <w:widowControl/>
              <w:suppressLineNumbers w:val="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4</w:t>
            </w:r>
          </w:p>
        </w:tc>
        <w:tc>
          <w:tcPr>
            <w:tcW w:w="483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7AA41E">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（一）评审内容：</w:t>
            </w:r>
          </w:p>
          <w:p w14:paraId="48981BDD">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cstheme="minorEastAsia"/>
                <w:kern w:val="0"/>
                <w:sz w:val="21"/>
                <w:szCs w:val="21"/>
                <w:lang w:val="en-US" w:eastAsia="zh-CN" w:bidi="ar"/>
              </w:rPr>
              <w:t>根据</w:t>
            </w:r>
            <w:r>
              <w:rPr>
                <w:rFonts w:hint="eastAsia" w:asciiTheme="minorEastAsia" w:hAnsiTheme="minorEastAsia" w:eastAsiaTheme="minorEastAsia" w:cstheme="minorEastAsia"/>
                <w:kern w:val="0"/>
                <w:sz w:val="21"/>
                <w:szCs w:val="21"/>
                <w:lang w:val="en-US" w:eastAsia="zh-CN" w:bidi="ar"/>
              </w:rPr>
              <w:t>投标人提供本项目的组织实施方案</w:t>
            </w:r>
            <w:r>
              <w:rPr>
                <w:rFonts w:hint="eastAsia" w:asciiTheme="minorEastAsia" w:hAnsiTheme="minorEastAsia" w:cstheme="minorEastAsia"/>
                <w:kern w:val="0"/>
                <w:sz w:val="21"/>
                <w:szCs w:val="21"/>
                <w:lang w:val="en-US" w:eastAsia="zh-CN" w:bidi="ar"/>
              </w:rPr>
              <w:t>进行评价</w:t>
            </w:r>
            <w:r>
              <w:rPr>
                <w:rFonts w:hint="eastAsia" w:asciiTheme="minorEastAsia" w:hAnsiTheme="minorEastAsia" w:eastAsiaTheme="minorEastAsia" w:cstheme="minorEastAsia"/>
                <w:kern w:val="0"/>
                <w:sz w:val="21"/>
                <w:szCs w:val="21"/>
                <w:lang w:val="en-US" w:eastAsia="zh-CN" w:bidi="ar"/>
              </w:rPr>
              <w:t>，方案中应包含：</w:t>
            </w:r>
          </w:p>
          <w:p w14:paraId="757201A4">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bCs/>
                <w:kern w:val="0"/>
                <w:sz w:val="21"/>
                <w:szCs w:val="21"/>
                <w:lang w:val="en-US" w:eastAsia="zh-CN" w:bidi="ar"/>
              </w:rPr>
            </w:pPr>
            <w:r>
              <w:rPr>
                <w:rFonts w:hint="eastAsia" w:asciiTheme="minorEastAsia" w:hAnsiTheme="minorEastAsia" w:eastAsiaTheme="minorEastAsia" w:cstheme="minorEastAsia"/>
                <w:b/>
                <w:bCs/>
                <w:kern w:val="0"/>
                <w:sz w:val="21"/>
                <w:szCs w:val="21"/>
                <w:lang w:val="en-US" w:eastAsia="zh-CN" w:bidi="ar"/>
              </w:rPr>
              <w:t>1、项目进度计划安排；</w:t>
            </w:r>
          </w:p>
          <w:p w14:paraId="6072339D">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val="en-US" w:eastAsia="zh-CN" w:bidi="ar"/>
              </w:rPr>
              <w:t>2、施工组织计划；</w:t>
            </w:r>
          </w:p>
          <w:p w14:paraId="4959F60E">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val="en-US" w:eastAsia="zh-CN" w:bidi="ar"/>
              </w:rPr>
              <w:t>3、验收组织计划；</w:t>
            </w:r>
          </w:p>
          <w:p w14:paraId="040C7FC7">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val="en-US" w:eastAsia="zh-CN" w:bidi="ar"/>
              </w:rPr>
              <w:t>4、产品培训方案。</w:t>
            </w:r>
          </w:p>
          <w:p w14:paraId="626005A0">
            <w:pPr>
              <w:keepNext w:val="0"/>
              <w:keepLines w:val="0"/>
              <w:widowControl/>
              <w:numPr>
                <w:ilvl w:val="0"/>
                <w:numId w:val="1"/>
              </w:numPr>
              <w:suppressLineNumbers w:val="0"/>
              <w:ind w:left="0" w:leftChars="0" w:firstLine="0" w:firstLineChars="0"/>
              <w:jc w:val="left"/>
              <w:textAlignment w:val="center"/>
              <w:rPr>
                <w:rFonts w:hint="eastAsia"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eastAsiaTheme="minorEastAsia" w:cstheme="minorEastAsia"/>
                <w:color w:val="0000FF"/>
                <w:kern w:val="0"/>
                <w:sz w:val="21"/>
                <w:szCs w:val="21"/>
                <w:lang w:val="en-US" w:eastAsia="zh-CN" w:bidi="ar"/>
              </w:rPr>
              <w:t>评审标准：</w:t>
            </w:r>
          </w:p>
          <w:p w14:paraId="7D509207">
            <w:pPr>
              <w:widowControl/>
              <w:snapToGrid w:val="0"/>
              <w:spacing w:line="320" w:lineRule="exact"/>
              <w:rPr>
                <w:rFonts w:ascii="宋体" w:hAnsi="宋体" w:cs="宋体"/>
                <w:color w:val="0000FF"/>
                <w:szCs w:val="21"/>
                <w:highlight w:val="none"/>
              </w:rPr>
            </w:pPr>
            <w:r>
              <w:rPr>
                <w:rFonts w:hint="eastAsia" w:ascii="宋体" w:hAnsi="宋体" w:cs="宋体"/>
                <w:color w:val="0000FF"/>
                <w:szCs w:val="21"/>
                <w:highlight w:val="none"/>
              </w:rPr>
              <w:t>提供的方案每满足上述</w:t>
            </w:r>
            <w:r>
              <w:rPr>
                <w:rFonts w:hint="eastAsia" w:ascii="宋体" w:hAnsi="宋体" w:cs="宋体"/>
                <w:color w:val="0000FF"/>
                <w:szCs w:val="21"/>
                <w:highlight w:val="none"/>
                <w:lang w:val="en-US" w:eastAsia="zh-CN"/>
              </w:rPr>
              <w:t>一项得15分，最高得60分</w:t>
            </w:r>
            <w:r>
              <w:rPr>
                <w:rFonts w:hint="eastAsia" w:ascii="宋体" w:hAnsi="宋体" w:cs="宋体"/>
                <w:bCs/>
                <w:color w:val="0000FF"/>
                <w:szCs w:val="21"/>
                <w:highlight w:val="none"/>
              </w:rPr>
              <w:t>。</w:t>
            </w:r>
          </w:p>
          <w:p w14:paraId="3B65F768">
            <w:pPr>
              <w:spacing w:line="320" w:lineRule="exact"/>
              <w:rPr>
                <w:rFonts w:ascii="宋体" w:hAnsi="宋体" w:cs="宋体"/>
                <w:color w:val="0000FF"/>
                <w:szCs w:val="21"/>
                <w:highlight w:val="none"/>
              </w:rPr>
            </w:pPr>
            <w:r>
              <w:rPr>
                <w:rFonts w:hint="eastAsia" w:ascii="宋体" w:hAnsi="宋体" w:cs="宋体"/>
                <w:color w:val="0000FF"/>
                <w:szCs w:val="21"/>
                <w:highlight w:val="none"/>
              </w:rPr>
              <w:t>在此基础上，由评审委员会对具体响应内容进一步评审:</w:t>
            </w:r>
          </w:p>
          <w:p w14:paraId="76078570">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eastAsiaTheme="minorEastAsia" w:cstheme="minorEastAsia"/>
                <w:color w:val="0000FF"/>
                <w:kern w:val="0"/>
                <w:sz w:val="21"/>
                <w:szCs w:val="21"/>
                <w:lang w:val="en-US" w:eastAsia="zh-CN" w:bidi="ar"/>
              </w:rPr>
              <w:t xml:space="preserve">1、方案清晰周密、合理可行、表述完整、方法得当、技术先进、符合相关规范要求得40分。 </w:t>
            </w:r>
          </w:p>
          <w:p w14:paraId="0BEF7241">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0000FF"/>
                <w:kern w:val="0"/>
                <w:sz w:val="21"/>
                <w:szCs w:val="21"/>
                <w:lang w:val="en-US" w:eastAsia="zh-CN" w:bidi="ar"/>
              </w:rPr>
              <w:t xml:space="preserve">2、方案基本可行表述基本完整得20分。 </w:t>
            </w:r>
          </w:p>
          <w:p w14:paraId="7655DBB3">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eastAsiaTheme="minorEastAsia" w:cstheme="minorEastAsia"/>
                <w:color w:val="0000FF"/>
                <w:kern w:val="0"/>
                <w:sz w:val="21"/>
                <w:szCs w:val="21"/>
                <w:lang w:val="en-US" w:eastAsia="zh-CN" w:bidi="ar"/>
              </w:rPr>
              <w:t>3、</w:t>
            </w:r>
            <w:r>
              <w:rPr>
                <w:rFonts w:hint="eastAsia" w:ascii="宋体" w:hAnsi="宋体" w:cs="宋体"/>
                <w:color w:val="0000FF"/>
                <w:szCs w:val="21"/>
                <w:lang w:val="en-US" w:eastAsia="zh-CN"/>
              </w:rPr>
              <w:t>方案可行性一般、可操作性一般，得10分；</w:t>
            </w:r>
          </w:p>
          <w:p w14:paraId="76B58354">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4、</w:t>
            </w:r>
            <w:r>
              <w:rPr>
                <w:rFonts w:hint="eastAsia" w:asciiTheme="minorEastAsia" w:hAnsiTheme="minorEastAsia" w:eastAsiaTheme="minorEastAsia" w:cstheme="minorEastAsia"/>
                <w:color w:val="0000FF"/>
                <w:kern w:val="0"/>
                <w:sz w:val="21"/>
                <w:szCs w:val="21"/>
                <w:lang w:val="en-US" w:eastAsia="zh-CN" w:bidi="ar"/>
              </w:rPr>
              <w:t>未提供或方案计划不切合本项目的实际情况、合理完善性差、可行性差的不得分。</w:t>
            </w:r>
          </w:p>
        </w:tc>
      </w:tr>
      <w:tr w14:paraId="71485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9751CB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76173">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138"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4046291">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售后服务评价</w:t>
            </w:r>
          </w:p>
        </w:tc>
        <w:tc>
          <w:tcPr>
            <w:tcW w:w="74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EEBEC4">
            <w:pPr>
              <w:snapToGrid w:val="0"/>
              <w:jc w:val="center"/>
              <w:rPr>
                <w:rFonts w:hint="eastAsia" w:ascii="宋体" w:hAnsi="宋体" w:eastAsia="宋体" w:cs="宋体"/>
                <w:kern w:val="2"/>
                <w:sz w:val="21"/>
                <w:szCs w:val="21"/>
                <w:lang w:val="en-US" w:eastAsia="zh-CN" w:bidi="ar-SA"/>
              </w:rPr>
            </w:pPr>
            <w:r>
              <w:rPr>
                <w:rFonts w:hint="eastAsia" w:ascii="宋体" w:hAnsi="宋体" w:cs="宋体"/>
                <w:b w:val="0"/>
                <w:bCs w:val="0"/>
                <w:sz w:val="21"/>
                <w:szCs w:val="21"/>
                <w:lang w:val="en-US" w:eastAsia="zh-CN"/>
              </w:rPr>
              <w:t>3</w:t>
            </w:r>
          </w:p>
        </w:tc>
        <w:tc>
          <w:tcPr>
            <w:tcW w:w="483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7914F0">
            <w:pPr>
              <w:widowControl/>
              <w:numPr>
                <w:ilvl w:val="0"/>
                <w:numId w:val="0"/>
              </w:numPr>
              <w:snapToGrid w:val="0"/>
              <w:spacing w:line="320" w:lineRule="exact"/>
              <w:rPr>
                <w:rFonts w:hint="eastAsia" w:ascii="宋体" w:hAnsi="宋体" w:cs="宋体"/>
                <w:bCs/>
                <w:szCs w:val="21"/>
                <w:highlight w:val="none"/>
                <w:lang w:val="en-US" w:eastAsia="zh-CN"/>
              </w:rPr>
            </w:pPr>
            <w:r>
              <w:rPr>
                <w:rFonts w:hint="eastAsia" w:ascii="宋体" w:hAnsi="宋体" w:cs="宋体" w:eastAsiaTheme="minorEastAsia"/>
                <w:bCs/>
                <w:kern w:val="2"/>
                <w:sz w:val="21"/>
                <w:szCs w:val="21"/>
                <w:lang w:val="en-US" w:eastAsia="zh-CN" w:bidi="ar-SA"/>
              </w:rPr>
              <w:t>（一）</w:t>
            </w:r>
            <w:r>
              <w:rPr>
                <w:rFonts w:hint="eastAsia" w:ascii="宋体" w:hAnsi="宋体" w:cs="宋体"/>
                <w:bCs/>
                <w:szCs w:val="21"/>
                <w:highlight w:val="none"/>
                <w:lang w:val="en-US" w:eastAsia="zh-CN"/>
              </w:rPr>
              <w:t>评审内容：</w:t>
            </w:r>
          </w:p>
          <w:p w14:paraId="2FBB2C1C">
            <w:pPr>
              <w:widowControl/>
              <w:numPr>
                <w:ilvl w:val="0"/>
                <w:numId w:val="0"/>
              </w:numPr>
              <w:snapToGrid w:val="0"/>
              <w:spacing w:line="320" w:lineRule="exact"/>
              <w:rPr>
                <w:rFonts w:hint="eastAsia" w:ascii="宋体" w:hAnsi="宋体" w:cs="宋体"/>
                <w:bCs/>
                <w:szCs w:val="21"/>
                <w:highlight w:val="none"/>
                <w:lang w:val="en-US" w:eastAsia="zh-CN"/>
              </w:rPr>
            </w:pPr>
            <w:r>
              <w:rPr>
                <w:rFonts w:hint="eastAsia" w:ascii="宋体" w:hAnsi="宋体" w:cs="宋体"/>
                <w:bCs/>
                <w:szCs w:val="21"/>
                <w:highlight w:val="none"/>
                <w:lang w:val="en-US" w:eastAsia="zh-CN"/>
              </w:rPr>
              <w:t>根据投标人提供本项目的售后服务方案</w:t>
            </w:r>
            <w:r>
              <w:rPr>
                <w:rFonts w:hint="eastAsia" w:asciiTheme="minorEastAsia" w:hAnsiTheme="minorEastAsia" w:cstheme="minorEastAsia"/>
                <w:kern w:val="0"/>
                <w:sz w:val="21"/>
                <w:szCs w:val="21"/>
                <w:lang w:val="en-US" w:eastAsia="zh-CN" w:bidi="ar"/>
              </w:rPr>
              <w:t>进行评价</w:t>
            </w:r>
            <w:r>
              <w:rPr>
                <w:rFonts w:hint="eastAsia" w:ascii="宋体" w:hAnsi="宋体" w:cs="宋体"/>
                <w:bCs/>
                <w:szCs w:val="21"/>
                <w:highlight w:val="none"/>
                <w:lang w:val="en-US" w:eastAsia="zh-CN"/>
              </w:rPr>
              <w:t>，包括但不限于以下：</w:t>
            </w:r>
          </w:p>
          <w:p w14:paraId="07A9FDF2">
            <w:pPr>
              <w:widowControl/>
              <w:numPr>
                <w:ilvl w:val="0"/>
                <w:numId w:val="2"/>
              </w:numPr>
              <w:snapToGrid w:val="0"/>
              <w:spacing w:line="320" w:lineRule="exact"/>
              <w:rPr>
                <w:rFonts w:hint="eastAsia" w:ascii="宋体" w:hAnsi="宋体" w:cs="宋体"/>
                <w:b/>
                <w:bCs w:val="0"/>
                <w:szCs w:val="21"/>
                <w:highlight w:val="none"/>
                <w:lang w:val="en-US" w:eastAsia="zh-CN"/>
              </w:rPr>
            </w:pPr>
            <w:r>
              <w:rPr>
                <w:rFonts w:hint="eastAsia" w:ascii="宋体" w:hAnsi="宋体" w:cs="宋体"/>
                <w:b/>
                <w:bCs w:val="0"/>
                <w:szCs w:val="21"/>
                <w:highlight w:val="none"/>
                <w:lang w:val="en-US" w:eastAsia="zh-CN"/>
              </w:rPr>
              <w:t>服务内容；</w:t>
            </w:r>
          </w:p>
          <w:p w14:paraId="5E4F9539">
            <w:pPr>
              <w:widowControl/>
              <w:numPr>
                <w:ilvl w:val="0"/>
                <w:numId w:val="2"/>
              </w:numPr>
              <w:snapToGrid w:val="0"/>
              <w:spacing w:line="320" w:lineRule="exact"/>
              <w:ind w:left="0" w:leftChars="0" w:firstLine="0" w:firstLineChars="0"/>
              <w:rPr>
                <w:rFonts w:hint="eastAsia" w:ascii="宋体" w:hAnsi="宋体" w:cs="宋体"/>
                <w:b/>
                <w:bCs w:val="0"/>
                <w:szCs w:val="21"/>
                <w:highlight w:val="none"/>
                <w:lang w:val="en-US" w:eastAsia="zh-CN"/>
              </w:rPr>
            </w:pPr>
            <w:r>
              <w:rPr>
                <w:rFonts w:hint="eastAsia" w:ascii="宋体" w:hAnsi="宋体" w:cs="宋体"/>
                <w:b/>
                <w:bCs w:val="0"/>
                <w:szCs w:val="21"/>
                <w:highlight w:val="none"/>
                <w:lang w:val="en-US" w:eastAsia="zh-CN"/>
              </w:rPr>
              <w:t>维修应急方案；</w:t>
            </w:r>
          </w:p>
          <w:p w14:paraId="5664E61B">
            <w:pPr>
              <w:widowControl/>
              <w:numPr>
                <w:ilvl w:val="0"/>
                <w:numId w:val="2"/>
              </w:numPr>
              <w:snapToGrid w:val="0"/>
              <w:spacing w:line="320" w:lineRule="exact"/>
              <w:ind w:left="0" w:leftChars="0" w:firstLine="0" w:firstLineChars="0"/>
              <w:rPr>
                <w:rFonts w:hint="eastAsia" w:ascii="宋体" w:hAnsi="宋体" w:cs="宋体"/>
                <w:b/>
                <w:bCs w:val="0"/>
                <w:szCs w:val="21"/>
                <w:highlight w:val="none"/>
                <w:lang w:val="en-US" w:eastAsia="zh-CN"/>
              </w:rPr>
            </w:pPr>
            <w:r>
              <w:rPr>
                <w:rFonts w:hint="eastAsia" w:ascii="宋体" w:hAnsi="宋体" w:cs="宋体"/>
                <w:b/>
                <w:bCs w:val="0"/>
                <w:szCs w:val="21"/>
                <w:highlight w:val="none"/>
                <w:lang w:val="en-US" w:eastAsia="zh-CN"/>
              </w:rPr>
              <w:t>培训计划；</w:t>
            </w:r>
          </w:p>
          <w:p w14:paraId="5C301CF3">
            <w:pPr>
              <w:widowControl/>
              <w:numPr>
                <w:ilvl w:val="0"/>
                <w:numId w:val="2"/>
              </w:numPr>
              <w:snapToGrid w:val="0"/>
              <w:spacing w:line="320" w:lineRule="exact"/>
              <w:ind w:left="0" w:leftChars="0" w:firstLine="0" w:firstLineChars="0"/>
              <w:rPr>
                <w:rFonts w:hint="eastAsia" w:ascii="宋体" w:hAnsi="宋体" w:cs="宋体"/>
                <w:b/>
                <w:bCs w:val="0"/>
                <w:szCs w:val="21"/>
                <w:highlight w:val="none"/>
                <w:lang w:val="en-US" w:eastAsia="zh-CN"/>
              </w:rPr>
            </w:pPr>
            <w:r>
              <w:rPr>
                <w:rFonts w:hint="eastAsia" w:ascii="宋体" w:hAnsi="宋体" w:cs="宋体"/>
                <w:b/>
                <w:bCs w:val="0"/>
                <w:szCs w:val="21"/>
                <w:highlight w:val="none"/>
                <w:lang w:val="en-US" w:eastAsia="zh-CN"/>
              </w:rPr>
              <w:t>其他特色服务等。</w:t>
            </w:r>
          </w:p>
          <w:p w14:paraId="6775D528">
            <w:pPr>
              <w:widowControl/>
              <w:numPr>
                <w:ilvl w:val="0"/>
                <w:numId w:val="0"/>
              </w:numPr>
              <w:snapToGrid w:val="0"/>
              <w:spacing w:line="320" w:lineRule="exact"/>
              <w:ind w:left="0" w:leftChars="0"/>
              <w:rPr>
                <w:rFonts w:hint="eastAsia" w:ascii="宋体" w:hAnsi="宋体" w:cs="宋体"/>
                <w:bCs/>
                <w:color w:val="0000FF"/>
                <w:szCs w:val="21"/>
                <w:highlight w:val="none"/>
                <w:lang w:val="en-US" w:eastAsia="zh-CN"/>
              </w:rPr>
            </w:pPr>
            <w:r>
              <w:rPr>
                <w:rFonts w:hint="eastAsia" w:ascii="宋体" w:hAnsi="宋体" w:cs="宋体" w:eastAsiaTheme="minorEastAsia"/>
                <w:bCs/>
                <w:color w:val="0000FF"/>
                <w:kern w:val="2"/>
                <w:sz w:val="21"/>
                <w:szCs w:val="21"/>
                <w:lang w:val="en-US" w:eastAsia="zh-CN" w:bidi="ar-SA"/>
              </w:rPr>
              <w:t>（二）</w:t>
            </w:r>
            <w:r>
              <w:rPr>
                <w:rFonts w:hint="eastAsia" w:ascii="宋体" w:hAnsi="宋体" w:cs="宋体"/>
                <w:bCs/>
                <w:color w:val="0000FF"/>
                <w:szCs w:val="21"/>
                <w:highlight w:val="none"/>
                <w:lang w:val="en-US" w:eastAsia="zh-CN"/>
              </w:rPr>
              <w:t>评审标准：</w:t>
            </w:r>
          </w:p>
          <w:p w14:paraId="73095376">
            <w:pPr>
              <w:widowControl/>
              <w:numPr>
                <w:ilvl w:val="0"/>
                <w:numId w:val="0"/>
              </w:numPr>
              <w:snapToGrid w:val="0"/>
              <w:spacing w:line="320" w:lineRule="exact"/>
              <w:rPr>
                <w:rFonts w:hint="eastAsia" w:ascii="宋体" w:hAnsi="宋体" w:cs="宋体"/>
                <w:bCs/>
                <w:color w:val="0000FF"/>
                <w:szCs w:val="21"/>
                <w:highlight w:val="none"/>
                <w:lang w:val="en-US" w:eastAsia="zh-CN"/>
              </w:rPr>
            </w:pPr>
            <w:r>
              <w:rPr>
                <w:rFonts w:ascii="宋体" w:hAnsi="宋体" w:cs="宋体"/>
                <w:color w:val="0000FF"/>
                <w:szCs w:val="21"/>
              </w:rPr>
              <w:t>提供的方案</w:t>
            </w:r>
            <w:r>
              <w:rPr>
                <w:rFonts w:hint="eastAsia" w:ascii="宋体" w:hAnsi="宋体" w:cs="宋体"/>
                <w:color w:val="0000FF"/>
                <w:szCs w:val="21"/>
                <w:lang w:val="en-US" w:eastAsia="zh-CN"/>
              </w:rPr>
              <w:t>每</w:t>
            </w:r>
            <w:r>
              <w:rPr>
                <w:rFonts w:ascii="宋体" w:hAnsi="宋体" w:cs="宋体"/>
                <w:color w:val="0000FF"/>
                <w:szCs w:val="21"/>
              </w:rPr>
              <w:t>满足上述</w:t>
            </w:r>
            <w:r>
              <w:rPr>
                <w:rFonts w:hint="eastAsia" w:ascii="宋体" w:hAnsi="宋体" w:cs="宋体"/>
                <w:color w:val="0000FF"/>
                <w:szCs w:val="21"/>
                <w:lang w:val="en-US" w:eastAsia="zh-CN"/>
              </w:rPr>
              <w:t>一点得15分，最高得</w:t>
            </w:r>
            <w:r>
              <w:rPr>
                <w:rFonts w:ascii="宋体" w:hAnsi="宋体" w:cs="宋体"/>
                <w:color w:val="0000FF"/>
                <w:szCs w:val="21"/>
              </w:rPr>
              <w:t>60分。</w:t>
            </w:r>
          </w:p>
          <w:p w14:paraId="2EE2C005">
            <w:pPr>
              <w:widowControl/>
              <w:snapToGrid w:val="0"/>
              <w:spacing w:line="320" w:lineRule="exact"/>
              <w:rPr>
                <w:rFonts w:hint="eastAsia" w:ascii="宋体" w:hAnsi="宋体" w:cs="宋体"/>
                <w:bCs/>
                <w:color w:val="0000FF"/>
                <w:szCs w:val="21"/>
                <w:highlight w:val="none"/>
              </w:rPr>
            </w:pPr>
            <w:r>
              <w:rPr>
                <w:rFonts w:hint="eastAsia" w:ascii="宋体" w:hAnsi="宋体" w:cs="宋体"/>
                <w:color w:val="0000FF"/>
                <w:szCs w:val="21"/>
                <w:highlight w:val="none"/>
              </w:rPr>
              <w:t>在此基础上，由评审委员会对具体响应内容进一步评审:</w:t>
            </w:r>
          </w:p>
          <w:p w14:paraId="2A70C523">
            <w:pPr>
              <w:widowControl/>
              <w:numPr>
                <w:ilvl w:val="0"/>
                <w:numId w:val="0"/>
              </w:numPr>
              <w:snapToGrid w:val="0"/>
              <w:spacing w:line="320" w:lineRule="exact"/>
              <w:rPr>
                <w:rFonts w:hint="eastAsia" w:ascii="宋体" w:hAnsi="宋体" w:cs="宋体"/>
                <w:bCs/>
                <w:color w:val="0000FF"/>
                <w:szCs w:val="21"/>
                <w:highlight w:val="none"/>
                <w:lang w:val="en-US" w:eastAsia="zh-CN"/>
              </w:rPr>
            </w:pPr>
            <w:r>
              <w:rPr>
                <w:rFonts w:hint="eastAsia" w:ascii="宋体" w:hAnsi="宋体" w:cs="宋体" w:eastAsiaTheme="minorEastAsia"/>
                <w:bCs/>
                <w:color w:val="0000FF"/>
                <w:kern w:val="2"/>
                <w:sz w:val="21"/>
                <w:szCs w:val="21"/>
                <w:lang w:val="en-US" w:eastAsia="zh-CN" w:bidi="ar-SA"/>
              </w:rPr>
              <w:t>1、</w:t>
            </w:r>
            <w:r>
              <w:rPr>
                <w:rFonts w:hint="eastAsia" w:ascii="宋体" w:hAnsi="宋体" w:cs="宋体"/>
                <w:bCs/>
                <w:color w:val="0000FF"/>
                <w:szCs w:val="21"/>
                <w:highlight w:val="none"/>
                <w:lang w:val="en-US" w:eastAsia="zh-CN"/>
              </w:rPr>
              <w:t xml:space="preserve">售后服务方案非常详细，保障措施完善可行，能够满足招标文件要求得40分； </w:t>
            </w:r>
          </w:p>
          <w:p w14:paraId="47C2E61E">
            <w:pPr>
              <w:widowControl/>
              <w:numPr>
                <w:ilvl w:val="0"/>
                <w:numId w:val="0"/>
              </w:numPr>
              <w:snapToGrid w:val="0"/>
              <w:spacing w:line="320" w:lineRule="exact"/>
              <w:rPr>
                <w:rFonts w:hint="eastAsia" w:ascii="宋体" w:hAnsi="宋体" w:cs="宋体"/>
                <w:bCs/>
                <w:color w:val="0000FF"/>
                <w:szCs w:val="21"/>
                <w:highlight w:val="none"/>
                <w:lang w:val="en-US" w:eastAsia="zh-CN"/>
              </w:rPr>
            </w:pPr>
            <w:r>
              <w:rPr>
                <w:rFonts w:hint="eastAsia" w:ascii="宋体" w:hAnsi="宋体" w:cs="宋体"/>
                <w:bCs/>
                <w:color w:val="0000FF"/>
                <w:szCs w:val="21"/>
                <w:highlight w:val="none"/>
                <w:lang w:val="en-US" w:eastAsia="zh-CN"/>
              </w:rPr>
              <w:t>2、售后服务方案比较具体，保障措施比较完善可行，较为满足招标文件要求的得20分；</w:t>
            </w:r>
          </w:p>
          <w:p w14:paraId="617ED70D">
            <w:pPr>
              <w:widowControl/>
              <w:numPr>
                <w:ilvl w:val="0"/>
                <w:numId w:val="0"/>
              </w:numPr>
              <w:snapToGrid w:val="0"/>
              <w:spacing w:line="320" w:lineRule="exact"/>
              <w:rPr>
                <w:rFonts w:hint="default" w:ascii="宋体" w:hAnsi="宋体" w:cs="宋体"/>
                <w:bCs/>
                <w:color w:val="0000FF"/>
                <w:szCs w:val="21"/>
                <w:highlight w:val="none"/>
                <w:lang w:val="en-US" w:eastAsia="zh-CN"/>
              </w:rPr>
            </w:pPr>
            <w:r>
              <w:rPr>
                <w:rFonts w:hint="eastAsia" w:ascii="宋体" w:hAnsi="宋体" w:cs="宋体"/>
                <w:bCs/>
                <w:color w:val="0000FF"/>
                <w:szCs w:val="21"/>
                <w:highlight w:val="none"/>
                <w:lang w:val="en-US" w:eastAsia="zh-CN"/>
              </w:rPr>
              <w:t>3、售后服务方案一般，保障措施一般，得10分；</w:t>
            </w:r>
          </w:p>
          <w:p w14:paraId="22ECF912">
            <w:pPr>
              <w:widowControl/>
              <w:numPr>
                <w:ilvl w:val="0"/>
                <w:numId w:val="0"/>
              </w:numPr>
              <w:snapToGrid w:val="0"/>
              <w:spacing w:line="320" w:lineRule="exact"/>
              <w:rPr>
                <w:rFonts w:hint="eastAsia" w:ascii="宋体" w:hAnsi="宋体" w:eastAsia="宋体" w:cs="宋体"/>
                <w:kern w:val="2"/>
                <w:sz w:val="21"/>
                <w:szCs w:val="21"/>
                <w:lang w:val="en-US" w:eastAsia="zh-CN" w:bidi="ar-SA"/>
              </w:rPr>
            </w:pPr>
            <w:r>
              <w:rPr>
                <w:rFonts w:hint="eastAsia" w:ascii="宋体" w:hAnsi="宋体" w:cs="宋体"/>
                <w:bCs/>
                <w:color w:val="0000FF"/>
                <w:szCs w:val="21"/>
                <w:highlight w:val="none"/>
                <w:lang w:val="en-US" w:eastAsia="zh-CN"/>
              </w:rPr>
              <w:t>4、未提供售后服务方案和措施或方案不详细、可行性较差，无法满足招标文件要求的不得分。</w:t>
            </w:r>
          </w:p>
        </w:tc>
      </w:tr>
      <w:tr w14:paraId="2EBC06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A461DF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A8A399">
            <w:pPr>
              <w:widowControl/>
              <w:wordWrap w:val="0"/>
              <w:jc w:val="center"/>
              <w:textAlignment w:val="top"/>
              <w:rPr>
                <w:rFonts w:hint="default" w:ascii="宋体" w:hAnsi="宋体" w:eastAsia="宋体" w:cs="宋体"/>
                <w:kern w:val="0"/>
                <w:szCs w:val="21"/>
                <w:lang w:val="en-US" w:eastAsia="zh-CN" w:bidi="ar"/>
              </w:rPr>
            </w:pPr>
            <w:r>
              <w:rPr>
                <w:rFonts w:hint="eastAsia" w:ascii="宋体" w:hAnsi="宋体" w:cs="宋体"/>
                <w:kern w:val="0"/>
                <w:szCs w:val="21"/>
                <w:lang w:val="en-US" w:eastAsia="zh-CN" w:bidi="ar"/>
              </w:rPr>
              <w:t>6</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361F79">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F35270">
            <w:pPr>
              <w:widowControl/>
              <w:wordWrap w:val="0"/>
              <w:jc w:val="center"/>
              <w:textAlignment w:val="top"/>
              <w:rPr>
                <w:rFonts w:hint="default" w:eastAsia="宋体"/>
                <w:szCs w:val="21"/>
                <w:lang w:val="en-US" w:eastAsia="zh-CN"/>
              </w:rPr>
            </w:pPr>
            <w:r>
              <w:rPr>
                <w:rFonts w:hint="eastAsia"/>
                <w:szCs w:val="21"/>
                <w:lang w:val="en-US" w:eastAsia="zh-CN"/>
              </w:rPr>
              <w:t>1</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176DC2FF">
            <w:pPr>
              <w:autoSpaceDE w:val="0"/>
              <w:autoSpaceDN w:val="0"/>
              <w:adjustRightInd w:val="0"/>
              <w:spacing w:line="300" w:lineRule="exact"/>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一、评审内容：</w:t>
            </w:r>
          </w:p>
          <w:p w14:paraId="6E0E918A">
            <w:pPr>
              <w:autoSpaceDE w:val="0"/>
              <w:autoSpaceDN w:val="0"/>
              <w:adjustRightInd w:val="0"/>
              <w:spacing w:line="300" w:lineRule="exact"/>
              <w:jc w:val="both"/>
              <w:rPr>
                <w:rFonts w:hint="eastAsia" w:ascii="宋体" w:hAnsi="宋体" w:eastAsia="宋体" w:cs="宋体"/>
                <w:sz w:val="21"/>
                <w:szCs w:val="21"/>
              </w:rPr>
            </w:pPr>
            <w:r>
              <w:rPr>
                <w:rFonts w:hint="eastAsia" w:ascii="宋体" w:hAnsi="宋体" w:eastAsia="宋体" w:cs="宋体"/>
                <w:sz w:val="21"/>
                <w:szCs w:val="21"/>
              </w:rPr>
              <w:t>根据《关于印发节能产品政府采购品目清单的通知》（财库〔2019〕19号）以及《关于印发环境标志产品政府采购品目清单的通知》（财库〔2019〕18号）的要求，投标人所投任一产品（以</w:t>
            </w:r>
            <w:r>
              <w:rPr>
                <w:rFonts w:hint="eastAsia" w:ascii="宋体" w:hAnsi="宋体" w:eastAsia="宋体" w:cs="宋体"/>
                <w:sz w:val="21"/>
                <w:szCs w:val="21"/>
                <w:lang w:val="en-US" w:eastAsia="zh-CN"/>
              </w:rPr>
              <w:t>招标文件</w:t>
            </w:r>
            <w:r>
              <w:rPr>
                <w:rFonts w:hint="eastAsia" w:ascii="宋体" w:hAnsi="宋体" w:eastAsia="宋体" w:cs="宋体"/>
                <w:sz w:val="21"/>
                <w:szCs w:val="21"/>
              </w:rPr>
              <w:t>第三章 用户需求书 二、货物需求明细中“货物名称”为准）被列入节能产品政府采购品目清单（</w:t>
            </w:r>
            <w:r>
              <w:rPr>
                <w:rFonts w:hint="eastAsia" w:ascii="宋体" w:hAnsi="宋体" w:eastAsia="宋体" w:cs="宋体"/>
                <w:color w:val="FF0000"/>
                <w:sz w:val="21"/>
                <w:szCs w:val="21"/>
              </w:rPr>
              <w:t>已标注</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号属</w:t>
            </w:r>
            <w:r>
              <w:rPr>
                <w:rFonts w:hint="eastAsia" w:ascii="宋体" w:hAnsi="宋体" w:eastAsia="宋体" w:cs="宋体"/>
                <w:color w:val="FF0000"/>
                <w:sz w:val="21"/>
                <w:szCs w:val="21"/>
              </w:rPr>
              <w:t>政府强制采购产品</w:t>
            </w:r>
            <w:r>
              <w:rPr>
                <w:rFonts w:hint="eastAsia" w:ascii="宋体" w:hAnsi="宋体" w:eastAsia="宋体" w:cs="宋体"/>
                <w:color w:val="FF0000"/>
                <w:sz w:val="21"/>
                <w:szCs w:val="21"/>
                <w:lang w:val="en-US" w:eastAsia="zh-CN"/>
              </w:rPr>
              <w:t>需具有</w:t>
            </w:r>
            <w:r>
              <w:rPr>
                <w:rFonts w:hint="eastAsia" w:ascii="宋体" w:hAnsi="宋体" w:eastAsia="宋体" w:cs="宋体"/>
                <w:color w:val="FF0000"/>
                <w:sz w:val="21"/>
                <w:szCs w:val="21"/>
              </w:rPr>
              <w:t>节能产品认证证书的除外</w:t>
            </w:r>
            <w:r>
              <w:rPr>
                <w:rFonts w:hint="eastAsia" w:ascii="宋体" w:hAnsi="宋体" w:eastAsia="宋体" w:cs="宋体"/>
                <w:sz w:val="21"/>
                <w:szCs w:val="21"/>
              </w:rPr>
              <w:t>）或环境标志产品政府采购品目清单</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且具有有效期内的</w:t>
            </w:r>
            <w:r>
              <w:rPr>
                <w:rFonts w:hint="eastAsia" w:ascii="宋体" w:hAnsi="宋体" w:eastAsia="宋体" w:cs="宋体"/>
                <w:sz w:val="21"/>
                <w:szCs w:val="21"/>
              </w:rPr>
              <w:t>节能产品</w:t>
            </w:r>
            <w:r>
              <w:rPr>
                <w:rFonts w:hint="eastAsia" w:ascii="宋体" w:hAnsi="宋体" w:eastAsia="宋体" w:cs="宋体"/>
                <w:sz w:val="21"/>
                <w:szCs w:val="21"/>
                <w:lang w:val="en-US" w:eastAsia="zh-CN"/>
              </w:rPr>
              <w:t>或</w:t>
            </w:r>
            <w:r>
              <w:rPr>
                <w:rFonts w:hint="eastAsia" w:ascii="宋体" w:hAnsi="宋体" w:eastAsia="宋体" w:cs="宋体"/>
                <w:sz w:val="21"/>
                <w:szCs w:val="21"/>
              </w:rPr>
              <w:t>环境标志产品认证证书的</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每提供1项得100分，最高</w:t>
            </w:r>
            <w:r>
              <w:rPr>
                <w:rFonts w:hint="eastAsia" w:ascii="宋体" w:hAnsi="宋体" w:eastAsia="宋体" w:cs="宋体"/>
                <w:sz w:val="21"/>
                <w:szCs w:val="21"/>
              </w:rPr>
              <w:t>得100分。</w:t>
            </w:r>
          </w:p>
          <w:p w14:paraId="504B71EE">
            <w:pPr>
              <w:snapToGrid w:val="0"/>
              <w:jc w:val="both"/>
              <w:rPr>
                <w:rFonts w:hint="default" w:ascii="宋体" w:hAnsi="宋体" w:eastAsia="宋体" w:cs="宋体"/>
                <w:b/>
                <w:bCs/>
                <w:color w:val="0000CC"/>
                <w:sz w:val="21"/>
                <w:szCs w:val="21"/>
                <w:lang w:val="en-US" w:eastAsia="zh-CN"/>
              </w:rPr>
            </w:pPr>
            <w:r>
              <w:rPr>
                <w:rFonts w:hint="eastAsia" w:ascii="宋体" w:hAnsi="宋体" w:eastAsia="宋体" w:cs="宋体"/>
                <w:b/>
                <w:bCs/>
                <w:color w:val="0000CC"/>
                <w:sz w:val="21"/>
                <w:szCs w:val="21"/>
                <w:lang w:val="en-US" w:eastAsia="zh-CN"/>
              </w:rPr>
              <w:t>二、评审依据：</w:t>
            </w:r>
          </w:p>
          <w:p w14:paraId="1F486791">
            <w:pPr>
              <w:snapToGrid w:val="0"/>
              <w:jc w:val="both"/>
              <w:rPr>
                <w:rFonts w:hint="eastAsia" w:ascii="宋体" w:hAnsi="宋体" w:eastAsia="宋体" w:cs="宋体"/>
                <w:color w:val="0000FF"/>
                <w:sz w:val="21"/>
                <w:szCs w:val="21"/>
                <w:lang w:eastAsia="zh-CN"/>
              </w:rPr>
            </w:pPr>
            <w:r>
              <w:rPr>
                <w:rFonts w:hint="eastAsia" w:ascii="宋体" w:hAnsi="宋体" w:eastAsia="宋体" w:cs="宋体"/>
                <w:color w:val="0000FF"/>
                <w:sz w:val="21"/>
                <w:szCs w:val="21"/>
                <w:lang w:val="en-US" w:eastAsia="zh-CN"/>
              </w:rPr>
              <w:t>1、</w:t>
            </w:r>
            <w:r>
              <w:rPr>
                <w:rFonts w:hint="eastAsia" w:ascii="宋体" w:hAnsi="宋体" w:eastAsia="宋体" w:cs="宋体"/>
                <w:color w:val="0000FF"/>
                <w:sz w:val="21"/>
                <w:szCs w:val="21"/>
              </w:rPr>
              <w:t>提供《市场监管总局关于发布参与实施政府采购节能产品、环境标志产品认证机构名录的公告》（2019年第16号）确定的认证机构出具的</w:t>
            </w:r>
            <w:r>
              <w:rPr>
                <w:rFonts w:hint="eastAsia" w:ascii="宋体" w:hAnsi="宋体" w:eastAsia="宋体" w:cs="宋体"/>
                <w:color w:val="0000FF"/>
                <w:sz w:val="21"/>
                <w:szCs w:val="21"/>
                <w:lang w:val="en-US" w:eastAsia="zh-CN"/>
              </w:rPr>
              <w:t>且</w:t>
            </w:r>
            <w:r>
              <w:rPr>
                <w:rFonts w:hint="eastAsia" w:ascii="宋体" w:hAnsi="宋体" w:eastAsia="宋体" w:cs="宋体"/>
                <w:color w:val="0000FF"/>
                <w:sz w:val="21"/>
                <w:szCs w:val="21"/>
              </w:rPr>
              <w:t>处于有效期内的节能产品</w:t>
            </w:r>
            <w:r>
              <w:rPr>
                <w:rFonts w:hint="eastAsia" w:ascii="宋体" w:hAnsi="宋体" w:eastAsia="宋体" w:cs="宋体"/>
                <w:color w:val="0000FF"/>
                <w:sz w:val="21"/>
                <w:szCs w:val="21"/>
                <w:lang w:val="en-US" w:eastAsia="zh-CN"/>
              </w:rPr>
              <w:t>或</w:t>
            </w:r>
            <w:r>
              <w:rPr>
                <w:rFonts w:hint="eastAsia" w:ascii="宋体" w:hAnsi="宋体" w:eastAsia="宋体" w:cs="宋体"/>
                <w:color w:val="0000FF"/>
                <w:sz w:val="21"/>
                <w:szCs w:val="21"/>
              </w:rPr>
              <w:t>环境标志产品认证证书扫描件</w:t>
            </w:r>
            <w:r>
              <w:rPr>
                <w:rFonts w:hint="eastAsia" w:ascii="宋体" w:hAnsi="宋体" w:eastAsia="宋体" w:cs="宋体"/>
                <w:color w:val="0000FF"/>
                <w:sz w:val="21"/>
                <w:szCs w:val="21"/>
                <w:lang w:eastAsia="zh-CN"/>
              </w:rPr>
              <w:t>；</w:t>
            </w:r>
          </w:p>
          <w:p w14:paraId="6A09EC6D">
            <w:pPr>
              <w:snapToGrid w:val="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sz w:val="21"/>
                <w:szCs w:val="21"/>
                <w:lang w:val="en-US" w:eastAsia="zh-CN"/>
              </w:rPr>
              <w:t>2、未按要求提供证明材料（或证明材料无法判断是否符合评分要求）的不得分，原件备查。</w:t>
            </w:r>
          </w:p>
        </w:tc>
      </w:tr>
      <w:tr w14:paraId="1CC9E0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39F34E14">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06DD40">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8C7589">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8459C7">
            <w:pPr>
              <w:widowControl/>
              <w:wordWrap w:val="0"/>
              <w:jc w:val="center"/>
              <w:textAlignment w:val="top"/>
              <w:rPr>
                <w:rFonts w:hint="eastAsia"/>
                <w:szCs w:val="21"/>
                <w:lang w:val="en-US" w:eastAsia="zh-CN"/>
              </w:rPr>
            </w:pPr>
            <w:r>
              <w:rPr>
                <w:rFonts w:hint="eastAsia"/>
                <w:szCs w:val="21"/>
                <w:lang w:val="en-US" w:eastAsia="zh-CN"/>
              </w:rPr>
              <w:t>1</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11D9BB0E">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369EB155">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340AF22C">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726A304F">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070CBB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792B9E3">
            <w:pPr>
              <w:widowControl/>
              <w:wordWrap w:val="0"/>
              <w:jc w:val="center"/>
              <w:rPr>
                <w:b/>
                <w:bCs/>
                <w:color w:val="0000FF"/>
                <w:sz w:val="24"/>
              </w:rPr>
            </w:pPr>
            <w:r>
              <w:rPr>
                <w:rFonts w:ascii="宋体" w:hAnsi="宋体" w:cs="宋体"/>
                <w:b/>
                <w:bCs/>
                <w:color w:val="0000FF"/>
                <w:kern w:val="0"/>
                <w:sz w:val="24"/>
                <w:lang w:bidi="ar"/>
              </w:rPr>
              <w:t>3</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9A0315A">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F6F839">
            <w:pPr>
              <w:widowControl/>
              <w:wordWrap w:val="0"/>
              <w:jc w:val="center"/>
              <w:rPr>
                <w:rFonts w:hint="default" w:eastAsia="宋体"/>
                <w:b/>
                <w:bCs/>
                <w:color w:val="0000FF"/>
                <w:sz w:val="24"/>
                <w:lang w:val="en-US" w:eastAsia="zh-CN"/>
              </w:rPr>
            </w:pPr>
            <w:r>
              <w:rPr>
                <w:rFonts w:hint="eastAsia"/>
                <w:b/>
                <w:bCs/>
                <w:color w:val="0000FF"/>
                <w:sz w:val="24"/>
                <w:lang w:val="en-US" w:eastAsia="zh-CN"/>
              </w:rPr>
              <w:t>3</w:t>
            </w:r>
          </w:p>
        </w:tc>
      </w:tr>
      <w:tr w14:paraId="1911BA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F27346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4D16C385">
            <w:pPr>
              <w:rPr>
                <w:rFonts w:ascii="宋体"/>
                <w:szCs w:val="21"/>
              </w:rPr>
            </w:pPr>
          </w:p>
        </w:tc>
      </w:tr>
      <w:tr w14:paraId="39A712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97B4C46">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920F0A">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75266A1">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7136A16">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40D66F0">
            <w:pPr>
              <w:widowControl/>
              <w:wordWrap w:val="0"/>
              <w:jc w:val="center"/>
              <w:rPr>
                <w:szCs w:val="21"/>
              </w:rPr>
            </w:pPr>
            <w:r>
              <w:rPr>
                <w:rFonts w:ascii="宋体" w:hAnsi="宋体" w:cs="宋体"/>
                <w:kern w:val="0"/>
                <w:szCs w:val="21"/>
                <w:lang w:bidi="ar"/>
              </w:rPr>
              <w:t>评分准则</w:t>
            </w:r>
          </w:p>
        </w:tc>
      </w:tr>
      <w:tr w14:paraId="7BC483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952C627">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E5A468">
            <w:pPr>
              <w:widowControl/>
              <w:wordWrap w:val="0"/>
              <w:jc w:val="center"/>
              <w:textAlignment w:val="top"/>
              <w:rPr>
                <w:rFonts w:hint="eastAsia" w:eastAsia="宋体"/>
                <w:szCs w:val="21"/>
                <w:lang w:val="en-US" w:eastAsia="zh-CN"/>
              </w:rPr>
            </w:pPr>
            <w:r>
              <w:rPr>
                <w:rFonts w:hint="eastAsia"/>
                <w:szCs w:val="21"/>
                <w:lang w:val="en-US" w:eastAsia="zh-CN"/>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2B6DE56">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同类项目业绩情况</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97DF20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val="en-US" w:eastAsia="zh-CN" w:bidi="ar"/>
              </w:rPr>
              <w:t>3</w:t>
            </w:r>
          </w:p>
        </w:tc>
        <w:tc>
          <w:tcPr>
            <w:tcW w:w="48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8599F9D">
            <w:pPr>
              <w:numPr>
                <w:ilvl w:val="-1"/>
                <w:numId w:val="0"/>
              </w:numPr>
              <w:snapToGrid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（一）评审内容：</w:t>
            </w:r>
          </w:p>
          <w:p w14:paraId="33833E1D">
            <w:pPr>
              <w:pStyle w:val="10"/>
              <w:rPr>
                <w:rFonts w:hint="eastAsia" w:ascii="宋体" w:hAnsi="宋体" w:eastAsia="宋体" w:cs="宋体"/>
                <w:kern w:val="0"/>
                <w:sz w:val="21"/>
                <w:szCs w:val="21"/>
                <w:lang w:bidi="ar"/>
              </w:rPr>
            </w:pPr>
            <w:r>
              <w:rPr>
                <w:rFonts w:hint="eastAsia" w:ascii="宋体" w:hAnsi="宋体" w:eastAsia="宋体" w:cs="宋体"/>
                <w:color w:val="auto"/>
                <w:sz w:val="21"/>
                <w:szCs w:val="21"/>
                <w:highlight w:val="none"/>
                <w:lang w:eastAsia="zh-CN"/>
              </w:rPr>
              <w:t>自202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年1月1日以来（以合同签订日期为准），投标人具有</w:t>
            </w:r>
            <w:r>
              <w:rPr>
                <w:rFonts w:hint="eastAsia" w:ascii="宋体" w:hAnsi="宋体" w:eastAsia="宋体" w:cs="宋体"/>
                <w:b/>
                <w:bCs/>
                <w:color w:val="auto"/>
                <w:sz w:val="21"/>
                <w:szCs w:val="21"/>
                <w:highlight w:val="none"/>
                <w:lang w:eastAsia="zh-CN"/>
              </w:rPr>
              <w:t>校园信息化类项目</w:t>
            </w:r>
            <w:r>
              <w:rPr>
                <w:rFonts w:hint="eastAsia" w:ascii="宋体" w:hAnsi="宋体" w:eastAsia="宋体" w:cs="宋体"/>
                <w:color w:val="auto"/>
                <w:sz w:val="21"/>
                <w:szCs w:val="21"/>
                <w:highlight w:val="none"/>
                <w:lang w:eastAsia="zh-CN"/>
              </w:rPr>
              <w:t>经验的，每提供一项得</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lang w:eastAsia="zh-CN"/>
              </w:rPr>
              <w:t>分，本项最高得100分</w:t>
            </w:r>
            <w:r>
              <w:rPr>
                <w:rFonts w:hint="eastAsia" w:ascii="宋体" w:hAnsi="宋体" w:eastAsia="宋体" w:cs="宋体"/>
                <w:kern w:val="0"/>
                <w:sz w:val="21"/>
                <w:szCs w:val="21"/>
                <w:lang w:bidi="ar"/>
              </w:rPr>
              <w:t>。</w:t>
            </w:r>
          </w:p>
          <w:p w14:paraId="5CCF407B">
            <w:pPr>
              <w:numPr>
                <w:ilvl w:val="-1"/>
                <w:numId w:val="0"/>
              </w:numPr>
              <w:snapToGrid w:val="0"/>
              <w:rPr>
                <w:rFonts w:hint="eastAsia" w:ascii="宋体" w:hAnsi="宋体" w:eastAsia="宋体" w:cs="宋体"/>
                <w:color w:val="0000FF"/>
                <w:sz w:val="21"/>
                <w:szCs w:val="21"/>
                <w:highlight w:val="none"/>
                <w:lang w:eastAsia="zh-CN"/>
              </w:rPr>
            </w:pPr>
            <w:r>
              <w:rPr>
                <w:rFonts w:hint="eastAsia" w:ascii="宋体" w:hAnsi="宋体" w:eastAsia="宋体" w:cs="宋体"/>
                <w:color w:val="0000FF"/>
                <w:sz w:val="21"/>
                <w:szCs w:val="21"/>
                <w:highlight w:val="none"/>
                <w:lang w:eastAsia="zh-CN"/>
              </w:rPr>
              <w:t>（二）评审依据：</w:t>
            </w:r>
          </w:p>
          <w:p w14:paraId="15EC2904">
            <w:pPr>
              <w:numPr>
                <w:ilvl w:val="0"/>
                <w:numId w:val="3"/>
              </w:numPr>
              <w:rPr>
                <w:rFonts w:hint="eastAsia"/>
                <w:color w:val="0000FF"/>
                <w:highlight w:val="none"/>
              </w:rPr>
            </w:pPr>
            <w:r>
              <w:rPr>
                <w:rFonts w:hint="eastAsia" w:ascii="宋体" w:hAnsi="宋体" w:cs="宋体"/>
                <w:color w:val="0000FF"/>
                <w:highlight w:val="none"/>
              </w:rPr>
              <w:t>投标人同时提供：①合同关键页（内容至少包括合同首页、合同签约主体名称、采购内容页、与含签订合同双方的落款盖章、签订日期的关键页）扫描件；②验收报告（或履约评价证明），需加盖合同甲方（合同相对方）公章（或业务章）；</w:t>
            </w:r>
          </w:p>
          <w:p w14:paraId="60F4D661">
            <w:pPr>
              <w:pStyle w:val="10"/>
              <w:rPr>
                <w:rFonts w:hint="eastAsia" w:ascii="宋体" w:hAnsi="宋体" w:eastAsia="宋体" w:cs="宋体"/>
                <w:kern w:val="0"/>
                <w:sz w:val="21"/>
                <w:szCs w:val="21"/>
                <w:lang w:val="en-US" w:eastAsia="zh-CN" w:bidi="ar"/>
              </w:rPr>
            </w:pPr>
            <w:r>
              <w:rPr>
                <w:rFonts w:hint="eastAsia"/>
                <w:color w:val="0000FF"/>
                <w:highlight w:val="none"/>
              </w:rPr>
              <w:t>2、未按要求提供证明材料（或证明材料无法判断是否符合评分要求）的不得分，原件备查。</w:t>
            </w:r>
          </w:p>
        </w:tc>
      </w:tr>
      <w:tr w14:paraId="212A6D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3DEE9AB">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bidi="ar"/>
              </w:rPr>
              <w:t>4</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2BA59F">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015025">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44E375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88FEB7E">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9B8771A">
            <w:pPr>
              <w:rPr>
                <w:rFonts w:ascii="宋体"/>
                <w:szCs w:val="21"/>
              </w:rPr>
            </w:pPr>
          </w:p>
        </w:tc>
      </w:tr>
      <w:tr w14:paraId="25585B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84AFFE9">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36A5419">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5E55EF">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348435A">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4B07B4">
            <w:pPr>
              <w:widowControl/>
              <w:wordWrap w:val="0"/>
              <w:jc w:val="center"/>
              <w:rPr>
                <w:szCs w:val="21"/>
              </w:rPr>
            </w:pPr>
            <w:r>
              <w:rPr>
                <w:rFonts w:ascii="宋体" w:hAnsi="宋体" w:cs="宋体"/>
                <w:kern w:val="0"/>
                <w:szCs w:val="21"/>
                <w:lang w:bidi="ar"/>
              </w:rPr>
              <w:t>评分准则</w:t>
            </w:r>
          </w:p>
        </w:tc>
      </w:tr>
      <w:tr w14:paraId="5616DC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66F2F3">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36E29E">
            <w:pPr>
              <w:widowControl/>
              <w:wordWrap w:val="0"/>
              <w:jc w:val="center"/>
              <w:textAlignment w:val="top"/>
              <w:rPr>
                <w:szCs w:val="21"/>
              </w:rPr>
            </w:pPr>
            <w:r>
              <w:rPr>
                <w:rFonts w:hint="eastAsia"/>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58904C">
            <w:pPr>
              <w:widowControl/>
              <w:wordWrap w:val="0"/>
              <w:jc w:val="center"/>
              <w:textAlignment w:val="top"/>
              <w:rPr>
                <w:szCs w:val="21"/>
              </w:rPr>
            </w:pPr>
            <w:r>
              <w:rPr>
                <w:rFonts w:hint="eastAsia"/>
              </w:rPr>
              <w:t>诚信情况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77FB9F">
            <w:pPr>
              <w:widowControl/>
              <w:wordWrap w:val="0"/>
              <w:jc w:val="center"/>
              <w:textAlignment w:val="top"/>
              <w:rPr>
                <w:szCs w:val="21"/>
              </w:rPr>
            </w:pPr>
            <w:r>
              <w:rPr>
                <w:rFonts w:hint="eastAsia"/>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14:paraId="1D0C8023">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456DC3FF">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14:paraId="457ABBE2">
      <w:pPr>
        <w:jc w:val="center"/>
        <w:rPr>
          <w:b/>
          <w:sz w:val="84"/>
          <w:szCs w:val="84"/>
        </w:rPr>
      </w:pPr>
    </w:p>
    <w:p w14:paraId="3F1F9F97">
      <w:pPr>
        <w:jc w:val="center"/>
        <w:rPr>
          <w:b/>
          <w:sz w:val="84"/>
          <w:szCs w:val="84"/>
        </w:rPr>
      </w:pPr>
    </w:p>
    <w:p w14:paraId="13C147CC">
      <w:pPr>
        <w:rPr>
          <w:b/>
          <w:sz w:val="84"/>
          <w:szCs w:val="84"/>
        </w:rPr>
      </w:pPr>
      <w:r>
        <w:rPr>
          <w:b/>
          <w:sz w:val="84"/>
          <w:szCs w:val="84"/>
        </w:rPr>
        <w:br w:type="page"/>
      </w:r>
    </w:p>
    <w:p w14:paraId="5E205714">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2"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2"/>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3"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4"/>
        <w:rPr>
          <w:rFonts w:hint="eastAsia"/>
        </w:rPr>
      </w:pPr>
    </w:p>
    <w:p w14:paraId="4F472A70">
      <w:pPr>
        <w:pStyle w:val="14"/>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3"/>
    <w:p w14:paraId="22FB7A31">
      <w:pPr>
        <w:pStyle w:val="2"/>
        <w:jc w:val="center"/>
        <w:rPr>
          <w:color w:val="FF0000"/>
          <w:sz w:val="24"/>
        </w:rPr>
      </w:pPr>
      <w:bookmarkStart w:id="5" w:name="bt商务标投标文件格式"/>
      <w:bookmarkEnd w:id="5"/>
      <w:bookmarkStart w:id="6" w:name="bt其他资料2"/>
      <w:bookmarkEnd w:id="6"/>
      <w:bookmarkStart w:id="7" w:name="合同格式"/>
      <w:bookmarkEnd w:id="7"/>
      <w:bookmarkStart w:id="8" w:name="bt技术标投标文件格式"/>
      <w:bookmarkEnd w:id="8"/>
      <w:bookmarkStart w:id="9" w:name="bt合同格式"/>
      <w:bookmarkEnd w:id="9"/>
      <w:bookmarkStart w:id="10" w:name="bt投标函"/>
      <w:bookmarkEnd w:id="10"/>
      <w:bookmarkStart w:id="11" w:name="bt投标报价汇总表"/>
      <w:bookmarkEnd w:id="11"/>
      <w:bookmarkStart w:id="12" w:name="bt投标人须知"/>
      <w:bookmarkEnd w:id="12"/>
      <w:bookmarkStart w:id="13" w:name="bt开标一览表"/>
      <w:bookmarkEnd w:id="13"/>
      <w:bookmarkStart w:id="14" w:name="bt本工程承诺书"/>
      <w:bookmarkEnd w:id="14"/>
      <w:bookmarkStart w:id="15" w:name="bt其他资料由投标人自定"/>
      <w:bookmarkEnd w:id="15"/>
      <w:bookmarkStart w:id="16" w:name="bt说明"/>
      <w:bookmarkEnd w:id="16"/>
      <w:bookmarkStart w:id="17" w:name="bt合同条款"/>
      <w:bookmarkEnd w:id="17"/>
      <w:bookmarkStart w:id="18" w:name="bt投标文件签署授权委托书"/>
      <w:bookmarkEnd w:id="18"/>
      <w:bookmarkStart w:id="19" w:name="bt合同条款及格式"/>
      <w:bookmarkEnd w:id="19"/>
      <w:bookmarkStart w:id="20" w:name="bt项目管理班子配备情况"/>
      <w:bookmarkEnd w:id="20"/>
      <w:bookmarkStart w:id="21" w:name="bt投标人情况介绍"/>
      <w:bookmarkEnd w:id="21"/>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2" w:name="_Hlk71926094"/>
      <w:r>
        <w:rPr>
          <w:rFonts w:hint="eastAsia"/>
          <w:sz w:val="28"/>
          <w:szCs w:val="28"/>
        </w:rPr>
        <w:t>对通用条款的补充内容及其他关键信息</w:t>
      </w:r>
      <w:bookmarkEnd w:id="22"/>
    </w:p>
    <w:p w14:paraId="7580ACFD">
      <w:pPr>
        <w:pStyle w:val="5"/>
        <w:spacing w:before="120" w:beforeLines="50" w:after="120" w:afterLines="50"/>
        <w:jc w:val="center"/>
        <w:rPr>
          <w:szCs w:val="24"/>
        </w:rPr>
      </w:pPr>
      <w:bookmarkStart w:id="23" w:name="_Toc101074876"/>
      <w:bookmarkStart w:id="24" w:name="_Toc73518117"/>
      <w:bookmarkStart w:id="25" w:name="_Toc73521635"/>
      <w:bookmarkStart w:id="26" w:name="_Toc60560625"/>
      <w:bookmarkStart w:id="27" w:name="_Toc73521547"/>
      <w:bookmarkStart w:id="28" w:name="_Toc73517639"/>
      <w:bookmarkStart w:id="29" w:name="_Toc100052364"/>
      <w:bookmarkStart w:id="30" w:name="_Toc60631620"/>
      <w:r>
        <w:rPr>
          <w:rFonts w:hint="eastAsia"/>
          <w:szCs w:val="24"/>
        </w:rPr>
        <w:t>一、对通用条款的补充内容</w:t>
      </w:r>
    </w:p>
    <w:bookmarkEnd w:id="23"/>
    <w:bookmarkEnd w:id="24"/>
    <w:bookmarkEnd w:id="25"/>
    <w:bookmarkEnd w:id="26"/>
    <w:bookmarkEnd w:id="27"/>
    <w:bookmarkEnd w:id="28"/>
    <w:bookmarkEnd w:id="29"/>
    <w:bookmarkEnd w:id="30"/>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219"/>
        <w:gridCol w:w="517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1" w:name="_Hlk72218097"/>
            <w:r>
              <w:rPr>
                <w:rFonts w:hint="eastAsia" w:ascii="宋体" w:hAnsi="宋体"/>
                <w:b/>
                <w:bCs/>
              </w:rPr>
              <w:t>通用条款序号</w:t>
            </w:r>
          </w:p>
        </w:tc>
        <w:tc>
          <w:tcPr>
            <w:tcW w:w="2219" w:type="dxa"/>
            <w:noWrap w:val="0"/>
            <w:vAlign w:val="center"/>
          </w:tcPr>
          <w:p w14:paraId="2F91E303">
            <w:pPr>
              <w:jc w:val="center"/>
              <w:rPr>
                <w:rFonts w:ascii="宋体" w:hAnsi="宋体"/>
                <w:b/>
                <w:bCs/>
              </w:rPr>
            </w:pPr>
            <w:r>
              <w:rPr>
                <w:rFonts w:hint="eastAsia" w:ascii="宋体" w:hAnsi="宋体"/>
                <w:b/>
                <w:bCs/>
              </w:rPr>
              <w:t>涉及事项</w:t>
            </w:r>
          </w:p>
        </w:tc>
        <w:tc>
          <w:tcPr>
            <w:tcW w:w="517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219" w:type="dxa"/>
            <w:noWrap w:val="0"/>
            <w:vAlign w:val="center"/>
          </w:tcPr>
          <w:p w14:paraId="053EDEC5">
            <w:pPr>
              <w:jc w:val="center"/>
            </w:pPr>
            <w:r>
              <w:rPr>
                <w:rFonts w:hint="eastAsia"/>
              </w:rPr>
              <w:t>采购人</w:t>
            </w:r>
          </w:p>
        </w:tc>
        <w:tc>
          <w:tcPr>
            <w:tcW w:w="5170" w:type="dxa"/>
            <w:noWrap w:val="0"/>
            <w:vAlign w:val="center"/>
          </w:tcPr>
          <w:p w14:paraId="313E5BCD">
            <w:pPr>
              <w:jc w:val="center"/>
              <w:rPr>
                <w:rFonts w:ascii="宋体" w:hAnsi="宋体"/>
              </w:rPr>
            </w:pPr>
            <w:r>
              <w:rPr>
                <w:rFonts w:hint="eastAsia" w:ascii="宋体" w:hAnsi="宋体" w:eastAsia="宋体" w:cs="Arial"/>
                <w:b/>
                <w:szCs w:val="21"/>
              </w:rPr>
              <w:t>深圳市宝安中学（集团）海天学校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219" w:type="dxa"/>
            <w:noWrap w:val="0"/>
            <w:vAlign w:val="center"/>
          </w:tcPr>
          <w:p w14:paraId="4ABA4CA9">
            <w:pPr>
              <w:jc w:val="center"/>
              <w:rPr>
                <w:rFonts w:ascii="宋体" w:hAnsi="宋体"/>
              </w:rPr>
            </w:pPr>
            <w:r>
              <w:rPr>
                <w:rFonts w:hint="eastAsia" w:ascii="宋体" w:hAnsi="宋体"/>
              </w:rPr>
              <w:t>政府集中采购机构</w:t>
            </w:r>
          </w:p>
        </w:tc>
        <w:tc>
          <w:tcPr>
            <w:tcW w:w="517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219" w:type="dxa"/>
            <w:noWrap w:val="0"/>
            <w:vAlign w:val="center"/>
          </w:tcPr>
          <w:p w14:paraId="4E1F7167">
            <w:pPr>
              <w:jc w:val="center"/>
              <w:rPr>
                <w:rFonts w:ascii="宋体" w:hAnsi="宋体"/>
              </w:rPr>
            </w:pPr>
            <w:r>
              <w:rPr>
                <w:rFonts w:hint="eastAsia" w:ascii="宋体" w:hAnsi="宋体"/>
              </w:rPr>
              <w:t>踏勘现场</w:t>
            </w:r>
          </w:p>
        </w:tc>
        <w:tc>
          <w:tcPr>
            <w:tcW w:w="5170" w:type="dxa"/>
            <w:noWrap w:val="0"/>
            <w:vAlign w:val="center"/>
          </w:tcPr>
          <w:p w14:paraId="7BAA7C08">
            <w:pPr>
              <w:jc w:val="center"/>
              <w:rPr>
                <w:rFonts w:ascii="宋体" w:hAnsi="宋体"/>
              </w:rPr>
            </w:pPr>
            <w:r>
              <w:rPr>
                <w:rFonts w:hint="eastAsia"/>
                <w:highlight w:val="yellow"/>
              </w:rPr>
              <w:t>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219" w:type="dxa"/>
            <w:noWrap w:val="0"/>
            <w:vAlign w:val="center"/>
          </w:tcPr>
          <w:p w14:paraId="7F7F5D57">
            <w:pPr>
              <w:jc w:val="center"/>
              <w:rPr>
                <w:rFonts w:ascii="宋体" w:hAnsi="宋体"/>
              </w:rPr>
            </w:pPr>
            <w:r>
              <w:rPr>
                <w:rFonts w:hint="eastAsia" w:ascii="宋体" w:hAnsi="宋体"/>
              </w:rPr>
              <w:t>标前会议</w:t>
            </w:r>
          </w:p>
        </w:tc>
        <w:tc>
          <w:tcPr>
            <w:tcW w:w="517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219" w:type="dxa"/>
            <w:noWrap w:val="0"/>
            <w:vAlign w:val="center"/>
          </w:tcPr>
          <w:p w14:paraId="256B42B0">
            <w:pPr>
              <w:jc w:val="center"/>
              <w:rPr>
                <w:rFonts w:ascii="宋体" w:hAnsi="宋体"/>
              </w:rPr>
            </w:pPr>
            <w:r>
              <w:rPr>
                <w:rFonts w:hint="eastAsia" w:ascii="宋体" w:hAnsi="宋体"/>
              </w:rPr>
              <w:t>招标文件的澄清和修改</w:t>
            </w:r>
          </w:p>
        </w:tc>
        <w:tc>
          <w:tcPr>
            <w:tcW w:w="517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219" w:type="dxa"/>
            <w:noWrap w:val="0"/>
            <w:vAlign w:val="center"/>
          </w:tcPr>
          <w:p w14:paraId="7C9F6870">
            <w:pPr>
              <w:jc w:val="center"/>
              <w:rPr>
                <w:rFonts w:ascii="宋体" w:hAnsi="宋体"/>
              </w:rPr>
            </w:pPr>
            <w:r>
              <w:rPr>
                <w:rFonts w:hint="eastAsia" w:ascii="宋体" w:hAnsi="宋体"/>
              </w:rPr>
              <w:t>投标有效期</w:t>
            </w:r>
          </w:p>
        </w:tc>
        <w:tc>
          <w:tcPr>
            <w:tcW w:w="517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219" w:type="dxa"/>
            <w:noWrap w:val="0"/>
            <w:vAlign w:val="center"/>
          </w:tcPr>
          <w:p w14:paraId="3AB4C320">
            <w:pPr>
              <w:jc w:val="center"/>
              <w:rPr>
                <w:rFonts w:ascii="宋体" w:hAnsi="宋体"/>
              </w:rPr>
            </w:pPr>
            <w:r>
              <w:rPr>
                <w:rFonts w:hint="eastAsia" w:ascii="宋体" w:hAnsi="宋体"/>
              </w:rPr>
              <w:t>投标人的替代方案</w:t>
            </w:r>
          </w:p>
        </w:tc>
        <w:tc>
          <w:tcPr>
            <w:tcW w:w="517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219" w:type="dxa"/>
            <w:noWrap w:val="0"/>
            <w:vAlign w:val="center"/>
          </w:tcPr>
          <w:p w14:paraId="4523C6AF">
            <w:pPr>
              <w:jc w:val="center"/>
              <w:rPr>
                <w:rFonts w:ascii="宋体" w:hAnsi="宋体"/>
              </w:rPr>
            </w:pPr>
            <w:r>
              <w:rPr>
                <w:rFonts w:hint="eastAsia" w:ascii="宋体" w:hAnsi="宋体"/>
              </w:rPr>
              <w:t>投标文件的大小</w:t>
            </w:r>
          </w:p>
        </w:tc>
        <w:tc>
          <w:tcPr>
            <w:tcW w:w="517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219" w:type="dxa"/>
            <w:noWrap w:val="0"/>
            <w:vAlign w:val="center"/>
          </w:tcPr>
          <w:p w14:paraId="0CA4586E">
            <w:pPr>
              <w:jc w:val="center"/>
              <w:rPr>
                <w:rFonts w:ascii="宋体" w:hAnsi="宋体"/>
              </w:rPr>
            </w:pPr>
            <w:bookmarkStart w:id="32" w:name="_Hlk71664860"/>
            <w:r>
              <w:rPr>
                <w:rFonts w:hint="eastAsia" w:ascii="宋体" w:hAnsi="宋体"/>
              </w:rPr>
              <w:t>样品、现场演示、方案讲解</w:t>
            </w:r>
            <w:bookmarkEnd w:id="32"/>
          </w:p>
        </w:tc>
        <w:tc>
          <w:tcPr>
            <w:tcW w:w="517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219" w:type="dxa"/>
            <w:noWrap w:val="0"/>
            <w:vAlign w:val="center"/>
          </w:tcPr>
          <w:p w14:paraId="6CA5D322">
            <w:pPr>
              <w:jc w:val="center"/>
              <w:rPr>
                <w:rFonts w:ascii="宋体" w:hAnsi="宋体"/>
              </w:rPr>
            </w:pPr>
            <w:r>
              <w:rPr>
                <w:rFonts w:hint="eastAsia" w:ascii="宋体" w:hAnsi="宋体"/>
              </w:rPr>
              <w:t>评审方法</w:t>
            </w:r>
          </w:p>
        </w:tc>
        <w:tc>
          <w:tcPr>
            <w:tcW w:w="517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219" w:type="dxa"/>
            <w:noWrap w:val="0"/>
            <w:vAlign w:val="center"/>
          </w:tcPr>
          <w:p w14:paraId="36DD00BC">
            <w:pPr>
              <w:jc w:val="center"/>
              <w:rPr>
                <w:rFonts w:ascii="宋体" w:hAnsi="宋体"/>
              </w:rPr>
            </w:pPr>
            <w:r>
              <w:rPr>
                <w:rFonts w:hint="eastAsia" w:ascii="宋体" w:hAnsi="宋体"/>
              </w:rPr>
              <w:t>定标方法</w:t>
            </w:r>
          </w:p>
        </w:tc>
        <w:tc>
          <w:tcPr>
            <w:tcW w:w="517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219" w:type="dxa"/>
            <w:noWrap w:val="0"/>
            <w:vAlign w:val="center"/>
          </w:tcPr>
          <w:p w14:paraId="416F3067">
            <w:pPr>
              <w:jc w:val="center"/>
              <w:rPr>
                <w:rFonts w:ascii="宋体" w:hAnsi="宋体"/>
              </w:rPr>
            </w:pPr>
            <w:r>
              <w:rPr>
                <w:rFonts w:hint="eastAsia" w:ascii="宋体" w:hAnsi="宋体"/>
              </w:rPr>
              <w:t>履约担保</w:t>
            </w:r>
          </w:p>
        </w:tc>
        <w:tc>
          <w:tcPr>
            <w:tcW w:w="517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21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517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1"/>
    <w:p w14:paraId="3E0042D4">
      <w:pPr>
        <w:pStyle w:val="5"/>
        <w:spacing w:before="120" w:beforeLines="50" w:after="120" w:afterLines="50"/>
        <w:jc w:val="center"/>
        <w:rPr>
          <w:szCs w:val="24"/>
        </w:rPr>
      </w:pPr>
      <w:bookmarkStart w:id="33" w:name="_Hlk72218117"/>
      <w:r>
        <w:rPr>
          <w:rFonts w:hint="eastAsia"/>
          <w:szCs w:val="24"/>
        </w:rPr>
        <w:t>二、其他关键信息</w:t>
      </w:r>
    </w:p>
    <w:p w14:paraId="76FF46B8">
      <w:pPr>
        <w:ind w:firstLine="422" w:firstLineChars="200"/>
        <w:rPr>
          <w:b/>
          <w:bCs/>
        </w:rPr>
      </w:pPr>
      <w:bookmarkStart w:id="34"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2CEBA331">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w:t>
      </w:r>
      <w:r>
        <w:rPr>
          <w:rFonts w:hint="eastAsia" w:ascii="黑体" w:hAnsi="宋体" w:eastAsia="黑体"/>
          <w:sz w:val="24"/>
          <w:highlight w:val="yellow"/>
        </w:rPr>
        <w:t>、</w:t>
      </w:r>
      <w:r>
        <w:rPr>
          <w:rFonts w:hint="eastAsia" w:ascii="黑体" w:hAnsi="宋体" w:eastAsia="黑体"/>
          <w:sz w:val="24"/>
          <w:highlight w:val="yellow"/>
          <w:lang w:val="en-US" w:eastAsia="zh-CN"/>
        </w:rPr>
        <w:t>踏勘现场要求</w:t>
      </w:r>
    </w:p>
    <w:p w14:paraId="6D5B9DC9">
      <w:pPr>
        <w:pStyle w:val="10"/>
        <w:ind w:firstLine="420" w:firstLineChars="200"/>
        <w:rPr>
          <w:rFonts w:hint="default" w:ascii="宋体" w:hAnsi="宋体" w:eastAsia="宋体" w:cs="Times New Roman"/>
          <w:kern w:val="2"/>
          <w:sz w:val="21"/>
          <w:szCs w:val="21"/>
          <w:highlight w:val="yellow"/>
          <w:lang w:val="en-US" w:eastAsia="zh-CN" w:bidi="ar-SA"/>
        </w:rPr>
      </w:pPr>
      <w:r>
        <w:rPr>
          <w:rFonts w:hint="eastAsia" w:ascii="宋体" w:hAnsi="宋体" w:eastAsia="宋体" w:cs="Times New Roman"/>
          <w:kern w:val="2"/>
          <w:sz w:val="21"/>
          <w:szCs w:val="21"/>
          <w:highlight w:val="yellow"/>
          <w:lang w:val="en-US" w:eastAsia="zh-CN" w:bidi="ar-SA"/>
        </w:rPr>
        <w:t>（1）</w:t>
      </w:r>
      <w:r>
        <w:rPr>
          <w:rFonts w:hint="default" w:ascii="宋体" w:hAnsi="宋体" w:eastAsia="宋体" w:cs="Times New Roman"/>
          <w:kern w:val="2"/>
          <w:sz w:val="21"/>
          <w:szCs w:val="21"/>
          <w:highlight w:val="yellow"/>
          <w:lang w:val="en-US" w:eastAsia="zh-CN" w:bidi="ar-SA"/>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14:paraId="3A38BB4B">
      <w:pPr>
        <w:numPr>
          <w:ilvl w:val="0"/>
          <w:numId w:val="0"/>
        </w:numPr>
        <w:tabs>
          <w:tab w:val="left" w:pos="720"/>
        </w:tabs>
        <w:ind w:firstLine="420" w:firstLineChars="200"/>
        <w:rPr>
          <w:rFonts w:ascii="Arial" w:hAnsi="Arial" w:eastAsia="宋体" w:cs="Arial"/>
          <w:b/>
          <w:color w:val="000000"/>
          <w:sz w:val="32"/>
          <w:szCs w:val="32"/>
          <w:highlight w:val="yellow"/>
        </w:rPr>
      </w:pPr>
      <w:r>
        <w:rPr>
          <w:rFonts w:hint="eastAsia" w:ascii="宋体" w:hAnsi="宋体"/>
          <w:szCs w:val="21"/>
          <w:highlight w:val="yellow"/>
        </w:rPr>
        <w:t>（1）本项目安排踏勘现场，时间为2025年6月25日至2025年6月26日（正常上班时间，工作日9：00-12：00，14：00-18：00），投标人代表携带授权委托书及身份证原件到深圳市宝安区海天路1号；联系人：夏老师，联系电话：13922809097”。</w:t>
      </w:r>
    </w:p>
    <w:p w14:paraId="42BC8533">
      <w:pPr>
        <w:ind w:firstLine="422" w:firstLineChars="200"/>
        <w:rPr>
          <w:b/>
        </w:rPr>
      </w:pPr>
      <w:r>
        <w:rPr>
          <w:rFonts w:hint="eastAsia"/>
          <w:b/>
        </w:rPr>
        <w:t>（二）其他事项</w:t>
      </w:r>
      <w:bookmarkEnd w:id="34"/>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5"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5"/>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14"/>
        <w:rPr>
          <w:b/>
        </w:rPr>
      </w:pPr>
    </w:p>
    <w:p w14:paraId="646EADFC">
      <w:pPr>
        <w:pStyle w:val="14"/>
        <w:rPr>
          <w:b/>
        </w:rPr>
      </w:pPr>
    </w:p>
    <w:p w14:paraId="1F704D2D">
      <w:pPr>
        <w:pStyle w:val="14"/>
        <w:rPr>
          <w:b/>
        </w:rPr>
        <w:sectPr>
          <w:pgSz w:w="11907" w:h="16840"/>
          <w:pgMar w:top="1440" w:right="1797" w:bottom="1440" w:left="1797" w:header="851" w:footer="992" w:gutter="0"/>
          <w:cols w:space="425" w:num="1"/>
          <w:titlePg/>
          <w:docGrid w:linePitch="462" w:charSpace="0"/>
        </w:sectPr>
      </w:pPr>
    </w:p>
    <w:bookmarkEnd w:id="33"/>
    <w:p w14:paraId="01610635">
      <w:pPr>
        <w:pStyle w:val="5"/>
        <w:jc w:val="center"/>
        <w:rPr>
          <w:sz w:val="28"/>
          <w:szCs w:val="28"/>
        </w:rPr>
      </w:pPr>
      <w:r>
        <w:rPr>
          <w:rFonts w:hint="eastAsia"/>
          <w:sz w:val="28"/>
          <w:szCs w:val="28"/>
        </w:rPr>
        <w:t>第三章 用户需求书</w:t>
      </w:r>
    </w:p>
    <w:p w14:paraId="349BA98C">
      <w:pPr>
        <w:pStyle w:val="5"/>
        <w:spacing w:before="120" w:beforeLines="50" w:after="120" w:afterLines="50"/>
        <w:jc w:val="center"/>
        <w:rPr>
          <w:szCs w:val="24"/>
        </w:rPr>
      </w:pPr>
      <w:r>
        <w:rPr>
          <w:rFonts w:hint="eastAsia"/>
          <w:szCs w:val="24"/>
        </w:rPr>
        <w:t>一、项目基本信息</w:t>
      </w:r>
    </w:p>
    <w:p w14:paraId="23A1A685">
      <w:pPr>
        <w:rPr>
          <w:rFonts w:ascii="宋体" w:hAnsi="宋体"/>
          <w:b/>
          <w:color w:val="FF0000"/>
          <w:szCs w:val="21"/>
        </w:rPr>
      </w:pPr>
    </w:p>
    <w:tbl>
      <w:tblPr>
        <w:tblStyle w:val="17"/>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460"/>
        <w:gridCol w:w="3158"/>
        <w:gridCol w:w="2355"/>
      </w:tblGrid>
      <w:tr w14:paraId="5AE7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270EFCC7">
            <w:pPr>
              <w:jc w:val="center"/>
              <w:rPr>
                <w:bCs/>
                <w:szCs w:val="21"/>
              </w:rPr>
            </w:pPr>
            <w:r>
              <w:rPr>
                <w:rFonts w:hint="eastAsia"/>
                <w:bCs/>
                <w:szCs w:val="21"/>
              </w:rPr>
              <w:t>序号</w:t>
            </w:r>
          </w:p>
        </w:tc>
        <w:tc>
          <w:tcPr>
            <w:tcW w:w="2460" w:type="dxa"/>
            <w:vAlign w:val="center"/>
          </w:tcPr>
          <w:p w14:paraId="2ACE5305">
            <w:pPr>
              <w:jc w:val="center"/>
              <w:rPr>
                <w:bCs/>
                <w:szCs w:val="21"/>
              </w:rPr>
            </w:pPr>
            <w:r>
              <w:rPr>
                <w:rFonts w:hint="eastAsia"/>
                <w:szCs w:val="21"/>
              </w:rPr>
              <w:t>采购计划编号</w:t>
            </w:r>
          </w:p>
        </w:tc>
        <w:tc>
          <w:tcPr>
            <w:tcW w:w="3158" w:type="dxa"/>
            <w:vAlign w:val="center"/>
          </w:tcPr>
          <w:p w14:paraId="424E0E05">
            <w:pPr>
              <w:jc w:val="center"/>
              <w:rPr>
                <w:bCs/>
                <w:szCs w:val="21"/>
              </w:rPr>
            </w:pPr>
            <w:r>
              <w:rPr>
                <w:rFonts w:hint="eastAsia"/>
                <w:bCs/>
                <w:szCs w:val="21"/>
              </w:rPr>
              <w:t>采购项目名称</w:t>
            </w:r>
          </w:p>
        </w:tc>
        <w:tc>
          <w:tcPr>
            <w:tcW w:w="2355" w:type="dxa"/>
            <w:vAlign w:val="center"/>
          </w:tcPr>
          <w:p w14:paraId="520828E3">
            <w:pPr>
              <w:jc w:val="center"/>
              <w:rPr>
                <w:b/>
                <w:bCs/>
                <w:color w:val="FF0000"/>
                <w:szCs w:val="21"/>
              </w:rPr>
            </w:pPr>
            <w:r>
              <w:rPr>
                <w:rFonts w:hint="eastAsia"/>
                <w:b/>
                <w:bCs/>
                <w:color w:val="FF0000"/>
                <w:szCs w:val="21"/>
              </w:rPr>
              <w:t>财政预算限额（元）</w:t>
            </w:r>
          </w:p>
        </w:tc>
      </w:tr>
      <w:tr w14:paraId="1AA1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78D1E971">
            <w:pPr>
              <w:jc w:val="center"/>
              <w:rPr>
                <w:bCs/>
                <w:color w:val="FF0000"/>
                <w:szCs w:val="21"/>
              </w:rPr>
            </w:pPr>
            <w:r>
              <w:rPr>
                <w:rFonts w:hint="eastAsia"/>
                <w:bCs/>
                <w:color w:val="FF0000"/>
                <w:szCs w:val="21"/>
              </w:rPr>
              <w:t>1</w:t>
            </w:r>
          </w:p>
        </w:tc>
        <w:tc>
          <w:tcPr>
            <w:tcW w:w="2460" w:type="dxa"/>
            <w:vAlign w:val="center"/>
          </w:tcPr>
          <w:p w14:paraId="5AA3FDA4">
            <w:pPr>
              <w:jc w:val="center"/>
              <w:rPr>
                <w:bCs/>
                <w:color w:val="FF0000"/>
                <w:szCs w:val="21"/>
              </w:rPr>
            </w:pPr>
            <w:r>
              <w:rPr>
                <w:rFonts w:hint="eastAsia"/>
                <w:bCs/>
                <w:color w:val="FF0000"/>
                <w:szCs w:val="21"/>
              </w:rPr>
              <w:t>BAJYJ2025052707080A</w:t>
            </w:r>
          </w:p>
        </w:tc>
        <w:tc>
          <w:tcPr>
            <w:tcW w:w="3158" w:type="dxa"/>
            <w:vAlign w:val="center"/>
          </w:tcPr>
          <w:p w14:paraId="24D53B89">
            <w:pPr>
              <w:jc w:val="center"/>
            </w:pPr>
            <w:r>
              <w:rPr>
                <w:rFonts w:hint="eastAsia"/>
                <w:b/>
                <w:bCs/>
                <w:color w:val="FF0000"/>
                <w:szCs w:val="21"/>
              </w:rPr>
              <w:t>深圳市宝安中学（集团）海天学校校园网络系统采购项目</w:t>
            </w:r>
          </w:p>
        </w:tc>
        <w:tc>
          <w:tcPr>
            <w:tcW w:w="2355" w:type="dxa"/>
            <w:vAlign w:val="center"/>
          </w:tcPr>
          <w:p w14:paraId="761D636A">
            <w:pPr>
              <w:jc w:val="center"/>
              <w:rPr>
                <w:rFonts w:hint="default" w:eastAsia="宋体"/>
                <w:bCs/>
                <w:color w:val="FF0000"/>
                <w:szCs w:val="21"/>
                <w:lang w:val="en-US" w:eastAsia="zh-CN"/>
              </w:rPr>
            </w:pPr>
            <w:r>
              <w:rPr>
                <w:rFonts w:hint="eastAsia"/>
                <w:bCs/>
                <w:color w:val="FF0000"/>
                <w:szCs w:val="21"/>
                <w:lang w:val="en-US" w:eastAsia="zh-CN"/>
              </w:rPr>
              <w:t>270</w:t>
            </w:r>
            <w:r>
              <w:rPr>
                <w:rFonts w:hint="default" w:eastAsia="宋体"/>
                <w:bCs/>
                <w:color w:val="FF0000"/>
                <w:szCs w:val="21"/>
                <w:lang w:val="en-US" w:eastAsia="zh-CN"/>
              </w:rPr>
              <w:t>,000.00</w:t>
            </w:r>
          </w:p>
        </w:tc>
      </w:tr>
      <w:tr w14:paraId="5C4D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9" w:type="dxa"/>
            <w:gridSpan w:val="3"/>
            <w:vAlign w:val="center"/>
          </w:tcPr>
          <w:p w14:paraId="62A003BE">
            <w:pPr>
              <w:jc w:val="center"/>
              <w:rPr>
                <w:b/>
                <w:bCs/>
                <w:color w:val="FF0000"/>
                <w:szCs w:val="21"/>
              </w:rPr>
            </w:pPr>
            <w:r>
              <w:rPr>
                <w:b/>
                <w:bCs/>
                <w:color w:val="FF0000"/>
                <w:szCs w:val="21"/>
              </w:rPr>
              <w:t>合计</w:t>
            </w:r>
          </w:p>
        </w:tc>
        <w:tc>
          <w:tcPr>
            <w:tcW w:w="2355" w:type="dxa"/>
            <w:vAlign w:val="center"/>
          </w:tcPr>
          <w:p w14:paraId="30EF41A1">
            <w:pPr>
              <w:jc w:val="center"/>
              <w:rPr>
                <w:rFonts w:hint="default" w:eastAsia="宋体"/>
                <w:bCs/>
                <w:color w:val="FF0000"/>
                <w:szCs w:val="21"/>
                <w:lang w:val="en-US" w:eastAsia="zh-CN"/>
              </w:rPr>
            </w:pPr>
            <w:r>
              <w:rPr>
                <w:rFonts w:hint="eastAsia"/>
                <w:bCs/>
                <w:color w:val="FF0000"/>
                <w:szCs w:val="21"/>
                <w:lang w:val="en-US" w:eastAsia="zh-CN"/>
              </w:rPr>
              <w:t>270</w:t>
            </w:r>
            <w:r>
              <w:rPr>
                <w:rFonts w:hint="default" w:eastAsia="宋体"/>
                <w:bCs/>
                <w:color w:val="FF0000"/>
                <w:szCs w:val="21"/>
                <w:lang w:val="en-US" w:eastAsia="zh-CN"/>
              </w:rPr>
              <w:t>,000.00</w:t>
            </w:r>
          </w:p>
        </w:tc>
      </w:tr>
    </w:tbl>
    <w:p w14:paraId="6AE630ED">
      <w:pPr>
        <w:rPr>
          <w:rFonts w:ascii="宋体" w:hAnsi="宋体"/>
          <w:b/>
          <w:color w:val="FF0000"/>
          <w:szCs w:val="21"/>
        </w:rPr>
      </w:pPr>
    </w:p>
    <w:p w14:paraId="15C0B928">
      <w:pPr>
        <w:pStyle w:val="5"/>
        <w:spacing w:before="120" w:beforeLines="50" w:after="120" w:afterLines="50"/>
        <w:jc w:val="center"/>
        <w:rPr>
          <w:szCs w:val="24"/>
        </w:rPr>
      </w:pPr>
      <w:bookmarkStart w:id="36" w:name="_Hlk72258617"/>
      <w:r>
        <w:rPr>
          <w:rFonts w:hint="eastAsia"/>
          <w:szCs w:val="24"/>
        </w:rPr>
        <w:t>二、</w:t>
      </w:r>
      <w:bookmarkStart w:id="37" w:name="_Hlk72073432"/>
      <w:r>
        <w:rPr>
          <w:rFonts w:hint="eastAsia"/>
          <w:szCs w:val="24"/>
        </w:rPr>
        <w:t>货物需求明细</w:t>
      </w:r>
      <w:bookmarkEnd w:id="37"/>
    </w:p>
    <w:tbl>
      <w:tblPr>
        <w:tblStyle w:val="17"/>
        <w:tblW w:w="46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126"/>
        <w:gridCol w:w="1868"/>
        <w:gridCol w:w="606"/>
        <w:gridCol w:w="612"/>
        <w:gridCol w:w="956"/>
        <w:gridCol w:w="1226"/>
        <w:gridCol w:w="926"/>
      </w:tblGrid>
      <w:tr w14:paraId="324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9" w:type="pct"/>
            <w:vAlign w:val="center"/>
          </w:tcPr>
          <w:p w14:paraId="1BA355AF">
            <w:pPr>
              <w:jc w:val="center"/>
              <w:rPr>
                <w:bCs/>
                <w:szCs w:val="21"/>
              </w:rPr>
            </w:pPr>
            <w:r>
              <w:rPr>
                <w:rFonts w:hint="eastAsia"/>
                <w:bCs/>
                <w:szCs w:val="21"/>
              </w:rPr>
              <w:t>序号</w:t>
            </w:r>
          </w:p>
        </w:tc>
        <w:tc>
          <w:tcPr>
            <w:tcW w:w="716" w:type="pct"/>
            <w:vAlign w:val="center"/>
          </w:tcPr>
          <w:p w14:paraId="6DE0A7D2">
            <w:pPr>
              <w:jc w:val="center"/>
              <w:rPr>
                <w:bCs/>
                <w:szCs w:val="21"/>
              </w:rPr>
            </w:pPr>
            <w:r>
              <w:rPr>
                <w:rFonts w:hint="eastAsia"/>
                <w:szCs w:val="21"/>
              </w:rPr>
              <w:t>采购计划编号</w:t>
            </w:r>
          </w:p>
        </w:tc>
        <w:tc>
          <w:tcPr>
            <w:tcW w:w="1189" w:type="pct"/>
            <w:vAlign w:val="center"/>
          </w:tcPr>
          <w:p w14:paraId="4453BB1D">
            <w:pPr>
              <w:jc w:val="center"/>
              <w:rPr>
                <w:bCs/>
                <w:szCs w:val="21"/>
              </w:rPr>
            </w:pPr>
            <w:r>
              <w:rPr>
                <w:rFonts w:hint="eastAsia"/>
                <w:bCs/>
                <w:szCs w:val="21"/>
              </w:rPr>
              <w:t>货物名称（标的名称）</w:t>
            </w:r>
          </w:p>
        </w:tc>
        <w:tc>
          <w:tcPr>
            <w:tcW w:w="385" w:type="pct"/>
            <w:vAlign w:val="center"/>
          </w:tcPr>
          <w:p w14:paraId="7D18D0E3">
            <w:pPr>
              <w:jc w:val="center"/>
              <w:rPr>
                <w:bCs/>
                <w:szCs w:val="21"/>
              </w:rPr>
            </w:pPr>
            <w:r>
              <w:rPr>
                <w:rFonts w:hint="eastAsia"/>
                <w:bCs/>
                <w:szCs w:val="21"/>
              </w:rPr>
              <w:t>数量</w:t>
            </w:r>
          </w:p>
        </w:tc>
        <w:tc>
          <w:tcPr>
            <w:tcW w:w="389" w:type="pct"/>
            <w:vAlign w:val="center"/>
          </w:tcPr>
          <w:p w14:paraId="3A0532B4">
            <w:pPr>
              <w:jc w:val="center"/>
              <w:rPr>
                <w:bCs/>
                <w:szCs w:val="21"/>
              </w:rPr>
            </w:pPr>
            <w:r>
              <w:rPr>
                <w:rFonts w:hint="eastAsia"/>
                <w:bCs/>
                <w:szCs w:val="21"/>
              </w:rPr>
              <w:t>单位</w:t>
            </w:r>
          </w:p>
        </w:tc>
        <w:tc>
          <w:tcPr>
            <w:tcW w:w="608" w:type="pct"/>
            <w:vAlign w:val="center"/>
          </w:tcPr>
          <w:p w14:paraId="05E3131E">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80" w:type="pct"/>
            <w:vAlign w:val="center"/>
          </w:tcPr>
          <w:p w14:paraId="5DE51B87">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589" w:type="pct"/>
            <w:vAlign w:val="center"/>
          </w:tcPr>
          <w:p w14:paraId="695E3BBB">
            <w:pPr>
              <w:jc w:val="center"/>
              <w:rPr>
                <w:rFonts w:hint="default"/>
                <w:b/>
                <w:bCs/>
                <w:color w:val="FF0000"/>
                <w:szCs w:val="21"/>
                <w:lang w:val="en-US" w:eastAsia="zh-CN"/>
              </w:rPr>
            </w:pPr>
            <w:r>
              <w:rPr>
                <w:rFonts w:hint="eastAsia"/>
                <w:b/>
                <w:bCs/>
                <w:color w:val="FF0000"/>
                <w:szCs w:val="21"/>
                <w:lang w:val="en-US" w:eastAsia="zh-CN"/>
              </w:rPr>
              <w:t>标的所属行业</w:t>
            </w:r>
          </w:p>
        </w:tc>
      </w:tr>
      <w:tr w14:paraId="0BFE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39" w:type="pct"/>
            <w:shd w:val="clear" w:color="auto" w:fill="auto"/>
            <w:vAlign w:val="center"/>
          </w:tcPr>
          <w:p w14:paraId="377A9DAE">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1</w:t>
            </w:r>
          </w:p>
        </w:tc>
        <w:tc>
          <w:tcPr>
            <w:tcW w:w="716" w:type="pct"/>
            <w:vMerge w:val="restart"/>
            <w:vAlign w:val="center"/>
          </w:tcPr>
          <w:p w14:paraId="6F2EFE65">
            <w:pPr>
              <w:jc w:val="center"/>
              <w:rPr>
                <w:bCs/>
                <w:szCs w:val="21"/>
              </w:rPr>
            </w:pPr>
            <w:r>
              <w:rPr>
                <w:rFonts w:hint="eastAsia"/>
                <w:bCs/>
                <w:szCs w:val="21"/>
              </w:rPr>
              <w:t>BAJYJ2025052707080A</w:t>
            </w:r>
          </w:p>
        </w:tc>
        <w:tc>
          <w:tcPr>
            <w:tcW w:w="1868" w:type="dxa"/>
            <w:shd w:val="clear" w:color="auto" w:fill="auto"/>
            <w:vAlign w:val="center"/>
          </w:tcPr>
          <w:p w14:paraId="18E667AD">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光网络单元 1</w:t>
            </w:r>
          </w:p>
        </w:tc>
        <w:tc>
          <w:tcPr>
            <w:tcW w:w="606" w:type="dxa"/>
            <w:shd w:val="clear" w:color="auto" w:fill="auto"/>
            <w:vAlign w:val="center"/>
          </w:tcPr>
          <w:p w14:paraId="330188C5">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14</w:t>
            </w:r>
          </w:p>
        </w:tc>
        <w:tc>
          <w:tcPr>
            <w:tcW w:w="612" w:type="dxa"/>
            <w:shd w:val="clear" w:color="auto" w:fill="auto"/>
            <w:vAlign w:val="center"/>
          </w:tcPr>
          <w:p w14:paraId="51A21965">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台</w:t>
            </w:r>
          </w:p>
        </w:tc>
        <w:tc>
          <w:tcPr>
            <w:tcW w:w="608" w:type="pct"/>
            <w:vMerge w:val="restart"/>
            <w:vAlign w:val="center"/>
          </w:tcPr>
          <w:p w14:paraId="06F36239">
            <w:pPr>
              <w:jc w:val="center"/>
              <w:rPr>
                <w:b/>
                <w:bCs/>
                <w:color w:val="FF0000"/>
                <w:szCs w:val="21"/>
              </w:rPr>
            </w:pPr>
            <w:r>
              <w:rPr>
                <w:rFonts w:hint="eastAsia"/>
                <w:b/>
                <w:bCs/>
                <w:szCs w:val="21"/>
              </w:rPr>
              <w:t>拒绝进口</w:t>
            </w:r>
          </w:p>
        </w:tc>
        <w:tc>
          <w:tcPr>
            <w:tcW w:w="780" w:type="pct"/>
            <w:vMerge w:val="restart"/>
            <w:vAlign w:val="center"/>
          </w:tcPr>
          <w:p w14:paraId="498B3639">
            <w:pPr>
              <w:jc w:val="center"/>
              <w:rPr>
                <w:rFonts w:hint="eastAsia" w:eastAsia="宋体"/>
                <w:b/>
                <w:bCs/>
                <w:color w:val="FF0000"/>
                <w:szCs w:val="21"/>
                <w:lang w:val="en-US" w:eastAsia="zh-CN"/>
              </w:rPr>
            </w:pPr>
            <w:r>
              <w:rPr>
                <w:rFonts w:hint="eastAsia"/>
                <w:b/>
                <w:bCs/>
                <w:color w:val="FF0000"/>
                <w:szCs w:val="21"/>
                <w:lang w:val="en-US" w:eastAsia="zh-CN"/>
              </w:rPr>
              <w:t>否</w:t>
            </w:r>
          </w:p>
        </w:tc>
        <w:tc>
          <w:tcPr>
            <w:tcW w:w="589" w:type="pct"/>
            <w:vMerge w:val="restart"/>
            <w:vAlign w:val="center"/>
          </w:tcPr>
          <w:p w14:paraId="7875C3F6">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477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9" w:type="pct"/>
            <w:shd w:val="clear" w:color="auto" w:fill="auto"/>
            <w:vAlign w:val="center"/>
          </w:tcPr>
          <w:p w14:paraId="5DC1CDFC">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2</w:t>
            </w:r>
          </w:p>
        </w:tc>
        <w:tc>
          <w:tcPr>
            <w:tcW w:w="716" w:type="pct"/>
            <w:vMerge w:val="continue"/>
            <w:vAlign w:val="center"/>
          </w:tcPr>
          <w:p w14:paraId="19CFD09E">
            <w:pPr>
              <w:jc w:val="center"/>
              <w:rPr>
                <w:bCs/>
                <w:szCs w:val="21"/>
              </w:rPr>
            </w:pPr>
          </w:p>
        </w:tc>
        <w:tc>
          <w:tcPr>
            <w:tcW w:w="1868" w:type="dxa"/>
            <w:shd w:val="clear" w:color="auto" w:fill="auto"/>
            <w:vAlign w:val="center"/>
          </w:tcPr>
          <w:p w14:paraId="7B097E01">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光网络单元2</w:t>
            </w:r>
          </w:p>
        </w:tc>
        <w:tc>
          <w:tcPr>
            <w:tcW w:w="606" w:type="dxa"/>
            <w:shd w:val="clear" w:color="auto" w:fill="auto"/>
            <w:vAlign w:val="center"/>
          </w:tcPr>
          <w:p w14:paraId="1FDEAD98">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41</w:t>
            </w:r>
          </w:p>
        </w:tc>
        <w:tc>
          <w:tcPr>
            <w:tcW w:w="612" w:type="dxa"/>
            <w:shd w:val="clear" w:color="auto" w:fill="auto"/>
            <w:vAlign w:val="center"/>
          </w:tcPr>
          <w:p w14:paraId="633A0984">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台</w:t>
            </w:r>
          </w:p>
        </w:tc>
        <w:tc>
          <w:tcPr>
            <w:tcW w:w="608" w:type="pct"/>
            <w:vMerge w:val="continue"/>
            <w:vAlign w:val="center"/>
          </w:tcPr>
          <w:p w14:paraId="7E38CECE">
            <w:pPr>
              <w:jc w:val="center"/>
              <w:rPr>
                <w:b/>
                <w:bCs/>
                <w:color w:val="FF0000"/>
                <w:szCs w:val="21"/>
              </w:rPr>
            </w:pPr>
          </w:p>
        </w:tc>
        <w:tc>
          <w:tcPr>
            <w:tcW w:w="780" w:type="pct"/>
            <w:vMerge w:val="continue"/>
            <w:vAlign w:val="center"/>
          </w:tcPr>
          <w:p w14:paraId="3560E1D8">
            <w:pPr>
              <w:jc w:val="center"/>
              <w:rPr>
                <w:rFonts w:hint="eastAsia"/>
                <w:b/>
                <w:bCs/>
                <w:color w:val="FF0000"/>
                <w:szCs w:val="21"/>
              </w:rPr>
            </w:pPr>
          </w:p>
        </w:tc>
        <w:tc>
          <w:tcPr>
            <w:tcW w:w="589" w:type="pct"/>
            <w:vMerge w:val="continue"/>
            <w:vAlign w:val="center"/>
          </w:tcPr>
          <w:p w14:paraId="230F5E39">
            <w:pPr>
              <w:jc w:val="center"/>
              <w:rPr>
                <w:rFonts w:hint="eastAsia"/>
                <w:b/>
                <w:bCs/>
                <w:color w:val="FF0000"/>
                <w:szCs w:val="21"/>
              </w:rPr>
            </w:pPr>
          </w:p>
        </w:tc>
      </w:tr>
      <w:tr w14:paraId="612C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556BE78">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3</w:t>
            </w:r>
          </w:p>
        </w:tc>
        <w:tc>
          <w:tcPr>
            <w:tcW w:w="716" w:type="pct"/>
            <w:vMerge w:val="continue"/>
          </w:tcPr>
          <w:p w14:paraId="3592EB95">
            <w:pPr>
              <w:jc w:val="center"/>
              <w:rPr>
                <w:bCs/>
                <w:szCs w:val="21"/>
              </w:rPr>
            </w:pPr>
          </w:p>
        </w:tc>
        <w:tc>
          <w:tcPr>
            <w:tcW w:w="1868" w:type="dxa"/>
            <w:shd w:val="clear" w:color="auto" w:fill="auto"/>
            <w:vAlign w:val="center"/>
          </w:tcPr>
          <w:p w14:paraId="2F8B3BEA">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光网络单元3</w:t>
            </w:r>
          </w:p>
        </w:tc>
        <w:tc>
          <w:tcPr>
            <w:tcW w:w="606" w:type="dxa"/>
            <w:shd w:val="clear" w:color="auto" w:fill="auto"/>
            <w:vAlign w:val="center"/>
          </w:tcPr>
          <w:p w14:paraId="20954DB3">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1</w:t>
            </w:r>
          </w:p>
        </w:tc>
        <w:tc>
          <w:tcPr>
            <w:tcW w:w="612" w:type="dxa"/>
            <w:shd w:val="clear" w:color="auto" w:fill="auto"/>
            <w:vAlign w:val="center"/>
          </w:tcPr>
          <w:p w14:paraId="7DC9752E">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台</w:t>
            </w:r>
          </w:p>
        </w:tc>
        <w:tc>
          <w:tcPr>
            <w:tcW w:w="608" w:type="pct"/>
            <w:vMerge w:val="continue"/>
          </w:tcPr>
          <w:p w14:paraId="6F5D1C3C">
            <w:pPr>
              <w:jc w:val="center"/>
              <w:rPr>
                <w:b/>
                <w:bCs/>
                <w:color w:val="FF0000"/>
                <w:szCs w:val="21"/>
              </w:rPr>
            </w:pPr>
          </w:p>
        </w:tc>
        <w:tc>
          <w:tcPr>
            <w:tcW w:w="780" w:type="pct"/>
            <w:vMerge w:val="continue"/>
          </w:tcPr>
          <w:p w14:paraId="1CB873E0">
            <w:pPr>
              <w:jc w:val="center"/>
              <w:rPr>
                <w:rFonts w:hint="eastAsia"/>
                <w:b/>
                <w:bCs/>
                <w:color w:val="FF0000"/>
                <w:szCs w:val="21"/>
              </w:rPr>
            </w:pPr>
          </w:p>
        </w:tc>
        <w:tc>
          <w:tcPr>
            <w:tcW w:w="589" w:type="pct"/>
            <w:vMerge w:val="continue"/>
          </w:tcPr>
          <w:p w14:paraId="4D864651">
            <w:pPr>
              <w:jc w:val="center"/>
              <w:rPr>
                <w:rFonts w:hint="eastAsia"/>
                <w:b/>
                <w:bCs/>
                <w:color w:val="FF0000"/>
                <w:szCs w:val="21"/>
              </w:rPr>
            </w:pPr>
          </w:p>
        </w:tc>
      </w:tr>
      <w:tr w14:paraId="3E73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22D0568">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4</w:t>
            </w:r>
          </w:p>
        </w:tc>
        <w:tc>
          <w:tcPr>
            <w:tcW w:w="716" w:type="pct"/>
            <w:vMerge w:val="continue"/>
          </w:tcPr>
          <w:p w14:paraId="5697B6EA">
            <w:pPr>
              <w:jc w:val="center"/>
              <w:rPr>
                <w:bCs/>
                <w:szCs w:val="21"/>
              </w:rPr>
            </w:pPr>
          </w:p>
        </w:tc>
        <w:tc>
          <w:tcPr>
            <w:tcW w:w="1868" w:type="dxa"/>
            <w:shd w:val="clear" w:color="auto" w:fill="auto"/>
            <w:vAlign w:val="center"/>
          </w:tcPr>
          <w:p w14:paraId="6198CE40">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光网络单元 4</w:t>
            </w:r>
          </w:p>
        </w:tc>
        <w:tc>
          <w:tcPr>
            <w:tcW w:w="606" w:type="dxa"/>
            <w:shd w:val="clear" w:color="auto" w:fill="auto"/>
            <w:vAlign w:val="center"/>
          </w:tcPr>
          <w:p w14:paraId="66D38888">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4</w:t>
            </w:r>
          </w:p>
        </w:tc>
        <w:tc>
          <w:tcPr>
            <w:tcW w:w="612" w:type="dxa"/>
            <w:shd w:val="clear" w:color="auto" w:fill="auto"/>
            <w:vAlign w:val="center"/>
          </w:tcPr>
          <w:p w14:paraId="4581EEE0">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台</w:t>
            </w:r>
          </w:p>
        </w:tc>
        <w:tc>
          <w:tcPr>
            <w:tcW w:w="608" w:type="pct"/>
            <w:vMerge w:val="continue"/>
          </w:tcPr>
          <w:p w14:paraId="18A44F31">
            <w:pPr>
              <w:jc w:val="center"/>
              <w:rPr>
                <w:b/>
                <w:bCs/>
                <w:color w:val="FF0000"/>
                <w:szCs w:val="21"/>
              </w:rPr>
            </w:pPr>
          </w:p>
        </w:tc>
        <w:tc>
          <w:tcPr>
            <w:tcW w:w="780" w:type="pct"/>
            <w:vMerge w:val="continue"/>
          </w:tcPr>
          <w:p w14:paraId="115B4A42">
            <w:pPr>
              <w:jc w:val="center"/>
              <w:rPr>
                <w:rFonts w:hint="eastAsia"/>
                <w:b/>
                <w:bCs/>
                <w:color w:val="FF0000"/>
                <w:szCs w:val="21"/>
              </w:rPr>
            </w:pPr>
          </w:p>
        </w:tc>
        <w:tc>
          <w:tcPr>
            <w:tcW w:w="589" w:type="pct"/>
            <w:vMerge w:val="continue"/>
          </w:tcPr>
          <w:p w14:paraId="65AB82BF">
            <w:pPr>
              <w:jc w:val="center"/>
              <w:rPr>
                <w:rFonts w:hint="eastAsia"/>
                <w:b/>
                <w:bCs/>
                <w:color w:val="FF0000"/>
                <w:szCs w:val="21"/>
              </w:rPr>
            </w:pPr>
          </w:p>
        </w:tc>
      </w:tr>
      <w:tr w14:paraId="65DF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30EC6C9">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5</w:t>
            </w:r>
          </w:p>
        </w:tc>
        <w:tc>
          <w:tcPr>
            <w:tcW w:w="716" w:type="pct"/>
            <w:vMerge w:val="continue"/>
          </w:tcPr>
          <w:p w14:paraId="784C48E2">
            <w:pPr>
              <w:jc w:val="center"/>
              <w:rPr>
                <w:bCs/>
                <w:szCs w:val="21"/>
              </w:rPr>
            </w:pPr>
          </w:p>
        </w:tc>
        <w:tc>
          <w:tcPr>
            <w:tcW w:w="1868" w:type="dxa"/>
            <w:shd w:val="clear" w:color="auto" w:fill="auto"/>
            <w:vAlign w:val="center"/>
          </w:tcPr>
          <w:p w14:paraId="12C1402D">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线材及施工</w:t>
            </w:r>
          </w:p>
        </w:tc>
        <w:tc>
          <w:tcPr>
            <w:tcW w:w="606" w:type="dxa"/>
            <w:shd w:val="clear" w:color="auto" w:fill="auto"/>
            <w:vAlign w:val="center"/>
          </w:tcPr>
          <w:p w14:paraId="36254020">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1</w:t>
            </w:r>
          </w:p>
        </w:tc>
        <w:tc>
          <w:tcPr>
            <w:tcW w:w="612" w:type="dxa"/>
            <w:shd w:val="clear" w:color="auto" w:fill="auto"/>
            <w:vAlign w:val="center"/>
          </w:tcPr>
          <w:p w14:paraId="43A9C93F">
            <w:pPr>
              <w:widowControl/>
              <w:wordWrap w:val="0"/>
              <w:spacing w:line="320" w:lineRule="exact"/>
              <w:jc w:val="center"/>
              <w:textAlignment w:val="center"/>
              <w:rPr>
                <w:rFonts w:hint="eastAsia" w:ascii="宋体" w:hAnsi="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项</w:t>
            </w:r>
          </w:p>
        </w:tc>
        <w:tc>
          <w:tcPr>
            <w:tcW w:w="608" w:type="pct"/>
            <w:vMerge w:val="continue"/>
          </w:tcPr>
          <w:p w14:paraId="045378C1">
            <w:pPr>
              <w:jc w:val="center"/>
              <w:rPr>
                <w:b/>
                <w:bCs/>
                <w:color w:val="FF0000"/>
                <w:szCs w:val="21"/>
              </w:rPr>
            </w:pPr>
          </w:p>
        </w:tc>
        <w:tc>
          <w:tcPr>
            <w:tcW w:w="780" w:type="pct"/>
            <w:vMerge w:val="continue"/>
          </w:tcPr>
          <w:p w14:paraId="3FCC3FA2">
            <w:pPr>
              <w:jc w:val="center"/>
              <w:rPr>
                <w:rFonts w:hint="eastAsia"/>
                <w:b/>
                <w:bCs/>
                <w:color w:val="FF0000"/>
                <w:szCs w:val="21"/>
              </w:rPr>
            </w:pPr>
          </w:p>
        </w:tc>
        <w:tc>
          <w:tcPr>
            <w:tcW w:w="589" w:type="pct"/>
            <w:vMerge w:val="continue"/>
          </w:tcPr>
          <w:p w14:paraId="777EA888">
            <w:pPr>
              <w:jc w:val="center"/>
              <w:rPr>
                <w:rFonts w:hint="eastAsia"/>
                <w:b/>
                <w:bCs/>
                <w:color w:val="FF0000"/>
                <w:szCs w:val="21"/>
              </w:rPr>
            </w:pPr>
          </w:p>
        </w:tc>
      </w:tr>
    </w:tbl>
    <w:p w14:paraId="55CE5125">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674FB4F6">
      <w:pPr>
        <w:numPr>
          <w:ilvl w:val="0"/>
          <w:numId w:val="4"/>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3F022F17">
      <w:pPr>
        <w:numPr>
          <w:ilvl w:val="0"/>
          <w:numId w:val="4"/>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5EBA6D36">
      <w:pPr>
        <w:numPr>
          <w:ilvl w:val="0"/>
          <w:numId w:val="4"/>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6A1241F0">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光网络单元2 </w:t>
      </w:r>
      <w:r>
        <w:rPr>
          <w:rFonts w:hint="eastAsia" w:ascii="宋体" w:hAnsi="宋体"/>
          <w:b/>
          <w:color w:val="FF0000"/>
          <w:szCs w:val="21"/>
        </w:rPr>
        <w:t>。</w:t>
      </w:r>
    </w:p>
    <w:bookmarkEnd w:id="36"/>
    <w:p w14:paraId="1EB7BDA0">
      <w:pPr>
        <w:rPr>
          <w:rFonts w:hint="eastAsia"/>
          <w:sz w:val="28"/>
          <w:szCs w:val="28"/>
        </w:rPr>
      </w:pPr>
      <w:bookmarkStart w:id="38" w:name="_Toc128884461"/>
      <w:r>
        <w:rPr>
          <w:rFonts w:hint="eastAsia"/>
          <w:sz w:val="28"/>
          <w:szCs w:val="28"/>
        </w:rPr>
        <w:br w:type="page"/>
      </w:r>
    </w:p>
    <w:p w14:paraId="4630C597">
      <w:pPr>
        <w:pStyle w:val="5"/>
        <w:spacing w:before="120" w:beforeLines="50" w:after="120" w:afterLines="50"/>
        <w:jc w:val="center"/>
        <w:rPr>
          <w:sz w:val="28"/>
          <w:szCs w:val="28"/>
        </w:rPr>
      </w:pPr>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0E65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1F9D819">
            <w:r>
              <w:rPr>
                <w:rFonts w:hint="eastAsia"/>
              </w:rPr>
              <w:t>序号</w:t>
            </w:r>
          </w:p>
        </w:tc>
        <w:tc>
          <w:tcPr>
            <w:tcW w:w="7832" w:type="dxa"/>
            <w:noWrap w:val="0"/>
            <w:vAlign w:val="center"/>
          </w:tcPr>
          <w:p w14:paraId="3CED5113">
            <w:pPr>
              <w:jc w:val="center"/>
            </w:pPr>
            <w:r>
              <w:rPr>
                <w:rFonts w:hint="eastAsia"/>
              </w:rPr>
              <w:t>实质性条款具体内容</w:t>
            </w:r>
          </w:p>
        </w:tc>
      </w:tr>
      <w:tr w14:paraId="4E26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25A4B7CD">
            <w:pPr>
              <w:jc w:val="center"/>
            </w:pPr>
            <w:r>
              <w:rPr>
                <w:rFonts w:hint="eastAsia"/>
              </w:rPr>
              <w:t>1</w:t>
            </w:r>
          </w:p>
        </w:tc>
        <w:tc>
          <w:tcPr>
            <w:tcW w:w="7832" w:type="dxa"/>
            <w:noWrap w:val="0"/>
            <w:vAlign w:val="top"/>
          </w:tcPr>
          <w:p w14:paraId="638C94E2">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26B75353">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8"/>
    <w:p w14:paraId="062CE5D1">
      <w:pPr>
        <w:pStyle w:val="7"/>
      </w:pPr>
    </w:p>
    <w:p w14:paraId="3866B0E7">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A50514E">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0147BD9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518AF59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0FE2132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0C12336E">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5BAC2CC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44C6A9E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4EFE823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869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5"/>
        <w:gridCol w:w="1125"/>
        <w:gridCol w:w="7050"/>
      </w:tblGrid>
      <w:tr w14:paraId="36862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0D22">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序号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DB26">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货物名称</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606A">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招标技术要求</w:t>
            </w:r>
          </w:p>
        </w:tc>
      </w:tr>
      <w:tr w14:paraId="5161C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D1C8D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p w14:paraId="25FB05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9A022">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光网络单元</w:t>
            </w:r>
            <w:r>
              <w:rPr>
                <w:rFonts w:hint="eastAsia" w:ascii="宋体" w:hAnsi="宋体" w:cs="宋体"/>
                <w:i w:val="0"/>
                <w:iCs w:val="0"/>
                <w:color w:val="000000"/>
                <w:kern w:val="0"/>
                <w:sz w:val="21"/>
                <w:szCs w:val="21"/>
                <w:u w:val="none"/>
                <w:lang w:val="en-US" w:eastAsia="zh-CN" w:bidi="ar"/>
              </w:rPr>
              <w:t>1</w:t>
            </w:r>
          </w:p>
          <w:p w14:paraId="3F1022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41ED1CB2">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1.上行提供≥1*XGS-PON 接口、下行支持≥8GE</w:t>
            </w:r>
          </w:p>
        </w:tc>
      </w:tr>
      <w:tr w14:paraId="0DA95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8A825">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792DC">
            <w:pPr>
              <w:jc w:val="left"/>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A43C6F3">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2.防雷性能：AC 电源：共模 6kV，差模 6kV</w:t>
            </w:r>
          </w:p>
        </w:tc>
      </w:tr>
      <w:tr w14:paraId="01AB8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CFCC7">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4747E">
            <w:pPr>
              <w:jc w:val="left"/>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096C2B4F">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3.统一网管,即插即用：支持免现场软调、远程验收、远程升级打补丁、远程故障定位等多种管理维护方法</w:t>
            </w:r>
          </w:p>
        </w:tc>
      </w:tr>
      <w:tr w14:paraId="5D4B0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23E64">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62C9">
            <w:pPr>
              <w:jc w:val="left"/>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D385CD9">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4.认证方式：支持802.1x认证</w:t>
            </w:r>
          </w:p>
        </w:tc>
      </w:tr>
      <w:tr w14:paraId="57ABC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E3D6F">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80376">
            <w:pPr>
              <w:jc w:val="left"/>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445D038">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5.▲本设备支持根据ONU序列号对其合法性进行认证的能力，可选支持同时采用序列号和password对ONU进行合法性认证，应拒绝非法ONU接入网络获得服务。非法ONU事件应记入系统日志，并应产生相应警告信息。</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r>
      <w:tr w14:paraId="448CC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6BEFE">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5F5F6">
            <w:pPr>
              <w:jc w:val="left"/>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E941A53">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6.支持Type B(单、双归属)保护</w:t>
            </w:r>
          </w:p>
        </w:tc>
      </w:tr>
      <w:tr w14:paraId="11F13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7422F">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C30C9">
            <w:pPr>
              <w:jc w:val="left"/>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42490A7">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7.本设备应通过管理接口IPv6访问控制功能测试，可以通过 IPv6为远程连接用户提供访问控制，拒绝未通过验证的连接；通过基于IPv6的Telnet 访问安全测试(设备支持Telnet登录时测试)，能够限制基于IPv6的Telnet访问的数目。</w:t>
            </w:r>
          </w:p>
        </w:tc>
      </w:tr>
      <w:tr w14:paraId="67E89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D07EE">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C7347">
            <w:pPr>
              <w:jc w:val="left"/>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81DDAAB">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8.本设备应具备对系统性能管理事件的当天和前一天的每15分钟计数以及24小时计数功能，统计参数应包括 PON 接口性能参数、网络侧和用户侧接口性能参数等</w:t>
            </w:r>
          </w:p>
        </w:tc>
      </w:tr>
      <w:tr w14:paraId="3D3A1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8E678">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3F8DF">
            <w:pPr>
              <w:jc w:val="left"/>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4BDA3218">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9.▲本设备应能启动性能测量功能，采集和处理测量数据，分析测量结果；应能对系统的各个部分进行持续的或间断的测试、观察和监测，以发现故障或性能的降低</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r>
      <w:tr w14:paraId="446C7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0B4F6">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FBA25">
            <w:pPr>
              <w:jc w:val="left"/>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C46E286">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10.★要求与学校现有OLT设备无缝兼容，接入学校现有OLT进行统一纳管。</w:t>
            </w:r>
          </w:p>
        </w:tc>
      </w:tr>
      <w:tr w14:paraId="67D63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62E00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p w14:paraId="4E0333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52E90">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光网络单元</w:t>
            </w:r>
            <w:r>
              <w:rPr>
                <w:rFonts w:hint="eastAsia" w:ascii="宋体" w:hAnsi="宋体" w:cs="宋体"/>
                <w:i w:val="0"/>
                <w:iCs w:val="0"/>
                <w:color w:val="000000"/>
                <w:kern w:val="0"/>
                <w:sz w:val="21"/>
                <w:szCs w:val="21"/>
                <w:u w:val="none"/>
                <w:lang w:val="en-US" w:eastAsia="zh-CN" w:bidi="ar"/>
              </w:rPr>
              <w:t>2</w:t>
            </w:r>
          </w:p>
          <w:p w14:paraId="7AC0DF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E5DF33F">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11.上行提供≥1*XGS-PON 接口、下行支持≥8GE，GE接口均支持PoE/PoE+</w:t>
            </w:r>
          </w:p>
        </w:tc>
      </w:tr>
      <w:tr w14:paraId="15D5C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1EBB7">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D98AF">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4E4D9080">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12.环境湿度:5% RH ～ 95% RH，非凝结</w:t>
            </w:r>
          </w:p>
        </w:tc>
      </w:tr>
      <w:tr w14:paraId="4559D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A9C2E">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6B034">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4C6BF20">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13.统一网管,即插即用：支持免现场软调、远程验收、远程升级打补丁、远程故障定位等多种高效的管理维护方法</w:t>
            </w:r>
          </w:p>
        </w:tc>
      </w:tr>
      <w:tr w14:paraId="3BD04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D6E56">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C05FD">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4A835BBF">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14.认证方式：支持802.1x认证</w:t>
            </w:r>
          </w:p>
        </w:tc>
      </w:tr>
      <w:tr w14:paraId="75E61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23E39">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96BA6">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60B7372">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15.支持室内桌面平放、挂墙或网络箱中安装</w:t>
            </w:r>
          </w:p>
        </w:tc>
      </w:tr>
      <w:tr w14:paraId="5BA73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580CB">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F763E">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57249CE4">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16.支持Type B(单、双归属)保护</w:t>
            </w:r>
          </w:p>
        </w:tc>
      </w:tr>
      <w:tr w14:paraId="7665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92DD1">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1431B">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767398F">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17.防 DoS 攻击</w:t>
            </w:r>
          </w:p>
        </w:tc>
      </w:tr>
      <w:tr w14:paraId="55788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6917A">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E909E">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4F0C3BF">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18.OLT 发起的流氓 ONT 检测和隔离</w:t>
            </w:r>
          </w:p>
        </w:tc>
      </w:tr>
      <w:tr w14:paraId="56DD7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92C0F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p w14:paraId="158F87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629A1">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光网络单元</w:t>
            </w:r>
            <w:r>
              <w:rPr>
                <w:rFonts w:hint="eastAsia" w:ascii="宋体" w:hAnsi="宋体" w:cs="宋体"/>
                <w:i w:val="0"/>
                <w:iCs w:val="0"/>
                <w:color w:val="000000"/>
                <w:kern w:val="0"/>
                <w:sz w:val="21"/>
                <w:szCs w:val="21"/>
                <w:u w:val="none"/>
                <w:lang w:val="en-US" w:eastAsia="zh-CN" w:bidi="ar"/>
              </w:rPr>
              <w:t>3</w:t>
            </w:r>
          </w:p>
          <w:p w14:paraId="54B456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7259347">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19.上行提供≥1个XGS-PON接口、下行支持≥24GE、高度不超过1U</w:t>
            </w:r>
          </w:p>
        </w:tc>
      </w:tr>
      <w:tr w14:paraId="3D7CE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B162F">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42278">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8D60603">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20.高可靠性:6KV防雷能力</w:t>
            </w:r>
          </w:p>
        </w:tc>
      </w:tr>
      <w:tr w14:paraId="10B74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D5924">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8DC14">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2DEE408">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21.▲支持QoS 功能，ONU 应支持上行业务流分类，保证高优先级业务的QoS</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r>
      <w:tr w14:paraId="04600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7D2D2">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D929B">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B32D94B">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22.支持IPv6，可以通过 IPv6 为远程连接用户提供访问控制，拒绝未通过验证的连接</w:t>
            </w:r>
          </w:p>
        </w:tc>
      </w:tr>
      <w:tr w14:paraId="38708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C374F">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966B1">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0404925">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23.具有协议报文限速功能，MDU 类型ONU 应支持对特定协议报文(例如，DHCP、IGMP，ICMP 等）进行限速处理</w:t>
            </w:r>
          </w:p>
        </w:tc>
      </w:tr>
      <w:tr w14:paraId="436E3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E2AFA">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4AF63">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572840CE">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24.具有用户环网检测功能，ONU应支持对用户侧端口是否成环的检测，防止环网形成</w:t>
            </w:r>
          </w:p>
        </w:tc>
      </w:tr>
      <w:tr w14:paraId="476C5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7B72C">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1FB91">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57A8AE28">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25.具有MAC地址控制功能，ONU应支持限制从每个用户物理端口学习到的 MAC地址的数量，且限制的数量应可以灵活配置。</w:t>
            </w:r>
          </w:p>
        </w:tc>
      </w:tr>
      <w:tr w14:paraId="2309F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2"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FE5DF">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A2D74">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4CCD359">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26.▲具有IP地址绑定功能，MDU类型的ONU 应支持用户IP 地址与端口或 VLAN 等的绑定，可选支持跟踪 DHCP中的 IP 地址分配过程进行端口和 IP 地址的动态绑定的功能</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r>
      <w:tr w14:paraId="6DF60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310FA">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29036">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2B667C2">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27.★要求与学校现有OLT设备无缝兼容，接入学校现有OLT进行统一纳管。</w:t>
            </w:r>
          </w:p>
        </w:tc>
      </w:tr>
      <w:tr w14:paraId="466A4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8F8E0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p w14:paraId="24CF87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7E405">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光网络单元</w:t>
            </w:r>
            <w:r>
              <w:rPr>
                <w:rFonts w:hint="eastAsia" w:ascii="宋体" w:hAnsi="宋体" w:cs="宋体"/>
                <w:i w:val="0"/>
                <w:iCs w:val="0"/>
                <w:color w:val="000000"/>
                <w:kern w:val="0"/>
                <w:sz w:val="21"/>
                <w:szCs w:val="21"/>
                <w:u w:val="none"/>
                <w:lang w:val="en-US" w:eastAsia="zh-CN" w:bidi="ar"/>
              </w:rPr>
              <w:t>4</w:t>
            </w:r>
          </w:p>
          <w:p w14:paraId="7753D5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068345C3">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28.上行提供≥1个XGS-PON接口、下行提供≥24GE(PoE/PoE+)；</w:t>
            </w:r>
          </w:p>
        </w:tc>
      </w:tr>
      <w:tr w14:paraId="25805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848D9">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754E4">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08806CE4">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29.支持10/100/1000Mbit/s接口速率自适应；</w:t>
            </w:r>
          </w:p>
        </w:tc>
      </w:tr>
      <w:tr w14:paraId="45FF6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D8457">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FE737">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CB40EE8">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30.设备总功率最大支持370W，每个PoE接口最大支持 30W；</w:t>
            </w:r>
          </w:p>
        </w:tc>
      </w:tr>
      <w:tr w14:paraId="141E6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00881">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76C93">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04E7AF9">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31.▲支持支持各用户物理端口之间的二层隔离，即各用户物理端口之间不应通过ONU上的二层桥接功能直接互通</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r>
      <w:tr w14:paraId="6CA92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19363">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BA43B">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BD84578">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32.支持对特定协议报文（例如：DHCP、IGMP、ICMP等）进行限速处理；</w:t>
            </w:r>
          </w:p>
        </w:tc>
      </w:tr>
      <w:tr w14:paraId="4604E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A1109">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AE390">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327D9B7">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33.▲支持限制从每个用户物理端口学习到的MAC地址的数量，且限制的数量应可以灵活配置</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r>
      <w:tr w14:paraId="199A0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AE122">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0B552">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20CB840">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34.▲支持用户</w:t>
            </w:r>
            <w:r>
              <w:rPr>
                <w:rFonts w:hint="eastAsia" w:ascii="宋体" w:hAnsi="宋体" w:cs="宋体"/>
                <w:i w:val="0"/>
                <w:iCs w:val="0"/>
                <w:color w:val="000000"/>
                <w:kern w:val="0"/>
                <w:sz w:val="21"/>
                <w:szCs w:val="21"/>
                <w:u w:val="none"/>
                <w:lang w:val="en-US" w:eastAsia="zh-CN" w:bidi="ar"/>
              </w:rPr>
              <w:t>I</w:t>
            </w:r>
            <w:r>
              <w:rPr>
                <w:rFonts w:hint="eastAsia" w:ascii="宋体" w:hAnsi="宋体" w:eastAsia="宋体" w:cs="宋体"/>
                <w:i w:val="0"/>
                <w:iCs w:val="0"/>
                <w:color w:val="000000"/>
                <w:kern w:val="0"/>
                <w:sz w:val="21"/>
                <w:szCs w:val="21"/>
                <w:u w:val="none"/>
                <w:lang w:val="en-US" w:eastAsia="zh-CN" w:bidi="ar"/>
              </w:rPr>
              <w:t>P地址与端口或VLAN等的绑定，可选支持跟踪DHCP中的P地址分配过程进行端口和P地址的动态绑定的功能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r>
      <w:tr w14:paraId="5C67A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AE40F">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5F9B4">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482FD720">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35.支持对用户侧端口是否成环的检测，防止环网形成；</w:t>
            </w:r>
          </w:p>
        </w:tc>
      </w:tr>
      <w:tr w14:paraId="50F80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9D6EC">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7AC45">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6AF1371">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36.支持Type B（单、双归属）保护；</w:t>
            </w:r>
          </w:p>
        </w:tc>
      </w:tr>
      <w:tr w14:paraId="1C972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ACA74">
            <w:pPr>
              <w:jc w:val="center"/>
              <w:rPr>
                <w:rFonts w:hint="eastAsia" w:ascii="宋体" w:hAnsi="宋体" w:eastAsia="宋体" w:cs="宋体"/>
                <w:i w:val="0"/>
                <w:iCs w:val="0"/>
                <w:color w:val="000000"/>
                <w:sz w:val="21"/>
                <w:szCs w:val="21"/>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E05C3">
            <w:pPr>
              <w:jc w:val="center"/>
              <w:rPr>
                <w:rFonts w:hint="eastAsia" w:ascii="宋体" w:hAnsi="宋体" w:eastAsia="宋体" w:cs="宋体"/>
                <w:i w:val="0"/>
                <w:iCs w:val="0"/>
                <w:color w:val="000000"/>
                <w:sz w:val="21"/>
                <w:szCs w:val="21"/>
                <w:u w:val="none"/>
              </w:rPr>
            </w:pP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394A6AE">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37.★要求与学校现有OLT设备无缝兼容，接入学校现有OLT进行统一纳管。</w:t>
            </w:r>
          </w:p>
        </w:tc>
      </w:tr>
      <w:tr w14:paraId="51AEE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B71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431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线材及施工</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5A9E781">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38.</w:t>
            </w:r>
            <w:r>
              <w:rPr>
                <w:rFonts w:hint="eastAsia" w:ascii="宋体" w:hAnsi="宋体" w:eastAsia="宋体" w:cs="宋体"/>
                <w:i w:val="0"/>
                <w:iCs w:val="0"/>
                <w:color w:val="FF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设备连接</w:t>
            </w:r>
            <w:r>
              <w:rPr>
                <w:rFonts w:hint="eastAsia" w:ascii="宋体" w:hAnsi="宋体" w:cs="宋体"/>
                <w:i w:val="0"/>
                <w:iCs w:val="0"/>
                <w:color w:val="000000"/>
                <w:kern w:val="0"/>
                <w:sz w:val="21"/>
                <w:szCs w:val="21"/>
                <w:u w:val="none"/>
                <w:lang w:val="en-US" w:eastAsia="zh-CN" w:bidi="ar"/>
              </w:rPr>
              <w:t>所需的</w:t>
            </w:r>
            <w:r>
              <w:rPr>
                <w:rFonts w:hint="eastAsia" w:ascii="宋体" w:hAnsi="宋体" w:eastAsia="宋体" w:cs="宋体"/>
                <w:i w:val="0"/>
                <w:iCs w:val="0"/>
                <w:color w:val="000000"/>
                <w:kern w:val="0"/>
                <w:sz w:val="21"/>
                <w:szCs w:val="21"/>
                <w:u w:val="none"/>
                <w:lang w:val="en-US" w:eastAsia="zh-CN" w:bidi="ar"/>
              </w:rPr>
              <w:t>网络跳线、光纤跳线等。</w:t>
            </w:r>
          </w:p>
        </w:tc>
      </w:tr>
    </w:tbl>
    <w:p w14:paraId="714013E6">
      <w:pPr>
        <w:rPr>
          <w:rFonts w:hint="eastAsia" w:ascii="宋体" w:hAnsi="宋体" w:eastAsia="宋体" w:cs="Times New Roman"/>
          <w:b/>
          <w:bCs/>
          <w:color w:val="FF0000"/>
          <w:szCs w:val="21"/>
        </w:rPr>
      </w:pPr>
      <w:r>
        <w:rPr>
          <w:rFonts w:hint="eastAsia" w:ascii="宋体" w:hAnsi="宋体" w:eastAsia="宋体" w:cs="Times New Roman"/>
          <w:b/>
          <w:bCs/>
          <w:color w:val="FF0000"/>
          <w:szCs w:val="21"/>
        </w:rPr>
        <w:br w:type="page"/>
      </w:r>
    </w:p>
    <w:p w14:paraId="6A43819D">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A9A80AC">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73C59B84">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099A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59B0D9EF">
            <w:pPr>
              <w:jc w:val="center"/>
              <w:rPr>
                <w:b/>
              </w:rPr>
            </w:pPr>
            <w:r>
              <w:rPr>
                <w:rFonts w:hint="eastAsia"/>
                <w:b/>
              </w:rPr>
              <w:t>序号</w:t>
            </w:r>
          </w:p>
        </w:tc>
        <w:tc>
          <w:tcPr>
            <w:tcW w:w="1457" w:type="dxa"/>
            <w:noWrap w:val="0"/>
            <w:vAlign w:val="center"/>
          </w:tcPr>
          <w:p w14:paraId="4FFD85FE">
            <w:pPr>
              <w:jc w:val="center"/>
              <w:rPr>
                <w:b/>
              </w:rPr>
            </w:pPr>
            <w:r>
              <w:rPr>
                <w:rFonts w:hint="eastAsia"/>
                <w:b/>
              </w:rPr>
              <w:t>商务需求项</w:t>
            </w:r>
          </w:p>
        </w:tc>
        <w:tc>
          <w:tcPr>
            <w:tcW w:w="6523" w:type="dxa"/>
            <w:noWrap w:val="0"/>
            <w:vAlign w:val="center"/>
          </w:tcPr>
          <w:p w14:paraId="547376E3">
            <w:pPr>
              <w:jc w:val="center"/>
              <w:rPr>
                <w:b/>
              </w:rPr>
            </w:pPr>
            <w:r>
              <w:rPr>
                <w:rFonts w:hint="eastAsia"/>
                <w:b/>
              </w:rPr>
              <w:t>招标商务要求</w:t>
            </w:r>
          </w:p>
        </w:tc>
      </w:tr>
      <w:tr w14:paraId="0628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656FE729">
            <w:pPr>
              <w:rPr>
                <w:b/>
              </w:rPr>
            </w:pPr>
            <w:r>
              <w:rPr>
                <w:rFonts w:hint="eastAsia"/>
                <w:b/>
              </w:rPr>
              <w:t>（一）免费保修期内售后服务要求</w:t>
            </w:r>
          </w:p>
        </w:tc>
      </w:tr>
      <w:tr w14:paraId="1D03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0E9DDA0E">
            <w:pPr>
              <w:jc w:val="center"/>
              <w:rPr>
                <w:bCs/>
              </w:rPr>
            </w:pPr>
            <w:r>
              <w:rPr>
                <w:rFonts w:hint="eastAsia"/>
                <w:bCs/>
              </w:rPr>
              <w:t>1</w:t>
            </w:r>
          </w:p>
        </w:tc>
        <w:tc>
          <w:tcPr>
            <w:tcW w:w="1457" w:type="dxa"/>
            <w:noWrap w:val="0"/>
            <w:vAlign w:val="top"/>
          </w:tcPr>
          <w:p w14:paraId="0483C98E">
            <w:pPr>
              <w:jc w:val="center"/>
            </w:pPr>
            <w:r>
              <w:rPr>
                <w:rFonts w:hint="eastAsia"/>
              </w:rPr>
              <w:t>维修响应及故障解决时间</w:t>
            </w:r>
          </w:p>
        </w:tc>
        <w:tc>
          <w:tcPr>
            <w:tcW w:w="6523" w:type="dxa"/>
            <w:noWrap w:val="0"/>
            <w:vAlign w:val="top"/>
          </w:tcPr>
          <w:p w14:paraId="38586B76">
            <w:pPr>
              <w:rPr>
                <w:b/>
              </w:rPr>
            </w:pPr>
            <w:r>
              <w:rPr>
                <w:rFonts w:hint="eastAsia"/>
                <w:b/>
                <w:sz w:val="21"/>
                <w:szCs w:val="21"/>
              </w:rPr>
              <w:t>在保修期内，一旦发生质量问题，投标人保证在接到通知4小时内赶到现场进行处理，并承诺24小时内修复。设备如需返厂维修，需提供备品备件替换使用。</w:t>
            </w:r>
          </w:p>
        </w:tc>
      </w:tr>
      <w:tr w14:paraId="4166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4AD69A7B">
            <w:pPr>
              <w:jc w:val="center"/>
              <w:rPr>
                <w:szCs w:val="21"/>
              </w:rPr>
            </w:pPr>
            <w:r>
              <w:rPr>
                <w:rFonts w:hint="eastAsia"/>
                <w:szCs w:val="21"/>
              </w:rPr>
              <w:t>2</w:t>
            </w:r>
          </w:p>
        </w:tc>
        <w:tc>
          <w:tcPr>
            <w:tcW w:w="1457" w:type="dxa"/>
            <w:vMerge w:val="restart"/>
            <w:noWrap w:val="0"/>
            <w:vAlign w:val="center"/>
          </w:tcPr>
          <w:p w14:paraId="27F92A2C">
            <w:pPr>
              <w:jc w:val="center"/>
              <w:rPr>
                <w:szCs w:val="21"/>
              </w:rPr>
            </w:pPr>
            <w:r>
              <w:rPr>
                <w:rFonts w:hint="eastAsia"/>
                <w:szCs w:val="21"/>
              </w:rPr>
              <w:t>免费保修期</w:t>
            </w:r>
          </w:p>
        </w:tc>
        <w:tc>
          <w:tcPr>
            <w:tcW w:w="6523" w:type="dxa"/>
            <w:noWrap w:val="0"/>
            <w:vAlign w:val="top"/>
          </w:tcPr>
          <w:p w14:paraId="2AD338CD">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w:t>
            </w:r>
            <w:r>
              <w:rPr>
                <w:rFonts w:hint="eastAsia"/>
                <w:bCs/>
                <w:color w:val="FF0000"/>
                <w:szCs w:val="21"/>
                <w:u w:val="single"/>
                <w:lang w:val="en-US" w:eastAsia="zh-CN"/>
              </w:rPr>
              <w:t>1</w:t>
            </w:r>
            <w:r>
              <w:rPr>
                <w:rFonts w:hint="eastAsia"/>
                <w:bCs/>
                <w:color w:val="FF0000"/>
                <w:szCs w:val="21"/>
                <w:u w:val="single"/>
              </w:rPr>
              <w:t xml:space="preserve">  </w:t>
            </w:r>
            <w:r>
              <w:rPr>
                <w:rFonts w:hint="eastAsia"/>
                <w:bCs/>
                <w:color w:val="FF0000"/>
                <w:szCs w:val="21"/>
              </w:rPr>
              <w:t>年，</w:t>
            </w:r>
            <w:r>
              <w:rPr>
                <w:rFonts w:hint="eastAsia"/>
                <w:bCs/>
                <w:szCs w:val="21"/>
              </w:rPr>
              <w:t>时间自最终验收合格并交付使用之日起计算。</w:t>
            </w:r>
          </w:p>
        </w:tc>
      </w:tr>
      <w:tr w14:paraId="1AC1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43340D46">
            <w:pPr>
              <w:jc w:val="center"/>
              <w:rPr>
                <w:b/>
              </w:rPr>
            </w:pPr>
          </w:p>
        </w:tc>
        <w:tc>
          <w:tcPr>
            <w:tcW w:w="1457" w:type="dxa"/>
            <w:vMerge w:val="continue"/>
            <w:noWrap w:val="0"/>
            <w:vAlign w:val="center"/>
          </w:tcPr>
          <w:p w14:paraId="7EE92512"/>
        </w:tc>
        <w:tc>
          <w:tcPr>
            <w:tcW w:w="6523" w:type="dxa"/>
            <w:noWrap w:val="0"/>
            <w:vAlign w:val="center"/>
          </w:tcPr>
          <w:p w14:paraId="1BF4A97E">
            <w:pPr>
              <w:rPr>
                <w:rFonts w:hint="eastAsia" w:eastAsia="宋体"/>
                <w:bCs/>
              </w:rPr>
            </w:pPr>
            <w:r>
              <w:rPr>
                <w:rFonts w:hint="eastAsia" w:eastAsia="宋体"/>
                <w:bCs/>
              </w:rPr>
              <w:t>2.免费保修期内，所有服务及配件全部免费。</w:t>
            </w:r>
          </w:p>
        </w:tc>
      </w:tr>
      <w:tr w14:paraId="6B0A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2B3EBFD8">
            <w:pPr>
              <w:jc w:val="center"/>
              <w:rPr>
                <w:b/>
              </w:rPr>
            </w:pPr>
            <w:r>
              <w:rPr>
                <w:rFonts w:hint="eastAsia"/>
                <w:szCs w:val="21"/>
              </w:rPr>
              <w:t>3</w:t>
            </w:r>
          </w:p>
        </w:tc>
        <w:tc>
          <w:tcPr>
            <w:tcW w:w="1457" w:type="dxa"/>
            <w:noWrap w:val="0"/>
            <w:vAlign w:val="center"/>
          </w:tcPr>
          <w:p w14:paraId="45478209">
            <w:pPr>
              <w:jc w:val="center"/>
              <w:rPr>
                <w:b/>
              </w:rPr>
            </w:pPr>
            <w:r>
              <w:rPr>
                <w:rFonts w:hint="eastAsia"/>
                <w:szCs w:val="21"/>
              </w:rPr>
              <w:t>技术文件</w:t>
            </w:r>
          </w:p>
        </w:tc>
        <w:tc>
          <w:tcPr>
            <w:tcW w:w="6523" w:type="dxa"/>
            <w:noWrap w:val="0"/>
            <w:vAlign w:val="center"/>
          </w:tcPr>
          <w:p w14:paraId="2DE29DF4">
            <w:pPr>
              <w:rPr>
                <w:rFonts w:hint="eastAsia" w:eastAsia="宋体"/>
                <w:bCs/>
              </w:rPr>
            </w:pPr>
            <w:r>
              <w:rPr>
                <w:rFonts w:hint="eastAsia" w:eastAsia="宋体"/>
                <w:bCs/>
              </w:rPr>
              <w:t>供应商应提供全套、完整的书面技术资料，包括仪器说明书、操作手册、简单维修说明、图纸等。</w:t>
            </w:r>
          </w:p>
        </w:tc>
      </w:tr>
      <w:tr w14:paraId="7EE8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0B576929">
            <w:pPr>
              <w:jc w:val="center"/>
              <w:rPr>
                <w:bCs/>
              </w:rPr>
            </w:pPr>
            <w:r>
              <w:rPr>
                <w:rFonts w:hint="eastAsia"/>
                <w:bCs/>
              </w:rPr>
              <w:t>4</w:t>
            </w:r>
          </w:p>
        </w:tc>
        <w:tc>
          <w:tcPr>
            <w:tcW w:w="1457" w:type="dxa"/>
            <w:noWrap w:val="0"/>
            <w:vAlign w:val="center"/>
          </w:tcPr>
          <w:p w14:paraId="6EEB1E25">
            <w:pPr>
              <w:jc w:val="center"/>
              <w:rPr>
                <w:bCs/>
              </w:rPr>
            </w:pPr>
            <w:r>
              <w:rPr>
                <w:rFonts w:hint="eastAsia"/>
                <w:szCs w:val="21"/>
              </w:rPr>
              <w:t>安装调试</w:t>
            </w:r>
          </w:p>
        </w:tc>
        <w:tc>
          <w:tcPr>
            <w:tcW w:w="6523" w:type="dxa"/>
            <w:noWrap w:val="0"/>
            <w:vAlign w:val="center"/>
          </w:tcPr>
          <w:p w14:paraId="7746DB23">
            <w:pPr>
              <w:rPr>
                <w:rFonts w:hint="default" w:eastAsia="宋体"/>
                <w:bCs/>
                <w:lang w:val="en-US" w:eastAsia="zh-CN"/>
              </w:rPr>
            </w:pPr>
            <w:r>
              <w:rPr>
                <w:rFonts w:hint="eastAsia" w:eastAsia="宋体"/>
                <w:bCs/>
              </w:rPr>
              <w:t>4.1.中标人应派有经验的技术人员到现场进行安装、调试，直到设备正常使用，中标单位须负责</w:t>
            </w:r>
            <w:r>
              <w:rPr>
                <w:rFonts w:hint="eastAsia" w:eastAsia="宋体"/>
                <w:bCs/>
                <w:lang w:val="en-US" w:eastAsia="zh-CN"/>
              </w:rPr>
              <w:t>学校现有信息系统（如教室门禁、监控摄像机、电教平台等）设备接入网络系统进行联调，将现有网络设备接入学校出有的全光网络局端（OLT）进行统一管控等调试等</w:t>
            </w:r>
            <w:r>
              <w:rPr>
                <w:rFonts w:hint="eastAsia" w:eastAsia="宋体"/>
                <w:bCs/>
              </w:rPr>
              <w:t>一切费用及相关技术</w:t>
            </w:r>
            <w:r>
              <w:rPr>
                <w:rFonts w:hint="eastAsia" w:eastAsia="宋体"/>
                <w:bCs/>
                <w:lang w:val="en-US" w:eastAsia="zh-CN"/>
              </w:rPr>
              <w:t>支持。</w:t>
            </w:r>
          </w:p>
        </w:tc>
      </w:tr>
      <w:tr w14:paraId="26F8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509AD516">
            <w:pPr>
              <w:spacing w:line="360" w:lineRule="exact"/>
              <w:rPr>
                <w:rFonts w:ascii="宋体" w:hAnsi="宋体"/>
                <w:b/>
              </w:rPr>
            </w:pPr>
            <w:r>
              <w:rPr>
                <w:rFonts w:hint="eastAsia" w:ascii="宋体" w:hAnsi="宋体"/>
                <w:b/>
              </w:rPr>
              <w:t>（二）免费保修期外售后服务要求</w:t>
            </w:r>
          </w:p>
        </w:tc>
      </w:tr>
      <w:tr w14:paraId="7429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72067A1C">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noWrap w:val="0"/>
            <w:vAlign w:val="center"/>
          </w:tcPr>
          <w:p w14:paraId="4BABF252">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14:paraId="76D96879">
            <w:pPr>
              <w:spacing w:line="360" w:lineRule="exact"/>
              <w:rPr>
                <w:rFonts w:ascii="宋体" w:hAnsi="宋体"/>
                <w:b/>
                <w:color w:val="000000"/>
              </w:rPr>
            </w:pPr>
            <w:r>
              <w:rPr>
                <w:rFonts w:hint="eastAsia" w:ascii="宋体" w:hAnsi="宋体" w:cs="宋体"/>
                <w:color w:val="000000"/>
                <w:sz w:val="21"/>
                <w:szCs w:val="21"/>
              </w:rPr>
              <w:t>1.1由设备制造商提供售后服务，</w:t>
            </w:r>
            <w:r>
              <w:rPr>
                <w:rFonts w:hint="eastAsia" w:ascii="宋体" w:hAnsi="宋体" w:cs="宋体"/>
                <w:color w:val="000000"/>
                <w:sz w:val="21"/>
                <w:szCs w:val="21"/>
                <w:u w:val="single"/>
                <w:lang w:val="en-US" w:eastAsia="zh-CN"/>
              </w:rPr>
              <w:t xml:space="preserve"> 4</w:t>
            </w:r>
            <w:r>
              <w:rPr>
                <w:rFonts w:hint="eastAsia" w:ascii="宋体" w:hAnsi="宋体" w:cs="宋体"/>
                <w:color w:val="000000"/>
                <w:sz w:val="21"/>
                <w:szCs w:val="21"/>
                <w:u w:val="single"/>
              </w:rPr>
              <w:t xml:space="preserve"> </w:t>
            </w:r>
            <w:r>
              <w:rPr>
                <w:rFonts w:hint="eastAsia" w:ascii="宋体" w:hAnsi="宋体" w:cs="宋体"/>
                <w:color w:val="000000"/>
                <w:sz w:val="21"/>
                <w:szCs w:val="21"/>
              </w:rPr>
              <w:t>小时内响应，</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24</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rPr>
              <w:t>小时维修到位，并在48小时内消除故障（不可抗力情况除外）。消耗品和零配件供应及时，特殊情况下可提供备用机。在境内有相对应的零配件保税库，于中标后出具证明文件。</w:t>
            </w:r>
          </w:p>
        </w:tc>
      </w:tr>
      <w:tr w14:paraId="28F3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C452204">
            <w:pPr>
              <w:spacing w:line="360" w:lineRule="exact"/>
              <w:jc w:val="center"/>
              <w:rPr>
                <w:rFonts w:ascii="宋体" w:hAnsi="宋体"/>
                <w:b/>
              </w:rPr>
            </w:pPr>
          </w:p>
        </w:tc>
        <w:tc>
          <w:tcPr>
            <w:tcW w:w="1457" w:type="dxa"/>
            <w:vMerge w:val="continue"/>
            <w:noWrap w:val="0"/>
            <w:vAlign w:val="center"/>
          </w:tcPr>
          <w:p w14:paraId="29AD8004">
            <w:pPr>
              <w:spacing w:line="360" w:lineRule="exact"/>
              <w:rPr>
                <w:rStyle w:val="20"/>
                <w:rFonts w:ascii="宋体" w:hAnsi="宋体" w:cs="宋体"/>
                <w:color w:val="000000"/>
                <w:sz w:val="20"/>
                <w:szCs w:val="20"/>
              </w:rPr>
            </w:pPr>
          </w:p>
        </w:tc>
        <w:tc>
          <w:tcPr>
            <w:tcW w:w="6523" w:type="dxa"/>
            <w:noWrap w:val="0"/>
            <w:vAlign w:val="center"/>
          </w:tcPr>
          <w:p w14:paraId="0856D579">
            <w:pPr>
              <w:spacing w:line="360" w:lineRule="exact"/>
              <w:rPr>
                <w:rFonts w:ascii="宋体" w:hAnsi="宋体"/>
                <w:b/>
                <w:color w:val="000000"/>
              </w:rPr>
            </w:pPr>
            <w:r>
              <w:rPr>
                <w:rFonts w:hint="eastAsia" w:ascii="宋体" w:hAnsi="宋体" w:cs="宋体"/>
                <w:color w:val="000000"/>
                <w:sz w:val="21"/>
                <w:szCs w:val="21"/>
              </w:rPr>
              <w:t>1.2对保修期外采购方设备发生故障需更换的，投标人免收上门服务费，并以优惠价格提供配件。</w:t>
            </w:r>
          </w:p>
        </w:tc>
      </w:tr>
      <w:tr w14:paraId="6CE8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78EE0E86">
            <w:pPr>
              <w:spacing w:line="360" w:lineRule="exact"/>
              <w:rPr>
                <w:rFonts w:ascii="宋体" w:hAnsi="宋体"/>
                <w:b/>
              </w:rPr>
            </w:pPr>
            <w:r>
              <w:rPr>
                <w:rFonts w:hint="eastAsia" w:ascii="宋体" w:hAnsi="宋体"/>
                <w:b/>
              </w:rPr>
              <w:t>（三）其他商务要求</w:t>
            </w:r>
          </w:p>
        </w:tc>
      </w:tr>
      <w:tr w14:paraId="45FB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7B03341">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14:paraId="5A494C1F">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14:paraId="0619060E">
            <w:pPr>
              <w:spacing w:line="360" w:lineRule="exact"/>
              <w:rPr>
                <w:rFonts w:hint="eastAsia" w:ascii="宋体" w:hAnsi="宋体" w:cs="宋体"/>
                <w:color w:val="000000"/>
                <w:sz w:val="20"/>
                <w:szCs w:val="20"/>
              </w:rPr>
            </w:pPr>
            <w:r>
              <w:rPr>
                <w:rFonts w:hint="eastAsia" w:ascii="宋体" w:hAnsi="宋体" w:cs="宋体"/>
                <w:color w:val="000000"/>
                <w:sz w:val="21"/>
                <w:szCs w:val="21"/>
                <w:lang w:val="en-US" w:eastAsia="zh-CN"/>
              </w:rPr>
              <w:t>1.1.</w:t>
            </w:r>
            <w:r>
              <w:rPr>
                <w:rFonts w:hint="eastAsia" w:ascii="宋体" w:hAnsi="宋体" w:cs="宋体"/>
                <w:color w:val="000000"/>
                <w:sz w:val="21"/>
                <w:szCs w:val="21"/>
              </w:rPr>
              <w:t>如中标供应商未按照投标文件中承诺的时间交货或提供服务，中标供应商应承担延期交货和延期服务的违约责任，并赔偿采购人因此造成的实际经济损失，采购人有权终止合同。</w:t>
            </w:r>
          </w:p>
        </w:tc>
      </w:tr>
      <w:tr w14:paraId="2184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4CCE30B">
            <w:pPr>
              <w:spacing w:line="360" w:lineRule="exact"/>
              <w:jc w:val="center"/>
              <w:rPr>
                <w:rFonts w:hint="eastAsia" w:ascii="宋体" w:hAnsi="宋体"/>
                <w:b/>
                <w:sz w:val="20"/>
                <w:szCs w:val="20"/>
              </w:rPr>
            </w:pPr>
          </w:p>
        </w:tc>
        <w:tc>
          <w:tcPr>
            <w:tcW w:w="1457" w:type="dxa"/>
            <w:vMerge w:val="continue"/>
            <w:noWrap w:val="0"/>
            <w:vAlign w:val="center"/>
          </w:tcPr>
          <w:p w14:paraId="7BB79855">
            <w:pPr>
              <w:spacing w:line="360" w:lineRule="exact"/>
              <w:jc w:val="center"/>
              <w:rPr>
                <w:rFonts w:hint="eastAsia" w:ascii="宋体" w:hAnsi="宋体"/>
                <w:b/>
                <w:sz w:val="20"/>
                <w:szCs w:val="20"/>
              </w:rPr>
            </w:pPr>
          </w:p>
        </w:tc>
        <w:tc>
          <w:tcPr>
            <w:tcW w:w="6523" w:type="dxa"/>
            <w:noWrap w:val="0"/>
            <w:vAlign w:val="top"/>
          </w:tcPr>
          <w:p w14:paraId="2AB744B7">
            <w:pPr>
              <w:spacing w:line="360" w:lineRule="exact"/>
              <w:rPr>
                <w:rFonts w:hint="eastAsia" w:ascii="宋体" w:hAnsi="宋体" w:cs="宋体"/>
                <w:color w:val="000000"/>
                <w:sz w:val="20"/>
                <w:szCs w:val="20"/>
              </w:rPr>
            </w:pPr>
            <w:r>
              <w:rPr>
                <w:rFonts w:hint="eastAsia" w:ascii="宋体" w:hAnsi="宋体" w:cs="宋体"/>
                <w:color w:val="000000"/>
                <w:sz w:val="21"/>
                <w:szCs w:val="21"/>
                <w:lang w:val="en-US" w:eastAsia="zh-CN"/>
              </w:rPr>
              <w:t>1.2.</w:t>
            </w:r>
            <w:r>
              <w:rPr>
                <w:rFonts w:hint="eastAsia" w:ascii="宋体" w:hAnsi="宋体" w:cs="宋体"/>
                <w:color w:val="000000"/>
                <w:sz w:val="21"/>
                <w:szCs w:val="21"/>
              </w:rPr>
              <w:t>中标供应商所交设备的品种、型号、规格、质量、功能等方面不能实质性满足采购文件要求的，采购人有权拒绝收货，中标供应商</w:t>
            </w:r>
            <w:r>
              <w:rPr>
                <w:rFonts w:hint="eastAsia" w:ascii="宋体" w:hAnsi="宋体" w:cs="宋体"/>
                <w:color w:val="000000"/>
                <w:sz w:val="21"/>
                <w:szCs w:val="21"/>
                <w:lang w:val="en-US" w:eastAsia="zh-CN"/>
              </w:rPr>
              <w:t>应</w:t>
            </w:r>
            <w:r>
              <w:rPr>
                <w:rFonts w:hint="eastAsia" w:ascii="宋体" w:hAnsi="宋体" w:cs="宋体"/>
                <w:color w:val="000000"/>
                <w:sz w:val="21"/>
                <w:szCs w:val="21"/>
              </w:rPr>
              <w:t xml:space="preserve">采取更换、补足等补救措施，致使逾期交付的，还应承担逾期交付的违约责任。 </w:t>
            </w:r>
          </w:p>
        </w:tc>
      </w:tr>
      <w:tr w14:paraId="479E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27F71E2">
            <w:pPr>
              <w:spacing w:line="360" w:lineRule="exact"/>
              <w:jc w:val="center"/>
              <w:rPr>
                <w:rFonts w:hint="eastAsia" w:ascii="宋体" w:hAnsi="宋体"/>
                <w:b/>
                <w:sz w:val="20"/>
                <w:szCs w:val="20"/>
              </w:rPr>
            </w:pPr>
          </w:p>
        </w:tc>
        <w:tc>
          <w:tcPr>
            <w:tcW w:w="1457" w:type="dxa"/>
            <w:vMerge w:val="continue"/>
            <w:noWrap w:val="0"/>
            <w:vAlign w:val="center"/>
          </w:tcPr>
          <w:p w14:paraId="4AF59F5A">
            <w:pPr>
              <w:spacing w:line="360" w:lineRule="exact"/>
              <w:jc w:val="center"/>
              <w:rPr>
                <w:rFonts w:hint="eastAsia" w:ascii="宋体" w:hAnsi="宋体"/>
                <w:b/>
                <w:sz w:val="20"/>
                <w:szCs w:val="20"/>
              </w:rPr>
            </w:pPr>
          </w:p>
        </w:tc>
        <w:tc>
          <w:tcPr>
            <w:tcW w:w="6523" w:type="dxa"/>
            <w:noWrap w:val="0"/>
            <w:vAlign w:val="top"/>
          </w:tcPr>
          <w:p w14:paraId="5BD1F2A8">
            <w:pPr>
              <w:spacing w:line="360" w:lineRule="exact"/>
              <w:rPr>
                <w:rFonts w:hint="eastAsia" w:ascii="宋体" w:hAnsi="宋体" w:cs="宋体"/>
                <w:color w:val="000000"/>
                <w:sz w:val="20"/>
                <w:szCs w:val="20"/>
              </w:rPr>
            </w:pPr>
            <w:r>
              <w:rPr>
                <w:rFonts w:hint="eastAsia" w:ascii="宋体" w:hAnsi="宋体" w:cs="宋体"/>
                <w:color w:val="000000"/>
                <w:sz w:val="21"/>
                <w:szCs w:val="21"/>
                <w:lang w:val="en-US" w:eastAsia="zh-CN"/>
              </w:rPr>
              <w:t>1.3.</w:t>
            </w:r>
            <w:r>
              <w:rPr>
                <w:rFonts w:hint="eastAsia" w:ascii="宋体" w:hAnsi="宋体" w:cs="宋体"/>
                <w:color w:val="000000"/>
                <w:sz w:val="21"/>
                <w:szCs w:val="21"/>
              </w:rPr>
              <w:t>中标供应商逾期交付货物的，每逾期1天，中标供应商向采购人偿付逾期交货部分货款总额的【1】‰的违约金。如中标供应商逾期交货达</w:t>
            </w:r>
            <w:r>
              <w:rPr>
                <w:rFonts w:hint="eastAsia" w:ascii="宋体" w:hAnsi="宋体" w:cs="宋体"/>
                <w:color w:val="000000"/>
                <w:sz w:val="21"/>
                <w:szCs w:val="21"/>
                <w:u w:val="single"/>
              </w:rPr>
              <w:t xml:space="preserve">30  </w:t>
            </w:r>
            <w:r>
              <w:rPr>
                <w:rFonts w:hint="eastAsia" w:ascii="宋体" w:hAnsi="宋体" w:cs="宋体"/>
                <w:color w:val="000000"/>
                <w:sz w:val="21"/>
                <w:szCs w:val="21"/>
              </w:rPr>
              <w:t>天，采购人有权解除合同。</w:t>
            </w:r>
          </w:p>
        </w:tc>
      </w:tr>
      <w:tr w14:paraId="362E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BF88587">
            <w:pPr>
              <w:spacing w:line="360" w:lineRule="exact"/>
              <w:jc w:val="center"/>
              <w:rPr>
                <w:rFonts w:hint="default" w:ascii="宋体" w:hAnsi="宋体"/>
                <w:b/>
                <w:sz w:val="20"/>
                <w:szCs w:val="20"/>
                <w:lang w:val="en-US"/>
              </w:rPr>
            </w:pPr>
          </w:p>
        </w:tc>
        <w:tc>
          <w:tcPr>
            <w:tcW w:w="1457" w:type="dxa"/>
            <w:vMerge w:val="continue"/>
            <w:noWrap w:val="0"/>
            <w:vAlign w:val="center"/>
          </w:tcPr>
          <w:p w14:paraId="4025868F">
            <w:pPr>
              <w:spacing w:line="360" w:lineRule="exact"/>
              <w:jc w:val="center"/>
              <w:rPr>
                <w:rFonts w:hint="eastAsia" w:ascii="宋体" w:hAnsi="宋体"/>
                <w:b/>
                <w:sz w:val="20"/>
                <w:szCs w:val="20"/>
              </w:rPr>
            </w:pPr>
          </w:p>
        </w:tc>
        <w:tc>
          <w:tcPr>
            <w:tcW w:w="6523" w:type="dxa"/>
            <w:noWrap w:val="0"/>
            <w:vAlign w:val="top"/>
          </w:tcPr>
          <w:p w14:paraId="14D78E66">
            <w:pPr>
              <w:spacing w:line="360" w:lineRule="exact"/>
              <w:rPr>
                <w:rFonts w:hint="eastAsia" w:ascii="宋体" w:hAnsi="宋体" w:cs="宋体"/>
                <w:color w:val="000000"/>
                <w:sz w:val="20"/>
                <w:szCs w:val="20"/>
              </w:rPr>
            </w:pPr>
            <w:r>
              <w:rPr>
                <w:rFonts w:hint="eastAsia" w:ascii="宋体" w:hAnsi="宋体" w:cs="宋体"/>
                <w:color w:val="000000"/>
                <w:sz w:val="21"/>
                <w:szCs w:val="21"/>
                <w:lang w:val="en-US" w:eastAsia="zh-CN"/>
              </w:rPr>
              <w:t>1.4.</w:t>
            </w:r>
            <w:r>
              <w:rPr>
                <w:rFonts w:hint="eastAsia" w:ascii="宋体" w:hAnsi="宋体" w:cs="宋体"/>
                <w:color w:val="000000"/>
                <w:sz w:val="21"/>
                <w:szCs w:val="21"/>
              </w:rPr>
              <w:t>在中标供应商承诺的或国家规定的质量保证期内（取两者中最长的期限），如经中标供应商两次维修或更换，货物仍不能达到采购文件要求及投标文件承诺的质量标准，采购人有权退货，中标供应商应退回全部货款并赔偿采购人因此遭受的损失。</w:t>
            </w:r>
          </w:p>
        </w:tc>
      </w:tr>
      <w:tr w14:paraId="6731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36AC1EAF">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14:paraId="31920CA5">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14:paraId="62BB747E">
            <w:pPr>
              <w:spacing w:line="360" w:lineRule="exact"/>
              <w:rPr>
                <w:rFonts w:hint="eastAsia"/>
              </w:rPr>
            </w:pPr>
            <w:r>
              <w:rPr>
                <w:rFonts w:hint="eastAsia"/>
                <w:lang w:val="en-US" w:eastAsia="zh-CN"/>
              </w:rPr>
              <w:t>2</w:t>
            </w:r>
            <w:r>
              <w:rPr>
                <w:rFonts w:hint="eastAsia"/>
              </w:rPr>
              <w:t>.1</w:t>
            </w:r>
            <w:r>
              <w:rPr>
                <w:rFonts w:hint="eastAsia" w:ascii="宋体" w:hAnsi="宋体" w:eastAsia="宋体" w:cs="宋体"/>
                <w:color w:val="000000"/>
                <w:sz w:val="21"/>
                <w:szCs w:val="21"/>
              </w:rPr>
              <w:t>履约时间和地点：投标供应商</w:t>
            </w:r>
            <w:r>
              <w:rPr>
                <w:rFonts w:hint="eastAsia" w:ascii="宋体" w:hAnsi="宋体" w:eastAsia="宋体" w:cs="宋体"/>
                <w:color w:val="000000"/>
                <w:sz w:val="21"/>
                <w:szCs w:val="21"/>
                <w:lang w:val="en-US" w:eastAsia="zh-CN"/>
              </w:rPr>
              <w:t>应</w:t>
            </w:r>
            <w:r>
              <w:rPr>
                <w:rFonts w:hint="eastAsia" w:ascii="宋体" w:hAnsi="宋体" w:eastAsia="宋体" w:cs="宋体"/>
                <w:color w:val="000000"/>
                <w:sz w:val="21"/>
                <w:szCs w:val="21"/>
              </w:rPr>
              <w:t>在本项目要求进场施工日起之日起30天内交货，交货地点为</w:t>
            </w:r>
            <w:r>
              <w:rPr>
                <w:rFonts w:hint="eastAsia" w:ascii="宋体" w:hAnsi="宋体" w:eastAsia="宋体" w:cs="宋体"/>
                <w:color w:val="000000"/>
                <w:sz w:val="21"/>
                <w:szCs w:val="21"/>
                <w:lang w:val="en-US" w:eastAsia="zh-CN"/>
              </w:rPr>
              <w:t>深圳市宝安中学（集团）海天学校</w:t>
            </w:r>
            <w:r>
              <w:rPr>
                <w:rFonts w:hint="eastAsia" w:ascii="宋体" w:hAnsi="宋体" w:eastAsia="宋体" w:cs="宋体"/>
                <w:color w:val="000000"/>
                <w:sz w:val="21"/>
                <w:szCs w:val="21"/>
              </w:rPr>
              <w:t>。</w:t>
            </w:r>
          </w:p>
          <w:p w14:paraId="6BA7437B">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14:paraId="4D03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042370BF">
            <w:pPr>
              <w:spacing w:line="360" w:lineRule="exact"/>
              <w:jc w:val="center"/>
              <w:rPr>
                <w:rFonts w:ascii="宋体" w:hAnsi="宋体"/>
                <w:b/>
                <w:bCs w:val="0"/>
                <w:sz w:val="20"/>
                <w:szCs w:val="20"/>
              </w:rPr>
            </w:pPr>
          </w:p>
        </w:tc>
        <w:tc>
          <w:tcPr>
            <w:tcW w:w="1457" w:type="dxa"/>
            <w:vMerge w:val="continue"/>
            <w:noWrap w:val="0"/>
            <w:vAlign w:val="center"/>
          </w:tcPr>
          <w:p w14:paraId="3F6A3839">
            <w:pPr>
              <w:spacing w:line="360" w:lineRule="exact"/>
              <w:jc w:val="center"/>
              <w:rPr>
                <w:rFonts w:ascii="宋体" w:hAnsi="宋体"/>
                <w:b/>
                <w:bCs w:val="0"/>
                <w:sz w:val="20"/>
                <w:szCs w:val="20"/>
              </w:rPr>
            </w:pPr>
          </w:p>
        </w:tc>
        <w:tc>
          <w:tcPr>
            <w:tcW w:w="6523" w:type="dxa"/>
            <w:noWrap w:val="0"/>
            <w:vAlign w:val="center"/>
          </w:tcPr>
          <w:p w14:paraId="1697667F">
            <w:pPr>
              <w:spacing w:line="360" w:lineRule="exact"/>
            </w:pPr>
            <w:r>
              <w:rPr>
                <w:rFonts w:hint="eastAsia"/>
                <w:lang w:val="en-US" w:eastAsia="zh-CN"/>
              </w:rPr>
              <w:t>2</w:t>
            </w:r>
            <w:r>
              <w:t>.2</w:t>
            </w:r>
            <w:r>
              <w:rPr>
                <w:rFonts w:hint="eastAsia"/>
              </w:rPr>
              <w:t>付款期限和方式：</w:t>
            </w:r>
            <w:r>
              <w:rPr>
                <w:rFonts w:hint="default" w:eastAsia="宋体"/>
                <w:b w:val="0"/>
                <w:bCs w:val="0"/>
                <w:sz w:val="21"/>
                <w:szCs w:val="21"/>
                <w:lang w:val="en-US" w:eastAsia="zh-CN"/>
              </w:rPr>
              <w:t>本项目完成并经验收合格后，对于满足合同约定支付条件的，采购人应当自收到发票后15日内将资金支付到合同约定的中标供应商账户。</w:t>
            </w:r>
          </w:p>
          <w:p w14:paraId="1F4689AB">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14:paraId="522B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0AD0BFF">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14:paraId="69B3E59E">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14:paraId="5989D9B1">
            <w:pPr>
              <w:spacing w:line="360" w:lineRule="exact"/>
              <w:rPr>
                <w:rFonts w:hint="eastAsia" w:ascii="宋体" w:hAnsi="宋体" w:cs="宋体"/>
                <w:color w:val="000000"/>
                <w:sz w:val="20"/>
                <w:szCs w:val="20"/>
                <w:lang w:val="en-US" w:eastAsia="zh-CN"/>
              </w:rPr>
            </w:pPr>
            <w:r>
              <w:rPr>
                <w:rFonts w:hint="eastAsia" w:ascii="宋体" w:hAnsi="宋体" w:cs="宋体"/>
                <w:color w:val="000000"/>
                <w:sz w:val="21"/>
                <w:szCs w:val="21"/>
                <w:lang w:val="en-US" w:eastAsia="zh-CN"/>
              </w:rPr>
              <w:t>3.1由采购单位组织验收小组进行验收。</w:t>
            </w:r>
          </w:p>
        </w:tc>
      </w:tr>
      <w:tr w14:paraId="6FA9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70C5C8BD">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vMerge w:val="restart"/>
            <w:noWrap w:val="0"/>
            <w:vAlign w:val="center"/>
          </w:tcPr>
          <w:p w14:paraId="33D96CFD">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争议解决方法</w:t>
            </w:r>
          </w:p>
        </w:tc>
        <w:tc>
          <w:tcPr>
            <w:tcW w:w="6523" w:type="dxa"/>
            <w:noWrap w:val="0"/>
            <w:vAlign w:val="center"/>
          </w:tcPr>
          <w:p w14:paraId="511E5BA7">
            <w:pPr>
              <w:spacing w:line="360" w:lineRule="exac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4.1.因货物的质量问题发生争议的，应当邀请国家认可的质量检测机构对货物质量进行鉴定。货物符合标准的，鉴定费由甲方承担；货物不符合质量标准的，鉴定费由乙方承担。</w:t>
            </w:r>
          </w:p>
        </w:tc>
      </w:tr>
      <w:tr w14:paraId="1083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D1CA9D7">
            <w:pPr>
              <w:spacing w:line="360" w:lineRule="exact"/>
              <w:jc w:val="center"/>
              <w:rPr>
                <w:rFonts w:hint="default" w:ascii="宋体" w:hAnsi="宋体"/>
                <w:b/>
                <w:bCs w:val="0"/>
                <w:sz w:val="20"/>
                <w:szCs w:val="20"/>
                <w:lang w:val="en-US" w:eastAsia="zh-CN"/>
              </w:rPr>
            </w:pPr>
          </w:p>
        </w:tc>
        <w:tc>
          <w:tcPr>
            <w:tcW w:w="1457" w:type="dxa"/>
            <w:vMerge w:val="continue"/>
            <w:noWrap w:val="0"/>
            <w:vAlign w:val="center"/>
          </w:tcPr>
          <w:p w14:paraId="65F898D4">
            <w:pPr>
              <w:spacing w:line="360" w:lineRule="exact"/>
              <w:jc w:val="center"/>
              <w:rPr>
                <w:rStyle w:val="20"/>
                <w:rFonts w:hint="eastAsia" w:ascii="宋体" w:hAnsi="宋体" w:cs="宋体"/>
                <w:b/>
                <w:bCs w:val="0"/>
                <w:color w:val="000000"/>
                <w:sz w:val="20"/>
                <w:szCs w:val="20"/>
              </w:rPr>
            </w:pPr>
          </w:p>
        </w:tc>
        <w:tc>
          <w:tcPr>
            <w:tcW w:w="6523" w:type="dxa"/>
            <w:noWrap w:val="0"/>
            <w:vAlign w:val="center"/>
          </w:tcPr>
          <w:p w14:paraId="48F10B1B">
            <w:pPr>
              <w:spacing w:line="360" w:lineRule="exact"/>
              <w:rPr>
                <w:rFonts w:hint="eastAsia" w:ascii="宋体" w:hAnsi="宋体" w:cs="宋体"/>
                <w:color w:val="000000"/>
                <w:sz w:val="20"/>
                <w:szCs w:val="20"/>
                <w:lang w:val="en-US" w:eastAsia="zh-CN"/>
              </w:rPr>
            </w:pPr>
            <w:r>
              <w:rPr>
                <w:rFonts w:hint="eastAsia" w:ascii="宋体" w:hAnsi="宋体" w:cs="宋体"/>
                <w:color w:val="000000"/>
                <w:sz w:val="21"/>
                <w:szCs w:val="21"/>
                <w:lang w:val="en-US" w:eastAsia="zh-CN"/>
              </w:rPr>
              <w:t>4.2.因履行本合同引起的或与本合同有关的争议，甲、乙双方应首先通过友好协商解决，如果协商不能解决争议，则向甲方所在地有管辖权的人民法院提起诉讼；</w:t>
            </w:r>
          </w:p>
        </w:tc>
      </w:tr>
      <w:tr w14:paraId="6B2B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40" w:type="dxa"/>
            <w:vMerge w:val="restart"/>
            <w:noWrap w:val="0"/>
            <w:vAlign w:val="center"/>
          </w:tcPr>
          <w:p w14:paraId="61E6AAC9">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14:paraId="6004FE8E">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14:paraId="49DC27FB">
            <w:pPr>
              <w:spacing w:line="360" w:lineRule="exact"/>
              <w:rPr>
                <w:rFonts w:ascii="宋体" w:hAnsi="宋体"/>
                <w:bCs/>
                <w:color w:val="000000"/>
                <w:szCs w:val="21"/>
              </w:rPr>
            </w:pPr>
            <w:r>
              <w:rPr>
                <w:rFonts w:hint="eastAsia" w:ascii="宋体" w:hAnsi="宋体"/>
                <w:bCs/>
                <w:color w:val="000000"/>
                <w:sz w:val="21"/>
                <w:szCs w:val="21"/>
                <w:lang w:val="en-US" w:eastAsia="zh-CN"/>
              </w:rPr>
              <w:t>5.1现场应具备运输送货条件，并允许安装作业等实施工作。如未具备条件，双方可协商延长工期。</w:t>
            </w:r>
          </w:p>
        </w:tc>
      </w:tr>
      <w:tr w14:paraId="354D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4F54B6DE">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14:paraId="160E9313">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14:paraId="288B7F31">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.1投标供应商应派专业技术人员</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lang w:val="en-US" w:eastAsia="zh-CN"/>
              </w:rPr>
              <w:t>具备</w:t>
            </w:r>
            <w:r>
              <w:rPr>
                <w:rFonts w:hint="eastAsia" w:ascii="宋体" w:hAnsi="宋体" w:eastAsia="宋体" w:cs="宋体"/>
                <w:color w:val="000000"/>
                <w:sz w:val="20"/>
                <w:szCs w:val="20"/>
              </w:rPr>
              <w:t>所投产品厂商的全光网初级原厂认证</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rPr>
              <w:t>免费对采购单位指定人员进行定期培训及指导，直至其完全掌握设备的基本</w:t>
            </w:r>
            <w:r>
              <w:rPr>
                <w:rFonts w:hint="eastAsia" w:ascii="宋体" w:hAnsi="宋体" w:eastAsia="宋体" w:cs="宋体"/>
                <w:color w:val="000000"/>
                <w:sz w:val="20"/>
                <w:szCs w:val="20"/>
                <w:lang w:val="en-US" w:eastAsia="zh-CN"/>
              </w:rPr>
              <w:t>操作</w:t>
            </w:r>
            <w:r>
              <w:rPr>
                <w:rFonts w:hint="eastAsia" w:ascii="宋体" w:hAnsi="宋体" w:eastAsia="宋体" w:cs="宋体"/>
                <w:color w:val="000000"/>
                <w:sz w:val="20"/>
                <w:szCs w:val="20"/>
              </w:rPr>
              <w:t>。</w:t>
            </w:r>
          </w:p>
        </w:tc>
      </w:tr>
      <w:tr w14:paraId="76E7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4154986">
            <w:pPr>
              <w:spacing w:line="360" w:lineRule="exact"/>
              <w:jc w:val="center"/>
              <w:rPr>
                <w:rFonts w:ascii="宋体" w:hAnsi="宋体"/>
                <w:b/>
                <w:sz w:val="20"/>
                <w:szCs w:val="20"/>
              </w:rPr>
            </w:pPr>
          </w:p>
        </w:tc>
        <w:tc>
          <w:tcPr>
            <w:tcW w:w="1457" w:type="dxa"/>
            <w:vMerge w:val="continue"/>
            <w:noWrap w:val="0"/>
            <w:vAlign w:val="center"/>
          </w:tcPr>
          <w:p w14:paraId="408C0F2F">
            <w:pPr>
              <w:spacing w:line="360" w:lineRule="exact"/>
              <w:rPr>
                <w:rFonts w:ascii="宋体" w:hAnsi="宋体"/>
                <w:b/>
                <w:sz w:val="20"/>
                <w:szCs w:val="20"/>
              </w:rPr>
            </w:pPr>
          </w:p>
        </w:tc>
        <w:tc>
          <w:tcPr>
            <w:tcW w:w="6523" w:type="dxa"/>
            <w:noWrap w:val="0"/>
            <w:vAlign w:val="top"/>
          </w:tcPr>
          <w:p w14:paraId="5E6A1296">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 xml:space="preserve">.2 </w:t>
            </w:r>
            <w:r>
              <w:rPr>
                <w:rFonts w:hint="eastAsia" w:ascii="宋体" w:hAnsi="宋体" w:eastAsia="宋体" w:cs="宋体"/>
                <w:color w:val="000000"/>
                <w:sz w:val="20"/>
                <w:szCs w:val="20"/>
                <w:lang w:eastAsia="zh-CN"/>
              </w:rPr>
              <w:t>要求中标方在交货完成后一周内，免费向用户方进行技术培训工作。</w:t>
            </w:r>
          </w:p>
        </w:tc>
      </w:tr>
      <w:tr w14:paraId="0260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0B95F0A">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14:paraId="7CC40244">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14:paraId="776D1F14">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14:paraId="595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4EA2AED">
            <w:pPr>
              <w:spacing w:line="360" w:lineRule="exact"/>
              <w:jc w:val="center"/>
              <w:rPr>
                <w:rFonts w:ascii="宋体" w:hAnsi="宋体"/>
                <w:b/>
              </w:rPr>
            </w:pPr>
          </w:p>
        </w:tc>
        <w:tc>
          <w:tcPr>
            <w:tcW w:w="1457" w:type="dxa"/>
            <w:vMerge w:val="continue"/>
            <w:noWrap w:val="0"/>
            <w:vAlign w:val="center"/>
          </w:tcPr>
          <w:p w14:paraId="1267E431">
            <w:pPr>
              <w:spacing w:line="360" w:lineRule="exact"/>
              <w:rPr>
                <w:rFonts w:ascii="宋体" w:hAnsi="宋体"/>
                <w:b/>
              </w:rPr>
            </w:pPr>
          </w:p>
        </w:tc>
        <w:tc>
          <w:tcPr>
            <w:tcW w:w="6523" w:type="dxa"/>
            <w:noWrap w:val="0"/>
            <w:vAlign w:val="top"/>
          </w:tcPr>
          <w:p w14:paraId="1C0495C9">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7</w:t>
            </w:r>
            <w:r>
              <w:rPr>
                <w:rFonts w:hint="eastAsia" w:ascii="宋体" w:hAnsi="宋体" w:eastAsia="宋体" w:cs="宋体"/>
                <w:color w:val="000000"/>
                <w:sz w:val="20"/>
                <w:szCs w:val="20"/>
              </w:rPr>
              <w:t>.2采购人购买产品后，有权对该产品与其他设备进行配套、整合或适当改进，而免受侵犯专利权的起诉。</w:t>
            </w:r>
          </w:p>
        </w:tc>
      </w:tr>
      <w:tr w14:paraId="358A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6158C9BF">
            <w:pPr>
              <w:spacing w:line="360" w:lineRule="exact"/>
              <w:jc w:val="center"/>
              <w:rPr>
                <w:rFonts w:hint="default"/>
                <w:b/>
                <w:lang w:val="en-US" w:eastAsia="zh-CN"/>
              </w:rPr>
            </w:pPr>
            <w:r>
              <w:rPr>
                <w:rFonts w:hint="eastAsia"/>
                <w:b/>
                <w:lang w:val="en-US" w:eastAsia="zh-CN"/>
              </w:rPr>
              <w:t>8</w:t>
            </w:r>
          </w:p>
        </w:tc>
        <w:tc>
          <w:tcPr>
            <w:tcW w:w="1457" w:type="dxa"/>
            <w:noWrap w:val="0"/>
            <w:vAlign w:val="center"/>
          </w:tcPr>
          <w:p w14:paraId="5490CA9C">
            <w:pPr>
              <w:spacing w:line="360" w:lineRule="exact"/>
              <w:jc w:val="center"/>
              <w:rPr>
                <w:rFonts w:hint="default" w:ascii="宋体" w:hAnsi="宋体" w:eastAsia="宋体"/>
                <w:b/>
                <w:color w:val="0000FF"/>
                <w:sz w:val="20"/>
                <w:szCs w:val="20"/>
                <w:lang w:val="en-US" w:eastAsia="zh-CN"/>
              </w:rPr>
            </w:pPr>
            <w:r>
              <w:rPr>
                <w:rFonts w:hint="eastAsia" w:ascii="宋体" w:hAnsi="宋体"/>
                <w:b/>
                <w:color w:val="0000FF"/>
                <w:sz w:val="20"/>
                <w:szCs w:val="20"/>
                <w:lang w:val="en-US" w:eastAsia="zh-CN"/>
              </w:rPr>
              <w:t>报价要求</w:t>
            </w:r>
          </w:p>
        </w:tc>
        <w:tc>
          <w:tcPr>
            <w:tcW w:w="6523" w:type="dxa"/>
            <w:noWrap w:val="0"/>
            <w:vAlign w:val="top"/>
          </w:tcPr>
          <w:p w14:paraId="453EC83F">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8.1</w:t>
            </w:r>
            <w:r>
              <w:rPr>
                <w:rFonts w:hint="eastAsia" w:ascii="宋体" w:hAnsi="宋体" w:eastAsia="宋体" w:cs="宋体"/>
                <w:color w:val="000000"/>
                <w:sz w:val="20"/>
                <w:szCs w:val="20"/>
              </w:rPr>
              <w:t>投标总价必须是完成该项目的一切费用总和，包括投标费、设备费、运输费、装卸费、保险费、技术培训费、设备安装费、调试费、检测费、国家规定的各项税费等。</w:t>
            </w:r>
          </w:p>
        </w:tc>
      </w:tr>
      <w:tr w14:paraId="7447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5071883C">
            <w:pPr>
              <w:spacing w:line="360" w:lineRule="exact"/>
              <w:jc w:val="center"/>
              <w:rPr>
                <w:rFonts w:hint="eastAsia" w:ascii="宋体" w:hAnsi="宋体" w:eastAsia="宋体"/>
                <w:b/>
                <w:lang w:eastAsia="zh-CN"/>
              </w:rPr>
            </w:pPr>
            <w:r>
              <w:rPr>
                <w:rFonts w:hint="eastAsia"/>
                <w:b/>
                <w:lang w:val="en-US" w:eastAsia="zh-CN"/>
              </w:rPr>
              <w:t>9</w:t>
            </w:r>
          </w:p>
        </w:tc>
        <w:tc>
          <w:tcPr>
            <w:tcW w:w="1457" w:type="dxa"/>
            <w:noWrap w:val="0"/>
            <w:vAlign w:val="center"/>
          </w:tcPr>
          <w:p w14:paraId="6AB59C66">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14:paraId="6668698E">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9.1</w:t>
            </w:r>
            <w:r>
              <w:rPr>
                <w:rFonts w:hint="eastAsia" w:ascii="宋体" w:hAnsi="宋体" w:eastAsia="宋体" w:cs="宋体"/>
                <w:color w:val="000000"/>
                <w:sz w:val="20"/>
                <w:szCs w:val="20"/>
              </w:rPr>
              <w:t>投标供应商应按其投标文件中的承诺，进行其他售后服务工作。</w:t>
            </w:r>
          </w:p>
        </w:tc>
      </w:tr>
    </w:tbl>
    <w:p w14:paraId="18E049D5">
      <w:pPr>
        <w:rPr>
          <w:b/>
        </w:rPr>
      </w:pPr>
      <w:r>
        <w:rPr>
          <w:rFonts w:ascii="黑体" w:hAnsi="黑体" w:eastAsia="黑体"/>
          <w:sz w:val="40"/>
          <w:szCs w:val="40"/>
        </w:rPr>
        <w:br w:type="page"/>
      </w:r>
    </w:p>
    <w:p w14:paraId="4709B3C6">
      <w:pPr>
        <w:pStyle w:val="6"/>
        <w:spacing w:before="60" w:beforeLines="25" w:after="60" w:afterLines="25"/>
        <w:ind w:firstLine="0" w:firstLineChars="0"/>
        <w:rPr>
          <w:rFonts w:ascii="宋体" w:hAnsi="宋体"/>
          <w:szCs w:val="21"/>
        </w:rPr>
      </w:pPr>
    </w:p>
    <w:p w14:paraId="1ABD3E0B">
      <w:pPr>
        <w:pStyle w:val="6"/>
        <w:spacing w:before="60" w:beforeLines="25" w:after="60" w:afterLines="25"/>
        <w:ind w:firstLine="0" w:firstLineChars="0"/>
        <w:rPr>
          <w:rFonts w:ascii="宋体" w:hAnsi="宋体"/>
          <w:szCs w:val="21"/>
        </w:rPr>
      </w:pPr>
    </w:p>
    <w:p w14:paraId="43C7C1DF">
      <w:pPr>
        <w:pStyle w:val="6"/>
        <w:spacing w:before="60" w:beforeLines="25" w:after="60" w:afterLines="25"/>
        <w:ind w:firstLine="0" w:firstLineChars="0"/>
        <w:rPr>
          <w:rFonts w:ascii="宋体" w:hAnsi="宋体"/>
          <w:szCs w:val="21"/>
        </w:rPr>
      </w:pPr>
    </w:p>
    <w:p w14:paraId="6C1B5105">
      <w:pPr>
        <w:pStyle w:val="6"/>
        <w:spacing w:before="60" w:beforeLines="25" w:after="60" w:afterLines="25"/>
        <w:ind w:firstLine="0" w:firstLineChars="0"/>
        <w:rPr>
          <w:rFonts w:ascii="宋体" w:hAnsi="宋体"/>
          <w:szCs w:val="21"/>
        </w:rPr>
      </w:pP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14"/>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39"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39"/>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D8EA40D">
      <w:pPr>
        <w:rPr>
          <w:rFonts w:ascii="宋体" w:hAnsi="宋体"/>
          <w:sz w:val="24"/>
        </w:rPr>
      </w:pPr>
      <w:bookmarkStart w:id="40" w:name="_Hlk72263559"/>
      <w:bookmarkStart w:id="41" w:name="_Hlk72257771"/>
      <w:r>
        <w:rPr>
          <w:rFonts w:hint="eastAsia" w:ascii="宋体" w:hAnsi="宋体"/>
          <w:sz w:val="24"/>
        </w:rPr>
        <w:t>投标文件组成：</w:t>
      </w:r>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7BD92D27">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）同类项目业绩情况</w:t>
      </w:r>
      <w:r>
        <w:rPr>
          <w:rFonts w:hint="eastAsia"/>
          <w:szCs w:val="21"/>
          <w:lang w:eastAsia="zh-CN"/>
        </w:rPr>
        <w:t>；</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6D49121E">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25A8E734">
      <w:pPr>
        <w:ind w:firstLine="2100" w:firstLineChars="1000"/>
        <w:rPr>
          <w:rFonts w:hint="eastAsia" w:eastAsiaTheme="minor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）设计图评价；</w:t>
      </w:r>
    </w:p>
    <w:p w14:paraId="68681944">
      <w:pPr>
        <w:ind w:firstLine="2100" w:firstLineChars="1000"/>
        <w:rPr>
          <w:rFonts w:hint="eastAsia"/>
          <w:szCs w:val="21"/>
          <w:lang w:eastAsia="zh-CN"/>
        </w:rPr>
      </w:pPr>
      <w:r>
        <w:rPr>
          <w:rFonts w:hint="eastAsia"/>
          <w:szCs w:val="21"/>
        </w:rPr>
        <w:t>（</w:t>
      </w:r>
      <w:r>
        <w:rPr>
          <w:rFonts w:hint="eastAsia"/>
          <w:szCs w:val="21"/>
          <w:lang w:val="en-US" w:eastAsia="zh-CN"/>
        </w:rPr>
        <w:t>7</w:t>
      </w:r>
      <w:r>
        <w:rPr>
          <w:rFonts w:hint="eastAsia"/>
          <w:szCs w:val="21"/>
        </w:rPr>
        <w:t>）项目组织实施方案的评价</w:t>
      </w:r>
      <w:r>
        <w:rPr>
          <w:rFonts w:hint="eastAsia"/>
          <w:szCs w:val="21"/>
          <w:lang w:eastAsia="zh-CN"/>
        </w:rPr>
        <w:t>；</w:t>
      </w:r>
    </w:p>
    <w:p w14:paraId="4CA900B1">
      <w:pPr>
        <w:ind w:firstLine="2100" w:firstLineChars="1000"/>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售后服务评价</w:t>
      </w:r>
      <w:r>
        <w:rPr>
          <w:rFonts w:hint="eastAsia"/>
          <w:szCs w:val="21"/>
          <w:lang w:eastAsia="zh-CN"/>
        </w:rPr>
        <w:t>；</w:t>
      </w:r>
    </w:p>
    <w:p w14:paraId="58E20284">
      <w:pPr>
        <w:ind w:firstLine="2100" w:firstLineChars="1000"/>
        <w:rPr>
          <w:rFonts w:hint="eastAsia"/>
          <w:szCs w:val="21"/>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政府采购节能环保产品情况</w:t>
      </w:r>
    </w:p>
    <w:p w14:paraId="45F3FF8C">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绿色采购情况</w:t>
      </w:r>
      <w:r>
        <w:rPr>
          <w:rFonts w:hint="eastAsia"/>
          <w:szCs w:val="21"/>
          <w:lang w:eastAsia="zh-CN"/>
        </w:rPr>
        <w:t>；</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0"/>
      <w:bookmarkEnd w:id="41"/>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2"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3"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4" w:name="_Hlk72263588"/>
      <w:r>
        <w:rPr>
          <w:rFonts w:hint="eastAsia"/>
          <w:szCs w:val="21"/>
        </w:rPr>
        <w:t>愿意按照招标文件要求承包上述项目并修补其任何缺陷。</w:t>
      </w:r>
      <w:bookmarkEnd w:id="44"/>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5" w:name="_Hlk73819847"/>
      <w:r>
        <w:rPr>
          <w:rFonts w:hint="eastAsia" w:ascii="宋体" w:hAnsi="宋体"/>
          <w:szCs w:val="21"/>
        </w:rPr>
        <w:t>投标价格见</w:t>
      </w:r>
      <w:r>
        <w:rPr>
          <w:rFonts w:hint="eastAsia"/>
          <w:szCs w:val="21"/>
        </w:rPr>
        <w:t>投标书编制软件中《开标一览表》中填写的投标总价。</w:t>
      </w:r>
      <w:bookmarkEnd w:id="45"/>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3"/>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2"/>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6"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7" w:name="_Hlk72587269"/>
      <w:bookmarkStart w:id="48"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7"/>
      <w:r>
        <w:rPr>
          <w:rFonts w:hint="eastAsia" w:ascii="宋体" w:hAnsi="宋体"/>
          <w:szCs w:val="21"/>
        </w:rPr>
        <w:t>。</w:t>
      </w:r>
    </w:p>
    <w:bookmarkEnd w:id="48"/>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6"/>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49"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0" w:name="_Hlk72257908"/>
      <w:r>
        <w:rPr>
          <w:rFonts w:hint="eastAsia" w:ascii="黑体" w:hAnsi="宋体" w:eastAsia="黑体"/>
          <w:bCs/>
          <w:kern w:val="0"/>
          <w:sz w:val="24"/>
          <w:szCs w:val="32"/>
        </w:rPr>
        <w:t>（二）中小企业声明函、残疾人福利性单位声明函及监狱企业声明函</w:t>
      </w:r>
    </w:p>
    <w:bookmarkEnd w:id="49"/>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5"/>
        </w:numPr>
        <w:jc w:val="center"/>
        <w:outlineLvl w:val="9"/>
        <w:rPr>
          <w:b/>
          <w:sz w:val="24"/>
        </w:rPr>
      </w:pPr>
      <w:r>
        <w:rPr>
          <w:b/>
          <w:sz w:val="24"/>
        </w:rPr>
        <w:t>中小企业声明函（货物）</w:t>
      </w:r>
    </w:p>
    <w:p w14:paraId="3A398622">
      <w:pPr>
        <w:pStyle w:val="7"/>
        <w:widowControl w:val="0"/>
        <w:numPr>
          <w:ilvl w:val="0"/>
          <w:numId w:val="0"/>
        </w:numPr>
        <w:spacing w:line="360" w:lineRule="auto"/>
        <w:jc w:val="both"/>
      </w:pPr>
    </w:p>
    <w:p w14:paraId="14DE190F">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4"/>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1"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1"/>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2" w:name="_Hlk73562331"/>
      <w:bookmarkStart w:id="53"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2"/>
    </w:p>
    <w:bookmarkEnd w:id="53"/>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0"/>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4" w:name="_Hlk72259976"/>
      <w:r>
        <w:rPr>
          <w:rFonts w:hint="eastAsia" w:ascii="黑体" w:eastAsia="黑体"/>
          <w:b w:val="0"/>
          <w:sz w:val="24"/>
          <w:szCs w:val="24"/>
        </w:rPr>
        <w:br w:type="page"/>
      </w:r>
    </w:p>
    <w:p w14:paraId="7A602B57">
      <w:pPr>
        <w:pStyle w:val="3"/>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57"/>
        <w:gridCol w:w="1919"/>
        <w:gridCol w:w="537"/>
        <w:gridCol w:w="525"/>
        <w:gridCol w:w="612"/>
        <w:gridCol w:w="726"/>
        <w:gridCol w:w="462"/>
        <w:gridCol w:w="427"/>
        <w:gridCol w:w="571"/>
        <w:gridCol w:w="563"/>
        <w:gridCol w:w="70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183154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057" w:type="dxa"/>
            <w:vAlign w:val="center"/>
          </w:tcPr>
          <w:p w14:paraId="78467406">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919" w:type="dxa"/>
            <w:vAlign w:val="center"/>
          </w:tcPr>
          <w:p w14:paraId="5C8FD8A3">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537" w:type="dxa"/>
            <w:vAlign w:val="center"/>
          </w:tcPr>
          <w:p w14:paraId="6455BBA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525" w:type="dxa"/>
            <w:vAlign w:val="center"/>
          </w:tcPr>
          <w:p w14:paraId="37A9975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14:paraId="10633235">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14:paraId="63BFD17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14:paraId="2C25F969">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76D1A782">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5F7F7CF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039DF1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025F3627">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057" w:type="dxa"/>
            <w:vMerge w:val="restart"/>
            <w:vAlign w:val="center"/>
          </w:tcPr>
          <w:p w14:paraId="6C608AC2">
            <w:pPr>
              <w:jc w:val="center"/>
              <w:rPr>
                <w:rFonts w:ascii="Times New Roman" w:hAnsi="Times New Roman" w:eastAsia="宋体" w:cs="Times New Roman"/>
                <w:bCs/>
                <w:szCs w:val="21"/>
              </w:rPr>
            </w:pPr>
            <w:r>
              <w:rPr>
                <w:rFonts w:hint="eastAsia"/>
                <w:bCs/>
                <w:szCs w:val="21"/>
              </w:rPr>
              <w:t>BAJYJ2025052707080A</w:t>
            </w:r>
          </w:p>
        </w:tc>
        <w:tc>
          <w:tcPr>
            <w:tcW w:w="1919" w:type="dxa"/>
            <w:shd w:val="clear" w:color="auto" w:fill="auto"/>
            <w:vAlign w:val="center"/>
          </w:tcPr>
          <w:p w14:paraId="4E08350D">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光网络单元 (8口万兆 ONU)</w:t>
            </w:r>
          </w:p>
        </w:tc>
        <w:tc>
          <w:tcPr>
            <w:tcW w:w="537" w:type="dxa"/>
            <w:vAlign w:val="center"/>
          </w:tcPr>
          <w:p w14:paraId="13695C0C">
            <w:pPr>
              <w:jc w:val="center"/>
              <w:rPr>
                <w:rFonts w:hint="eastAsia" w:ascii="Times New Roman" w:hAnsi="Times New Roman" w:eastAsia="宋体" w:cs="Times New Roman"/>
                <w:bCs/>
                <w:szCs w:val="21"/>
              </w:rPr>
            </w:pPr>
          </w:p>
        </w:tc>
        <w:tc>
          <w:tcPr>
            <w:tcW w:w="525" w:type="dxa"/>
            <w:vAlign w:val="center"/>
          </w:tcPr>
          <w:p w14:paraId="2887837E">
            <w:pPr>
              <w:jc w:val="center"/>
              <w:rPr>
                <w:rFonts w:ascii="Times New Roman" w:hAnsi="Times New Roman" w:eastAsia="宋体" w:cs="Times New Roman"/>
                <w:bCs/>
                <w:szCs w:val="21"/>
              </w:rPr>
            </w:pPr>
          </w:p>
        </w:tc>
        <w:tc>
          <w:tcPr>
            <w:tcW w:w="612" w:type="dxa"/>
            <w:vAlign w:val="center"/>
          </w:tcPr>
          <w:p w14:paraId="4C754A60">
            <w:pPr>
              <w:jc w:val="center"/>
              <w:rPr>
                <w:rFonts w:ascii="Times New Roman" w:hAnsi="Times New Roman" w:eastAsia="宋体" w:cs="Times New Roman"/>
                <w:bCs/>
                <w:szCs w:val="21"/>
              </w:rPr>
            </w:pPr>
          </w:p>
        </w:tc>
        <w:tc>
          <w:tcPr>
            <w:tcW w:w="726" w:type="dxa"/>
            <w:vAlign w:val="center"/>
          </w:tcPr>
          <w:p w14:paraId="528122F9">
            <w:pPr>
              <w:jc w:val="center"/>
              <w:rPr>
                <w:rFonts w:ascii="Times New Roman" w:hAnsi="Times New Roman" w:eastAsia="宋体" w:cs="Times New Roman"/>
                <w:bCs/>
                <w:szCs w:val="21"/>
              </w:rPr>
            </w:pPr>
          </w:p>
        </w:tc>
        <w:tc>
          <w:tcPr>
            <w:tcW w:w="462" w:type="dxa"/>
            <w:shd w:val="clear" w:color="auto" w:fill="auto"/>
            <w:vAlign w:val="center"/>
          </w:tcPr>
          <w:p w14:paraId="1BF527C3">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14</w:t>
            </w:r>
          </w:p>
        </w:tc>
        <w:tc>
          <w:tcPr>
            <w:tcW w:w="427" w:type="dxa"/>
            <w:shd w:val="clear" w:color="auto" w:fill="auto"/>
            <w:vAlign w:val="center"/>
          </w:tcPr>
          <w:p w14:paraId="2DCE25C2">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台</w:t>
            </w:r>
          </w:p>
        </w:tc>
        <w:tc>
          <w:tcPr>
            <w:tcW w:w="571" w:type="dxa"/>
            <w:vAlign w:val="center"/>
          </w:tcPr>
          <w:p w14:paraId="2D602E22">
            <w:pPr>
              <w:jc w:val="center"/>
              <w:rPr>
                <w:rFonts w:ascii="Times New Roman" w:hAnsi="Times New Roman" w:eastAsia="宋体" w:cs="Times New Roman"/>
                <w:bCs/>
                <w:szCs w:val="21"/>
              </w:rPr>
            </w:pPr>
          </w:p>
        </w:tc>
        <w:tc>
          <w:tcPr>
            <w:tcW w:w="563" w:type="dxa"/>
            <w:vAlign w:val="center"/>
          </w:tcPr>
          <w:p w14:paraId="7891D272">
            <w:pPr>
              <w:jc w:val="center"/>
              <w:rPr>
                <w:rFonts w:ascii="Times New Roman" w:hAnsi="Times New Roman" w:eastAsia="宋体" w:cs="Times New Roman"/>
                <w:bCs/>
                <w:szCs w:val="21"/>
              </w:rPr>
            </w:pPr>
          </w:p>
        </w:tc>
        <w:tc>
          <w:tcPr>
            <w:tcW w:w="703" w:type="dxa"/>
            <w:vMerge w:val="restart"/>
            <w:vAlign w:val="center"/>
          </w:tcPr>
          <w:p w14:paraId="2A47B96D">
            <w:pPr>
              <w:jc w:val="center"/>
              <w:rPr>
                <w:rFonts w:ascii="Times New Roman" w:hAnsi="Times New Roman" w:eastAsia="宋体" w:cs="Times New Roman"/>
                <w:b/>
                <w:bCs/>
                <w:szCs w:val="21"/>
              </w:rPr>
            </w:pPr>
            <w:r>
              <w:rPr>
                <w:rFonts w:hint="eastAsia"/>
                <w:bCs/>
                <w:color w:val="FF0000"/>
                <w:szCs w:val="21"/>
                <w:lang w:val="en-US" w:eastAsia="zh-CN"/>
              </w:rPr>
              <w:t>270</w:t>
            </w:r>
            <w:r>
              <w:rPr>
                <w:rFonts w:hint="default" w:eastAsia="宋体"/>
                <w:bCs/>
                <w:color w:val="FF0000"/>
                <w:szCs w:val="21"/>
                <w:lang w:val="en-US" w:eastAsia="zh-CN"/>
              </w:rPr>
              <w:t>,000.00</w:t>
            </w: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59B6071">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057" w:type="dxa"/>
            <w:vMerge w:val="continue"/>
            <w:vAlign w:val="center"/>
          </w:tcPr>
          <w:p w14:paraId="79987A2B">
            <w:pPr>
              <w:jc w:val="center"/>
              <w:rPr>
                <w:rFonts w:ascii="Times New Roman" w:hAnsi="Times New Roman" w:eastAsia="宋体" w:cs="Times New Roman"/>
                <w:bCs/>
                <w:szCs w:val="21"/>
              </w:rPr>
            </w:pPr>
          </w:p>
        </w:tc>
        <w:tc>
          <w:tcPr>
            <w:tcW w:w="1919" w:type="dxa"/>
            <w:shd w:val="clear" w:color="auto" w:fill="auto"/>
            <w:vAlign w:val="center"/>
          </w:tcPr>
          <w:p w14:paraId="0AB54819">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光网络单元 (8口万兆POE ONU)</w:t>
            </w:r>
          </w:p>
        </w:tc>
        <w:tc>
          <w:tcPr>
            <w:tcW w:w="537" w:type="dxa"/>
            <w:vAlign w:val="center"/>
          </w:tcPr>
          <w:p w14:paraId="1071D59E">
            <w:pPr>
              <w:jc w:val="center"/>
              <w:rPr>
                <w:rFonts w:hint="eastAsia" w:ascii="Times New Roman" w:hAnsi="Times New Roman" w:eastAsia="宋体" w:cs="Times New Roman"/>
                <w:bCs/>
                <w:szCs w:val="21"/>
              </w:rPr>
            </w:pPr>
          </w:p>
        </w:tc>
        <w:tc>
          <w:tcPr>
            <w:tcW w:w="525" w:type="dxa"/>
            <w:vAlign w:val="center"/>
          </w:tcPr>
          <w:p w14:paraId="10329F31">
            <w:pPr>
              <w:jc w:val="center"/>
              <w:rPr>
                <w:rFonts w:ascii="Times New Roman" w:hAnsi="Times New Roman" w:eastAsia="宋体" w:cs="Times New Roman"/>
                <w:bCs/>
                <w:szCs w:val="21"/>
              </w:rPr>
            </w:pPr>
          </w:p>
        </w:tc>
        <w:tc>
          <w:tcPr>
            <w:tcW w:w="612" w:type="dxa"/>
            <w:vAlign w:val="center"/>
          </w:tcPr>
          <w:p w14:paraId="0C6AABF2">
            <w:pPr>
              <w:jc w:val="center"/>
              <w:rPr>
                <w:rFonts w:ascii="Times New Roman" w:hAnsi="Times New Roman" w:eastAsia="宋体" w:cs="Times New Roman"/>
                <w:bCs/>
                <w:szCs w:val="21"/>
              </w:rPr>
            </w:pPr>
          </w:p>
        </w:tc>
        <w:tc>
          <w:tcPr>
            <w:tcW w:w="726" w:type="dxa"/>
            <w:vAlign w:val="center"/>
          </w:tcPr>
          <w:p w14:paraId="12472BF9">
            <w:pPr>
              <w:jc w:val="center"/>
              <w:rPr>
                <w:rFonts w:ascii="Times New Roman" w:hAnsi="Times New Roman" w:eastAsia="宋体" w:cs="Times New Roman"/>
                <w:bCs/>
                <w:szCs w:val="21"/>
              </w:rPr>
            </w:pPr>
          </w:p>
        </w:tc>
        <w:tc>
          <w:tcPr>
            <w:tcW w:w="462" w:type="dxa"/>
            <w:shd w:val="clear" w:color="auto" w:fill="auto"/>
            <w:vAlign w:val="center"/>
          </w:tcPr>
          <w:p w14:paraId="3090C283">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41</w:t>
            </w:r>
          </w:p>
        </w:tc>
        <w:tc>
          <w:tcPr>
            <w:tcW w:w="427" w:type="dxa"/>
            <w:shd w:val="clear" w:color="auto" w:fill="auto"/>
            <w:vAlign w:val="center"/>
          </w:tcPr>
          <w:p w14:paraId="32E14B8E">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台</w:t>
            </w:r>
          </w:p>
        </w:tc>
        <w:tc>
          <w:tcPr>
            <w:tcW w:w="571" w:type="dxa"/>
            <w:vAlign w:val="center"/>
          </w:tcPr>
          <w:p w14:paraId="422DCA3A">
            <w:pPr>
              <w:jc w:val="center"/>
              <w:rPr>
                <w:rFonts w:ascii="Times New Roman" w:hAnsi="Times New Roman" w:eastAsia="宋体" w:cs="Times New Roman"/>
                <w:bCs/>
                <w:szCs w:val="21"/>
              </w:rPr>
            </w:pPr>
          </w:p>
        </w:tc>
        <w:tc>
          <w:tcPr>
            <w:tcW w:w="563" w:type="dxa"/>
            <w:vAlign w:val="center"/>
          </w:tcPr>
          <w:p w14:paraId="498E5FED">
            <w:pPr>
              <w:jc w:val="center"/>
              <w:rPr>
                <w:rFonts w:ascii="Times New Roman" w:hAnsi="Times New Roman" w:eastAsia="宋体" w:cs="Times New Roman"/>
                <w:bCs/>
                <w:szCs w:val="21"/>
              </w:rPr>
            </w:pPr>
          </w:p>
        </w:tc>
        <w:tc>
          <w:tcPr>
            <w:tcW w:w="703" w:type="dxa"/>
            <w:vMerge w:val="continue"/>
            <w:vAlign w:val="center"/>
          </w:tcPr>
          <w:p w14:paraId="086A77A9">
            <w:pPr>
              <w:jc w:val="center"/>
              <w:rPr>
                <w:rFonts w:ascii="Times New Roman" w:hAnsi="Times New Roman" w:eastAsia="宋体" w:cs="Times New Roman"/>
                <w:b/>
                <w:bCs/>
                <w:color w:val="FF0000"/>
                <w:szCs w:val="21"/>
              </w:rPr>
            </w:pPr>
          </w:p>
        </w:tc>
      </w:tr>
      <w:tr w14:paraId="159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B58D4E3">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057" w:type="dxa"/>
            <w:vMerge w:val="continue"/>
            <w:vAlign w:val="center"/>
          </w:tcPr>
          <w:p w14:paraId="519CF766">
            <w:pPr>
              <w:jc w:val="center"/>
              <w:rPr>
                <w:rFonts w:ascii="Times New Roman" w:hAnsi="Times New Roman" w:eastAsia="宋体" w:cs="Times New Roman"/>
                <w:bCs/>
                <w:szCs w:val="21"/>
              </w:rPr>
            </w:pPr>
          </w:p>
        </w:tc>
        <w:tc>
          <w:tcPr>
            <w:tcW w:w="1919" w:type="dxa"/>
            <w:shd w:val="clear" w:color="auto" w:fill="auto"/>
            <w:vAlign w:val="center"/>
          </w:tcPr>
          <w:p w14:paraId="70B8657F">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光网络单元 (24口万兆 ONU)</w:t>
            </w:r>
          </w:p>
        </w:tc>
        <w:tc>
          <w:tcPr>
            <w:tcW w:w="537" w:type="dxa"/>
            <w:vAlign w:val="center"/>
          </w:tcPr>
          <w:p w14:paraId="42435EBE">
            <w:pPr>
              <w:jc w:val="center"/>
              <w:rPr>
                <w:rFonts w:hint="eastAsia" w:ascii="Times New Roman" w:hAnsi="Times New Roman" w:eastAsia="宋体" w:cs="Times New Roman"/>
                <w:bCs/>
                <w:szCs w:val="21"/>
              </w:rPr>
            </w:pPr>
          </w:p>
        </w:tc>
        <w:tc>
          <w:tcPr>
            <w:tcW w:w="525" w:type="dxa"/>
            <w:vAlign w:val="center"/>
          </w:tcPr>
          <w:p w14:paraId="34F9ACA4">
            <w:pPr>
              <w:jc w:val="center"/>
              <w:rPr>
                <w:rFonts w:ascii="Times New Roman" w:hAnsi="Times New Roman" w:eastAsia="宋体" w:cs="Times New Roman"/>
                <w:bCs/>
                <w:szCs w:val="21"/>
              </w:rPr>
            </w:pPr>
          </w:p>
        </w:tc>
        <w:tc>
          <w:tcPr>
            <w:tcW w:w="612" w:type="dxa"/>
            <w:vAlign w:val="center"/>
          </w:tcPr>
          <w:p w14:paraId="6C8B0014">
            <w:pPr>
              <w:jc w:val="center"/>
              <w:rPr>
                <w:rFonts w:ascii="Times New Roman" w:hAnsi="Times New Roman" w:eastAsia="宋体" w:cs="Times New Roman"/>
                <w:bCs/>
                <w:szCs w:val="21"/>
              </w:rPr>
            </w:pPr>
          </w:p>
        </w:tc>
        <w:tc>
          <w:tcPr>
            <w:tcW w:w="726" w:type="dxa"/>
            <w:vAlign w:val="center"/>
          </w:tcPr>
          <w:p w14:paraId="6D4A37B3">
            <w:pPr>
              <w:jc w:val="center"/>
              <w:rPr>
                <w:rFonts w:ascii="Times New Roman" w:hAnsi="Times New Roman" w:eastAsia="宋体" w:cs="Times New Roman"/>
                <w:bCs/>
                <w:szCs w:val="21"/>
              </w:rPr>
            </w:pPr>
          </w:p>
        </w:tc>
        <w:tc>
          <w:tcPr>
            <w:tcW w:w="462" w:type="dxa"/>
            <w:shd w:val="clear" w:color="auto" w:fill="auto"/>
            <w:vAlign w:val="center"/>
          </w:tcPr>
          <w:p w14:paraId="0F88B490">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1</w:t>
            </w:r>
          </w:p>
        </w:tc>
        <w:tc>
          <w:tcPr>
            <w:tcW w:w="427" w:type="dxa"/>
            <w:shd w:val="clear" w:color="auto" w:fill="auto"/>
            <w:vAlign w:val="center"/>
          </w:tcPr>
          <w:p w14:paraId="56BB6732">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台</w:t>
            </w:r>
          </w:p>
        </w:tc>
        <w:tc>
          <w:tcPr>
            <w:tcW w:w="571" w:type="dxa"/>
            <w:vAlign w:val="center"/>
          </w:tcPr>
          <w:p w14:paraId="2747F608">
            <w:pPr>
              <w:jc w:val="center"/>
              <w:rPr>
                <w:rFonts w:ascii="Times New Roman" w:hAnsi="Times New Roman" w:eastAsia="宋体" w:cs="Times New Roman"/>
                <w:bCs/>
                <w:szCs w:val="21"/>
              </w:rPr>
            </w:pPr>
          </w:p>
        </w:tc>
        <w:tc>
          <w:tcPr>
            <w:tcW w:w="563" w:type="dxa"/>
            <w:vAlign w:val="center"/>
          </w:tcPr>
          <w:p w14:paraId="1CA48584">
            <w:pPr>
              <w:jc w:val="center"/>
              <w:rPr>
                <w:rFonts w:ascii="Times New Roman" w:hAnsi="Times New Roman" w:eastAsia="宋体" w:cs="Times New Roman"/>
                <w:bCs/>
                <w:szCs w:val="21"/>
              </w:rPr>
            </w:pPr>
          </w:p>
        </w:tc>
        <w:tc>
          <w:tcPr>
            <w:tcW w:w="703" w:type="dxa"/>
            <w:vMerge w:val="continue"/>
            <w:vAlign w:val="center"/>
          </w:tcPr>
          <w:p w14:paraId="77089297">
            <w:pPr>
              <w:jc w:val="center"/>
              <w:rPr>
                <w:rFonts w:ascii="Times New Roman" w:hAnsi="Times New Roman" w:eastAsia="宋体" w:cs="Times New Roman"/>
                <w:b/>
                <w:bCs/>
                <w:szCs w:val="21"/>
              </w:rPr>
            </w:pPr>
          </w:p>
        </w:tc>
      </w:tr>
      <w:tr w14:paraId="0B69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3ABD497">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057" w:type="dxa"/>
            <w:vMerge w:val="continue"/>
            <w:vAlign w:val="center"/>
          </w:tcPr>
          <w:p w14:paraId="48E66567">
            <w:pPr>
              <w:jc w:val="center"/>
              <w:rPr>
                <w:rFonts w:ascii="Times New Roman" w:hAnsi="Times New Roman" w:eastAsia="宋体" w:cs="Times New Roman"/>
                <w:bCs/>
                <w:szCs w:val="21"/>
              </w:rPr>
            </w:pPr>
          </w:p>
        </w:tc>
        <w:tc>
          <w:tcPr>
            <w:tcW w:w="1919" w:type="dxa"/>
            <w:shd w:val="clear" w:color="auto" w:fill="auto"/>
            <w:vAlign w:val="center"/>
          </w:tcPr>
          <w:p w14:paraId="3333B452">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光网络单元 (24口万兆 POE ONU)</w:t>
            </w:r>
          </w:p>
        </w:tc>
        <w:tc>
          <w:tcPr>
            <w:tcW w:w="537" w:type="dxa"/>
            <w:vAlign w:val="center"/>
          </w:tcPr>
          <w:p w14:paraId="5833F82A">
            <w:pPr>
              <w:jc w:val="center"/>
              <w:rPr>
                <w:rFonts w:hint="eastAsia" w:ascii="Times New Roman" w:hAnsi="Times New Roman" w:eastAsia="宋体" w:cs="Times New Roman"/>
                <w:bCs/>
                <w:szCs w:val="21"/>
              </w:rPr>
            </w:pPr>
          </w:p>
        </w:tc>
        <w:tc>
          <w:tcPr>
            <w:tcW w:w="525" w:type="dxa"/>
            <w:vAlign w:val="center"/>
          </w:tcPr>
          <w:p w14:paraId="1F998A70">
            <w:pPr>
              <w:jc w:val="center"/>
              <w:rPr>
                <w:rFonts w:ascii="Times New Roman" w:hAnsi="Times New Roman" w:eastAsia="宋体" w:cs="Times New Roman"/>
                <w:bCs/>
                <w:szCs w:val="21"/>
              </w:rPr>
            </w:pPr>
          </w:p>
        </w:tc>
        <w:tc>
          <w:tcPr>
            <w:tcW w:w="612" w:type="dxa"/>
            <w:vAlign w:val="center"/>
          </w:tcPr>
          <w:p w14:paraId="2E2DD570">
            <w:pPr>
              <w:jc w:val="center"/>
              <w:rPr>
                <w:rFonts w:ascii="Times New Roman" w:hAnsi="Times New Roman" w:eastAsia="宋体" w:cs="Times New Roman"/>
                <w:bCs/>
                <w:szCs w:val="21"/>
              </w:rPr>
            </w:pPr>
          </w:p>
        </w:tc>
        <w:tc>
          <w:tcPr>
            <w:tcW w:w="726" w:type="dxa"/>
            <w:vAlign w:val="center"/>
          </w:tcPr>
          <w:p w14:paraId="09BBDDD6">
            <w:pPr>
              <w:jc w:val="center"/>
              <w:rPr>
                <w:rFonts w:ascii="Times New Roman" w:hAnsi="Times New Roman" w:eastAsia="宋体" w:cs="Times New Roman"/>
                <w:bCs/>
                <w:szCs w:val="21"/>
              </w:rPr>
            </w:pPr>
          </w:p>
        </w:tc>
        <w:tc>
          <w:tcPr>
            <w:tcW w:w="462" w:type="dxa"/>
            <w:shd w:val="clear" w:color="auto" w:fill="auto"/>
            <w:vAlign w:val="center"/>
          </w:tcPr>
          <w:p w14:paraId="249083FB">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4</w:t>
            </w:r>
          </w:p>
        </w:tc>
        <w:tc>
          <w:tcPr>
            <w:tcW w:w="427" w:type="dxa"/>
            <w:shd w:val="clear" w:color="auto" w:fill="auto"/>
            <w:vAlign w:val="center"/>
          </w:tcPr>
          <w:p w14:paraId="1CCEDE66">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台</w:t>
            </w:r>
          </w:p>
        </w:tc>
        <w:tc>
          <w:tcPr>
            <w:tcW w:w="571" w:type="dxa"/>
            <w:vAlign w:val="center"/>
          </w:tcPr>
          <w:p w14:paraId="116C7CBA">
            <w:pPr>
              <w:jc w:val="center"/>
              <w:rPr>
                <w:rFonts w:ascii="Times New Roman" w:hAnsi="Times New Roman" w:eastAsia="宋体" w:cs="Times New Roman"/>
                <w:bCs/>
                <w:szCs w:val="21"/>
              </w:rPr>
            </w:pPr>
          </w:p>
        </w:tc>
        <w:tc>
          <w:tcPr>
            <w:tcW w:w="563" w:type="dxa"/>
            <w:vAlign w:val="center"/>
          </w:tcPr>
          <w:p w14:paraId="1E79A225">
            <w:pPr>
              <w:jc w:val="center"/>
              <w:rPr>
                <w:rFonts w:ascii="Times New Roman" w:hAnsi="Times New Roman" w:eastAsia="宋体" w:cs="Times New Roman"/>
                <w:bCs/>
                <w:szCs w:val="21"/>
              </w:rPr>
            </w:pPr>
          </w:p>
        </w:tc>
        <w:tc>
          <w:tcPr>
            <w:tcW w:w="703" w:type="dxa"/>
            <w:vMerge w:val="continue"/>
            <w:vAlign w:val="center"/>
          </w:tcPr>
          <w:p w14:paraId="495A5EEB">
            <w:pPr>
              <w:jc w:val="center"/>
              <w:rPr>
                <w:rFonts w:ascii="Times New Roman" w:hAnsi="Times New Roman" w:eastAsia="宋体" w:cs="Times New Roman"/>
                <w:b/>
                <w:bCs/>
                <w:szCs w:val="21"/>
              </w:rPr>
            </w:pPr>
          </w:p>
        </w:tc>
      </w:tr>
      <w:tr w14:paraId="74A3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2490CF84">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057" w:type="dxa"/>
            <w:vMerge w:val="continue"/>
            <w:vAlign w:val="center"/>
          </w:tcPr>
          <w:p w14:paraId="6CF41113">
            <w:pPr>
              <w:jc w:val="center"/>
              <w:rPr>
                <w:rFonts w:ascii="Times New Roman" w:hAnsi="Times New Roman" w:eastAsia="宋体" w:cs="Times New Roman"/>
                <w:bCs/>
                <w:szCs w:val="21"/>
              </w:rPr>
            </w:pPr>
          </w:p>
        </w:tc>
        <w:tc>
          <w:tcPr>
            <w:tcW w:w="1919" w:type="dxa"/>
            <w:shd w:val="clear" w:color="auto" w:fill="auto"/>
            <w:vAlign w:val="center"/>
          </w:tcPr>
          <w:p w14:paraId="76D34504">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线材及施工</w:t>
            </w:r>
          </w:p>
        </w:tc>
        <w:tc>
          <w:tcPr>
            <w:tcW w:w="537" w:type="dxa"/>
            <w:vAlign w:val="center"/>
          </w:tcPr>
          <w:p w14:paraId="4EE19159">
            <w:pPr>
              <w:jc w:val="center"/>
              <w:rPr>
                <w:rFonts w:hint="eastAsia" w:ascii="宋体" w:hAnsi="宋体" w:eastAsia="宋体" w:cs="Times New Roman"/>
                <w:bCs/>
                <w:szCs w:val="21"/>
              </w:rPr>
            </w:pPr>
          </w:p>
        </w:tc>
        <w:tc>
          <w:tcPr>
            <w:tcW w:w="525" w:type="dxa"/>
            <w:vAlign w:val="center"/>
          </w:tcPr>
          <w:p w14:paraId="2E724504">
            <w:pPr>
              <w:jc w:val="center"/>
              <w:rPr>
                <w:rFonts w:ascii="Times New Roman" w:hAnsi="Times New Roman" w:eastAsia="宋体" w:cs="Times New Roman"/>
                <w:bCs/>
                <w:szCs w:val="21"/>
              </w:rPr>
            </w:pPr>
          </w:p>
        </w:tc>
        <w:tc>
          <w:tcPr>
            <w:tcW w:w="612" w:type="dxa"/>
            <w:vAlign w:val="center"/>
          </w:tcPr>
          <w:p w14:paraId="324D0ABE">
            <w:pPr>
              <w:jc w:val="center"/>
              <w:rPr>
                <w:rFonts w:ascii="Times New Roman" w:hAnsi="Times New Roman" w:eastAsia="宋体" w:cs="Times New Roman"/>
                <w:bCs/>
                <w:szCs w:val="21"/>
              </w:rPr>
            </w:pPr>
          </w:p>
        </w:tc>
        <w:tc>
          <w:tcPr>
            <w:tcW w:w="726" w:type="dxa"/>
            <w:vAlign w:val="center"/>
          </w:tcPr>
          <w:p w14:paraId="7196997D">
            <w:pPr>
              <w:jc w:val="center"/>
              <w:rPr>
                <w:rFonts w:ascii="Times New Roman" w:hAnsi="Times New Roman" w:eastAsia="宋体" w:cs="Times New Roman"/>
                <w:bCs/>
                <w:szCs w:val="21"/>
              </w:rPr>
            </w:pPr>
          </w:p>
        </w:tc>
        <w:tc>
          <w:tcPr>
            <w:tcW w:w="462" w:type="dxa"/>
            <w:shd w:val="clear" w:color="auto" w:fill="auto"/>
            <w:vAlign w:val="center"/>
          </w:tcPr>
          <w:p w14:paraId="36B82ABB">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1</w:t>
            </w:r>
          </w:p>
        </w:tc>
        <w:tc>
          <w:tcPr>
            <w:tcW w:w="427" w:type="dxa"/>
            <w:shd w:val="clear" w:color="auto" w:fill="auto"/>
            <w:vAlign w:val="center"/>
          </w:tcPr>
          <w:p w14:paraId="038286E1">
            <w:pPr>
              <w:widowControl/>
              <w:wordWrap w:val="0"/>
              <w:spacing w:line="320" w:lineRule="exact"/>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cs="宋体"/>
                <w:color w:val="000000"/>
                <w:kern w:val="0"/>
                <w:sz w:val="21"/>
                <w:szCs w:val="21"/>
                <w:lang w:val="en-US" w:eastAsia="zh-CN" w:bidi="ar-SA"/>
              </w:rPr>
              <w:t>项</w:t>
            </w:r>
          </w:p>
        </w:tc>
        <w:tc>
          <w:tcPr>
            <w:tcW w:w="571" w:type="dxa"/>
            <w:vAlign w:val="center"/>
          </w:tcPr>
          <w:p w14:paraId="547093CC">
            <w:pPr>
              <w:jc w:val="center"/>
              <w:rPr>
                <w:rFonts w:ascii="Times New Roman" w:hAnsi="Times New Roman" w:eastAsia="宋体" w:cs="Times New Roman"/>
                <w:bCs/>
                <w:szCs w:val="21"/>
              </w:rPr>
            </w:pPr>
          </w:p>
        </w:tc>
        <w:tc>
          <w:tcPr>
            <w:tcW w:w="563" w:type="dxa"/>
            <w:vAlign w:val="center"/>
          </w:tcPr>
          <w:p w14:paraId="31FFA229">
            <w:pPr>
              <w:jc w:val="center"/>
              <w:rPr>
                <w:rFonts w:ascii="Times New Roman" w:hAnsi="Times New Roman" w:eastAsia="宋体" w:cs="Times New Roman"/>
                <w:bCs/>
                <w:szCs w:val="21"/>
              </w:rPr>
            </w:pPr>
          </w:p>
        </w:tc>
        <w:tc>
          <w:tcPr>
            <w:tcW w:w="703" w:type="dxa"/>
            <w:vMerge w:val="continue"/>
            <w:vAlign w:val="center"/>
          </w:tcPr>
          <w:p w14:paraId="2CEBE210">
            <w:pPr>
              <w:jc w:val="center"/>
              <w:rPr>
                <w:rFonts w:ascii="Times New Roman" w:hAnsi="Times New Roman" w:eastAsia="宋体" w:cs="Times New Roman"/>
                <w:b/>
                <w:bCs/>
                <w:color w:val="FF0000"/>
                <w:szCs w:val="21"/>
              </w:rPr>
            </w:pP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6ECB1BBF">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069A5A93">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5"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5"/>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6" w:name="_Hlk72073235"/>
      <w:r>
        <w:rPr>
          <w:rFonts w:hint="eastAsia"/>
          <w:b/>
          <w:sz w:val="24"/>
        </w:rPr>
        <w:t>投标人认为需要涉及的其他内容报价清单</w:t>
      </w:r>
      <w:bookmarkEnd w:id="56"/>
    </w:p>
    <w:p w14:paraId="77CC0BCE">
      <w:pPr>
        <w:rPr>
          <w:b/>
          <w:bCs/>
        </w:rPr>
      </w:pPr>
    </w:p>
    <w:p w14:paraId="35DDC2A3"/>
    <w:p w14:paraId="25EAA2C1">
      <w:pPr>
        <w:pStyle w:val="3"/>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、同类项目业绩情况（格式自定）</w:t>
      </w:r>
    </w:p>
    <w:p w14:paraId="15638287">
      <w:pPr>
        <w:pStyle w:val="7"/>
        <w:rPr>
          <w:b w:val="0"/>
          <w:bCs w:val="0"/>
        </w:rPr>
      </w:pPr>
      <w:r>
        <w:rPr>
          <w:rFonts w:hint="eastAsia"/>
          <w:b w:val="0"/>
          <w:bCs w:val="0"/>
        </w:rPr>
        <w:t>（特别提示：投标人须按本招标文件评标信息中这一评审因素要求，提供证明资料）</w:t>
      </w:r>
    </w:p>
    <w:p w14:paraId="42FB2666"/>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4"/>
    <w:p w14:paraId="00F0B4CB">
      <w:r>
        <w:br w:type="page"/>
      </w:r>
    </w:p>
    <w:p w14:paraId="55F154C2">
      <w:pPr>
        <w:outlineLvl w:val="1"/>
        <w:rPr>
          <w:rFonts w:ascii="宋体" w:hAnsi="宋体"/>
          <w:b/>
          <w:color w:val="FF0000"/>
          <w:sz w:val="28"/>
          <w:szCs w:val="28"/>
        </w:rPr>
      </w:pPr>
      <w:bookmarkStart w:id="57"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58" w:name="_Hlk72092499"/>
      <w:r>
        <w:rPr>
          <w:rFonts w:hint="eastAsia" w:ascii="黑体" w:eastAsia="黑体"/>
          <w:b w:val="0"/>
          <w:sz w:val="24"/>
        </w:rPr>
        <w:t>法定代表人（负责人）证明书</w:t>
      </w:r>
      <w:bookmarkEnd w:id="58"/>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6"/>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6"/>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6"/>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14"/>
              <w:jc w:val="center"/>
              <w:rPr>
                <w:rFonts w:hint="default"/>
                <w:lang w:val="en-US" w:eastAsia="zh-CN"/>
              </w:rPr>
            </w:pPr>
          </w:p>
          <w:p w14:paraId="0AC45D52">
            <w:pPr>
              <w:pStyle w:val="14"/>
              <w:jc w:val="center"/>
              <w:rPr>
                <w:rFonts w:hint="default"/>
                <w:lang w:val="en-US" w:eastAsia="zh-CN"/>
              </w:rPr>
            </w:pPr>
          </w:p>
          <w:p w14:paraId="054A6F8D">
            <w:pPr>
              <w:pStyle w:val="14"/>
              <w:jc w:val="center"/>
              <w:rPr>
                <w:rFonts w:hint="default"/>
                <w:lang w:val="en-US" w:eastAsia="zh-CN"/>
              </w:rPr>
            </w:pPr>
          </w:p>
          <w:p w14:paraId="669058A6">
            <w:pPr>
              <w:pStyle w:val="14"/>
              <w:jc w:val="center"/>
              <w:rPr>
                <w:rFonts w:hint="default"/>
                <w:lang w:val="en-US" w:eastAsia="zh-CN"/>
              </w:rPr>
            </w:pPr>
          </w:p>
          <w:p w14:paraId="2AE9B887">
            <w:pPr>
              <w:pStyle w:val="14"/>
              <w:jc w:val="center"/>
              <w:rPr>
                <w:rFonts w:hint="default"/>
                <w:lang w:val="en-US" w:eastAsia="zh-CN"/>
              </w:rPr>
            </w:pPr>
          </w:p>
          <w:p w14:paraId="3CA4CF04">
            <w:pPr>
              <w:pStyle w:val="14"/>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14"/>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7"/>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14"/>
              <w:jc w:val="center"/>
              <w:rPr>
                <w:rFonts w:hint="default"/>
                <w:lang w:val="en-US" w:eastAsia="zh-CN"/>
              </w:rPr>
            </w:pPr>
          </w:p>
          <w:p w14:paraId="2E1CBD99">
            <w:pPr>
              <w:pStyle w:val="14"/>
              <w:jc w:val="center"/>
              <w:rPr>
                <w:rFonts w:hint="default"/>
                <w:lang w:val="en-US" w:eastAsia="zh-CN"/>
              </w:rPr>
            </w:pPr>
          </w:p>
          <w:p w14:paraId="77724F5B">
            <w:pPr>
              <w:pStyle w:val="14"/>
              <w:jc w:val="center"/>
              <w:rPr>
                <w:rFonts w:hint="default"/>
                <w:lang w:val="en-US" w:eastAsia="zh-CN"/>
              </w:rPr>
            </w:pPr>
          </w:p>
          <w:p w14:paraId="79E84714">
            <w:pPr>
              <w:pStyle w:val="14"/>
              <w:jc w:val="center"/>
              <w:rPr>
                <w:rFonts w:hint="default"/>
                <w:lang w:val="en-US" w:eastAsia="zh-CN"/>
              </w:rPr>
            </w:pPr>
          </w:p>
          <w:p w14:paraId="74E2C056">
            <w:pPr>
              <w:pStyle w:val="14"/>
              <w:jc w:val="center"/>
              <w:rPr>
                <w:rFonts w:hint="default"/>
                <w:lang w:val="en-US" w:eastAsia="zh-CN"/>
              </w:rPr>
            </w:pPr>
          </w:p>
          <w:p w14:paraId="479B8A42">
            <w:pPr>
              <w:pStyle w:val="14"/>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14"/>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59"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59"/>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51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950"/>
        <w:gridCol w:w="4925"/>
        <w:gridCol w:w="706"/>
        <w:gridCol w:w="806"/>
        <w:gridCol w:w="675"/>
      </w:tblGrid>
      <w:tr w14:paraId="74CCC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E1A0">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序号</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5EBB">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货物名称</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8329">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招标技术要求</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E7C7">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投标技术响应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D6D9">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偏离情况</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CE21">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说明</w:t>
            </w:r>
          </w:p>
        </w:tc>
      </w:tr>
      <w:tr w14:paraId="6C030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8C8B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p w14:paraId="4DF8C3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3136A">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光网络单元</w:t>
            </w:r>
            <w:r>
              <w:rPr>
                <w:rFonts w:hint="eastAsia" w:ascii="宋体" w:hAnsi="宋体" w:cs="宋体"/>
                <w:i w:val="0"/>
                <w:iCs w:val="0"/>
                <w:color w:val="000000"/>
                <w:kern w:val="0"/>
                <w:sz w:val="21"/>
                <w:szCs w:val="21"/>
                <w:u w:val="none"/>
                <w:lang w:val="en-US" w:eastAsia="zh-CN" w:bidi="ar"/>
              </w:rPr>
              <w:t>1</w:t>
            </w:r>
          </w:p>
          <w:p w14:paraId="430BCD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735D64F3">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1.上行提供≥1*XGS-PON 接口、下行支持≥8GE</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111EDFF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1254CD6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C88DD7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7CA1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9D59B">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9AF23">
            <w:pPr>
              <w:jc w:val="left"/>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C688A0B">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2.防雷性能：AC 电源：共模 6kV，差模 6kV</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1E807E7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28647D8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4EA2C1A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1BF9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4EE86">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17494">
            <w:pPr>
              <w:jc w:val="left"/>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6AA95207">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3.统一网管,即插即用：支持免现场软调、远程验收、远程升级打补丁、远程故障定位等多种管理维护方法</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548A75B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DC88B8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4A09749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AF05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B2A73">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E3EA8">
            <w:pPr>
              <w:jc w:val="left"/>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30B5A16">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4.认证方式：支持802.1x认证</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486C67C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1C74847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5F726EE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C79B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E9BDA">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A5191">
            <w:pPr>
              <w:jc w:val="left"/>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28A7369B">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5.▲本设备支持根据ONU序列号对其合法性进行认证的能力，可选支持同时采用序列号和password对ONU进行合法性认证，应拒绝非法ONU接入网络获得服务。非法ONU事件应记入系统日志，并应产生相应警告信息。</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7DBC59A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761EA11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62A0567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7D0D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1E652">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7BD17">
            <w:pPr>
              <w:jc w:val="left"/>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06D0AF4B">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6.支持Type B(单、双归属)保护</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28974CE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67A65A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185BBB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7137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AF429">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CD97C">
            <w:pPr>
              <w:jc w:val="left"/>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BAA48F8">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7.本设备应通过管理接口IPv6访问控制功能测试，可以通过 IPv6为远程连接用户提供访问控制，拒绝未通过验证的连接；通过基于IPv6的Telnet 访问安全测试(设备支持Telnet登录时测试)，能够限制基于IPv6的Telnet访问的数目。</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09976DB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024412F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793F546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C08A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67607">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C7A1C">
            <w:pPr>
              <w:jc w:val="left"/>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23421AF1">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8.本设备应具备对系统性能管理事件的当天和前一天的每15分钟计数以及24小时计数功能，统计参数应包括 PON 接口性能参数、网络侧和用户侧接口性能参数等</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6952DA1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55686E7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7D98A16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9194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921F8">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FDBA1">
            <w:pPr>
              <w:jc w:val="left"/>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3C99D0D">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9.▲本设备应能启动性能测量功能，采集和处理测量数据，分析测量结果；应能对系统的各个部分进行持续的或间断的测试、观察和监测，以发现故障或性能的降低</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0278FA1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094DED0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2D1A5A1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8052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4381A">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B2D2B">
            <w:pPr>
              <w:jc w:val="left"/>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029BBEC4">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10.★要求与学校现有OLT设备无缝兼容，接入学校现有OLT进行统一纳管。</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1C519F10">
            <w:pPr>
              <w:keepNext w:val="0"/>
              <w:keepLines w:val="0"/>
              <w:widowControl/>
              <w:suppressLineNumbers w:val="0"/>
              <w:jc w:val="left"/>
              <w:textAlignment w:val="top"/>
              <w:rPr>
                <w:rFonts w:hint="eastAsia" w:ascii="宋体" w:hAnsi="宋体" w:eastAsia="宋体" w:cs="宋体"/>
                <w:i w:val="0"/>
                <w:iCs w:val="0"/>
                <w:color w:val="FF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47E52C39">
            <w:pPr>
              <w:keepNext w:val="0"/>
              <w:keepLines w:val="0"/>
              <w:widowControl/>
              <w:suppressLineNumbers w:val="0"/>
              <w:jc w:val="left"/>
              <w:textAlignment w:val="top"/>
              <w:rPr>
                <w:rFonts w:hint="eastAsia" w:ascii="宋体" w:hAnsi="宋体" w:eastAsia="宋体" w:cs="宋体"/>
                <w:i w:val="0"/>
                <w:iCs w:val="0"/>
                <w:color w:val="FF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45761FC6">
            <w:pPr>
              <w:keepNext w:val="0"/>
              <w:keepLines w:val="0"/>
              <w:widowControl/>
              <w:suppressLineNumbers w:val="0"/>
              <w:jc w:val="left"/>
              <w:textAlignment w:val="top"/>
              <w:rPr>
                <w:rFonts w:hint="eastAsia" w:ascii="宋体" w:hAnsi="宋体" w:eastAsia="宋体" w:cs="宋体"/>
                <w:i w:val="0"/>
                <w:iCs w:val="0"/>
                <w:color w:val="FF0000"/>
                <w:kern w:val="0"/>
                <w:sz w:val="21"/>
                <w:szCs w:val="21"/>
                <w:u w:val="none"/>
                <w:lang w:val="en-US" w:eastAsia="zh-CN" w:bidi="ar"/>
              </w:rPr>
            </w:pPr>
          </w:p>
        </w:tc>
      </w:tr>
      <w:tr w14:paraId="320B4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2E6E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p w14:paraId="2BFFB4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6A019C">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光网络单元</w:t>
            </w:r>
            <w:r>
              <w:rPr>
                <w:rFonts w:hint="eastAsia" w:ascii="宋体" w:hAnsi="宋体" w:cs="宋体"/>
                <w:i w:val="0"/>
                <w:iCs w:val="0"/>
                <w:color w:val="000000"/>
                <w:kern w:val="0"/>
                <w:sz w:val="21"/>
                <w:szCs w:val="21"/>
                <w:u w:val="none"/>
                <w:lang w:val="en-US" w:eastAsia="zh-CN" w:bidi="ar"/>
              </w:rPr>
              <w:t>2</w:t>
            </w:r>
          </w:p>
          <w:p w14:paraId="5E8798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7D4D23F4">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11.上行提供≥1*XGS-PON 接口、下行支持≥8GE，GE接口均支持PoE/PoE+</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75ED4D7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28E488A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55C612A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87B3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1B257">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FD1C3">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F8D2C30">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12.环境湿度:5% RH ～ 95% RH，非凝结</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059B2AF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64EB95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13E7DA8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BCB0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99B9F">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28678">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6782D06">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13.统一网管,即插即用：支持免现场软调、远程验收、远程升级打补丁、远程故障定位等多种高效的管理维护方法</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7817D4A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2F67B7E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555C684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B0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6B6BC">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5DC00">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34709AC2">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14.认证方式：支持802.1x认证</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3E76219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7B9948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8AAC6B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3112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06CA1">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94DC4">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4AF9D474">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15.支持室内桌面平放、挂墙或网络箱中安装</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3D14942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0A529FD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725A755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F51B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46D25">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90A8D">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EC9BDA1">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16.支持Type B(单、双归属)保护</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056AC10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79FAA3A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1E2A116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6321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EB4B4">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2C1F9">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2BF38F9">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17.防 DoS 攻击</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49F7B3F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78D8C44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063343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67D8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78C88">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436E3">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C1920DB">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18.OLT 发起的流氓 ONT 检测和隔离</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6FC86C9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44E351C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2F0E997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B36E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802A7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p w14:paraId="7932BC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5AB058">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光网络单元</w:t>
            </w:r>
            <w:r>
              <w:rPr>
                <w:rFonts w:hint="eastAsia" w:ascii="宋体" w:hAnsi="宋体" w:cs="宋体"/>
                <w:i w:val="0"/>
                <w:iCs w:val="0"/>
                <w:color w:val="000000"/>
                <w:kern w:val="0"/>
                <w:sz w:val="21"/>
                <w:szCs w:val="21"/>
                <w:u w:val="none"/>
                <w:lang w:val="en-US" w:eastAsia="zh-CN" w:bidi="ar"/>
              </w:rPr>
              <w:t>3</w:t>
            </w:r>
          </w:p>
          <w:p w14:paraId="7D5641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6270AC96">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19.上行提供≥1个XGS-PON接口、下行支持≥24GE、高度不超过1U</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1BFB49E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0AD28C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57835B3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2C29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98B6F">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7CD01">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4C876B79">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20.高可靠性:6KV防雷能力</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4B3F4DD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750E3ED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65C2382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FA2F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9FF80">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2F5BD">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604B81B">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21.▲支持QoS 功能，ONU 应支持上行业务流分类，保证高优先级业务的QoS</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7758205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52ADA4D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6D8C4BB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0101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8EB3D">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15D9A">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692DC982">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22.支持IPv6，可以通过 IPv6 为远程连接用户提供访问控制，拒绝未通过验证的连接</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14D4C71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2FAFF18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45B1DFC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68EB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B6DAA">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549BB">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344ECECE">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23.具有协议报文限速功能，MDU 类型ONU 应支持对特定协议报文(例如，DHCP、IGMP，ICMP 等）进行限速处理</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030A019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55637C3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2B3386F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893D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67656">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2DF5B">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66B5D94C">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24.具有用户环网检测功能，ONU应支持对用户侧端口是否成环的检测，防止环网形成</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229604D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38A8670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1BB7634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C22B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629FF">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C68DC">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3B90A472">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25.具有MAC地址控制功能，ONU应支持限制从每个用户物理端口学习到的 MAC地址的数量，且限制的数量应可以灵活配置。</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7CBBB57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607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174B197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855F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2"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FD159">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CCDDC">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53C19D9">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26.▲具有IP地址绑定功能，MDU类型的ONU 应支持用户IP 地址与端口或 VLAN 等的绑定，可选支持跟踪 DHCP中的 IP 地址分配过程进行端口和 IP 地址的动态绑定的功能</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6721710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7A2BA95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DFDE5E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871F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82313">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00BC7">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4D323873">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27.★要求与学校现有OLT设备无缝兼容，接入学校现有OLT进行统一纳管。</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6FE9B1AB">
            <w:pPr>
              <w:keepNext w:val="0"/>
              <w:keepLines w:val="0"/>
              <w:widowControl/>
              <w:suppressLineNumbers w:val="0"/>
              <w:jc w:val="left"/>
              <w:textAlignment w:val="top"/>
              <w:rPr>
                <w:rFonts w:hint="eastAsia" w:ascii="宋体" w:hAnsi="宋体" w:eastAsia="宋体" w:cs="宋体"/>
                <w:i w:val="0"/>
                <w:iCs w:val="0"/>
                <w:color w:val="FF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7E45535">
            <w:pPr>
              <w:keepNext w:val="0"/>
              <w:keepLines w:val="0"/>
              <w:widowControl/>
              <w:suppressLineNumbers w:val="0"/>
              <w:jc w:val="left"/>
              <w:textAlignment w:val="top"/>
              <w:rPr>
                <w:rFonts w:hint="eastAsia" w:ascii="宋体" w:hAnsi="宋体" w:eastAsia="宋体" w:cs="宋体"/>
                <w:i w:val="0"/>
                <w:iCs w:val="0"/>
                <w:color w:val="FF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4FABEE7B">
            <w:pPr>
              <w:keepNext w:val="0"/>
              <w:keepLines w:val="0"/>
              <w:widowControl/>
              <w:suppressLineNumbers w:val="0"/>
              <w:jc w:val="left"/>
              <w:textAlignment w:val="top"/>
              <w:rPr>
                <w:rFonts w:hint="eastAsia" w:ascii="宋体" w:hAnsi="宋体" w:eastAsia="宋体" w:cs="宋体"/>
                <w:i w:val="0"/>
                <w:iCs w:val="0"/>
                <w:color w:val="FF0000"/>
                <w:kern w:val="0"/>
                <w:sz w:val="21"/>
                <w:szCs w:val="21"/>
                <w:u w:val="none"/>
                <w:lang w:val="en-US" w:eastAsia="zh-CN" w:bidi="ar"/>
              </w:rPr>
            </w:pPr>
          </w:p>
        </w:tc>
      </w:tr>
      <w:tr w14:paraId="50DD2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55F3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p w14:paraId="68C3A3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6D23AB">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光网络单元</w:t>
            </w:r>
            <w:r>
              <w:rPr>
                <w:rFonts w:hint="eastAsia" w:ascii="宋体" w:hAnsi="宋体" w:cs="宋体"/>
                <w:i w:val="0"/>
                <w:iCs w:val="0"/>
                <w:color w:val="000000"/>
                <w:kern w:val="0"/>
                <w:sz w:val="21"/>
                <w:szCs w:val="21"/>
                <w:u w:val="none"/>
                <w:lang w:val="en-US" w:eastAsia="zh-CN" w:bidi="ar"/>
              </w:rPr>
              <w:t>4</w:t>
            </w:r>
          </w:p>
          <w:p w14:paraId="51F1DA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439C99A4">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28.上行提供≥1个XGS-PON接口、下行提供≥24GE(PoE/PoE+)；</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598016F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17106E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614FF9E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3FB0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C8832">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991FF">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7E1148DB">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29.支持10/100/1000Mbit/s接口速率自适应；</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61A167E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0B0750F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13C5E1C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DAE3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AE25A">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8F822">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7A604420">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30.设备总功率最大支持370W，每个PoE接口最大支持 30W；</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28F77DE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403C277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33FCD2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C03C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FA614">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426C1">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23C80275">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31.▲支持支持各用户物理端口之间的二层隔离，即各用户物理端口之间不应通过ONU上的二层桥接功能直接互通</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115C90D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2415E87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2B80C2E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394D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E239C">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D5287">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214FCDE4">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32.支持对特定协议报文（例如：DHCP、IGMP、ICMP等）进行限速处理；</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167D913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3DB398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CB3979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93BE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48874">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C8968">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3C4C8ACF">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33.▲支持限制从每个用户物理端口学习到的MAC地址的数量，且限制的数量应可以灵活配置</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18C7E25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7EDCD2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1FF79F4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9983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80702">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3AAB4">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C214C0C">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34.▲支持用户</w:t>
            </w:r>
            <w:r>
              <w:rPr>
                <w:rFonts w:hint="eastAsia" w:ascii="宋体" w:hAnsi="宋体" w:cs="宋体"/>
                <w:i w:val="0"/>
                <w:iCs w:val="0"/>
                <w:color w:val="000000"/>
                <w:kern w:val="0"/>
                <w:sz w:val="21"/>
                <w:szCs w:val="21"/>
                <w:u w:val="none"/>
                <w:lang w:val="en-US" w:eastAsia="zh-CN" w:bidi="ar"/>
              </w:rPr>
              <w:t>I</w:t>
            </w:r>
            <w:r>
              <w:rPr>
                <w:rFonts w:hint="eastAsia" w:ascii="宋体" w:hAnsi="宋体" w:eastAsia="宋体" w:cs="宋体"/>
                <w:i w:val="0"/>
                <w:iCs w:val="0"/>
                <w:color w:val="000000"/>
                <w:kern w:val="0"/>
                <w:sz w:val="21"/>
                <w:szCs w:val="21"/>
                <w:u w:val="none"/>
                <w:lang w:val="en-US" w:eastAsia="zh-CN" w:bidi="ar"/>
              </w:rPr>
              <w:t>P地址与端口或VLAN等的绑定，可选支持跟踪DHCP中的P地址分配过程进行端口和P地址的动态绑定的功能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197A6E6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09BA288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791A29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2CC8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8D028">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A372C">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7CA6B777">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35.支持对用户侧端口是否成环的检测，防止环网形成；</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38E59F0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34A5B63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2680C06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9F2F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B346D">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7E3A1">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473C16E2">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36.支持Type B（单、双归属）保护；</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5D0AF76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781D178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4FBDAA0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8E9B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3DC3E">
            <w:pPr>
              <w:jc w:val="center"/>
              <w:rPr>
                <w:rFonts w:hint="eastAsia" w:ascii="宋体" w:hAnsi="宋体" w:eastAsia="宋体" w:cs="宋体"/>
                <w:i w:val="0"/>
                <w:iCs w:val="0"/>
                <w:color w:val="000000"/>
                <w:sz w:val="21"/>
                <w:szCs w:val="21"/>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EDFC8">
            <w:pPr>
              <w:jc w:val="center"/>
              <w:rPr>
                <w:rFonts w:hint="eastAsia" w:ascii="宋体" w:hAnsi="宋体" w:eastAsia="宋体" w:cs="宋体"/>
                <w:i w:val="0"/>
                <w:iCs w:val="0"/>
                <w:color w:val="000000"/>
                <w:sz w:val="21"/>
                <w:szCs w:val="21"/>
                <w:u w:val="none"/>
              </w:rPr>
            </w:pP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817B142">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37.★要求与学校现有OLT设备无缝兼容，接入学校现有OLT进行统一纳管。</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6B9F7410">
            <w:pPr>
              <w:keepNext w:val="0"/>
              <w:keepLines w:val="0"/>
              <w:widowControl/>
              <w:suppressLineNumbers w:val="0"/>
              <w:jc w:val="left"/>
              <w:textAlignment w:val="top"/>
              <w:rPr>
                <w:rFonts w:hint="eastAsia" w:ascii="宋体" w:hAnsi="宋体" w:eastAsia="宋体" w:cs="宋体"/>
                <w:i w:val="0"/>
                <w:iCs w:val="0"/>
                <w:color w:val="FF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000290F0">
            <w:pPr>
              <w:keepNext w:val="0"/>
              <w:keepLines w:val="0"/>
              <w:widowControl/>
              <w:suppressLineNumbers w:val="0"/>
              <w:jc w:val="left"/>
              <w:textAlignment w:val="top"/>
              <w:rPr>
                <w:rFonts w:hint="eastAsia" w:ascii="宋体" w:hAnsi="宋体" w:eastAsia="宋体" w:cs="宋体"/>
                <w:i w:val="0"/>
                <w:iCs w:val="0"/>
                <w:color w:val="FF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6F79934C">
            <w:pPr>
              <w:keepNext w:val="0"/>
              <w:keepLines w:val="0"/>
              <w:widowControl/>
              <w:suppressLineNumbers w:val="0"/>
              <w:jc w:val="left"/>
              <w:textAlignment w:val="top"/>
              <w:rPr>
                <w:rFonts w:hint="eastAsia" w:ascii="宋体" w:hAnsi="宋体" w:eastAsia="宋体" w:cs="宋体"/>
                <w:i w:val="0"/>
                <w:iCs w:val="0"/>
                <w:color w:val="FF0000"/>
                <w:kern w:val="0"/>
                <w:sz w:val="21"/>
                <w:szCs w:val="21"/>
                <w:u w:val="none"/>
                <w:lang w:val="en-US" w:eastAsia="zh-CN" w:bidi="ar"/>
              </w:rPr>
            </w:pPr>
          </w:p>
        </w:tc>
      </w:tr>
      <w:tr w14:paraId="5FABE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ED3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46D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线材及施工</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top"/>
          </w:tcPr>
          <w:p w14:paraId="393D081A">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38.</w:t>
            </w:r>
            <w:r>
              <w:rPr>
                <w:rFonts w:hint="eastAsia" w:ascii="宋体" w:hAnsi="宋体" w:eastAsia="宋体" w:cs="宋体"/>
                <w:i w:val="0"/>
                <w:iCs w:val="0"/>
                <w:color w:val="FF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设备连接</w:t>
            </w:r>
            <w:r>
              <w:rPr>
                <w:rFonts w:hint="eastAsia" w:ascii="宋体" w:hAnsi="宋体" w:cs="宋体"/>
                <w:i w:val="0"/>
                <w:iCs w:val="0"/>
                <w:color w:val="000000"/>
                <w:kern w:val="0"/>
                <w:sz w:val="21"/>
                <w:szCs w:val="21"/>
                <w:u w:val="none"/>
                <w:lang w:val="en-US" w:eastAsia="zh-CN" w:bidi="ar"/>
              </w:rPr>
              <w:t>所需的</w:t>
            </w:r>
            <w:r>
              <w:rPr>
                <w:rFonts w:hint="eastAsia" w:ascii="宋体" w:hAnsi="宋体" w:eastAsia="宋体" w:cs="宋体"/>
                <w:i w:val="0"/>
                <w:iCs w:val="0"/>
                <w:color w:val="000000"/>
                <w:kern w:val="0"/>
                <w:sz w:val="21"/>
                <w:szCs w:val="21"/>
                <w:u w:val="none"/>
                <w:lang w:val="en-US" w:eastAsia="zh-CN" w:bidi="ar"/>
              </w:rPr>
              <w:t>网络跳线、光纤跳线等。</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14:paraId="62F396A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4794D3E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207CE4E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bl>
    <w:p w14:paraId="052FFF07">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0" w:name="_Hlk72095977"/>
      <w:r>
        <w:rPr>
          <w:rFonts w:hint="eastAsia"/>
          <w:sz w:val="21"/>
          <w:szCs w:val="21"/>
        </w:rPr>
        <w:t>证明资料【如有的话，提供的证明资料应统一编号（排序），格式自定】</w:t>
      </w:r>
      <w:bookmarkEnd w:id="60"/>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1" w:name="_Hlk72094407"/>
      <w:r>
        <w:rPr>
          <w:rFonts w:hint="eastAsia"/>
          <w:b w:val="0"/>
          <w:bCs/>
          <w:sz w:val="21"/>
          <w:szCs w:val="21"/>
        </w:rPr>
        <w:t>对应“用户需求书”中的“技术要求”章节</w:t>
      </w:r>
      <w:bookmarkEnd w:id="61"/>
      <w:r>
        <w:rPr>
          <w:rFonts w:hint="eastAsia"/>
          <w:b w:val="0"/>
          <w:bCs/>
          <w:sz w:val="21"/>
          <w:szCs w:val="21"/>
        </w:rPr>
        <w:t>相关内容。</w:t>
      </w:r>
    </w:p>
    <w:p w14:paraId="5A72316A">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2" w:name="_Hlk72158270"/>
      <w:r>
        <w:rPr>
          <w:rFonts w:hint="eastAsia"/>
          <w:b w:val="0"/>
          <w:bCs/>
          <w:sz w:val="21"/>
          <w:szCs w:val="21"/>
        </w:rPr>
        <w:t>“偏离情况”</w:t>
      </w:r>
      <w:bookmarkEnd w:id="62"/>
      <w:r>
        <w:rPr>
          <w:rFonts w:hint="eastAsia"/>
          <w:b w:val="0"/>
          <w:bCs/>
          <w:sz w:val="21"/>
          <w:szCs w:val="21"/>
        </w:rPr>
        <w:t>一栏填写如实填写“正偏离”、“负偏离”或“无偏离”，其中：</w:t>
      </w:r>
      <w:bookmarkStart w:id="63" w:name="_Hlk72093866"/>
      <w:r>
        <w:rPr>
          <w:rFonts w:hint="eastAsia"/>
          <w:b w:val="0"/>
          <w:bCs/>
          <w:sz w:val="21"/>
          <w:szCs w:val="21"/>
        </w:rPr>
        <w:t>“正偏离”表示“投标响应优于招标技术要求”，“负偏离”表示“投标响应不满足招标技术要求”，“无偏离”表示“投标响应与招标技术要求一致”</w:t>
      </w:r>
      <w:bookmarkEnd w:id="63"/>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4" w:name="_Hlk72096106"/>
      <w:r>
        <w:rPr>
          <w:rFonts w:hint="eastAsia"/>
          <w:b w:val="0"/>
          <w:bCs/>
          <w:sz w:val="21"/>
          <w:szCs w:val="21"/>
        </w:rPr>
        <w:t>证明资料条款响应要求</w:t>
      </w:r>
      <w:bookmarkEnd w:id="64"/>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5"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6" w:name="_Hlk73558164"/>
      <w:r>
        <w:rPr>
          <w:rFonts w:hint="eastAsia"/>
          <w:b w:val="0"/>
          <w:bCs/>
          <w:sz w:val="21"/>
          <w:szCs w:val="21"/>
        </w:rPr>
        <w:t>且投标人在“偏离情况”一栏响应为“正偏离”或“无偏离”的，经评审委员会认定，将判定为负偏离。</w:t>
      </w:r>
      <w:bookmarkEnd w:id="65"/>
      <w:bookmarkEnd w:id="66"/>
    </w:p>
    <w:p w14:paraId="40F3F29B">
      <w:pPr>
        <w:ind w:firstLine="420" w:firstLineChars="200"/>
        <w:rPr>
          <w:b w:val="0"/>
          <w:bCs/>
          <w:sz w:val="21"/>
          <w:szCs w:val="21"/>
        </w:rPr>
      </w:pPr>
      <w:r>
        <w:rPr>
          <w:rFonts w:hint="eastAsia"/>
          <w:b w:val="0"/>
          <w:bCs/>
          <w:sz w:val="21"/>
          <w:szCs w:val="21"/>
        </w:rPr>
        <w:t>6、</w:t>
      </w:r>
      <w:bookmarkStart w:id="67" w:name="_Hlk72096137"/>
      <w:r>
        <w:rPr>
          <w:rFonts w:hint="eastAsia"/>
          <w:b w:val="0"/>
          <w:bCs/>
          <w:sz w:val="21"/>
          <w:szCs w:val="21"/>
        </w:rPr>
        <w:t>表后“证明资料”部分内容的编制</w:t>
      </w:r>
      <w:bookmarkEnd w:id="67"/>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68" w:name="_Hlk73558180"/>
      <w:r>
        <w:rPr>
          <w:rFonts w:hint="eastAsia"/>
          <w:b w:val="0"/>
          <w:bCs/>
          <w:sz w:val="21"/>
          <w:szCs w:val="21"/>
        </w:rPr>
        <w:t>未按照招标文件要求在表后放置证明材料的供应商将承担不利后果，经评审委员会认定，相关技术要求将判定为负偏离。</w:t>
      </w:r>
      <w:bookmarkEnd w:id="68"/>
    </w:p>
    <w:p w14:paraId="68A00198">
      <w:pPr>
        <w:ind w:firstLine="420" w:firstLineChars="200"/>
        <w:rPr>
          <w:b w:val="0"/>
          <w:bCs/>
          <w:sz w:val="21"/>
          <w:szCs w:val="21"/>
        </w:rPr>
      </w:pPr>
      <w:r>
        <w:rPr>
          <w:rFonts w:hint="eastAsia"/>
          <w:b w:val="0"/>
          <w:bCs/>
          <w:sz w:val="21"/>
          <w:szCs w:val="21"/>
        </w:rPr>
        <w:t>7、</w:t>
      </w:r>
      <w:bookmarkStart w:id="69" w:name="_Hlk72096176"/>
      <w:r>
        <w:rPr>
          <w:rFonts w:hint="eastAsia"/>
          <w:b w:val="0"/>
          <w:bCs/>
          <w:sz w:val="21"/>
          <w:szCs w:val="21"/>
        </w:rPr>
        <w:t>证明资料的形式及其它具体要求</w:t>
      </w:r>
      <w:bookmarkEnd w:id="69"/>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0"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0"/>
    </w:p>
    <w:p w14:paraId="2DC790E4">
      <w:pPr>
        <w:ind w:firstLine="482" w:firstLineChars="200"/>
        <w:rPr>
          <w:b/>
          <w:sz w:val="24"/>
        </w:rPr>
      </w:pPr>
    </w:p>
    <w:p w14:paraId="762806FA">
      <w:pPr>
        <w:rPr>
          <w:sz w:val="24"/>
        </w:rPr>
      </w:pPr>
    </w:p>
    <w:p w14:paraId="50BD4486">
      <w:pPr>
        <w:pStyle w:val="3"/>
        <w:jc w:val="center"/>
        <w:rPr>
          <w:rFonts w:ascii="黑体" w:eastAsia="黑体"/>
          <w:b w:val="0"/>
          <w:kern w:val="0"/>
          <w:sz w:val="24"/>
          <w:szCs w:val="24"/>
        </w:rPr>
      </w:pPr>
      <w:bookmarkStart w:id="71" w:name="_Hlk72260576"/>
      <w:r>
        <w:rPr>
          <w:rFonts w:hint="eastAsia" w:ascii="黑体" w:eastAsia="黑体"/>
          <w:b w:val="0"/>
          <w:kern w:val="0"/>
          <w:sz w:val="24"/>
          <w:szCs w:val="24"/>
          <w:lang w:val="en-US" w:eastAsia="zh-CN"/>
        </w:rPr>
        <w:t>六</w:t>
      </w:r>
      <w:r>
        <w:rPr>
          <w:rFonts w:hint="eastAsia" w:ascii="黑体" w:eastAsia="黑体"/>
          <w:b w:val="0"/>
          <w:kern w:val="0"/>
          <w:sz w:val="24"/>
          <w:szCs w:val="24"/>
        </w:rPr>
        <w:t>、设计图评价（格式自定）</w:t>
      </w:r>
    </w:p>
    <w:p w14:paraId="3EDC1F40">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14EB6B7">
      <w:pPr>
        <w:pStyle w:val="3"/>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、项目组织实施方案的评价（格式自定）</w:t>
      </w:r>
    </w:p>
    <w:p w14:paraId="237547B2">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、售后服务评价（格式自定）</w:t>
      </w:r>
    </w:p>
    <w:p w14:paraId="46CDA254">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55B354">
      <w:pPr>
        <w:pStyle w:val="3"/>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、政府采购节能环保产品情况（格式自定）</w:t>
      </w:r>
    </w:p>
    <w:p w14:paraId="6200A8E4">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4DBA2D">
      <w:pPr>
        <w:pStyle w:val="3"/>
        <w:jc w:val="center"/>
        <w:rPr>
          <w:rFonts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、绿色采购情况（格式自定）</w:t>
      </w:r>
    </w:p>
    <w:p w14:paraId="65E325BE">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CDCF9A">
      <w:pPr>
        <w:rPr>
          <w:sz w:val="24"/>
        </w:rPr>
      </w:pPr>
    </w:p>
    <w:p w14:paraId="55C52778">
      <w:pPr>
        <w:pStyle w:val="3"/>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2" w:name="_Hlk72062872"/>
      <w:r>
        <w:rPr>
          <w:rFonts w:hint="eastAsia" w:ascii="黑体" w:eastAsia="黑体"/>
          <w:b w:val="0"/>
          <w:bCs w:val="0"/>
          <w:sz w:val="24"/>
          <w:szCs w:val="20"/>
        </w:rPr>
        <w:t>投标人认为需要加以说明的其他内容</w:t>
      </w:r>
      <w:bookmarkEnd w:id="72"/>
    </w:p>
    <w:bookmarkEnd w:id="71"/>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3"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3"/>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4"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4"/>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7"/>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8"/>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7"/>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7"/>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7"/>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9"/>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5" w:name="_Toc27624"/>
      <w:r>
        <w:rPr>
          <w:rFonts w:hint="eastAsia" w:ascii="黑体" w:hAnsi="黑体" w:eastAsia="黑体" w:cs="Times New Roman"/>
          <w:b w:val="0"/>
          <w:bCs w:val="0"/>
          <w:kern w:val="2"/>
          <w:sz w:val="28"/>
          <w:szCs w:val="28"/>
          <w:lang w:val="en-US" w:eastAsia="zh-CN" w:bidi="ar-SA"/>
        </w:rPr>
        <w:t>第二节 政府采购合同通用条款</w:t>
      </w:r>
      <w:bookmarkEnd w:id="75"/>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0"/>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1"/>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6"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6"/>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2"/>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3"/>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7"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7"/>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8" w:name="_Hlk72399513"/>
      <w:bookmarkStart w:id="79" w:name="_Hlk72439706"/>
      <w:r>
        <w:rPr>
          <w:rFonts w:hint="eastAsia" w:asciiTheme="majorHAnsi" w:hAnsiTheme="majorHAnsi" w:eastAsiaTheme="majorEastAsia" w:cstheme="majorBidi"/>
          <w:b/>
          <w:bCs/>
          <w:sz w:val="28"/>
          <w:szCs w:val="28"/>
        </w:rPr>
        <w:t>总则</w:t>
      </w:r>
    </w:p>
    <w:bookmarkEnd w:id="78"/>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0" w:name="_Hlk72399729"/>
      <w:r>
        <w:rPr>
          <w:rFonts w:hint="eastAsia" w:ascii="宋体" w:hAnsi="宋体"/>
          <w:szCs w:val="21"/>
        </w:rPr>
        <w:t>如有需要，政府集中采购机构可以对通用条款的内容进行补充。</w:t>
      </w:r>
      <w:bookmarkEnd w:id="80"/>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1"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2"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2"/>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1"/>
    <w:p w14:paraId="1D667FCD">
      <w:pPr>
        <w:ind w:firstLine="411" w:firstLineChars="196"/>
        <w:rPr>
          <w:rFonts w:ascii="宋体" w:hAnsi="宋体"/>
        </w:rPr>
      </w:pPr>
    </w:p>
    <w:p w14:paraId="03314A09">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3"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3"/>
    </w:p>
    <w:p w14:paraId="1A44C7FF">
      <w:pPr>
        <w:rPr>
          <w:rFonts w:ascii="宋体" w:hAnsi="宋体"/>
          <w:szCs w:val="21"/>
        </w:rPr>
      </w:pPr>
    </w:p>
    <w:p w14:paraId="3CEC1C9A">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4"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4"/>
    <w:p w14:paraId="6104A6B2">
      <w:pPr>
        <w:ind w:firstLine="420" w:firstLineChars="200"/>
        <w:rPr>
          <w:rFonts w:ascii="黑体" w:hAnsi="宋体" w:eastAsia="黑体"/>
          <w:szCs w:val="21"/>
        </w:rPr>
      </w:pPr>
      <w:r>
        <w:rPr>
          <w:rFonts w:hint="eastAsia" w:ascii="黑体" w:hAnsi="宋体" w:eastAsia="黑体"/>
          <w:szCs w:val="21"/>
        </w:rPr>
        <w:t>15．</w:t>
      </w:r>
      <w:bookmarkStart w:id="85"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5"/>
    <w:p w14:paraId="254F42F0">
      <w:pPr>
        <w:ind w:firstLine="420" w:firstLineChars="200"/>
        <w:rPr>
          <w:rFonts w:ascii="黑体" w:hAnsi="宋体" w:eastAsia="黑体"/>
          <w:szCs w:val="21"/>
        </w:rPr>
      </w:pPr>
      <w:r>
        <w:rPr>
          <w:rFonts w:hint="eastAsia" w:ascii="黑体" w:hAnsi="宋体" w:eastAsia="黑体"/>
          <w:szCs w:val="21"/>
        </w:rPr>
        <w:t>18．</w:t>
      </w:r>
      <w:bookmarkStart w:id="86"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6"/>
    <w:p w14:paraId="0F065120">
      <w:pPr>
        <w:ind w:firstLine="420" w:firstLineChars="200"/>
        <w:rPr>
          <w:rFonts w:ascii="黑体" w:hAnsi="宋体" w:eastAsia="黑体"/>
          <w:szCs w:val="21"/>
        </w:rPr>
      </w:pPr>
      <w:r>
        <w:rPr>
          <w:rFonts w:hint="eastAsia" w:ascii="黑体" w:hAnsi="宋体" w:eastAsia="黑体"/>
          <w:szCs w:val="21"/>
        </w:rPr>
        <w:t>19．</w:t>
      </w:r>
      <w:bookmarkStart w:id="87"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88" w:name="_Hlk71407299"/>
    </w:p>
    <w:bookmarkEnd w:id="88"/>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7"/>
    <w:p w14:paraId="69C777CA">
      <w:pPr>
        <w:ind w:firstLine="420" w:firstLineChars="200"/>
        <w:rPr>
          <w:rFonts w:ascii="宋体" w:hAnsi="宋体"/>
          <w:szCs w:val="21"/>
        </w:rPr>
      </w:pPr>
      <w:bookmarkStart w:id="89"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89"/>
    <w:p w14:paraId="1C5C45A8">
      <w:pPr>
        <w:ind w:firstLine="420" w:firstLineChars="200"/>
        <w:rPr>
          <w:rFonts w:ascii="黑体" w:hAnsi="宋体" w:eastAsia="黑体"/>
          <w:szCs w:val="21"/>
        </w:rPr>
      </w:pPr>
      <w:r>
        <w:rPr>
          <w:rFonts w:hint="eastAsia" w:ascii="黑体" w:hAnsi="宋体" w:eastAsia="黑体"/>
          <w:szCs w:val="21"/>
        </w:rPr>
        <w:t>21．</w:t>
      </w:r>
      <w:bookmarkStart w:id="90"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0"/>
    <w:p w14:paraId="5BE145EA">
      <w:pPr>
        <w:ind w:firstLine="420" w:firstLineChars="200"/>
        <w:rPr>
          <w:rFonts w:ascii="黑体" w:hAnsi="宋体" w:eastAsia="黑体"/>
          <w:szCs w:val="21"/>
        </w:rPr>
      </w:pPr>
      <w:r>
        <w:rPr>
          <w:rFonts w:hint="eastAsia" w:ascii="黑体" w:hAnsi="宋体" w:eastAsia="黑体"/>
          <w:szCs w:val="21"/>
        </w:rPr>
        <w:t>23．</w:t>
      </w:r>
      <w:bookmarkStart w:id="91"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1"/>
    </w:p>
    <w:p w14:paraId="731EFACC">
      <w:pPr>
        <w:ind w:firstLine="411" w:firstLineChars="196"/>
        <w:rPr>
          <w:rFonts w:ascii="宋体" w:hAnsi="宋体"/>
          <w:szCs w:val="21"/>
        </w:rPr>
      </w:pPr>
    </w:p>
    <w:p w14:paraId="75315EF3">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2"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2"/>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3"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3"/>
    <w:p w14:paraId="7BB95882">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4"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4"/>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5"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5"/>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6" w:name="_Toc73518151"/>
      <w:bookmarkStart w:id="97" w:name="_Toc73521581"/>
      <w:bookmarkStart w:id="98" w:name="_Toc73517673"/>
      <w:bookmarkStart w:id="99" w:name="_Toc100052400"/>
      <w:bookmarkStart w:id="100" w:name="_Toc73521669"/>
      <w:r>
        <w:rPr>
          <w:rFonts w:hint="eastAsia" w:ascii="黑体" w:hAnsi="宋体" w:eastAsia="黑体"/>
          <w:szCs w:val="21"/>
        </w:rPr>
        <w:t>34．错误的修正</w:t>
      </w:r>
      <w:bookmarkEnd w:id="96"/>
      <w:bookmarkEnd w:id="97"/>
      <w:bookmarkEnd w:id="98"/>
      <w:bookmarkEnd w:id="99"/>
      <w:bookmarkEnd w:id="100"/>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1"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1"/>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2"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3" w:name="_Hlk73821177"/>
      <w:r>
        <w:rPr>
          <w:rFonts w:hint="eastAsia" w:ascii="ˎ̥" w:hAnsi="ˎ̥"/>
          <w:szCs w:val="21"/>
        </w:rPr>
        <w:t>唯一候选中标供应商</w:t>
      </w:r>
      <w:bookmarkEnd w:id="103"/>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4"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5"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4"/>
      <w:bookmarkEnd w:id="105"/>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2"/>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6"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6"/>
      <w:bookmarkStart w:id="107"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7"/>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08"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08"/>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09" w:name="_Hlk71407340"/>
      <w:r>
        <w:rPr>
          <w:rFonts w:hint="eastAsia" w:ascii="宋体" w:hAnsi="宋体"/>
          <w:szCs w:val="21"/>
        </w:rPr>
        <w:t>41.3因质疑投诉或其他原因导致项目结果变更或采购终止的，政府集中采购机构有权吊销中标通知书。</w:t>
      </w:r>
    </w:p>
    <w:bookmarkEnd w:id="109"/>
    <w:p w14:paraId="7DEE8868">
      <w:pPr>
        <w:ind w:firstLine="411" w:firstLineChars="196"/>
        <w:rPr>
          <w:rFonts w:ascii="宋体" w:hAnsi="宋体"/>
          <w:szCs w:val="21"/>
        </w:rPr>
      </w:pPr>
    </w:p>
    <w:p w14:paraId="1E896C65">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0" w:name="_Hlk72439043"/>
      <w:r>
        <w:rPr>
          <w:rFonts w:hint="eastAsia" w:asciiTheme="majorHAnsi" w:hAnsiTheme="majorHAnsi" w:eastAsiaTheme="majorEastAsia" w:cstheme="majorBidi"/>
          <w:b/>
          <w:bCs/>
          <w:sz w:val="28"/>
          <w:szCs w:val="28"/>
        </w:rPr>
        <w:t>合同的授予与备案</w:t>
      </w:r>
      <w:bookmarkEnd w:id="110"/>
    </w:p>
    <w:p w14:paraId="1B9301EA">
      <w:pPr>
        <w:ind w:firstLine="420" w:firstLineChars="200"/>
        <w:rPr>
          <w:rFonts w:ascii="黑体" w:hAnsi="宋体" w:eastAsia="黑体"/>
          <w:szCs w:val="21"/>
        </w:rPr>
      </w:pPr>
      <w:bookmarkStart w:id="111" w:name="_Toc73517679"/>
      <w:bookmarkStart w:id="112" w:name="_Toc73521586"/>
      <w:bookmarkStart w:id="113" w:name="_Toc73521674"/>
      <w:bookmarkStart w:id="114" w:name="_Toc100052408"/>
      <w:bookmarkStart w:id="115" w:name="_Toc73518157"/>
      <w:bookmarkStart w:id="116" w:name="_Hlk72439088"/>
      <w:r>
        <w:rPr>
          <w:rFonts w:hint="eastAsia" w:ascii="黑体" w:hAnsi="宋体" w:eastAsia="黑体"/>
          <w:szCs w:val="21"/>
        </w:rPr>
        <w:t>43．合同授予标准</w:t>
      </w:r>
      <w:bookmarkEnd w:id="111"/>
      <w:bookmarkEnd w:id="112"/>
      <w:bookmarkEnd w:id="113"/>
      <w:bookmarkEnd w:id="114"/>
      <w:bookmarkEnd w:id="115"/>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7" w:name="_Toc73521675"/>
      <w:bookmarkStart w:id="118" w:name="_Toc73517680"/>
      <w:bookmarkStart w:id="119" w:name="_Toc73521587"/>
      <w:bookmarkStart w:id="120" w:name="_Toc100052409"/>
      <w:bookmarkStart w:id="121" w:name="_Toc73518158"/>
      <w:r>
        <w:rPr>
          <w:rFonts w:hint="eastAsia" w:ascii="黑体" w:hAnsi="宋体" w:eastAsia="黑体"/>
          <w:szCs w:val="21"/>
        </w:rPr>
        <w:t>44．</w:t>
      </w:r>
      <w:bookmarkEnd w:id="117"/>
      <w:bookmarkEnd w:id="118"/>
      <w:bookmarkEnd w:id="119"/>
      <w:bookmarkEnd w:id="120"/>
      <w:bookmarkEnd w:id="121"/>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2" w:name="_Toc73521677"/>
      <w:bookmarkStart w:id="123" w:name="_Toc73521589"/>
      <w:bookmarkStart w:id="124" w:name="_Toc73518160"/>
      <w:bookmarkStart w:id="125" w:name="_Toc100052410"/>
      <w:bookmarkStart w:id="126" w:name="_Toc73517682"/>
      <w:r>
        <w:rPr>
          <w:rFonts w:hint="eastAsia" w:ascii="黑体" w:hAnsi="宋体" w:eastAsia="黑体"/>
          <w:szCs w:val="21"/>
        </w:rPr>
        <w:t>45．合同的签订</w:t>
      </w:r>
      <w:bookmarkEnd w:id="122"/>
      <w:bookmarkEnd w:id="123"/>
      <w:bookmarkEnd w:id="124"/>
      <w:bookmarkEnd w:id="125"/>
      <w:bookmarkEnd w:id="126"/>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7" w:name="_Toc73518161"/>
      <w:bookmarkStart w:id="128" w:name="_Toc73521590"/>
      <w:bookmarkStart w:id="129" w:name="_Toc73521678"/>
      <w:bookmarkStart w:id="130" w:name="_Toc100052411"/>
      <w:bookmarkStart w:id="131" w:name="_Toc73517683"/>
      <w:r>
        <w:rPr>
          <w:rFonts w:hint="eastAsia" w:ascii="黑体" w:hAnsi="宋体" w:eastAsia="黑体"/>
          <w:szCs w:val="21"/>
        </w:rPr>
        <w:t>46．履约担保</w:t>
      </w:r>
      <w:bookmarkEnd w:id="127"/>
      <w:bookmarkEnd w:id="128"/>
      <w:bookmarkEnd w:id="129"/>
      <w:bookmarkEnd w:id="130"/>
      <w:bookmarkEnd w:id="131"/>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2" w:name="_Hlk72440769"/>
      <w:r>
        <w:rPr>
          <w:rFonts w:hint="eastAsia" w:ascii="宋体" w:hAnsi="宋体"/>
          <w:szCs w:val="21"/>
        </w:rPr>
        <w:t>政府集中采购机构或采购人不予退还其交纳的谈判保证金，情节严重的，并由主管部门</w:t>
      </w:r>
      <w:bookmarkEnd w:id="132"/>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16"/>
    <w:p w14:paraId="65D798E8">
      <w:pPr>
        <w:pStyle w:val="31"/>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3" w:name="_Hlk75374941"/>
      <w:r>
        <w:rPr>
          <w:rFonts w:hint="eastAsia" w:ascii="宋体" w:hAnsi="宋体"/>
          <w:szCs w:val="21"/>
        </w:rPr>
        <w:t>以联合体形式参与的，质疑应当由组成联合体的所有成员共同提出</w:t>
      </w:r>
      <w:bookmarkEnd w:id="133"/>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79"/>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F0FE9C1-86CE-4ACE-912E-36D694B47922}"/>
  </w:font>
  <w:font w:name="Arial">
    <w:panose1 w:val="020B0604020202020204"/>
    <w:charset w:val="01"/>
    <w:family w:val="swiss"/>
    <w:pitch w:val="default"/>
    <w:sig w:usb0="E0002EFF" w:usb1="C000785B" w:usb2="00000009" w:usb3="00000000" w:csb0="400001FF" w:csb1="FFFF0000"/>
    <w:embedRegular r:id="rId2" w:fontKey="{A4A79CE7-2B8F-4770-BFFF-2119EF3C5B67}"/>
  </w:font>
  <w:font w:name="黑体">
    <w:panose1 w:val="02010609060101010101"/>
    <w:charset w:val="86"/>
    <w:family w:val="auto"/>
    <w:pitch w:val="default"/>
    <w:sig w:usb0="800002BF" w:usb1="38CF7CFA" w:usb2="00000016" w:usb3="00000000" w:csb0="00040001" w:csb1="00000000"/>
    <w:embedRegular r:id="rId3" w:fontKey="{EABB54AB-81D0-4883-A827-D77ABEFBA7E1}"/>
  </w:font>
  <w:font w:name="Courier New">
    <w:panose1 w:val="02070309020205020404"/>
    <w:charset w:val="01"/>
    <w:family w:val="modern"/>
    <w:pitch w:val="default"/>
    <w:sig w:usb0="E0002EFF" w:usb1="C0007843" w:usb2="00000009" w:usb3="00000000" w:csb0="400001FF" w:csb1="FFFF0000"/>
    <w:embedRegular r:id="rId4" w:fontKey="{430B244A-D19C-48DF-8A1C-7E0BED0F965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967F6893-6614-4779-859E-6FAC41174E31}"/>
  </w:font>
  <w:font w:name="Cambria">
    <w:panose1 w:val="02040503050406030204"/>
    <w:charset w:val="00"/>
    <w:family w:val="roman"/>
    <w:pitch w:val="default"/>
    <w:sig w:usb0="E00006FF" w:usb1="420024FF" w:usb2="02000000" w:usb3="00000000" w:csb0="2000019F" w:csb1="00000000"/>
    <w:embedRegular r:id="rId6" w:fontKey="{5567C31F-1E04-4DA6-A56D-A8D8506787D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B4FD4168-F5D8-4143-BE8D-C0682833F101}"/>
  </w:font>
  <w:font w:name="方正仿宋_GBK">
    <w:panose1 w:val="02000000000000000000"/>
    <w:charset w:val="86"/>
    <w:family w:val="auto"/>
    <w:pitch w:val="default"/>
    <w:sig w:usb0="A00002BF" w:usb1="38CF7CFA" w:usb2="00082016" w:usb3="00000000" w:csb0="00040001" w:csb1="00000000"/>
    <w:embedRegular r:id="rId8" w:fontKey="{3FC2F9E1-BDD4-46F5-BC7D-DBF418747F53}"/>
  </w:font>
  <w:font w:name="华文中宋">
    <w:panose1 w:val="02010600040101010101"/>
    <w:charset w:val="86"/>
    <w:family w:val="auto"/>
    <w:pitch w:val="default"/>
    <w:sig w:usb0="00000287" w:usb1="080F0000" w:usb2="00000000" w:usb3="00000000" w:csb0="0004009F" w:csb1="DFD70000"/>
    <w:embedRegular r:id="rId9" w:fontKey="{095EC23E-87EA-4D5C-A675-3A19C5ACDDD9}"/>
  </w:font>
  <w:font w:name="汉仪书宋二S">
    <w:panose1 w:val="00020600040101010101"/>
    <w:charset w:val="86"/>
    <w:family w:val="auto"/>
    <w:pitch w:val="default"/>
    <w:sig w:usb0="A00002BF" w:usb1="18EF7CFA" w:usb2="00000016" w:usb3="00000000" w:csb0="00040000" w:csb1="00000000"/>
    <w:embedRegular r:id="rId10" w:fontKey="{98190D71-0A30-4D7F-A5F9-59E53AA89127}"/>
  </w:font>
  <w:font w:name="华文楷体">
    <w:panose1 w:val="02010600040101010101"/>
    <w:charset w:val="86"/>
    <w:family w:val="auto"/>
    <w:pitch w:val="default"/>
    <w:sig w:usb0="00000287" w:usb1="080F0000" w:usb2="00000000" w:usb3="00000000" w:csb0="0004009F" w:csb1="DFD70000"/>
    <w:embedRegular r:id="rId11" w:fontKey="{CB32D8DE-2EF4-4C4B-A367-AFD61E3487AA}"/>
  </w:font>
  <w:font w:name="ˎ̥">
    <w:altName w:val="Times New Roman"/>
    <w:panose1 w:val="00000000000000000000"/>
    <w:charset w:val="00"/>
    <w:family w:val="auto"/>
    <w:pitch w:val="default"/>
    <w:sig w:usb0="00000000" w:usb1="00000000" w:usb2="00000000" w:usb3="00000000" w:csb0="00040001" w:csb1="00000000"/>
    <w:embedRegular r:id="rId12" w:fontKey="{229544EF-DB5A-42FA-BC64-B4D5F91EF3F0}"/>
  </w:font>
  <w:font w:name="仿宋">
    <w:panose1 w:val="02010609060101010101"/>
    <w:charset w:val="86"/>
    <w:family w:val="modern"/>
    <w:pitch w:val="default"/>
    <w:sig w:usb0="800002BF" w:usb1="38CF7CFA" w:usb2="00000016" w:usb3="00000000" w:csb0="00040001" w:csb1="00000000"/>
    <w:embedRegular r:id="rId13" w:fontKey="{F0B81851-628B-4CD9-8164-7D63981986D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BFB7D644"/>
    <w:multiLevelType w:val="singleLevel"/>
    <w:tmpl w:val="BFB7D644"/>
    <w:lvl w:ilvl="0" w:tentative="0">
      <w:start w:val="2"/>
      <w:numFmt w:val="chineseCounting"/>
      <w:suff w:val="nothing"/>
      <w:lvlText w:val="（%1）"/>
      <w:lvlJc w:val="left"/>
      <w:rPr>
        <w:rFonts w:hint="eastAsia"/>
      </w:rPr>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2A099DE"/>
    <w:multiLevelType w:val="singleLevel"/>
    <w:tmpl w:val="E2A099DE"/>
    <w:lvl w:ilvl="0" w:tentative="0">
      <w:start w:val="1"/>
      <w:numFmt w:val="decimal"/>
      <w:suff w:val="nothing"/>
      <w:lvlText w:val="%1、"/>
      <w:lvlJc w:val="left"/>
    </w:lvl>
  </w:abstractNum>
  <w:abstractNum w:abstractNumId="9">
    <w:nsid w:val="E94AAA60"/>
    <w:multiLevelType w:val="singleLevel"/>
    <w:tmpl w:val="E94AAA60"/>
    <w:lvl w:ilvl="0" w:tentative="0">
      <w:start w:val="2"/>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271A23B"/>
    <w:multiLevelType w:val="singleLevel"/>
    <w:tmpl w:val="7271A23B"/>
    <w:lvl w:ilvl="0" w:tentative="0">
      <w:start w:val="1"/>
      <w:numFmt w:val="decimal"/>
      <w:lvlText w:val="%1."/>
      <w:lvlJc w:val="left"/>
      <w:pPr>
        <w:tabs>
          <w:tab w:val="left" w:pos="312"/>
        </w:tabs>
      </w:pPr>
    </w:lvl>
  </w:abstractNum>
  <w:abstractNum w:abstractNumId="13">
    <w:nsid w:val="7A0F6431"/>
    <w:multiLevelType w:val="singleLevel"/>
    <w:tmpl w:val="7A0F6431"/>
    <w:lvl w:ilvl="0" w:tentative="0">
      <w:start w:val="1"/>
      <w:numFmt w:val="decimal"/>
      <w:suff w:val="space"/>
      <w:lvlText w:val="%1."/>
      <w:lvlJc w:val="left"/>
    </w:lvl>
  </w:abstractNum>
  <w:num w:numId="1">
    <w:abstractNumId w:val="3"/>
  </w:num>
  <w:num w:numId="2">
    <w:abstractNumId w:val="8"/>
  </w:num>
  <w:num w:numId="3">
    <w:abstractNumId w:val="12"/>
  </w:num>
  <w:num w:numId="4">
    <w:abstractNumId w:val="9"/>
  </w:num>
  <w:num w:numId="5">
    <w:abstractNumId w:val="0"/>
  </w:num>
  <w:num w:numId="6">
    <w:abstractNumId w:val="1"/>
  </w:num>
  <w:num w:numId="7">
    <w:abstractNumId w:val="13"/>
  </w:num>
  <w:num w:numId="8">
    <w:abstractNumId w:val="4"/>
  </w:num>
  <w:num w:numId="9">
    <w:abstractNumId w:val="10"/>
  </w:num>
  <w:num w:numId="10">
    <w:abstractNumId w:val="6"/>
  </w:num>
  <w:num w:numId="11">
    <w:abstractNumId w:val="5"/>
  </w:num>
  <w:num w:numId="12">
    <w:abstractNumId w:val="2"/>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B2619A"/>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AFC573F"/>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804896"/>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660FB"/>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365594"/>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DA1103"/>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8C0C75"/>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5942AA"/>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5866F8"/>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470212"/>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72</Pages>
  <Words>5523</Words>
  <Characters>5682</Characters>
  <Lines>316</Lines>
  <Paragraphs>88</Paragraphs>
  <TotalTime>13</TotalTime>
  <ScaleCrop>false</ScaleCrop>
  <LinksUpToDate>false</LinksUpToDate>
  <CharactersWithSpaces>5715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2025-06-23T09:01:12Z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476FF50E3AD04B9CB588A12B2C865C54_13</vt:lpwstr>
  </property>
  <property fmtid="{D5CDD505-2E9C-101B-9397-08002B2CF9AE}" pid="4" name="KSOTemplateDocerSaveRecord">
    <vt:lpwstr>eyJoZGlkIjoiNjEzMmExMWM2NGQxNjg0YTQwNTFhZDdkMmQwNmRkOWYiLCJ1c2VySWQiOiIxMjAxODM5OTk5In0=</vt:lpwstr>
  </property>
</Properties>
</file>