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40"/>
        </w:tabs>
        <w:jc w:val="center"/>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5"/>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jc w:val="center"/>
        <w:outlineLvl w:val="1"/>
        <w:rPr>
          <w:rFonts w:ascii="黑体" w:eastAsia="黑体" w:cs="黑体"/>
          <w:sz w:val="40"/>
          <w:szCs w:val="40"/>
        </w:rPr>
      </w:pPr>
      <w:bookmarkStart w:id="140" w:name="_GoBack"/>
      <w:bookmarkEnd w:id="140"/>
      <w:r>
        <w:rPr>
          <w:rFonts w:hint="eastAsia" w:ascii="黑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sz w:val="30"/>
                <w:szCs w:val="30"/>
              </w:rPr>
              <w:t>BAZXCG-2025-00208</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深圳市宝安中学（集团）第二实验学校课桌椅采购项目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jc w:val="center"/>
        <w:outlineLvl w:val="1"/>
        <w:rPr>
          <w:rFonts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jc w:val="center"/>
        <w:outlineLvl w:val="1"/>
        <w:rPr>
          <w:rFonts w:ascii="黑体" w:eastAsia="黑体" w:cs="黑体"/>
          <w:sz w:val="40"/>
          <w:szCs w:val="40"/>
        </w:rPr>
      </w:pPr>
      <w:r>
        <w:rPr>
          <w:rFonts w:hint="eastAsia" w:ascii="黑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beforeAutospacing="0"/>
        <w:jc w:val="center"/>
        <w:outlineLvl w:val="1"/>
        <w:rPr>
          <w:rFonts w:ascii="黑体" w:eastAsia="黑体" w:cs="黑体"/>
          <w:sz w:val="40"/>
          <w:szCs w:val="40"/>
        </w:rPr>
      </w:pPr>
      <w:r>
        <w:rPr>
          <w:rFonts w:hint="eastAsia" w:ascii="黑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jc w:val="center"/>
        <w:outlineLvl w:val="1"/>
        <w:rPr>
          <w:rFonts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5"/>
        <w:jc w:val="center"/>
        <w:outlineLvl w:val="1"/>
        <w:rPr>
          <w:rFonts w:ascii="黑体" w:eastAsia="黑体" w:cs="黑体"/>
          <w:sz w:val="40"/>
          <w:szCs w:val="40"/>
        </w:rPr>
      </w:pPr>
      <w:r>
        <w:rPr>
          <w:rFonts w:hint="eastAsia" w:ascii="黑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5"/>
              <w:spacing w:beforeAutospacing="0" w:afterAutospacing="0"/>
              <w:ind w:left="420"/>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33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ascii="宋体" w:hAnsi="宋体" w:eastAsia="宋体" w:cs="宋体"/>
                <w:kern w:val="0"/>
                <w:szCs w:val="21"/>
              </w:rPr>
            </w:pPr>
            <w:r>
              <w:rPr>
                <w:rFonts w:hint="eastAsia" w:ascii="宋体" w:hAnsi="宋体" w:eastAsia="宋体" w:cs="宋体"/>
                <w:kern w:val="0"/>
                <w:szCs w:val="21"/>
              </w:rPr>
              <w:t>（一）评审内容：</w:t>
            </w:r>
          </w:p>
          <w:p>
            <w:pPr>
              <w:snapToGrid w:val="0"/>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1项“▲”参数不符合招标要求（或缺漏）的扣12.5分，最低得0分。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14</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w:t>
            </w:r>
            <w:r>
              <w:rPr>
                <w:rFonts w:ascii="宋体" w:hAnsi="宋体" w:eastAsia="宋体" w:cs="宋体"/>
                <w:color w:val="0000FF"/>
                <w:kern w:val="0"/>
                <w:szCs w:val="21"/>
              </w:rPr>
              <w:t>1.97</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cs="宋体"/>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eastAsia="宋体"/>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pacing w:line="300" w:lineRule="exact"/>
              <w:rPr>
                <w:rFonts w:ascii="宋体" w:hAnsi="宋体" w:eastAsia="宋体" w:cs="宋体"/>
                <w:szCs w:val="21"/>
              </w:rPr>
            </w:pPr>
            <w:r>
              <w:rPr>
                <w:rFonts w:hint="eastAsia" w:ascii="宋体" w:hAnsi="宋体" w:eastAsia="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ascii="宋体" w:hAnsi="宋体" w:eastAsia="宋体" w:cs="宋体"/>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宋体"/>
                <w:szCs w:val="21"/>
              </w:rPr>
            </w:pPr>
            <w:r>
              <w:rPr>
                <w:rFonts w:hint="eastAsia" w:ascii="宋体" w:hAnsi="宋体" w:eastAsia="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ascii="Times New Roman" w:eastAsia="宋体"/>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（一）评审内容：</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投标人提供本项目的组织实施方案，方案中应包含 1、项目进度计划安排 2、施工组织计划 3、验收组织计划 4、产品培训方案 （二）评审标准：</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方案中含有上述一个内容得15分，最高得60分。。在此基础上，对方案的合理性、可行性进行打分。 1、方案清晰周密、合理可行、表述完整、方法得当、技术先进、符合相关规范要求得40分。 </w:t>
            </w:r>
          </w:p>
          <w:p>
            <w:pPr>
              <w:widowControl/>
              <w:numPr>
                <w:ilvl w:val="0"/>
                <w:numId w:val="1"/>
              </w:numPr>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方案基本可行表述基本完整得20分。</w:t>
            </w:r>
          </w:p>
          <w:p>
            <w:pPr>
              <w:widowControl/>
              <w:jc w:val="left"/>
              <w:textAlignment w:val="center"/>
              <w:rPr>
                <w:rFonts w:ascii="宋体" w:hAnsi="宋体" w:eastAsia="宋体" w:cs="宋体"/>
                <w:szCs w:val="21"/>
              </w:rPr>
            </w:pPr>
            <w:r>
              <w:rPr>
                <w:rFonts w:hint="eastAsia" w:asciiTheme="majorEastAsia" w:hAnsiTheme="majorEastAsia" w:eastAsiaTheme="majorEastAsia" w:cstheme="majorEastAsia"/>
                <w:kern w:val="0"/>
                <w:szCs w:val="21"/>
                <w:lang w:bidi="ar"/>
              </w:rPr>
              <w:t xml:space="preserve"> 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szCs w:val="21"/>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（一）评审内容：</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投标人提供本项目的售后服务方案，方案中应包含 1、服务内容 2、维修应急方案 3、培训计划 4、其他特色服务等 </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（二）评审标准：</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方案中含有上述一个内容得15分，最高得60分。在此基础上，对方案的合理性、可行性进行打分。 1.售后服务方案非常详细，保障措施完善可行，得40分； </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2.售后服务方案比较具体，保障措施比较完善可行，能够满足招标文件要求的得20分； </w:t>
            </w:r>
          </w:p>
          <w:p>
            <w:pPr>
              <w:widowControl/>
              <w:jc w:val="left"/>
              <w:textAlignment w:val="center"/>
              <w:rPr>
                <w:rFonts w:ascii="宋体" w:hAnsi="宋体" w:eastAsia="宋体" w:cs="宋体"/>
                <w:color w:val="0000FF"/>
                <w:szCs w:val="21"/>
              </w:rPr>
            </w:pPr>
            <w:r>
              <w:rPr>
                <w:rFonts w:hint="eastAsia" w:asciiTheme="majorEastAsia" w:hAnsiTheme="majorEastAsia" w:eastAsiaTheme="majorEastAsia" w:cstheme="majorEastAsia"/>
                <w:kern w:val="0"/>
                <w:szCs w:val="21"/>
                <w:lang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szCs w:val="21"/>
              </w:rPr>
            </w:pPr>
            <w:r>
              <w:rPr>
                <w:rFonts w:hint="eastAsia" w:ascii="宋体" w:hAnsi="宋体" w:eastAsia="宋体" w:cs="宋体"/>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
              <w:spacing w:line="260" w:lineRule="exact"/>
              <w:rPr>
                <w:rFonts w:asciiTheme="minorEastAsia" w:hAnsiTheme="minorEastAsia" w:cstheme="minorEastAsia"/>
                <w:kern w:val="0"/>
                <w:szCs w:val="21"/>
                <w:lang w:bidi="ar"/>
              </w:rPr>
            </w:pPr>
            <w:r>
              <w:rPr>
                <w:rFonts w:hint="eastAsia" w:asciiTheme="minorEastAsia" w:hAnsiTheme="minorEastAsia" w:cstheme="minorEastAsia"/>
                <w:b/>
                <w:bCs/>
                <w:kern w:val="0"/>
                <w:szCs w:val="21"/>
                <w:lang w:bidi="ar"/>
              </w:rPr>
              <w:t>一、评审内容：</w:t>
            </w:r>
          </w:p>
          <w:p>
            <w:pPr>
              <w:pStyle w:val="10"/>
              <w:spacing w:line="260" w:lineRule="exact"/>
              <w:rPr>
                <w:rFonts w:asciiTheme="minorEastAsia" w:hAnsiTheme="minorEastAsia" w:cstheme="minorEastAsia"/>
                <w:kern w:val="0"/>
                <w:szCs w:val="21"/>
                <w:lang w:bidi="ar"/>
              </w:rPr>
            </w:pPr>
            <w:r>
              <w:rPr>
                <w:rFonts w:hint="eastAsia" w:asciiTheme="minorEastAsia" w:hAnsiTheme="minorEastAsia" w:cstheme="minorEastAsia"/>
                <w:kern w:val="0"/>
                <w:szCs w:val="21"/>
                <w:lang w:bidi="ar"/>
              </w:rPr>
              <w:t>2022年1月1日（以合同签订日期为准）以后，投标人具有与</w:t>
            </w:r>
            <w:r>
              <w:rPr>
                <w:rFonts w:hint="eastAsia" w:asciiTheme="minorEastAsia" w:hAnsiTheme="minorEastAsia" w:cstheme="minorEastAsia"/>
                <w:b/>
                <w:bCs/>
                <w:kern w:val="0"/>
                <w:szCs w:val="21"/>
                <w:lang w:bidi="ar"/>
              </w:rPr>
              <w:t>本项目同类（课桌椅类）项目经验</w:t>
            </w:r>
            <w:r>
              <w:rPr>
                <w:rFonts w:hint="eastAsia" w:asciiTheme="minorEastAsia" w:hAnsiTheme="minorEastAsia" w:cstheme="minorEastAsia"/>
                <w:kern w:val="0"/>
                <w:szCs w:val="21"/>
                <w:lang w:bidi="ar"/>
              </w:rPr>
              <w:t>，且履约评价为优或满意（或同等评价）。每提供一个得20分，最高得100分。</w:t>
            </w:r>
          </w:p>
          <w:p>
            <w:pPr>
              <w:pStyle w:val="10"/>
              <w:spacing w:line="260" w:lineRule="exact"/>
              <w:rPr>
                <w:rFonts w:asciiTheme="minorEastAsia" w:hAnsiTheme="minorEastAsia" w:cstheme="minorEastAsia"/>
                <w:kern w:val="0"/>
                <w:szCs w:val="21"/>
                <w:lang w:bidi="ar"/>
              </w:rPr>
            </w:pPr>
            <w:r>
              <w:rPr>
                <w:rFonts w:hint="eastAsia" w:asciiTheme="minorEastAsia" w:hAnsiTheme="minorEastAsia" w:cstheme="minorEastAsia"/>
                <w:b/>
                <w:szCs w:val="21"/>
              </w:rPr>
              <w:t>（二）评分标准：</w:t>
            </w:r>
          </w:p>
          <w:p>
            <w:pPr>
              <w:pStyle w:val="10"/>
              <w:spacing w:line="260" w:lineRule="exact"/>
              <w:rPr>
                <w:color w:val="0000FF"/>
              </w:rPr>
            </w:pPr>
            <w:r>
              <w:rPr>
                <w:rFonts w:hint="eastAsia"/>
                <w:color w:val="0000FF"/>
              </w:rPr>
              <w:t>1、同时提供以下：（1）合同关键页扫描件（包括但不限于合同首页、内容页、签章页）；（2）设备配置清单扫描件；（3）验收报告加盖合同甲方（合同相对方）公章或业务章）；（4）履约评价证明[加盖</w:t>
            </w:r>
            <w:r>
              <w:rPr>
                <w:rFonts w:hint="eastAsia"/>
                <w:color w:val="0000FF"/>
                <w:highlight w:val="yellow"/>
              </w:rPr>
              <w:t>合同</w:t>
            </w:r>
            <w:r>
              <w:rPr>
                <w:rFonts w:hint="eastAsia"/>
                <w:color w:val="0000FF"/>
                <w:highlight w:val="yellow"/>
                <w:lang w:val="en-US" w:eastAsia="zh-CN"/>
              </w:rPr>
              <w:t>相对方</w:t>
            </w:r>
            <w:r>
              <w:rPr>
                <w:rFonts w:hint="eastAsia"/>
                <w:color w:val="0000FF"/>
              </w:rPr>
              <w:t>公章（或业务章）]。</w:t>
            </w:r>
          </w:p>
          <w:p>
            <w:pPr>
              <w:snapToGrid w:val="0"/>
              <w:jc w:val="left"/>
              <w:rPr>
                <w:rFonts w:ascii="宋体" w:hAnsi="宋体" w:eastAsia="宋体" w:cs="宋体"/>
                <w:kern w:val="0"/>
                <w:szCs w:val="21"/>
              </w:rPr>
            </w:pPr>
            <w:r>
              <w:rPr>
                <w:rFonts w:hint="eastAsia"/>
                <w:color w:val="0000FF"/>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wordWrap w:val="0"/>
              <w:spacing w:line="240" w:lineRule="auto"/>
              <w:ind w:firstLine="420" w:firstLineChars="200"/>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7"/>
              <w:wordWrap w:val="0"/>
              <w:spacing w:line="240" w:lineRule="auto"/>
              <w:ind w:firstLine="420" w:firstLineChars="200"/>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7"/>
      </w:pPr>
    </w:p>
    <w:p>
      <w:pPr>
        <w:pStyle w:val="14"/>
      </w:pPr>
    </w:p>
    <w:p>
      <w:pPr>
        <w:pStyle w:val="14"/>
      </w:pPr>
    </w:p>
    <w:p>
      <w:pPr>
        <w:pStyle w:val="7"/>
        <w:sectPr>
          <w:pgSz w:w="11907" w:h="16840"/>
          <w:pgMar w:top="1440" w:right="1797" w:bottom="1440" w:left="1797" w:header="851" w:footer="992" w:gutter="0"/>
          <w:cols w:space="425" w:num="1"/>
          <w:titlePg/>
          <w:docGrid w:linePitch="462" w:charSpace="0"/>
        </w:sectPr>
      </w:pPr>
    </w:p>
    <w:bookmarkEnd w:id="4"/>
    <w:p>
      <w:pPr>
        <w:pStyle w:val="2"/>
        <w:spacing w:after="60"/>
        <w:jc w:val="center"/>
        <w:rPr>
          <w:color w:val="FF0000"/>
          <w:sz w:val="24"/>
        </w:rPr>
      </w:pPr>
      <w:bookmarkStart w:id="6" w:name="bt本工程承诺书"/>
      <w:bookmarkEnd w:id="6"/>
      <w:bookmarkStart w:id="7" w:name="bt投标报价汇总表"/>
      <w:bookmarkEnd w:id="7"/>
      <w:bookmarkStart w:id="8" w:name="bt技术标投标文件格式"/>
      <w:bookmarkEnd w:id="8"/>
      <w:bookmarkStart w:id="9" w:name="合同格式"/>
      <w:bookmarkEnd w:id="9"/>
      <w:bookmarkStart w:id="10" w:name="bt投标人情况介绍"/>
      <w:bookmarkEnd w:id="10"/>
      <w:bookmarkStart w:id="11" w:name="bt其他资料2"/>
      <w:bookmarkEnd w:id="11"/>
      <w:bookmarkStart w:id="12" w:name="bt说明"/>
      <w:bookmarkEnd w:id="12"/>
      <w:bookmarkStart w:id="13" w:name="bt其他资料由投标人自定"/>
      <w:bookmarkEnd w:id="13"/>
      <w:bookmarkStart w:id="14" w:name="bt开标一览表"/>
      <w:bookmarkEnd w:id="14"/>
      <w:bookmarkStart w:id="15" w:name="bt投标文件签署授权委托书"/>
      <w:bookmarkEnd w:id="15"/>
      <w:bookmarkStart w:id="16" w:name="bt合同条款及格式"/>
      <w:bookmarkEnd w:id="16"/>
      <w:bookmarkStart w:id="17" w:name="bt投标人须知"/>
      <w:bookmarkEnd w:id="17"/>
      <w:bookmarkStart w:id="18" w:name="bt项目管理班子配备情况"/>
      <w:bookmarkEnd w:id="18"/>
      <w:bookmarkStart w:id="19" w:name="bt投标函"/>
      <w:bookmarkEnd w:id="19"/>
      <w:bookmarkStart w:id="20" w:name="bt商务标投标文件格式"/>
      <w:bookmarkEnd w:id="20"/>
      <w:bookmarkStart w:id="21" w:name="bt合同格式"/>
      <w:bookmarkEnd w:id="21"/>
      <w:bookmarkStart w:id="22" w:name="bt合同条款"/>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pPr>
        <w:pStyle w:val="25"/>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ascii="宋体" w:hAnsi="宋体" w:cs="宋体"/>
          <w:kern w:val="0"/>
          <w:szCs w:val="21"/>
        </w:rPr>
      </w:pPr>
      <w:r>
        <w:rPr>
          <w:rFonts w:hint="eastAsia" w:ascii="宋体" w:hAnsi="宋体" w:cs="宋体"/>
          <w:kern w:val="0"/>
          <w:szCs w:val="21"/>
        </w:rPr>
        <w:t>9.本项目全部专门面向中小企业采购：否。</w:t>
      </w:r>
    </w:p>
    <w:p>
      <w:pPr>
        <w:wordWrap w:val="0"/>
        <w:ind w:firstLine="420" w:firstLineChars="200"/>
        <w:rPr>
          <w:rFonts w:ascii="宋体" w:hAnsi="宋体" w:cs="宋体"/>
          <w:kern w:val="0"/>
          <w:szCs w:val="21"/>
        </w:rPr>
      </w:pPr>
    </w:p>
    <w:p>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60631620"/>
      <w:bookmarkStart w:id="25" w:name="_Toc73521635"/>
      <w:bookmarkStart w:id="26" w:name="_Toc73518117"/>
      <w:bookmarkStart w:id="27" w:name="_Toc60560625"/>
      <w:bookmarkStart w:id="28" w:name="_Toc73521547"/>
      <w:bookmarkStart w:id="29" w:name="_Toc100052364"/>
      <w:bookmarkStart w:id="30" w:name="_Toc101074876"/>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宋体" w:cs="Arial"/>
                <w:b/>
                <w:szCs w:val="21"/>
              </w:rPr>
              <w:t>深圳市宝安中学（集团）第二实验学校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ascii="宋体" w:hAnsi="宋体"/>
              </w:rPr>
            </w:pPr>
            <w:r>
              <w:rPr>
                <w:rFonts w:hint="eastAsia" w:ascii="宋体" w:hAnsi="宋体"/>
              </w:rPr>
              <w:t>52.8</w:t>
            </w:r>
          </w:p>
        </w:tc>
        <w:tc>
          <w:tcPr>
            <w:tcW w:w="2409" w:type="dxa"/>
            <w:shd w:val="clear" w:color="auto" w:fill="auto"/>
            <w:vAlign w:val="center"/>
          </w:tcPr>
          <w:p>
            <w:pPr>
              <w:jc w:val="center"/>
              <w:rPr>
                <w:rFonts w:ascii="宋体" w:hAnsi="宋体"/>
              </w:rPr>
            </w:pPr>
            <w:r>
              <w:rPr>
                <w:rFonts w:hint="eastAsia" w:ascii="宋体" w:hAnsi="宋体"/>
              </w:rPr>
              <w:t>投诉</w:t>
            </w:r>
          </w:p>
        </w:tc>
        <w:tc>
          <w:tcPr>
            <w:tcW w:w="4980" w:type="dxa"/>
            <w:shd w:val="clear" w:color="auto" w:fill="auto"/>
            <w:vAlign w:val="center"/>
          </w:tcPr>
          <w:p>
            <w:pPr>
              <w:jc w:val="left"/>
              <w:rPr>
                <w:rFonts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14"/>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7"/>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JYCG-DECL-2025-27151</w:t>
            </w:r>
          </w:p>
        </w:tc>
        <w:tc>
          <w:tcPr>
            <w:tcW w:w="3158" w:type="dxa"/>
            <w:vAlign w:val="center"/>
          </w:tcPr>
          <w:p>
            <w:pPr>
              <w:jc w:val="center"/>
              <w:rPr>
                <w:b/>
                <w:bCs/>
                <w:color w:val="FF0000"/>
                <w:szCs w:val="21"/>
              </w:rPr>
            </w:pPr>
            <w:r>
              <w:rPr>
                <w:rFonts w:hint="eastAsia"/>
                <w:b/>
                <w:bCs/>
                <w:color w:val="FF0000"/>
                <w:szCs w:val="21"/>
              </w:rPr>
              <w:t>深圳市宝安中学（集团）第二实验学校课桌椅采购项目</w:t>
            </w:r>
          </w:p>
        </w:tc>
        <w:tc>
          <w:tcPr>
            <w:tcW w:w="2355" w:type="dxa"/>
            <w:vAlign w:val="center"/>
          </w:tcPr>
          <w:p>
            <w:pPr>
              <w:jc w:val="center"/>
              <w:rPr>
                <w:bCs/>
                <w:color w:val="FF0000"/>
                <w:szCs w:val="21"/>
              </w:rPr>
            </w:pPr>
            <w:r>
              <w:rPr>
                <w:rFonts w:hint="eastAsia"/>
                <w:bCs/>
                <w:color w:val="FF0000"/>
                <w:szCs w:val="21"/>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810000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4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896"/>
        <w:gridCol w:w="636"/>
        <w:gridCol w:w="426"/>
        <w:gridCol w:w="1339"/>
        <w:gridCol w:w="134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jc w:val="center"/>
              <w:rPr>
                <w:bCs/>
                <w:szCs w:val="21"/>
              </w:rPr>
            </w:pPr>
            <w:r>
              <w:rPr>
                <w:rFonts w:hint="eastAsia"/>
                <w:bCs/>
                <w:szCs w:val="21"/>
              </w:rPr>
              <w:t>序号</w:t>
            </w:r>
          </w:p>
        </w:tc>
        <w:tc>
          <w:tcPr>
            <w:tcW w:w="1250" w:type="pct"/>
            <w:vAlign w:val="center"/>
          </w:tcPr>
          <w:p>
            <w:pPr>
              <w:jc w:val="center"/>
              <w:rPr>
                <w:bCs/>
                <w:szCs w:val="21"/>
              </w:rPr>
            </w:pPr>
            <w:r>
              <w:rPr>
                <w:rFonts w:hint="eastAsia"/>
                <w:bCs/>
                <w:szCs w:val="21"/>
              </w:rPr>
              <w:t>货物名称（标的名称）</w:t>
            </w:r>
          </w:p>
        </w:tc>
        <w:tc>
          <w:tcPr>
            <w:tcW w:w="346" w:type="pct"/>
            <w:vAlign w:val="center"/>
          </w:tcPr>
          <w:p>
            <w:pPr>
              <w:jc w:val="center"/>
              <w:rPr>
                <w:bCs/>
                <w:szCs w:val="21"/>
              </w:rPr>
            </w:pPr>
            <w:r>
              <w:rPr>
                <w:rFonts w:hint="eastAsia"/>
                <w:bCs/>
                <w:szCs w:val="21"/>
              </w:rPr>
              <w:t>数量</w:t>
            </w:r>
          </w:p>
        </w:tc>
        <w:tc>
          <w:tcPr>
            <w:tcW w:w="286" w:type="pct"/>
            <w:vAlign w:val="center"/>
          </w:tcPr>
          <w:p>
            <w:pPr>
              <w:jc w:val="center"/>
              <w:rPr>
                <w:bCs/>
                <w:szCs w:val="21"/>
              </w:rPr>
            </w:pPr>
            <w:r>
              <w:rPr>
                <w:rFonts w:hint="eastAsia"/>
                <w:bCs/>
                <w:szCs w:val="21"/>
              </w:rPr>
              <w:t>单位</w:t>
            </w:r>
          </w:p>
        </w:tc>
        <w:tc>
          <w:tcPr>
            <w:tcW w:w="890" w:type="pct"/>
            <w:vAlign w:val="center"/>
          </w:tcPr>
          <w:p>
            <w:pPr>
              <w:jc w:val="center"/>
              <w:rPr>
                <w:rFonts w:eastAsia="宋体"/>
                <w:b/>
                <w:bCs/>
                <w:color w:val="FF0000"/>
                <w:szCs w:val="21"/>
              </w:rPr>
            </w:pPr>
            <w:r>
              <w:rPr>
                <w:rFonts w:hint="eastAsia"/>
                <w:b/>
                <w:bCs/>
                <w:color w:val="FF0000"/>
                <w:szCs w:val="21"/>
              </w:rPr>
              <w:t>是否接受进口</w:t>
            </w:r>
          </w:p>
        </w:tc>
        <w:tc>
          <w:tcPr>
            <w:tcW w:w="890" w:type="pct"/>
            <w:vAlign w:val="center"/>
          </w:tcPr>
          <w:p>
            <w:pPr>
              <w:jc w:val="center"/>
              <w:rPr>
                <w:b/>
                <w:bCs/>
                <w:color w:val="FF0000"/>
                <w:szCs w:val="21"/>
              </w:rPr>
            </w:pPr>
            <w:r>
              <w:rPr>
                <w:rFonts w:hint="eastAsia"/>
                <w:b/>
                <w:bCs/>
                <w:color w:val="FF0000"/>
                <w:szCs w:val="21"/>
              </w:rPr>
              <w:t>是否专门面向中小企业</w:t>
            </w:r>
          </w:p>
        </w:tc>
        <w:tc>
          <w:tcPr>
            <w:tcW w:w="1005"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jc w:val="center"/>
              <w:rPr>
                <w:bCs/>
                <w:szCs w:val="21"/>
              </w:rPr>
            </w:pPr>
            <w:r>
              <w:rPr>
                <w:rFonts w:hint="eastAsia"/>
                <w:bCs/>
                <w:szCs w:val="21"/>
              </w:rPr>
              <w:t>1</w:t>
            </w:r>
          </w:p>
        </w:tc>
        <w:tc>
          <w:tcPr>
            <w:tcW w:w="1914" w:type="dxa"/>
            <w:vAlign w:val="center"/>
          </w:tcPr>
          <w:p>
            <w:pPr>
              <w:wordWrap w:val="0"/>
              <w:spacing w:line="320" w:lineRule="exact"/>
              <w:jc w:val="center"/>
              <w:rPr>
                <w:rFonts w:ascii="宋体" w:hAnsi="宋体" w:eastAsia="宋体" w:cs="宋体"/>
                <w:bCs/>
                <w:szCs w:val="21"/>
              </w:rPr>
            </w:pPr>
            <w:r>
              <w:rPr>
                <w:rFonts w:hint="eastAsia" w:ascii="宋体" w:hAnsi="宋体" w:eastAsia="宋体" w:cs="宋体"/>
                <w:szCs w:val="21"/>
              </w:rPr>
              <w:t>升降课桌</w:t>
            </w:r>
          </w:p>
        </w:tc>
        <w:tc>
          <w:tcPr>
            <w:tcW w:w="530"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1350</w:t>
            </w:r>
          </w:p>
        </w:tc>
        <w:tc>
          <w:tcPr>
            <w:tcW w:w="438"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张</w:t>
            </w:r>
          </w:p>
        </w:tc>
        <w:tc>
          <w:tcPr>
            <w:tcW w:w="890" w:type="pct"/>
            <w:vAlign w:val="center"/>
          </w:tcPr>
          <w:p>
            <w:pPr>
              <w:jc w:val="center"/>
              <w:rPr>
                <w:b/>
                <w:bCs/>
                <w:color w:val="FF0000"/>
                <w:szCs w:val="21"/>
              </w:rPr>
            </w:pPr>
            <w:r>
              <w:rPr>
                <w:rFonts w:hint="eastAsia"/>
                <w:b/>
                <w:bCs/>
                <w:szCs w:val="21"/>
              </w:rPr>
              <w:t>拒绝进口</w:t>
            </w:r>
          </w:p>
        </w:tc>
        <w:tc>
          <w:tcPr>
            <w:tcW w:w="890" w:type="pct"/>
            <w:vAlign w:val="center"/>
          </w:tcPr>
          <w:p>
            <w:pPr>
              <w:jc w:val="center"/>
              <w:rPr>
                <w:b/>
                <w:bCs/>
                <w:color w:val="FF0000"/>
                <w:szCs w:val="21"/>
              </w:rPr>
            </w:pPr>
            <w:r>
              <w:rPr>
                <w:rFonts w:hint="eastAsia"/>
                <w:b/>
                <w:bCs/>
                <w:color w:val="FF0000"/>
                <w:szCs w:val="21"/>
              </w:rPr>
              <w:t>否</w:t>
            </w:r>
          </w:p>
        </w:tc>
        <w:tc>
          <w:tcPr>
            <w:tcW w:w="1005"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jc w:val="center"/>
              <w:rPr>
                <w:bCs/>
                <w:szCs w:val="21"/>
              </w:rPr>
            </w:pPr>
            <w:r>
              <w:rPr>
                <w:rFonts w:hint="eastAsia"/>
                <w:bCs/>
                <w:szCs w:val="21"/>
              </w:rPr>
              <w:t>2</w:t>
            </w:r>
          </w:p>
        </w:tc>
        <w:tc>
          <w:tcPr>
            <w:tcW w:w="1914" w:type="dxa"/>
            <w:vAlign w:val="center"/>
          </w:tcPr>
          <w:p>
            <w:pPr>
              <w:wordWrap w:val="0"/>
              <w:spacing w:line="320" w:lineRule="exact"/>
              <w:jc w:val="center"/>
              <w:rPr>
                <w:rFonts w:ascii="宋体" w:hAnsi="宋体" w:eastAsia="宋体" w:cs="宋体"/>
                <w:bCs/>
                <w:szCs w:val="21"/>
              </w:rPr>
            </w:pPr>
            <w:r>
              <w:rPr>
                <w:rFonts w:hint="eastAsia" w:ascii="宋体" w:hAnsi="宋体" w:eastAsia="宋体" w:cs="宋体"/>
                <w:szCs w:val="21"/>
              </w:rPr>
              <w:t>升降课椅</w:t>
            </w:r>
          </w:p>
        </w:tc>
        <w:tc>
          <w:tcPr>
            <w:tcW w:w="530"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1350</w:t>
            </w:r>
          </w:p>
        </w:tc>
        <w:tc>
          <w:tcPr>
            <w:tcW w:w="438"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张</w:t>
            </w:r>
          </w:p>
        </w:tc>
        <w:tc>
          <w:tcPr>
            <w:tcW w:w="890" w:type="pct"/>
            <w:vAlign w:val="center"/>
          </w:tcPr>
          <w:p>
            <w:pPr>
              <w:jc w:val="center"/>
              <w:rPr>
                <w:b/>
                <w:bCs/>
                <w:color w:val="FF0000"/>
                <w:szCs w:val="21"/>
              </w:rPr>
            </w:pPr>
            <w:r>
              <w:rPr>
                <w:rFonts w:hint="eastAsia"/>
                <w:b/>
                <w:bCs/>
                <w:szCs w:val="21"/>
              </w:rPr>
              <w:t>拒绝进口</w:t>
            </w:r>
          </w:p>
        </w:tc>
        <w:tc>
          <w:tcPr>
            <w:tcW w:w="1345" w:type="dxa"/>
            <w:vAlign w:val="center"/>
          </w:tcPr>
          <w:p>
            <w:pPr>
              <w:jc w:val="center"/>
              <w:rPr>
                <w:b/>
                <w:bCs/>
                <w:color w:val="FF0000"/>
                <w:szCs w:val="21"/>
              </w:rPr>
            </w:pPr>
            <w:r>
              <w:rPr>
                <w:rFonts w:hint="eastAsia"/>
                <w:b/>
                <w:bCs/>
                <w:color w:val="FF0000"/>
                <w:szCs w:val="21"/>
              </w:rPr>
              <w:t>否</w:t>
            </w:r>
          </w:p>
        </w:tc>
        <w:tc>
          <w:tcPr>
            <w:tcW w:w="1522" w:type="dxa"/>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jc w:val="center"/>
              <w:rPr>
                <w:bCs/>
                <w:szCs w:val="21"/>
              </w:rPr>
            </w:pPr>
            <w:r>
              <w:rPr>
                <w:rFonts w:hint="eastAsia"/>
                <w:bCs/>
                <w:szCs w:val="21"/>
              </w:rPr>
              <w:t>3</w:t>
            </w:r>
          </w:p>
        </w:tc>
        <w:tc>
          <w:tcPr>
            <w:tcW w:w="1914" w:type="dxa"/>
            <w:vAlign w:val="center"/>
          </w:tcPr>
          <w:p>
            <w:pPr>
              <w:wordWrap w:val="0"/>
              <w:spacing w:line="320" w:lineRule="exact"/>
              <w:jc w:val="center"/>
              <w:rPr>
                <w:rFonts w:ascii="宋体" w:hAnsi="宋体" w:eastAsia="宋体" w:cs="宋体"/>
                <w:bCs/>
                <w:szCs w:val="21"/>
              </w:rPr>
            </w:pPr>
            <w:r>
              <w:rPr>
                <w:rFonts w:hint="eastAsia" w:ascii="宋体" w:hAnsi="宋体" w:eastAsia="宋体" w:cs="宋体"/>
                <w:szCs w:val="21"/>
              </w:rPr>
              <w:t>折叠桌</w:t>
            </w:r>
          </w:p>
        </w:tc>
        <w:tc>
          <w:tcPr>
            <w:tcW w:w="530"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135</w:t>
            </w:r>
          </w:p>
        </w:tc>
        <w:tc>
          <w:tcPr>
            <w:tcW w:w="438" w:type="dxa"/>
            <w:vAlign w:val="center"/>
          </w:tcPr>
          <w:p>
            <w:pPr>
              <w:jc w:val="center"/>
              <w:rPr>
                <w:rFonts w:ascii="宋体" w:hAnsi="宋体" w:eastAsia="宋体" w:cs="宋体"/>
                <w:bCs/>
                <w:szCs w:val="21"/>
              </w:rPr>
            </w:pPr>
            <w:r>
              <w:rPr>
                <w:rFonts w:hint="eastAsia" w:ascii="宋体" w:hAnsi="宋体" w:eastAsia="宋体" w:cs="宋体"/>
                <w:szCs w:val="21"/>
              </w:rPr>
              <w:t>张</w:t>
            </w:r>
          </w:p>
        </w:tc>
        <w:tc>
          <w:tcPr>
            <w:tcW w:w="890" w:type="pct"/>
            <w:vAlign w:val="center"/>
          </w:tcPr>
          <w:p>
            <w:pPr>
              <w:jc w:val="center"/>
              <w:rPr>
                <w:b/>
                <w:bCs/>
                <w:szCs w:val="21"/>
              </w:rPr>
            </w:pPr>
            <w:r>
              <w:rPr>
                <w:rFonts w:hint="eastAsia"/>
                <w:b/>
                <w:bCs/>
                <w:szCs w:val="21"/>
              </w:rPr>
              <w:t>拒绝进口</w:t>
            </w:r>
          </w:p>
        </w:tc>
        <w:tc>
          <w:tcPr>
            <w:tcW w:w="1345" w:type="dxa"/>
            <w:vAlign w:val="center"/>
          </w:tcPr>
          <w:p>
            <w:pPr>
              <w:jc w:val="center"/>
              <w:rPr>
                <w:b/>
                <w:bCs/>
                <w:szCs w:val="21"/>
              </w:rPr>
            </w:pPr>
            <w:r>
              <w:rPr>
                <w:rFonts w:hint="eastAsia"/>
                <w:b/>
                <w:bCs/>
                <w:color w:val="FF0000"/>
                <w:szCs w:val="21"/>
              </w:rPr>
              <w:t>否</w:t>
            </w:r>
          </w:p>
        </w:tc>
        <w:tc>
          <w:tcPr>
            <w:tcW w:w="1522" w:type="dxa"/>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jc w:val="center"/>
              <w:rPr>
                <w:bCs/>
                <w:szCs w:val="21"/>
              </w:rPr>
            </w:pPr>
            <w:r>
              <w:rPr>
                <w:rFonts w:hint="eastAsia"/>
                <w:bCs/>
                <w:szCs w:val="21"/>
              </w:rPr>
              <w:t>4</w:t>
            </w:r>
          </w:p>
        </w:tc>
        <w:tc>
          <w:tcPr>
            <w:tcW w:w="1914" w:type="dxa"/>
            <w:vAlign w:val="center"/>
          </w:tcPr>
          <w:p>
            <w:pPr>
              <w:wordWrap w:val="0"/>
              <w:spacing w:line="320" w:lineRule="exact"/>
              <w:jc w:val="center"/>
              <w:rPr>
                <w:rFonts w:ascii="宋体" w:hAnsi="宋体" w:eastAsia="宋体" w:cs="宋体"/>
                <w:bCs/>
                <w:szCs w:val="21"/>
              </w:rPr>
            </w:pPr>
            <w:r>
              <w:rPr>
                <w:rFonts w:hint="eastAsia" w:ascii="宋体" w:hAnsi="宋体" w:eastAsia="宋体" w:cs="宋体"/>
                <w:szCs w:val="21"/>
              </w:rPr>
              <w:t>折叠椅</w:t>
            </w:r>
          </w:p>
        </w:tc>
        <w:tc>
          <w:tcPr>
            <w:tcW w:w="530" w:type="dxa"/>
            <w:vAlign w:val="center"/>
          </w:tcPr>
          <w:p>
            <w:pPr>
              <w:widowControl/>
              <w:jc w:val="center"/>
              <w:textAlignment w:val="center"/>
              <w:rPr>
                <w:rFonts w:ascii="宋体" w:hAnsi="宋体" w:eastAsia="宋体" w:cs="宋体"/>
                <w:bCs/>
                <w:szCs w:val="21"/>
              </w:rPr>
            </w:pPr>
            <w:r>
              <w:rPr>
                <w:rFonts w:hint="eastAsia" w:ascii="宋体" w:hAnsi="宋体" w:eastAsia="宋体" w:cs="宋体"/>
                <w:szCs w:val="21"/>
              </w:rPr>
              <w:t>135</w:t>
            </w:r>
          </w:p>
        </w:tc>
        <w:tc>
          <w:tcPr>
            <w:tcW w:w="438" w:type="dxa"/>
            <w:vAlign w:val="center"/>
          </w:tcPr>
          <w:p>
            <w:pPr>
              <w:jc w:val="center"/>
              <w:rPr>
                <w:rFonts w:ascii="宋体" w:hAnsi="宋体" w:eastAsia="宋体" w:cs="宋体"/>
                <w:bCs/>
                <w:szCs w:val="21"/>
              </w:rPr>
            </w:pPr>
            <w:r>
              <w:rPr>
                <w:rFonts w:hint="eastAsia" w:ascii="宋体" w:hAnsi="宋体" w:eastAsia="宋体" w:cs="宋体"/>
                <w:szCs w:val="21"/>
              </w:rPr>
              <w:t>张</w:t>
            </w:r>
          </w:p>
        </w:tc>
        <w:tc>
          <w:tcPr>
            <w:tcW w:w="890" w:type="pct"/>
            <w:vAlign w:val="center"/>
          </w:tcPr>
          <w:p>
            <w:pPr>
              <w:jc w:val="center"/>
              <w:rPr>
                <w:b/>
                <w:bCs/>
                <w:color w:val="FF0000"/>
                <w:szCs w:val="21"/>
              </w:rPr>
            </w:pPr>
            <w:r>
              <w:rPr>
                <w:rFonts w:hint="eastAsia"/>
                <w:b/>
                <w:bCs/>
                <w:szCs w:val="21"/>
              </w:rPr>
              <w:t>拒绝进口</w:t>
            </w:r>
          </w:p>
        </w:tc>
        <w:tc>
          <w:tcPr>
            <w:tcW w:w="1345" w:type="dxa"/>
            <w:vAlign w:val="center"/>
          </w:tcPr>
          <w:p>
            <w:pPr>
              <w:jc w:val="center"/>
              <w:rPr>
                <w:b/>
                <w:bCs/>
                <w:szCs w:val="21"/>
              </w:rPr>
            </w:pPr>
            <w:r>
              <w:rPr>
                <w:rFonts w:hint="eastAsia"/>
                <w:b/>
                <w:bCs/>
                <w:color w:val="FF0000"/>
                <w:szCs w:val="21"/>
              </w:rPr>
              <w:t>否</w:t>
            </w:r>
          </w:p>
        </w:tc>
        <w:tc>
          <w:tcPr>
            <w:tcW w:w="1522" w:type="dxa"/>
            <w:vAlign w:val="center"/>
          </w:tcPr>
          <w:p>
            <w:pPr>
              <w:jc w:val="center"/>
              <w:rPr>
                <w:b/>
                <w:bCs/>
                <w:szCs w:val="21"/>
              </w:rPr>
            </w:pPr>
            <w:r>
              <w:rPr>
                <w:rFonts w:hint="eastAsia"/>
                <w:b/>
                <w:bCs/>
                <w:color w:val="FF0000"/>
                <w:szCs w:val="21"/>
              </w:rPr>
              <w:t>工业</w:t>
            </w:r>
          </w:p>
        </w:tc>
      </w:tr>
    </w:tbl>
    <w:p>
      <w:pPr>
        <w:ind w:firstLine="422" w:firstLineChars="200"/>
        <w:rPr>
          <w:rFonts w:ascii="宋体" w:hAnsi="宋体"/>
          <w:b/>
          <w:color w:val="FF0000"/>
          <w:szCs w:val="21"/>
        </w:rPr>
      </w:pPr>
    </w:p>
    <w:p>
      <w:pPr>
        <w:ind w:firstLine="422" w:firstLineChars="200"/>
        <w:rPr>
          <w:rFonts w:ascii="宋体" w:hAnsi="宋体"/>
          <w:b/>
          <w:color w:val="FF0000"/>
          <w:szCs w:val="21"/>
        </w:rPr>
      </w:pPr>
      <w:r>
        <w:rPr>
          <w:rFonts w:hint="eastAsia" w:ascii="宋体" w:hAnsi="宋体"/>
          <w:b/>
          <w:color w:val="FF0000"/>
          <w:szCs w:val="21"/>
        </w:rPr>
        <w:t>参考图片</w:t>
      </w:r>
    </w:p>
    <w:tbl>
      <w:tblPr>
        <w:tblStyle w:val="17"/>
        <w:tblW w:w="42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1654" w:type="pc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cs="宋体"/>
                <w:sz w:val="28"/>
                <w:szCs w:val="28"/>
              </w:rPr>
            </w:pPr>
            <w:r>
              <w:rPr>
                <w:rFonts w:hint="eastAsia" w:ascii="宋体" w:hAnsi="宋体" w:cs="宋体"/>
                <w:sz w:val="28"/>
                <w:szCs w:val="28"/>
              </w:rPr>
              <w:t>备注</w:t>
            </w:r>
            <w:r>
              <w:rPr>
                <w:rFonts w:ascii="宋体" w:hAnsi="宋体" w:cs="宋体"/>
                <w:sz w:val="28"/>
                <w:szCs w:val="28"/>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4" w:type="pc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cs="宋体"/>
                <w:sz w:val="28"/>
                <w:szCs w:val="28"/>
              </w:rPr>
            </w:pPr>
            <w:r>
              <w:rPr>
                <w:rFonts w:ascii="Times New Roman" w:hAnsi="Times New Roman" w:cs="Times New Roman"/>
              </w:rPr>
              <w:drawing>
                <wp:inline distT="0" distB="0" distL="114300" distR="114300">
                  <wp:extent cx="694055" cy="879475"/>
                  <wp:effectExtent l="0" t="0" r="444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rcRect l="25822" t="23337" r="39651" b="14925"/>
                          <a:stretch>
                            <a:fillRect/>
                          </a:stretch>
                        </pic:blipFill>
                        <pic:spPr>
                          <a:xfrm>
                            <a:off x="0" y="0"/>
                            <a:ext cx="694055" cy="879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4" w:type="pc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宋体" w:hAnsi="宋体" w:cs="宋体"/>
                <w:sz w:val="28"/>
                <w:szCs w:val="28"/>
              </w:rPr>
            </w:pPr>
            <w:r>
              <w:rPr>
                <w:rFonts w:ascii="Times New Roman" w:hAnsi="Times New Roman" w:cs="Times New Roman"/>
              </w:rPr>
              <w:drawing>
                <wp:inline distT="0" distB="0" distL="114300" distR="114300">
                  <wp:extent cx="807085" cy="1163320"/>
                  <wp:effectExtent l="0" t="0" r="571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rcRect l="47034" t="17531" r="23448" b="22157"/>
                          <a:stretch>
                            <a:fillRect/>
                          </a:stretch>
                        </pic:blipFill>
                        <pic:spPr>
                          <a:xfrm>
                            <a:off x="0" y="0"/>
                            <a:ext cx="807085" cy="1163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4" w:type="pc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Times New Roman" w:hAnsi="Times New Roman" w:cs="Times New Roman"/>
              </w:rPr>
            </w:pPr>
            <w:r>
              <w:rPr>
                <w:rFonts w:ascii="Times New Roman" w:hAnsi="Times New Roman" w:cs="Times New Roman"/>
              </w:rPr>
              <w:drawing>
                <wp:inline distT="0" distB="0" distL="114300" distR="114300">
                  <wp:extent cx="1007745" cy="755015"/>
                  <wp:effectExtent l="0" t="0" r="8255" b="6985"/>
                  <wp:docPr id="7" name="图片 7" descr="03fe50bd-51dc-4984-8229-dd4a10fd7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fe50bd-51dc-4984-8229-dd4a10fd757c"/>
                          <pic:cNvPicPr>
                            <a:picLocks noChangeAspect="1"/>
                          </pic:cNvPicPr>
                        </pic:nvPicPr>
                        <pic:blipFill>
                          <a:blip r:embed="rId17"/>
                          <a:stretch>
                            <a:fillRect/>
                          </a:stretch>
                        </pic:blipFill>
                        <pic:spPr>
                          <a:xfrm>
                            <a:off x="0" y="0"/>
                            <a:ext cx="1007745" cy="755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4" w:type="pc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jc w:val="center"/>
              <w:rPr>
                <w:rFonts w:ascii="Times New Roman" w:hAnsi="Times New Roman" w:cs="Times New Roman"/>
              </w:rPr>
            </w:pPr>
            <w:r>
              <w:rPr>
                <w:rFonts w:ascii="Times New Roman" w:hAnsi="Times New Roman" w:cs="Times New Roman"/>
              </w:rPr>
              <w:drawing>
                <wp:inline distT="0" distB="0" distL="114300" distR="114300">
                  <wp:extent cx="819150" cy="1063625"/>
                  <wp:effectExtent l="0" t="0" r="635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819150" cy="1063625"/>
                          </a:xfrm>
                          <a:prstGeom prst="rect">
                            <a:avLst/>
                          </a:prstGeom>
                          <a:noFill/>
                          <a:ln>
                            <a:noFill/>
                          </a:ln>
                        </pic:spPr>
                      </pic:pic>
                    </a:graphicData>
                  </a:graphic>
                </wp:inline>
              </w:drawing>
            </w:r>
          </w:p>
        </w:tc>
      </w:tr>
    </w:tbl>
    <w:p>
      <w:pPr>
        <w:ind w:firstLine="422" w:firstLineChars="200"/>
        <w:rPr>
          <w:rFonts w:ascii="宋体" w:hAnsi="宋体"/>
          <w:b/>
          <w:color w:val="FF0000"/>
          <w:szCs w:val="21"/>
        </w:rPr>
      </w:pPr>
    </w:p>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szCs w:val="21"/>
        </w:rPr>
        <w:t>5、</w:t>
      </w:r>
      <w:r>
        <w:rPr>
          <w:rFonts w:hint="eastAsia" w:ascii="宋体" w:hAnsi="宋体"/>
          <w:b/>
          <w:color w:val="FF0000"/>
          <w:szCs w:val="21"/>
        </w:rPr>
        <w:t>本项目核心产品为：</w:t>
      </w:r>
      <w:r>
        <w:rPr>
          <w:rFonts w:hint="eastAsia" w:ascii="宋体" w:hAnsi="宋体"/>
          <w:b/>
          <w:color w:val="FF0000"/>
          <w:szCs w:val="21"/>
          <w:u w:val="single"/>
        </w:rPr>
        <w:t xml:space="preserve">   升降课椅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rPr>
        <w:t>四、技术要求</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tabs>
                <w:tab w:val="left" w:pos="2100"/>
              </w:tabs>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1</w:t>
            </w:r>
          </w:p>
        </w:tc>
        <w:tc>
          <w:tcPr>
            <w:tcW w:w="1134" w:type="dxa"/>
            <w:vMerge w:val="restart"/>
            <w:vAlign w:val="center"/>
          </w:tcPr>
          <w:p>
            <w:pPr>
              <w:widowControl/>
              <w:jc w:val="center"/>
              <w:textAlignment w:val="center"/>
              <w:rPr>
                <w:color w:val="000000" w:themeColor="text1"/>
                <w:szCs w:val="21"/>
              </w:rPr>
            </w:pPr>
            <w:r>
              <w:rPr>
                <w:rStyle w:val="38"/>
                <w:rFonts w:hint="default"/>
                <w:lang w:bidi="ar"/>
              </w:rPr>
              <w:t>升降课桌</w:t>
            </w:r>
          </w:p>
        </w:tc>
        <w:tc>
          <w:tcPr>
            <w:tcW w:w="6485" w:type="dxa"/>
            <w:vAlign w:val="center"/>
          </w:tcPr>
          <w:p>
            <w:pPr>
              <w:widowControl/>
              <w:jc w:val="left"/>
              <w:textAlignment w:val="center"/>
              <w:rPr>
                <w:color w:val="000000" w:themeColor="text1"/>
                <w:szCs w:val="21"/>
              </w:rPr>
            </w:pPr>
            <w:r>
              <w:rPr>
                <w:rStyle w:val="39"/>
                <w:rFonts w:hint="default"/>
                <w:lang w:bidi="ar"/>
              </w:rPr>
              <w:t>A.桌面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w:t>
            </w:r>
            <w:r>
              <w:rPr>
                <w:rStyle w:val="40"/>
                <w:rFonts w:hint="default"/>
                <w:lang w:bidi="ar"/>
              </w:rPr>
              <w:t>材质：ABS塑料（塑胶）一体注塑成型。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rFonts w:eastAsia="宋体"/>
              </w:rPr>
            </w:pPr>
            <w:r>
              <w:rPr>
                <w:rStyle w:val="38"/>
                <w:rFonts w:hint="default"/>
                <w:lang w:bidi="ar"/>
              </w:rPr>
              <w:t>2.</w:t>
            </w:r>
            <w:r>
              <w:rPr>
                <w:rStyle w:val="41"/>
                <w:rFonts w:hint="default"/>
                <w:lang w:bidi="ar"/>
              </w:rPr>
              <w:t>▲ABS塑料（塑胶）检验：【洛氏硬度(HRR)：≥90），测试方法GB/T 3398.2-2008】；【表面电阻率≥1.0x10</w:t>
            </w:r>
            <w:r>
              <w:rPr>
                <w:rStyle w:val="42"/>
                <w:rFonts w:hint="default"/>
                <w:lang w:bidi="ar"/>
              </w:rPr>
              <w:t>12</w:t>
            </w:r>
            <w:r>
              <w:rPr>
                <w:rStyle w:val="41"/>
                <w:rFonts w:hint="default"/>
                <w:lang w:bidi="ar"/>
              </w:rPr>
              <w:t>Ω，测试方法GB/T 31838.3-2019】；【拉伸强度（试验速度：50mm/min）≥40MPa；拉伸断裂伸长率（试验速度：50mm/min）≥1.0%；测试方法GB/T 1040.2-2022】；【简支梁缺口冲击强度：≥10KJ∕㎡</w:t>
            </w:r>
            <w:r>
              <w:rPr>
                <w:rStyle w:val="42"/>
                <w:rFonts w:hint="default"/>
                <w:lang w:bidi="ar"/>
              </w:rPr>
              <w:t xml:space="preserve"> </w:t>
            </w:r>
            <w:r>
              <w:rPr>
                <w:rStyle w:val="41"/>
                <w:rFonts w:hint="default"/>
                <w:lang w:bidi="ar"/>
              </w:rPr>
              <w:t>，测试方法GB/T 1043.1-2008】；【耐磨性(CS-17，750g，100r)≤0.01g，测试方法GB/T 5478-2008】；【荧光紫外灯老化（100h</w:t>
            </w:r>
            <w:r>
              <w:rPr>
                <w:rStyle w:val="42"/>
                <w:rFonts w:hint="default"/>
                <w:lang w:bidi="ar"/>
              </w:rPr>
              <w:t>1</w:t>
            </w:r>
            <w:r>
              <w:rPr>
                <w:rStyle w:val="41"/>
                <w:rFonts w:hint="default"/>
                <w:lang w:bidi="ar"/>
              </w:rPr>
              <w:t>）（拉伸强度保持率≥60%、断裂伸长率保持率≥60%、外观变色评级≥3级），测试方法GB/T 16422.3-2022GB/T 1040.2-2022、GB/T 16422.3-2022、GB/T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w:t>
            </w:r>
            <w:r>
              <w:rPr>
                <w:rStyle w:val="41"/>
                <w:rFonts w:hint="default"/>
                <w:lang w:bidi="ar"/>
              </w:rPr>
              <w:t>▲塑料依据GB/T 32487-2016的测定，经塑料材料理化性能试验（耐老化性-室内用：500h），冲击强度的保持率应≧80%，外观颜色变色评级≧3级，冲击强度≧10J/M2；塑料件经耐冷热循环试验，应无裂纹、明显变形、缩水、针孔；依据GB/T 12000-2017的测定，暴露于盐雾的条件24h，质量变化应≤1%；</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w:t>
            </w:r>
            <w:r>
              <w:rPr>
                <w:rStyle w:val="40"/>
                <w:rFonts w:hint="default"/>
                <w:lang w:bidi="ar"/>
              </w:rPr>
              <w:t>在课桌面做塑面硬化处理以增加桌面的表面硬度，抗污防腐，有效解决在使用过程中学生肆意涂画，灰尘、水渍、汗渍造成桌面污浊不堪，不易清洁的问题，亦可更有效保护桌面不变色，不褪色。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w:t>
            </w:r>
            <w:r>
              <w:rPr>
                <w:rStyle w:val="41"/>
                <w:rFonts w:hint="default"/>
                <w:lang w:bidi="ar"/>
              </w:rPr>
              <w:t>▲桌面抗污材料应满足以下要求：检验依据GB/T9274-1988《色漆和清漆 耐液体介质的测定》；检测要求：耐油性（200#溶剂油，24h）无异常；耐酸性（10g/L H</w:t>
            </w:r>
            <w:r>
              <w:rPr>
                <w:rStyle w:val="44"/>
                <w:rFonts w:hint="default"/>
                <w:lang w:bidi="ar"/>
              </w:rPr>
              <w:t>2</w:t>
            </w:r>
            <w:r>
              <w:rPr>
                <w:rStyle w:val="41"/>
                <w:rFonts w:hint="default"/>
                <w:lang w:bidi="ar"/>
              </w:rPr>
              <w:t>SO</w:t>
            </w:r>
            <w:r>
              <w:rPr>
                <w:rStyle w:val="44"/>
                <w:rFonts w:hint="default"/>
                <w:lang w:bidi="ar"/>
              </w:rPr>
              <w:t>4</w:t>
            </w:r>
            <w:r>
              <w:rPr>
                <w:rStyle w:val="41"/>
                <w:rFonts w:hint="default"/>
                <w:lang w:bidi="ar"/>
              </w:rPr>
              <w:t>，24h）无异常；耐碱性（50g/L NaHCO</w:t>
            </w:r>
            <w:r>
              <w:rPr>
                <w:rStyle w:val="44"/>
                <w:rFonts w:hint="default"/>
                <w:lang w:bidi="ar"/>
              </w:rPr>
              <w:t>3</w:t>
            </w:r>
            <w:r>
              <w:rPr>
                <w:rStyle w:val="41"/>
                <w:rFonts w:hint="default"/>
                <w:lang w:bidi="ar"/>
              </w:rPr>
              <w:t>，24h）无异常，单项判定均为合格。塑料桌面耐污染应符合以下要求：耐污染[墨水(蓝色和红色)、印泥、水笔、圆珠笔、涂改液，24h]能被符合QB/T2309的普通橡皮擦拭；单项判定为合格。检测依据QB/T 4071-2021《课桌椅》。</w:t>
            </w:r>
            <w:r>
              <w:rPr>
                <w:rStyle w:val="45"/>
                <w:rFonts w:hint="default"/>
                <w:lang w:bidi="ar"/>
              </w:rPr>
              <w:t>（</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Style w:val="45"/>
                <w:rFonts w:hint="default"/>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b/>
                <w:bCs/>
                <w:color w:val="000000" w:themeColor="text1"/>
                <w:szCs w:val="21"/>
              </w:rPr>
            </w:pPr>
            <w:r>
              <w:rPr>
                <w:rStyle w:val="38"/>
                <w:rFonts w:hint="default"/>
                <w:lang w:bidi="ar"/>
              </w:rPr>
              <w:t>6.</w:t>
            </w:r>
            <w:r>
              <w:rPr>
                <w:rStyle w:val="40"/>
                <w:rFonts w:hint="default"/>
                <w:lang w:bidi="ar"/>
              </w:rPr>
              <w:t>规格（需符合GB/T3976-2014《学校课桌椅功能尺寸及技术要求》要求）：具体尺寸中标后依据学校要求确认，尺寸：650mm±5mm×450mm±5mm×20mm±5mm（注：供应商对产品参数可响应区间内任意值也可响应区间范围）。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7.</w:t>
            </w:r>
            <w:r>
              <w:rPr>
                <w:rStyle w:val="40"/>
                <w:rFonts w:hint="default"/>
                <w:lang w:bidi="ar"/>
              </w:rPr>
              <w:t>功能：桌面靠胸前端处有一內弧造型设计；表面得需有细蚀纹(咬花),不得有反光现象。桌面四周及底部完全不得有毛边，都得倒圆角光滑不刮手。面板底部锁入双钢管支撑，并与面板底部平齐</w:t>
            </w:r>
            <w:r>
              <w:rPr>
                <w:rStyle w:val="38"/>
                <w:rFonts w:hint="default"/>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B.书箱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8.</w:t>
            </w:r>
            <w:r>
              <w:rPr>
                <w:rStyle w:val="40"/>
                <w:rFonts w:hint="default"/>
                <w:lang w:bidi="ar"/>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9.</w:t>
            </w:r>
            <w:r>
              <w:rPr>
                <w:rStyle w:val="40"/>
                <w:rFonts w:hint="default"/>
                <w:lang w:bidi="ar"/>
              </w:rPr>
              <w:t>规格：内径尺寸：450mm±5mm×330mm±5mm×90mm±5mm；外径尺寸：500mm±5mm×340mm±5mm×100mm±5mm。（需符合GB/T3976-2014《学校课桌椅功能尺寸及技术要求》要求）。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10.</w:t>
            </w:r>
            <w:r>
              <w:rPr>
                <w:rStyle w:val="40"/>
                <w:rFonts w:hint="default"/>
                <w:lang w:bidi="ar"/>
              </w:rPr>
              <w:t>书箱技术至少满足以下要求：书箱内部前沿设有370mm±5mm*60mm±5mm凹槽方便储放笔和橡皮擦等小文具。底部有排水槽缝设计（宽度≤5mm）不少于44条，方便清洗或擦拭底部易排水通风干燥。书箱三墙面为弧型设计，无尖角，确保学生安全。书箱外围倒圆角光滑不刮手，无毛边。书箱底部外侧横向加强筋不少于6条、纵向加强筋不少于3条，加固承重，不易变形。左右两侧各有连体多功能挂钩87mm±5mm×38mm±5mm×26mm±5mm，书箱与挂钩一体成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11.</w:t>
            </w:r>
            <w:r>
              <w:rPr>
                <w:rStyle w:val="41"/>
                <w:rFonts w:hint="default"/>
                <w:lang w:bidi="ar"/>
              </w:rPr>
              <w:t>▲PP塑料依据GB/T 40006.1-2021的测定，气味要求应符合≤</w:t>
            </w:r>
            <w:r>
              <w:rPr>
                <w:rStyle w:val="41"/>
                <w:rFonts w:hint="eastAsia" w:eastAsia="宋体"/>
                <w:lang w:val="en-US" w:eastAsia="zh-CN" w:bidi="ar"/>
              </w:rPr>
              <w:t>2</w:t>
            </w:r>
            <w:r>
              <w:rPr>
                <w:rStyle w:val="41"/>
                <w:rFonts w:hint="default"/>
                <w:lang w:bidi="ar"/>
              </w:rPr>
              <w:t>级，重金属铅的含量应符合≤0.1%，重金属汞的含量应符合≤0.1%，重金属镉的含量应符合≤0.01%，重金属六价铬的含量应符合≤0.1%；依据GB/T 40006.3-2021的测定，拉伸强度应符合≥16MPa，颗粒外观（大粒和小粒）应符合≤40g/kg。</w:t>
            </w:r>
            <w:r>
              <w:rPr>
                <w:rStyle w:val="45"/>
                <w:rFonts w:hint="default"/>
                <w:lang w:bidi="ar"/>
              </w:rPr>
              <w:t>（</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Style w:val="45"/>
                <w:rFonts w:hint="default"/>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C.桌脚钢架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12.</w:t>
            </w:r>
            <w:r>
              <w:rPr>
                <w:rStyle w:val="40"/>
                <w:rFonts w:hint="default"/>
                <w:lang w:bidi="ar"/>
              </w:rPr>
              <w:t>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13.</w:t>
            </w:r>
            <w:r>
              <w:rPr>
                <w:rStyle w:val="40"/>
                <w:rFonts w:hint="default"/>
                <w:lang w:bidi="ar"/>
              </w:rPr>
              <w:t>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须符合GB/T 3976-2014关于桌下净空深的要求。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14.</w:t>
            </w:r>
            <w:r>
              <w:rPr>
                <w:rStyle w:val="40"/>
                <w:rFonts w:hint="default"/>
                <w:lang w:bidi="ar"/>
              </w:rPr>
              <w:t>表面涂装：焊接完成后的钢管架，表面经除油、脱脂、磷化、皮膜处理。外表采用一级颗粒粉末，经高温粉体烤漆，不得有刮伤或脱漆现象。涂层无漏喷、锈蚀；涂层光滑均匀，色泽一致。涂层平整光滑、清晰。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15.</w:t>
            </w:r>
            <w:r>
              <w:rPr>
                <w:rStyle w:val="40"/>
                <w:rFonts w:hint="default"/>
                <w:lang w:bidi="ar"/>
              </w:rPr>
              <w:t>底坐P字型弯管左右组合焊接外型。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16.</w:t>
            </w:r>
            <w:r>
              <w:rPr>
                <w:rStyle w:val="40"/>
                <w:rFonts w:hint="default"/>
                <w:lang w:bidi="ar"/>
              </w:rPr>
              <w:t>产品符合QB/T 4071-2021 标准,无断裂或豁裂, 手揿圧各部件无永久性松动, 零部件无严重影响使用功能的磨损或变形, 五金连接件不松动, 活动部件开关灵便。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D.课桌椅标识</w:t>
            </w:r>
            <w:r>
              <w:rPr>
                <w:rStyle w:val="40"/>
                <w:rFonts w:hint="default"/>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17.</w:t>
            </w:r>
            <w:r>
              <w:rPr>
                <w:rStyle w:val="40"/>
                <w:rFonts w:hint="default"/>
                <w:lang w:bidi="ar"/>
              </w:rPr>
              <w:t>采用激光镭射标示，字体保证永久不会脱落掉色，方便学校管理使用及产品维护。在可调节的钢制脚架上外侧清晰标记，高度刻度尺按照课桌椅国标（《学校课桌椅功能尺寸及技术要求》（GB/T3976-2014））用阿拉伯数字作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18.</w:t>
            </w:r>
            <w:r>
              <w:rPr>
                <w:rStyle w:val="40"/>
                <w:rFonts w:hint="default"/>
                <w:lang w:bidi="ar"/>
              </w:rPr>
              <w:t>在课桌桌腿上部活动立管(钢制脚架上)外侧上做如下标示：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rStyle w:val="40"/>
                <w:rFonts w:hint="default"/>
                <w:lang w:bidi="ar"/>
              </w:rPr>
            </w:pPr>
            <w:r>
              <w:rPr>
                <w:rStyle w:val="40"/>
                <w:rFonts w:hint="default"/>
                <w:lang w:bidi="ar"/>
              </w:rPr>
              <w:t>a)标有统一的校名（简称）汉字或学校 LOGO，满足学校财产登记。</w:t>
            </w:r>
          </w:p>
          <w:p>
            <w:pPr>
              <w:widowControl/>
              <w:jc w:val="left"/>
              <w:textAlignment w:val="center"/>
              <w:rPr>
                <w:color w:val="000000" w:themeColor="text1"/>
                <w:szCs w:val="21"/>
              </w:rPr>
            </w:pPr>
            <w:r>
              <w:rPr>
                <w:rStyle w:val="40"/>
                <w:rFonts w:hint="default"/>
                <w:lang w:bidi="ar"/>
              </w:rPr>
              <w:t>b)标有生产（出厂）年月日数字标识，保证设备保修售后。</w:t>
            </w:r>
          </w:p>
          <w:p>
            <w:pPr>
              <w:widowControl/>
              <w:jc w:val="left"/>
              <w:textAlignment w:val="center"/>
              <w:rPr>
                <w:color w:val="000000" w:themeColor="text1"/>
                <w:szCs w:val="21"/>
              </w:rPr>
            </w:pPr>
            <w:r>
              <w:rPr>
                <w:rStyle w:val="40"/>
                <w:rFonts w:hint="default"/>
                <w:lang w:bidi="ar"/>
              </w:rPr>
              <w:t>c)标有产品序列号数字标识（编码从0001开始的四位流水号），满足学校财产登记的需要。</w:t>
            </w:r>
          </w:p>
          <w:p>
            <w:pPr>
              <w:widowControl/>
              <w:jc w:val="left"/>
              <w:textAlignment w:val="center"/>
              <w:rPr>
                <w:color w:val="000000" w:themeColor="text1"/>
                <w:szCs w:val="21"/>
              </w:rPr>
            </w:pPr>
            <w:r>
              <w:rPr>
                <w:rStyle w:val="40"/>
                <w:rFonts w:hint="default"/>
                <w:lang w:bidi="ar"/>
              </w:rPr>
              <w:t>d)标有高度刻度尺数字标识，满足要求。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E.脚垫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19.</w:t>
            </w:r>
            <w:r>
              <w:rPr>
                <w:rStyle w:val="40"/>
                <w:rFonts w:hint="default"/>
                <w:lang w:bidi="ar"/>
              </w:rPr>
              <w:t>材质：PP塑料（塑胶） ，结实耐用不易脱落。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20.</w:t>
            </w:r>
            <w:r>
              <w:rPr>
                <w:rStyle w:val="40"/>
                <w:rFonts w:hint="default"/>
                <w:lang w:bidi="ar"/>
              </w:rPr>
              <w:t>规格及功能：长93mm±1mm×宽69mm±1mm×高50mm±1mm,垫跟高10mm±2mm。采用环保PP塑料一级新料一体射出注塑成型。并用圆头十字自攻螺丝紧固。课桌后侧两只脚垫底部有一只水平调节塑钢POM螺栓。当地面不平时，可通过调节水平螺栓，使座垫保持平衡不倾斜。表面光滑，无棱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F.挂钩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21.</w:t>
            </w:r>
            <w:r>
              <w:rPr>
                <w:rStyle w:val="40"/>
                <w:rFonts w:hint="default"/>
                <w:lang w:bidi="ar"/>
              </w:rPr>
              <w:t>材质：PP塑料（塑胶） ，结实牢固耐用不易脱落。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G.其他配件（简述）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22.</w:t>
            </w:r>
            <w:r>
              <w:rPr>
                <w:rStyle w:val="40"/>
                <w:rFonts w:hint="default"/>
                <w:lang w:bidi="ar"/>
              </w:rPr>
              <w:t>可调式升降结构：采用上下安全升降结构组合成，课桌桌腿升降器由中间传动轴连接课桌的左右腿活动立管，可以同时升降。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23.</w:t>
            </w:r>
            <w:r>
              <w:rPr>
                <w:rStyle w:val="40"/>
                <w:rFonts w:hint="default"/>
                <w:lang w:bidi="ar"/>
              </w:rPr>
              <w:t>组件装置安全性：桌腿外侧外观无外露螺丝五金件，左右腿都可以调整高度。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24.</w:t>
            </w:r>
            <w:r>
              <w:rPr>
                <w:rStyle w:val="40"/>
                <w:rFonts w:hint="default"/>
                <w:lang w:bidi="ar"/>
              </w:rPr>
              <w:t>升降技术要求：手摇升降调节，每张课桌满足手摇升降调节行程不少于15cm,符合GB/T3976-2014《学校课桌椅功能尺寸及技术要求》 0～5号、4～9号学生课桌标准，可调节高度区间为64cm-79cm、52cm-67cm，在区间内可通过手摇升降快速调节到任意的高度，满足不同学生身高体重个性需求，从而达到（GB/T3976-2014《学校课桌椅功能尺寸及技术要求》）要求（具体实际要求高度以学校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25.</w:t>
            </w:r>
            <w:r>
              <w:rPr>
                <w:rStyle w:val="40"/>
                <w:rFonts w:hint="default"/>
                <w:lang w:bidi="ar"/>
              </w:rPr>
              <w:t>升降刻度尺采用激光镭射打印。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26.</w:t>
            </w:r>
            <w:r>
              <w:rPr>
                <w:rStyle w:val="41"/>
                <w:rFonts w:hint="default"/>
                <w:lang w:bidi="ar"/>
              </w:rPr>
              <w:t>▲升降课桌椅钢架检验：【化学成分：C≤0.22%，Si≤0.35%，Mn≤1.40%，P≤0.045%，S≤0.050%】；【力学性能：抗拉强度Rm370～560MPa，下屈服强度ReL≥235MPa，断后伸长率A≥24%】；【维氏硬度HV5≥130】；【中性盐雾(18h)，符合 QB/T3832-1999(2009)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26955-2011《金属材料焊缝破坏性试验宏观和微观检验》、GB/T 4340.1-2024《金属材料维氏硬度试验第1部分:试验方法》、GB/T 6725-2017《冷弯型钢通用技术要求》、GB/T 10125-2021《人造气氛腐蚀试验 盐雾试验》、QB/T 3832-1999(2009)《轻工产品金属镀层腐蚀试验结果的评价》；单项判定均为合格。</w:t>
            </w:r>
            <w:r>
              <w:rPr>
                <w:rStyle w:val="43"/>
                <w:rFonts w:hint="default"/>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27.</w:t>
            </w:r>
            <w:r>
              <w:rPr>
                <w:rStyle w:val="41"/>
                <w:rFonts w:hint="default"/>
                <w:lang w:bidi="ar"/>
              </w:rPr>
              <w:t>▲升降课桌椅：烟密度≤75；氧指数≥20%；垂直燃烧V-1级；氯乙烯单体残留量≤3mg/kg。单项判定均为合格。检验依据GB/T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2</w:t>
            </w:r>
          </w:p>
        </w:tc>
        <w:tc>
          <w:tcPr>
            <w:tcW w:w="1134" w:type="dxa"/>
            <w:vMerge w:val="restart"/>
            <w:vAlign w:val="center"/>
          </w:tcPr>
          <w:p>
            <w:pPr>
              <w:widowControl/>
              <w:jc w:val="center"/>
              <w:textAlignment w:val="center"/>
              <w:rPr>
                <w:color w:val="000000" w:themeColor="text1"/>
                <w:szCs w:val="21"/>
              </w:rPr>
            </w:pPr>
            <w:r>
              <w:rPr>
                <w:rStyle w:val="40"/>
                <w:rFonts w:hint="default"/>
                <w:lang w:bidi="ar"/>
              </w:rPr>
              <w:t>升降课椅</w:t>
            </w:r>
          </w:p>
        </w:tc>
        <w:tc>
          <w:tcPr>
            <w:tcW w:w="6485" w:type="dxa"/>
            <w:vAlign w:val="center"/>
          </w:tcPr>
          <w:p>
            <w:pPr>
              <w:widowControl/>
              <w:jc w:val="left"/>
              <w:textAlignment w:val="center"/>
              <w:rPr>
                <w:color w:val="000000" w:themeColor="text1"/>
                <w:szCs w:val="21"/>
              </w:rPr>
            </w:pPr>
            <w:r>
              <w:rPr>
                <w:rStyle w:val="39"/>
                <w:rFonts w:hint="default"/>
                <w:lang w:bidi="ar"/>
              </w:rPr>
              <w:t>A.靠背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28.</w:t>
            </w:r>
            <w:r>
              <w:rPr>
                <w:rStyle w:val="40"/>
                <w:rFonts w:hint="default"/>
                <w:lang w:bidi="ar"/>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29.</w:t>
            </w:r>
            <w:r>
              <w:rPr>
                <w:rStyle w:val="40"/>
                <w:rFonts w:hint="default"/>
                <w:lang w:bidi="ar"/>
              </w:rPr>
              <w:t>尺寸：410mm±5mm×270mm±5mm（需符合《学校课桌椅功能尺寸及技术要求》(GB/T3976-2014)）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30.</w:t>
            </w:r>
            <w:r>
              <w:rPr>
                <w:rStyle w:val="40"/>
                <w:rFonts w:hint="default"/>
                <w:lang w:bidi="ar"/>
              </w:rPr>
              <w:t>样式：靠背与钢管结合方式，采用直插套管卡扣式紧固，无外露螺丝等紧固件。牢固稳定无摇晃、松动现象。靠背呈弯孤曲面，人体工程学舒适设计，设有散热孔透气，孔直径均小于5mm。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B.座垫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31.</w:t>
            </w:r>
            <w:r>
              <w:rPr>
                <w:rStyle w:val="40"/>
                <w:rFonts w:hint="default"/>
                <w:lang w:bidi="ar"/>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32.</w:t>
            </w:r>
            <w:r>
              <w:rPr>
                <w:rStyle w:val="40"/>
                <w:rFonts w:hint="default"/>
                <w:lang w:bidi="ar"/>
              </w:rPr>
              <w:t>尺寸：400mm±5mm×414mm±5mm（需符合《学校课桌椅功能尺寸及技术要求》(GB/T3976-2014)）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33.</w:t>
            </w:r>
            <w:r>
              <w:rPr>
                <w:rStyle w:val="40"/>
                <w:rFonts w:hint="default"/>
                <w:lang w:bidi="ar"/>
              </w:rPr>
              <w:t>样式：座垫前端有两处下凹设计，座垫深部有内陷设计，座垫曲面有散热孔设计，孔直径均小于5mm。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C.椅腿钢架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34.</w:t>
            </w:r>
            <w:r>
              <w:rPr>
                <w:rStyle w:val="40"/>
                <w:rFonts w:hint="default"/>
                <w:lang w:bidi="ar"/>
              </w:rPr>
              <w:t>材质及规格: 符合国家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 mm±1mm×34 mm×±1mm，壁厚1.2mm的椭圆形白皮钢管；椅座垫下设补强管采用16.5mm±1mm×34 mm±1mm，壁厚1.2mm的椭圆形白皮钢管。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35.</w:t>
            </w:r>
            <w:r>
              <w:rPr>
                <w:rStyle w:val="40"/>
                <w:rFonts w:hint="default"/>
                <w:lang w:bidi="ar"/>
              </w:rPr>
              <w:t>工艺：采用上下安全升降结构，可调节区间（调节行程）不少于7cm，符合国标(GB/T3976-2014) 学生课椅标准（具体实际要求高度以学校要求为准）。升降刻度尺采用激光镭射打印。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36.</w:t>
            </w:r>
            <w:r>
              <w:rPr>
                <w:rStyle w:val="40"/>
                <w:rFonts w:hint="default"/>
                <w:lang w:bidi="ar"/>
              </w:rPr>
              <w:t>技术形状：底坐采用安全牢固的T字（或C字或工字)组合焊接外型结构，内配隐藏式上下升降结构。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37.</w:t>
            </w:r>
            <w:r>
              <w:rPr>
                <w:rStyle w:val="40"/>
                <w:rFonts w:hint="default"/>
                <w:lang w:bidi="ar"/>
              </w:rPr>
              <w:t>表面技术要求：焊接完成后的钢管架，表面需经除油、脱脂、磷化、皮膜处理。外表采用一级颗粒粉末，经高温粉体烤漆，无刮伤或脱漆现象。涂层需无漏喷、锈蚀涂层需光滑均匀，色泽一致，需无流挂、疙瘩、皱皮、飞漆等缺陷。涂层需平整光滑、清晰，需无明显粒子、涨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38.</w:t>
            </w:r>
            <w:r>
              <w:rPr>
                <w:rStyle w:val="40"/>
                <w:rFonts w:hint="default"/>
                <w:lang w:bidi="ar"/>
              </w:rPr>
              <w:t>采用激光镭射标示，字体保证永久不会脱落掉色，方便学校管理使用及产品维护。在可调节的钢制脚架上外侧清晰标记，高度刻度尺按照课桌椅国标（《学校课桌椅功能尺寸及技术要求》（GB/T3976-2014））用阿拉伯数字作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39.</w:t>
            </w:r>
            <w:r>
              <w:rPr>
                <w:rStyle w:val="40"/>
                <w:rFonts w:hint="default"/>
                <w:lang w:bidi="ar"/>
              </w:rPr>
              <w:t>表面标示至少满足以下要求：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a)在课椅椅腿上部活动立管(钢制脚架上)外侧上做如下标示：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b)标示并标有统一的校名（简称）标识，方便学校财产登记；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c)并标示并标有生产（出厂）年月日数字标识，方便设备保修售后；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d)标示并标有产品序列号数字标识（编号从0001开始的流水号），方便学校财产登记；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e)标示并标有高度刻度尺数字标识，满足国标要求。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F.脚垫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40.</w:t>
            </w:r>
            <w:r>
              <w:rPr>
                <w:rStyle w:val="40"/>
                <w:rFonts w:hint="default"/>
                <w:lang w:bidi="ar"/>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41.</w:t>
            </w:r>
            <w:r>
              <w:rPr>
                <w:rStyle w:val="40"/>
                <w:rFonts w:hint="default"/>
                <w:lang w:bidi="ar"/>
              </w:rPr>
              <w:t>规格及功能：长93mm±1mm×宽69mm±1mm×高50mm±1mm,垫跟高10mm±2mm。采用环保PP塑料一级新料一体射出注塑成型。并用圆头十字自攻螺丝紧固。课椅后侧两只脚垫底部有一只水平调节塑钢POM螺栓。当地面不平时，可通过调节水平螺栓，使座垫保持平衡不倾斜。表面光滑，无棱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G.其他配件（简述）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40"/>
                <w:rFonts w:hint="default"/>
                <w:lang w:bidi="ar"/>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42.</w:t>
            </w:r>
            <w:r>
              <w:rPr>
                <w:rStyle w:val="40"/>
                <w:rFonts w:hint="default"/>
                <w:lang w:bidi="ar"/>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43.</w:t>
            </w:r>
            <w:r>
              <w:rPr>
                <w:rStyle w:val="40"/>
                <w:rFonts w:hint="default"/>
                <w:lang w:bidi="ar"/>
              </w:rPr>
              <w:t>手摇组件装置安全性：椅腿外侧外观无外露螺丝五金件，学生使用无安全隐患，左右腿都可以同时调整高度。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44.</w:t>
            </w:r>
            <w:r>
              <w:rPr>
                <w:rStyle w:val="40"/>
                <w:rFonts w:hint="default"/>
                <w:lang w:bidi="ar"/>
              </w:rPr>
              <w:t>升降技术要求：全手摇升降可调式调节，每张课椅满足手摇升降调节行程不少于7cm，可调节高度区间至少满足29cm～36cm、36cm～46cm，达到（《学校课桌椅功能尺寸及技术要求》（GB/T3976-2014））要求。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3</w:t>
            </w:r>
          </w:p>
        </w:tc>
        <w:tc>
          <w:tcPr>
            <w:tcW w:w="1134" w:type="dxa"/>
            <w:vMerge w:val="restart"/>
            <w:vAlign w:val="center"/>
          </w:tcPr>
          <w:p>
            <w:pPr>
              <w:widowControl/>
              <w:jc w:val="center"/>
              <w:textAlignment w:val="center"/>
              <w:rPr>
                <w:color w:val="000000" w:themeColor="text1"/>
                <w:szCs w:val="21"/>
              </w:rPr>
            </w:pPr>
            <w:r>
              <w:rPr>
                <w:rStyle w:val="40"/>
                <w:rFonts w:hint="default"/>
                <w:lang w:bidi="ar"/>
              </w:rPr>
              <w:t>折叠桌</w:t>
            </w:r>
          </w:p>
        </w:tc>
        <w:tc>
          <w:tcPr>
            <w:tcW w:w="6485" w:type="dxa"/>
            <w:vAlign w:val="center"/>
          </w:tcPr>
          <w:p>
            <w:pPr>
              <w:widowControl/>
              <w:jc w:val="left"/>
              <w:textAlignment w:val="center"/>
              <w:rPr>
                <w:color w:val="000000" w:themeColor="text1"/>
                <w:szCs w:val="21"/>
              </w:rPr>
            </w:pPr>
            <w:r>
              <w:rPr>
                <w:rStyle w:val="39"/>
                <w:rFonts w:hint="default"/>
                <w:lang w:bidi="ar"/>
              </w:rPr>
              <w:t>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45.</w:t>
            </w:r>
            <w:r>
              <w:rPr>
                <w:rStyle w:val="40"/>
                <w:rFonts w:hint="default"/>
                <w:lang w:bidi="ar"/>
              </w:rPr>
              <w:t>台面打开尺寸：总长为700mm±5mm*宽为550mm±5mm*高度为750mm±5mm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46.</w:t>
            </w:r>
            <w:r>
              <w:rPr>
                <w:rStyle w:val="40"/>
                <w:rFonts w:hint="default"/>
                <w:lang w:bidi="ar"/>
              </w:rPr>
              <w:t>台架有旋钮折叠装置，脚轮采用φ60±3mmPU万向脚轮带刹车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台面板：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47.</w:t>
            </w:r>
            <w:r>
              <w:rPr>
                <w:rStyle w:val="40"/>
                <w:rFonts w:hint="default"/>
                <w:lang w:bidi="ar"/>
              </w:rPr>
              <w:t>台面形状为长条形，采用刨花板（三聚氰胺板）；长为700mm±5mm，宽为550mm±5mm，厚度25mm±5mm，面粘三聚氰胺胶面，采用PVC封边条，厚度1.5mm±0.2mm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48.</w:t>
            </w:r>
            <w:r>
              <w:rPr>
                <w:rStyle w:val="41"/>
                <w:rFonts w:hint="default"/>
                <w:lang w:bidi="ar"/>
              </w:rPr>
              <w:t>▲刨花板依据GB/T 4897-2015的测定，板内密度偏差应符合±10%，含水量范围应符合3%~13%，外观质量要求应符合合格标准，依据GB/T 37189-2018的测定，回弹率应符合≥50%，25%压陷力应符合≥60N，氧指数应符合≥30，吸声系数应符合≥75%；</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49.</w:t>
            </w:r>
            <w:r>
              <w:rPr>
                <w:rStyle w:val="41"/>
                <w:rFonts w:hint="default"/>
                <w:lang w:bidi="ar"/>
              </w:rPr>
              <w:t>▲PVC封边条依据GB/T 16422.2-2022的测定，经氙弧灯老化试验120h，应符合表面无明显变化；依据GB/T 3830-2024的测定，拉伸强度应符合≥15.0MPa，拉伸断裂应变应符合≥180%，直角撕裂强度应≥45KN/m，加热损失率应符合≤2%，依据QB/T 4463-2013的测定，甲醛释放量应符合≤1.5mg/L。</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前挡板：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50.</w:t>
            </w:r>
            <w:r>
              <w:rPr>
                <w:rStyle w:val="40"/>
                <w:rFonts w:hint="default"/>
                <w:lang w:bidi="ar"/>
              </w:rPr>
              <w:t>挡板形状为条形，采用刨花板（三聚氰胺板）；所有参数530mm±3mm*340±2mm，厚度15mm±1mm，面粘三聚氰胺胶板，采用PVC封边条，厚度1.0mm±0.1mm；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台面托架：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51.</w:t>
            </w:r>
            <w:r>
              <w:rPr>
                <w:rStyle w:val="40"/>
                <w:rFonts w:hint="default"/>
                <w:lang w:bidi="ar"/>
              </w:rPr>
              <w:t>采用冷轧钢板经冲压折弯工艺一体而成，长280mm±3mm*宽30mm±1mm，采用壁厚：（3.0mm±0.2mm）表面采用防锈静电喷涂处理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折叠机构：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52.</w:t>
            </w:r>
            <w:r>
              <w:rPr>
                <w:rStyle w:val="40"/>
                <w:rFonts w:hint="default"/>
                <w:lang w:bidi="ar"/>
              </w:rPr>
              <w:t>桌子两侧采用冷轧60圆形钢管，采用壁厚：4.0mm±0.2mm，焊接在锥形立柱上。需安装舌芯+铝芯+弹簧折叠装置，中间配制六角管传动轴连接铝芯，外侧配置PP一体成型旋钮开关，任何一侧只需轻轻一扭便可折叠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侧脚：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53.</w:t>
            </w:r>
            <w:r>
              <w:rPr>
                <w:rStyle w:val="40"/>
                <w:rFonts w:hint="default"/>
                <w:lang w:bidi="ar"/>
              </w:rPr>
              <w:t>前脚管采用25mm±0.2mm*50mm±0.5mm冷轧旦形钢管，后脚管采用25mm±0.2mm*50mm±0.5mm冷轧旦形钢管，前后脚跨度540mm±5mm,壁厚（1.2mm±0.2mm）表面采用防锈静电喷涂处理及塑料配件而成。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横梁：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54.</w:t>
            </w:r>
            <w:r>
              <w:rPr>
                <w:rStyle w:val="40"/>
                <w:rFonts w:hint="default"/>
                <w:lang w:bidi="ar"/>
              </w:rPr>
              <w:t>采用φ50±0.5mm圆形冷轧钢管，长度为535mm±5mm壁厚1.2±0.2mm,表面再经防锈静电喷涂处理。（横梁长度跟随定制尺寸变化）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书网：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55.</w:t>
            </w:r>
            <w:r>
              <w:rPr>
                <w:rStyle w:val="40"/>
                <w:rFonts w:hint="default"/>
                <w:lang w:bidi="ar"/>
              </w:rPr>
              <w:t>采用φ14±1mm圆管，长度为420mm±4mm(厚度为0.8mm±0.2mm)经塑料件与圆管组合成型表面采用防锈静电喷涂处理。(书网长度跟随定制尺寸变化）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4</w:t>
            </w:r>
          </w:p>
        </w:tc>
        <w:tc>
          <w:tcPr>
            <w:tcW w:w="1134" w:type="dxa"/>
            <w:vMerge w:val="restart"/>
            <w:vAlign w:val="center"/>
          </w:tcPr>
          <w:p>
            <w:pPr>
              <w:widowControl/>
              <w:jc w:val="center"/>
              <w:textAlignment w:val="center"/>
              <w:rPr>
                <w:color w:val="000000" w:themeColor="text1"/>
                <w:szCs w:val="21"/>
              </w:rPr>
            </w:pPr>
            <w:r>
              <w:rPr>
                <w:rStyle w:val="40"/>
                <w:rFonts w:hint="default"/>
                <w:lang w:bidi="ar"/>
              </w:rPr>
              <w:t>折叠椅</w:t>
            </w:r>
          </w:p>
        </w:tc>
        <w:tc>
          <w:tcPr>
            <w:tcW w:w="6485" w:type="dxa"/>
            <w:vAlign w:val="center"/>
          </w:tcPr>
          <w:p>
            <w:pPr>
              <w:widowControl/>
              <w:jc w:val="left"/>
              <w:textAlignment w:val="center"/>
              <w:rPr>
                <w:color w:val="000000" w:themeColor="text1"/>
                <w:szCs w:val="21"/>
              </w:rPr>
            </w:pPr>
            <w:r>
              <w:rPr>
                <w:rStyle w:val="39"/>
                <w:rFonts w:hint="default"/>
                <w:lang w:bidi="ar"/>
              </w:rPr>
              <w:t>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56.</w:t>
            </w:r>
            <w:r>
              <w:rPr>
                <w:rStyle w:val="40"/>
                <w:rFonts w:hint="default"/>
                <w:lang w:bidi="ar"/>
              </w:rPr>
              <w:t>尺寸：长630mm±5mm*宽630mm±5mm*高830mm±5mm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57.</w:t>
            </w:r>
            <w:r>
              <w:rPr>
                <w:rStyle w:val="40"/>
                <w:rFonts w:hint="default"/>
                <w:lang w:bidi="ar"/>
              </w:rPr>
              <w:t>靠背框架采用pp+20%铅材质。靠背连接件装饰盖采用ABS材质，靠背网布采用涤纶材质，胶条采用PE材质，活动扶手采用PP材质；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坐垫：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58.</w:t>
            </w:r>
            <w:r>
              <w:rPr>
                <w:rStyle w:val="40"/>
                <w:rFonts w:hint="default"/>
                <w:lang w:bidi="ar"/>
              </w:rPr>
              <w:t>坐垫定型海绵采用聚合物多元醇二苯基甲烷二异氰酸酯。坐垫塑胶底盘采用pp材质，坐垫木板采用普通胶水桉木单板胶合板，坐垫卡扣固定件采用pp材质，座布采用长丝pp+纤维材质；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9"/>
                <w:rFonts w:hint="default"/>
                <w:lang w:bidi="ar"/>
              </w:rPr>
              <w:t>铁框架：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widowControl/>
              <w:jc w:val="left"/>
              <w:textAlignment w:val="center"/>
              <w:rPr>
                <w:color w:val="000000" w:themeColor="text1"/>
                <w:szCs w:val="21"/>
              </w:rPr>
            </w:pPr>
            <w:r>
              <w:rPr>
                <w:rStyle w:val="38"/>
                <w:rFonts w:hint="default"/>
                <w:lang w:bidi="ar"/>
              </w:rPr>
              <w:t>59.</w:t>
            </w:r>
            <w:r>
              <w:rPr>
                <w:rStyle w:val="40"/>
                <w:rFonts w:hint="default"/>
                <w:lang w:bidi="ar"/>
              </w:rPr>
              <w:t>椅架采用33mm±1mm*20mm±1mm壁厚1.5mm±0.1mm冷轧钢管，椅架中间采用直径19mm±1mm圆管壁厚1.5mm±0.1mm做横梁连接；脚轮：采用φ50±2mm尼龙材质+PVC，静音设置，移动时不会发出噪音；脚塞采用pp+30%纤维材质</w:t>
            </w:r>
          </w:p>
        </w:tc>
      </w:tr>
      <w:bookmarkEnd w:id="41"/>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7"/>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征集文件商务要求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0" w:type="dxa"/>
            <w:vAlign w:val="center"/>
          </w:tcPr>
          <w:p>
            <w:pPr>
              <w:jc w:val="center"/>
              <w:rPr>
                <w:bCs/>
              </w:rPr>
            </w:pPr>
            <w:r>
              <w:rPr>
                <w:rFonts w:hint="eastAsia"/>
                <w:bCs/>
              </w:rPr>
              <w:t>1</w:t>
            </w:r>
          </w:p>
        </w:tc>
        <w:tc>
          <w:tcPr>
            <w:tcW w:w="1457" w:type="dxa"/>
          </w:tcPr>
          <w:p>
            <w:pPr>
              <w:jc w:val="center"/>
            </w:pPr>
            <w:r>
              <w:rPr>
                <w:rFonts w:hint="eastAsia"/>
              </w:rPr>
              <w:t>维修响应及故障解决时间</w:t>
            </w:r>
          </w:p>
        </w:tc>
        <w:tc>
          <w:tcPr>
            <w:tcW w:w="6523" w:type="dxa"/>
          </w:tcPr>
          <w:p>
            <w:pPr>
              <w:rPr>
                <w:b/>
              </w:rPr>
            </w:pPr>
            <w:r>
              <w:rPr>
                <w:rFonts w:hint="eastAsia"/>
                <w:bCs/>
                <w:szCs w:val="21"/>
              </w:rPr>
              <w:t>在免费保修期内，一旦发生质量问题，中标（成交）人保证在接到通知4小时内赶到现场进行修理或更换。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szCs w:val="21"/>
              </w:rPr>
              <w:t>技术文件</w:t>
            </w:r>
          </w:p>
        </w:tc>
        <w:tc>
          <w:tcPr>
            <w:tcW w:w="6523" w:type="dxa"/>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40" w:type="dxa"/>
            <w:vAlign w:val="center"/>
          </w:tcPr>
          <w:p>
            <w:pPr>
              <w:jc w:val="center"/>
              <w:rPr>
                <w:bCs/>
              </w:rPr>
            </w:pPr>
            <w:r>
              <w:rPr>
                <w:rFonts w:hint="eastAsia"/>
                <w:bCs/>
              </w:rPr>
              <w:t>4</w:t>
            </w:r>
          </w:p>
        </w:tc>
        <w:tc>
          <w:tcPr>
            <w:tcW w:w="1457" w:type="dxa"/>
            <w:vAlign w:val="center"/>
          </w:tcPr>
          <w:p>
            <w:pPr>
              <w:jc w:val="center"/>
              <w:rPr>
                <w:bCs/>
              </w:rPr>
            </w:pPr>
            <w:r>
              <w:rPr>
                <w:rFonts w:hint="eastAsia"/>
                <w:szCs w:val="21"/>
              </w:rPr>
              <w:t>安装调试</w:t>
            </w:r>
          </w:p>
        </w:tc>
        <w:tc>
          <w:tcPr>
            <w:tcW w:w="6523" w:type="dxa"/>
            <w:vAlign w:val="center"/>
          </w:tcPr>
          <w:p>
            <w:pPr>
              <w:jc w:val="left"/>
              <w:rPr>
                <w:rFonts w:ascii="宋体" w:hAnsi="宋体" w:cs="宋体"/>
                <w:color w:val="FFFFFF"/>
                <w:szCs w:val="21"/>
              </w:rPr>
            </w:pPr>
            <w:r>
              <w:rPr>
                <w:rFonts w:hint="eastAsia" w:ascii="宋体" w:hAnsi="宋体" w:cs="宋体"/>
                <w:color w:val="FF0000"/>
                <w:szCs w:val="21"/>
              </w:rPr>
              <w:t>本项目要求在进场施工日起 30个日历日内完工，进场时间由采购人确定。</w:t>
            </w:r>
          </w:p>
          <w:p>
            <w:pPr>
              <w:jc w:val="left"/>
              <w:rPr>
                <w:rFonts w:ascii="宋体" w:hAnsi="宋体" w:cs="宋体"/>
                <w:szCs w:val="21"/>
              </w:rPr>
            </w:pPr>
            <w:r>
              <w:rPr>
                <w:rFonts w:hint="eastAsia" w:ascii="宋体" w:hAnsi="宋体" w:cs="宋体"/>
                <w:szCs w:val="21"/>
              </w:rPr>
              <w:t>中标（成交）人负责免费安装、调试。安装、调试完成后，由采购人和中标（成交）人双方组成验收小组共同进行技术验收和商务验收，验收合格后签署《验收报告》。产品质量和安装调试检验标准遵照国家相关规定和最新标准执行。</w:t>
            </w:r>
          </w:p>
          <w:p>
            <w:pPr>
              <w:jc w:val="left"/>
              <w:rPr>
                <w:bCs/>
                <w:szCs w:val="21"/>
              </w:rPr>
            </w:pPr>
            <w:r>
              <w:rPr>
                <w:rFonts w:hint="eastAsia" w:ascii="宋体" w:hAnsi="宋体" w:cs="宋体"/>
                <w:szCs w:val="21"/>
              </w:rPr>
              <w:t>验收中如发现有质量不合格或型号规格、数量等与送货清单不符、提交的技术文件和资料不完整等情形，中标（成交）人应更换或补齐，并按照“其它商务要求”中的“违约责任”承担相应责任，不额外收费。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0" w:type="dxa"/>
            <w:gridSpan w:val="3"/>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0" w:type="dxa"/>
            <w:gridSpan w:val="3"/>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ascii="宋体" w:hAnsi="宋体"/>
                <w:b/>
                <w:sz w:val="20"/>
                <w:szCs w:val="20"/>
              </w:rPr>
            </w:pPr>
            <w:r>
              <w:rPr>
                <w:rFonts w:hint="eastAsia" w:ascii="宋体" w:hAnsi="宋体"/>
                <w:b/>
                <w:sz w:val="20"/>
                <w:szCs w:val="20"/>
              </w:rPr>
              <w:t>违约责任</w:t>
            </w: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1.1中标（成交）人不能交货的，需偿付不能交货部分货款的</w:t>
            </w:r>
            <w:r>
              <w:rPr>
                <w:rFonts w:hint="eastAsia" w:ascii="宋体" w:hAnsi="宋体" w:cs="宋体"/>
                <w:color w:val="000000"/>
                <w:sz w:val="20"/>
                <w:szCs w:val="20"/>
                <w:u w:val="single"/>
              </w:rPr>
              <w:t xml:space="preserve">  10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1.2中标（成交）人逾期交货的，应当承担继续履行、采取补救措施或者赔偿损失等违约责任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1.3中标（成交）人所交付产品、工程或服务不符合其投标承诺的，或在投标阶段为了中标（成交）而盲目虚假承诺、低价恶性竞争，在履约阶段则通过偷工减料、以次充好而获取利润的，采购人将根据标的的性质以及损失的大小，可以合理选择要求中标（成交）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2</w:t>
            </w:r>
          </w:p>
        </w:tc>
        <w:tc>
          <w:tcPr>
            <w:tcW w:w="1457"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交货及付款要求</w:t>
            </w:r>
          </w:p>
        </w:tc>
        <w:tc>
          <w:tcPr>
            <w:tcW w:w="6523" w:type="dxa"/>
            <w:vAlign w:val="center"/>
          </w:tcPr>
          <w:p>
            <w:pPr>
              <w:spacing w:line="360" w:lineRule="exact"/>
            </w:pPr>
            <w:r>
              <w:rPr>
                <w:rFonts w:hint="eastAsia"/>
              </w:rPr>
              <w:t>2.1履约时间和地点：投标供应商在签订合同之日起30天内交货，交货地点为深圳市宝安中学（集团）第二实验学校。</w:t>
            </w:r>
          </w:p>
          <w:p>
            <w:pPr>
              <w:pStyle w:val="7"/>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vAlign w:val="center"/>
          </w:tcPr>
          <w:p>
            <w:pPr>
              <w:spacing w:line="360" w:lineRule="exact"/>
            </w:pPr>
            <w:r>
              <w:rPr>
                <w:rFonts w:hint="eastAsia"/>
              </w:rPr>
              <w:t>2</w:t>
            </w:r>
            <w:r>
              <w:t>.2</w:t>
            </w:r>
            <w:r>
              <w:rPr>
                <w:rFonts w:hint="eastAsia"/>
              </w:rPr>
              <w:t>付款期限和方式：</w:t>
            </w:r>
            <w:r>
              <w:rPr>
                <w:rFonts w:hint="eastAsia" w:ascii="新宋体" w:hAnsi="新宋体" w:eastAsia="新宋体"/>
                <w:color w:val="FF0000"/>
                <w:kern w:val="0"/>
                <w:szCs w:val="21"/>
              </w:rPr>
              <w:t>合同签订后5个工作日内支付50%的预付款。本项目完成并经验收合格后，对于满足合同约定支付条件的，采购人应当自收到发票后10个工作日内将资金支付到合同约定的中标（成交）供应商账户。</w:t>
            </w:r>
          </w:p>
          <w:p>
            <w:pPr>
              <w:pStyle w:val="7"/>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3</w:t>
            </w:r>
          </w:p>
        </w:tc>
        <w:tc>
          <w:tcPr>
            <w:tcW w:w="1457" w:type="dxa"/>
            <w:vAlign w:val="center"/>
          </w:tcPr>
          <w:p>
            <w:pPr>
              <w:spacing w:line="360" w:lineRule="exact"/>
              <w:jc w:val="center"/>
              <w:rPr>
                <w:rStyle w:val="20"/>
                <w:rFonts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pPr>
              <w:spacing w:line="360" w:lineRule="exact"/>
              <w:rPr>
                <w:rFonts w:ascii="宋体" w:hAnsi="宋体" w:cs="宋体"/>
                <w:color w:val="000000"/>
                <w:sz w:val="20"/>
                <w:szCs w:val="20"/>
              </w:rPr>
            </w:pPr>
            <w:r>
              <w:rPr>
                <w:rFonts w:hint="eastAsia"/>
              </w:rPr>
              <w:t>3</w:t>
            </w:r>
            <w:r>
              <w:t>.1.投标人货物经过双方检验认可后，签署验收报告，产品保修期自验收合格之日起算，由投标人提供产品保修文件。</w:t>
            </w:r>
            <w:r>
              <w:br w:type="textWrapping"/>
            </w:r>
            <w:r>
              <w:rPr>
                <w:rFonts w:hint="eastAsia"/>
              </w:rPr>
              <w:t>3</w:t>
            </w:r>
            <w:r>
              <w:t>.2.当满足以下条件时，采购人才向</w:t>
            </w:r>
            <w:r>
              <w:rPr>
                <w:rFonts w:hint="eastAsia"/>
              </w:rPr>
              <w:t>中标（成交）</w:t>
            </w:r>
            <w:r>
              <w:t>人签发货物验收报告：</w:t>
            </w:r>
            <w:r>
              <w:br w:type="textWrapping"/>
            </w:r>
            <w:r>
              <w:rPr>
                <w:rFonts w:hint="eastAsia"/>
              </w:rPr>
              <w:t>3.</w:t>
            </w:r>
            <w:r>
              <w:t>2.1.</w:t>
            </w:r>
            <w:r>
              <w:rPr>
                <w:rFonts w:hint="eastAsia"/>
              </w:rPr>
              <w:t>中标（成交）</w:t>
            </w:r>
            <w:r>
              <w:t>人已按照合同规定提供了全部产品及完整的技术资料。</w:t>
            </w:r>
            <w:r>
              <w:br w:type="textWrapping"/>
            </w:r>
            <w:r>
              <w:rPr>
                <w:rFonts w:hint="eastAsia"/>
              </w:rPr>
              <w:t>3</w:t>
            </w:r>
            <w:r>
              <w:t>.2.2.货物符合招标文件技术规格书的要求，性能满足要求。</w:t>
            </w:r>
            <w:r>
              <w:br w:type="textWrapping"/>
            </w:r>
            <w:r>
              <w:rPr>
                <w:rFonts w:hint="eastAsia"/>
              </w:rPr>
              <w:t>3</w:t>
            </w:r>
            <w: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4</w:t>
            </w:r>
          </w:p>
        </w:tc>
        <w:tc>
          <w:tcPr>
            <w:tcW w:w="1457" w:type="dxa"/>
            <w:vAlign w:val="center"/>
          </w:tcPr>
          <w:p>
            <w:pPr>
              <w:spacing w:line="360" w:lineRule="exact"/>
              <w:jc w:val="center"/>
              <w:rPr>
                <w:rStyle w:val="20"/>
                <w:rFonts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pPr>
              <w:jc w:val="left"/>
              <w:rPr>
                <w:rFonts w:ascii="宋体" w:hAnsi="宋体" w:cs="宋体"/>
                <w:color w:val="FFFFFF"/>
                <w:szCs w:val="21"/>
              </w:rPr>
            </w:pPr>
            <w:r>
              <w:rPr>
                <w:rFonts w:hint="eastAsia" w:ascii="宋体" w:hAnsi="宋体" w:cs="宋体"/>
                <w:szCs w:val="21"/>
              </w:rPr>
              <w:t>4.1.凡因执行项目合同所发生的或与本合同有关的一切争议，双方应通过友好协商解决。</w:t>
            </w:r>
          </w:p>
          <w:p>
            <w:pPr>
              <w:spacing w:line="360" w:lineRule="exact"/>
              <w:rPr>
                <w:rFonts w:ascii="宋体" w:hAnsi="宋体" w:cs="宋体"/>
                <w:color w:val="000000"/>
                <w:sz w:val="20"/>
                <w:szCs w:val="20"/>
              </w:rPr>
            </w:pPr>
            <w:r>
              <w:rPr>
                <w:rFonts w:hint="eastAsia" w:ascii="宋体" w:hAnsi="宋体" w:cs="宋体"/>
                <w:szCs w:val="21"/>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spacing w:line="360" w:lineRule="exact"/>
              <w:jc w:val="center"/>
              <w:rPr>
                <w:rFonts w:ascii="宋体" w:hAnsi="宋体" w:eastAsia="宋体"/>
                <w:b/>
                <w:sz w:val="20"/>
                <w:szCs w:val="20"/>
              </w:rPr>
            </w:pPr>
            <w:r>
              <w:rPr>
                <w:rFonts w:hint="eastAsia" w:ascii="宋体" w:hAnsi="宋体"/>
                <w:b/>
                <w:sz w:val="20"/>
                <w:szCs w:val="20"/>
              </w:rPr>
              <w:t>5</w:t>
            </w:r>
          </w:p>
        </w:tc>
        <w:tc>
          <w:tcPr>
            <w:tcW w:w="1457" w:type="dxa"/>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vAlign w:val="center"/>
          </w:tcPr>
          <w:p>
            <w:pPr>
              <w:spacing w:line="360" w:lineRule="exact"/>
              <w:rPr>
                <w:rFonts w:ascii="宋体" w:hAnsi="宋体"/>
                <w:bCs/>
                <w:color w:val="000000"/>
                <w:szCs w:val="21"/>
              </w:rPr>
            </w:pPr>
            <w:r>
              <w:rPr>
                <w:rFonts w:hint="eastAsia" w:ascii="宋体" w:hAnsi="宋体" w:cs="宋体"/>
                <w:color w:val="000000"/>
                <w:sz w:val="20"/>
                <w:szCs w:val="20"/>
              </w:rPr>
              <w:t>5.1</w:t>
            </w:r>
            <w:r>
              <w:rPr>
                <w:rFonts w:hint="eastAsia" w:ascii="宋体" w:hAnsi="宋体" w:cs="宋体"/>
                <w:sz w:val="20"/>
                <w:szCs w:val="20"/>
              </w:rPr>
              <w:t>投标供应商须在签订合同之日起 30天内向采购人提供设备的运行、安装、使用环境要求。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6</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rPr>
                <w:rFonts w:ascii="宋体" w:hAnsi="宋体"/>
                <w:b/>
                <w:sz w:val="20"/>
                <w:szCs w:val="20"/>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7</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rPr>
            </w:pPr>
          </w:p>
        </w:tc>
        <w:tc>
          <w:tcPr>
            <w:tcW w:w="1457" w:type="dxa"/>
            <w:vMerge w:val="continue"/>
            <w:vAlign w:val="center"/>
          </w:tcPr>
          <w:p>
            <w:pPr>
              <w:spacing w:line="360" w:lineRule="exact"/>
              <w:rPr>
                <w:rFonts w:ascii="宋体" w:hAnsi="宋体"/>
                <w:b/>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rPr>
            </w:pPr>
            <w:r>
              <w:rPr>
                <w:rFonts w:hint="eastAsia"/>
                <w:b/>
              </w:rPr>
              <w:t>8</w:t>
            </w:r>
          </w:p>
        </w:tc>
        <w:tc>
          <w:tcPr>
            <w:tcW w:w="1457" w:type="dxa"/>
            <w:vMerge w:val="restart"/>
            <w:vAlign w:val="center"/>
          </w:tcPr>
          <w:p>
            <w:pPr>
              <w:spacing w:line="360" w:lineRule="exact"/>
              <w:jc w:val="center"/>
              <w:rPr>
                <w:rFonts w:ascii="宋体" w:hAnsi="宋体"/>
                <w:b/>
              </w:rPr>
            </w:pPr>
            <w:r>
              <w:rPr>
                <w:rFonts w:ascii="宋体" w:hAnsi="宋体"/>
                <w:b/>
                <w:color w:val="0000FF"/>
                <w:sz w:val="20"/>
                <w:szCs w:val="20"/>
              </w:rPr>
              <w:t>其他</w:t>
            </w:r>
          </w:p>
        </w:tc>
        <w:tc>
          <w:tcPr>
            <w:tcW w:w="6523" w:type="dxa"/>
          </w:tcPr>
          <w:p>
            <w:pPr>
              <w:widowControl/>
              <w:jc w:val="left"/>
              <w:rPr>
                <w:rFonts w:ascii="宋体" w:hAnsi="宋体" w:cs="宋体"/>
                <w:color w:val="000000"/>
                <w:sz w:val="20"/>
                <w:szCs w:val="20"/>
              </w:rPr>
            </w:pPr>
            <w:r>
              <w:rPr>
                <w:rFonts w:hint="eastAsia" w:ascii="宋体" w:hAnsi="宋体" w:cs="Arial"/>
                <w:color w:val="FF0000"/>
                <w:szCs w:val="21"/>
              </w:rPr>
              <w:t>8.1中标（成交）供应商在签订合同时应提供投标文件打印稿贰份，并加盖公章（一份交给监理公司，一份交给学校），同时提供投标文件的OFFICE文档。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tcPr>
          <w:p>
            <w:pPr>
              <w:spacing w:line="360" w:lineRule="exact"/>
              <w:jc w:val="center"/>
              <w:rPr>
                <w:rFonts w:ascii="宋体" w:hAnsi="宋体" w:eastAsia="宋体"/>
                <w:b/>
              </w:rPr>
            </w:pPr>
          </w:p>
        </w:tc>
        <w:tc>
          <w:tcPr>
            <w:tcW w:w="1457" w:type="dxa"/>
            <w:vMerge w:val="continue"/>
          </w:tcPr>
          <w:p>
            <w:pPr>
              <w:spacing w:line="360" w:lineRule="exact"/>
              <w:jc w:val="center"/>
              <w:rPr>
                <w:rFonts w:ascii="宋体" w:hAnsi="宋体"/>
                <w:b/>
              </w:rPr>
            </w:pPr>
          </w:p>
        </w:tc>
        <w:tc>
          <w:tcPr>
            <w:tcW w:w="6523" w:type="dxa"/>
          </w:tcPr>
          <w:p>
            <w:pPr>
              <w:widowControl/>
              <w:jc w:val="left"/>
              <w:rPr>
                <w:rFonts w:ascii="宋体" w:hAnsi="宋体" w:cs="Arial"/>
                <w:color w:val="FF0000"/>
                <w:szCs w:val="21"/>
              </w:rPr>
            </w:pPr>
            <w:r>
              <w:rPr>
                <w:rFonts w:hint="eastAsia" w:ascii="宋体" w:hAnsi="宋体" w:cs="Arial"/>
                <w:color w:val="FF0000"/>
                <w:szCs w:val="21"/>
              </w:rPr>
              <w:t>8.2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tcPr>
          <w:p>
            <w:pPr>
              <w:spacing w:line="360" w:lineRule="exact"/>
              <w:jc w:val="center"/>
              <w:rPr>
                <w:rFonts w:ascii="宋体" w:hAnsi="宋体" w:eastAsia="宋体"/>
                <w:b/>
              </w:rPr>
            </w:pPr>
          </w:p>
        </w:tc>
        <w:tc>
          <w:tcPr>
            <w:tcW w:w="1457" w:type="dxa"/>
            <w:vMerge w:val="continue"/>
          </w:tcPr>
          <w:p>
            <w:pPr>
              <w:spacing w:line="360" w:lineRule="exact"/>
              <w:jc w:val="center"/>
              <w:rPr>
                <w:rFonts w:ascii="宋体" w:hAnsi="宋体"/>
                <w:b/>
              </w:rPr>
            </w:pPr>
          </w:p>
        </w:tc>
        <w:tc>
          <w:tcPr>
            <w:tcW w:w="6523" w:type="dxa"/>
          </w:tcPr>
          <w:p>
            <w:pPr>
              <w:widowControl/>
              <w:jc w:val="left"/>
              <w:rPr>
                <w:rFonts w:ascii="宋体" w:hAnsi="宋体" w:cs="Arial"/>
                <w:color w:val="FF0000"/>
                <w:szCs w:val="21"/>
              </w:rPr>
            </w:pPr>
            <w:r>
              <w:rPr>
                <w:rFonts w:hint="eastAsia" w:ascii="宋体" w:hAnsi="宋体" w:cs="Arial"/>
                <w:color w:val="FF0000"/>
                <w:szCs w:val="21"/>
              </w:rPr>
              <w:t>8.3投标商必须确保中标（成交）后提供的货物为正规渠道供货，不存在违反国家法律、法规的情况。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tcPr>
          <w:p>
            <w:pPr>
              <w:spacing w:line="360" w:lineRule="exact"/>
              <w:jc w:val="center"/>
              <w:rPr>
                <w:rFonts w:ascii="宋体" w:hAnsi="宋体" w:eastAsia="宋体"/>
                <w:b/>
              </w:rPr>
            </w:pPr>
          </w:p>
        </w:tc>
        <w:tc>
          <w:tcPr>
            <w:tcW w:w="1457" w:type="dxa"/>
            <w:vMerge w:val="continue"/>
          </w:tcPr>
          <w:p>
            <w:pPr>
              <w:spacing w:line="360" w:lineRule="exact"/>
              <w:jc w:val="center"/>
              <w:rPr>
                <w:rFonts w:ascii="宋体" w:hAnsi="宋体"/>
                <w:b/>
              </w:rPr>
            </w:pPr>
          </w:p>
        </w:tc>
        <w:tc>
          <w:tcPr>
            <w:tcW w:w="6523" w:type="dxa"/>
          </w:tcPr>
          <w:p>
            <w:pPr>
              <w:widowControl/>
              <w:jc w:val="left"/>
              <w:rPr>
                <w:rFonts w:ascii="宋体" w:hAnsi="宋体" w:eastAsia="宋体" w:cs="Arial"/>
                <w:color w:val="FF0000"/>
                <w:szCs w:val="21"/>
              </w:rPr>
            </w:pPr>
            <w:r>
              <w:rPr>
                <w:rFonts w:hint="eastAsia" w:ascii="宋体" w:hAnsi="宋体" w:eastAsia="宋体" w:cs="Arial"/>
                <w:color w:val="FF0000"/>
                <w:szCs w:val="21"/>
              </w:rPr>
              <w:t>8.4特别条款：对于单纯家具（含课桌椅）项目在验收时还需提供以下材料：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Arial"/>
                <w:color w:val="FF0000"/>
                <w:szCs w:val="21"/>
              </w:rPr>
              <w:t>需根据现场抽样并对以下项目进行检验且合格</w:t>
            </w:r>
            <w:bookmarkEnd w:id="42"/>
            <w:r>
              <w:rPr>
                <w:rFonts w:hint="eastAsia" w:ascii="宋体" w:hAnsi="宋体" w:eastAsia="宋体" w:cs="Arial"/>
                <w:color w:val="FF0000"/>
                <w:szCs w:val="21"/>
              </w:rPr>
              <w:t>：</w:t>
            </w:r>
          </w:p>
          <w:tbl>
            <w:tblPr>
              <w:tblStyle w:val="17"/>
              <w:tblW w:w="6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26"/>
              <w:gridCol w:w="1660"/>
              <w:gridCol w:w="140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696" w:type="dxa"/>
                  <w:vAlign w:val="center"/>
                </w:tcPr>
                <w:p>
                  <w:pPr>
                    <w:snapToGrid w:val="0"/>
                    <w:jc w:val="center"/>
                    <w:rPr>
                      <w:rFonts w:ascii="宋体" w:hAnsi="宋体"/>
                      <w:sz w:val="24"/>
                    </w:rPr>
                  </w:pPr>
                  <w:r>
                    <w:rPr>
                      <w:rFonts w:hint="eastAsia" w:ascii="宋体" w:hAnsi="宋体"/>
                      <w:sz w:val="24"/>
                    </w:rPr>
                    <w:t>序号</w:t>
                  </w:r>
                </w:p>
              </w:tc>
              <w:tc>
                <w:tcPr>
                  <w:tcW w:w="1126" w:type="dxa"/>
                  <w:vAlign w:val="center"/>
                </w:tcPr>
                <w:p>
                  <w:pPr>
                    <w:snapToGrid w:val="0"/>
                    <w:jc w:val="center"/>
                    <w:rPr>
                      <w:rFonts w:ascii="宋体" w:hAnsi="宋体"/>
                      <w:sz w:val="24"/>
                    </w:rPr>
                  </w:pPr>
                  <w:r>
                    <w:rPr>
                      <w:rFonts w:hint="eastAsia" w:ascii="宋体" w:hAnsi="宋体"/>
                      <w:sz w:val="24"/>
                    </w:rPr>
                    <w:t>检验项目</w:t>
                  </w:r>
                </w:p>
              </w:tc>
              <w:tc>
                <w:tcPr>
                  <w:tcW w:w="1660" w:type="dxa"/>
                  <w:vAlign w:val="center"/>
                </w:tcPr>
                <w:p>
                  <w:pPr>
                    <w:snapToGrid w:val="0"/>
                    <w:jc w:val="center"/>
                    <w:rPr>
                      <w:rFonts w:ascii="宋体" w:hAnsi="宋体"/>
                      <w:sz w:val="24"/>
                    </w:rPr>
                  </w:pPr>
                  <w:r>
                    <w:rPr>
                      <w:rFonts w:hint="eastAsia" w:ascii="宋体" w:hAnsi="宋体"/>
                      <w:sz w:val="24"/>
                    </w:rPr>
                    <w:t>依据法律法规或标准条款</w:t>
                  </w:r>
                </w:p>
              </w:tc>
              <w:tc>
                <w:tcPr>
                  <w:tcW w:w="1401" w:type="dxa"/>
                  <w:vAlign w:val="center"/>
                </w:tcPr>
                <w:p>
                  <w:pPr>
                    <w:snapToGrid w:val="0"/>
                    <w:jc w:val="center"/>
                    <w:rPr>
                      <w:rFonts w:ascii="宋体" w:hAnsi="宋体"/>
                      <w:sz w:val="24"/>
                    </w:rPr>
                  </w:pPr>
                  <w:r>
                    <w:rPr>
                      <w:rFonts w:hint="eastAsia" w:ascii="宋体" w:hAnsi="宋体"/>
                      <w:sz w:val="24"/>
                    </w:rPr>
                    <w:t>强制性/推荐性</w:t>
                  </w:r>
                </w:p>
              </w:tc>
              <w:tc>
                <w:tcPr>
                  <w:tcW w:w="1384" w:type="dxa"/>
                  <w:vAlign w:val="center"/>
                </w:tcPr>
                <w:p>
                  <w:pPr>
                    <w:snapToGrid w:val="0"/>
                    <w:jc w:val="center"/>
                    <w:rPr>
                      <w:rFonts w:ascii="宋体" w:hAnsi="宋体"/>
                      <w:sz w:val="24"/>
                    </w:rPr>
                  </w:pPr>
                  <w:r>
                    <w:rPr>
                      <w:rFonts w:hint="eastAsia" w:ascii="宋体" w:hAnsi="宋体"/>
                      <w:sz w:val="24"/>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6" w:type="dxa"/>
                </w:tcPr>
                <w:p>
                  <w:pPr>
                    <w:jc w:val="center"/>
                    <w:rPr>
                      <w:rFonts w:ascii="宋体" w:hAnsi="宋体"/>
                      <w:sz w:val="24"/>
                    </w:rPr>
                  </w:pPr>
                  <w:r>
                    <w:rPr>
                      <w:rFonts w:hint="eastAsia" w:ascii="宋体" w:hAnsi="宋体"/>
                      <w:sz w:val="24"/>
                    </w:rPr>
                    <w:t>1</w:t>
                  </w:r>
                </w:p>
              </w:tc>
              <w:tc>
                <w:tcPr>
                  <w:tcW w:w="1126" w:type="dxa"/>
                  <w:vAlign w:val="center"/>
                </w:tcPr>
                <w:p>
                  <w:pPr>
                    <w:rPr>
                      <w:rFonts w:ascii="宋体" w:hAnsi="宋体"/>
                      <w:sz w:val="24"/>
                    </w:rPr>
                  </w:pPr>
                  <w:r>
                    <w:rPr>
                      <w:rFonts w:hint="eastAsia" w:ascii="宋体" w:hAnsi="宋体"/>
                      <w:sz w:val="24"/>
                    </w:rPr>
                    <w:t>甲醛释放量</w:t>
                  </w:r>
                </w:p>
              </w:tc>
              <w:tc>
                <w:tcPr>
                  <w:tcW w:w="1660" w:type="dxa"/>
                  <w:vAlign w:val="center"/>
                </w:tcPr>
                <w:p>
                  <w:pPr>
                    <w:rPr>
                      <w:rFonts w:ascii="宋体" w:hAnsi="宋体"/>
                      <w:sz w:val="24"/>
                    </w:rPr>
                  </w:pPr>
                  <w:r>
                    <w:rPr>
                      <w:rFonts w:ascii="宋体" w:hAnsi="宋体"/>
                      <w:sz w:val="24"/>
                    </w:rPr>
                    <w:t>SZJG52-2016</w:t>
                  </w:r>
                </w:p>
              </w:tc>
              <w:tc>
                <w:tcPr>
                  <w:tcW w:w="1401" w:type="dxa"/>
                  <w:vAlign w:val="center"/>
                </w:tcPr>
                <w:p>
                  <w:pPr>
                    <w:rPr>
                      <w:rFonts w:ascii="宋体" w:hAnsi="宋体"/>
                      <w:sz w:val="24"/>
                    </w:rPr>
                  </w:pPr>
                  <w:r>
                    <w:rPr>
                      <w:rFonts w:hint="eastAsia" w:ascii="宋体" w:hAnsi="宋体"/>
                      <w:sz w:val="24"/>
                    </w:rPr>
                    <w:t>强制性</w:t>
                  </w:r>
                </w:p>
              </w:tc>
              <w:tc>
                <w:tcPr>
                  <w:tcW w:w="1384" w:type="dxa"/>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6" w:type="dxa"/>
                </w:tcPr>
                <w:p>
                  <w:pPr>
                    <w:jc w:val="center"/>
                    <w:rPr>
                      <w:rFonts w:ascii="宋体" w:hAnsi="宋体"/>
                      <w:sz w:val="24"/>
                    </w:rPr>
                  </w:pPr>
                  <w:r>
                    <w:rPr>
                      <w:rFonts w:hint="eastAsia" w:ascii="宋体" w:hAnsi="宋体"/>
                      <w:sz w:val="24"/>
                    </w:rPr>
                    <w:t>2</w:t>
                  </w:r>
                </w:p>
              </w:tc>
              <w:tc>
                <w:tcPr>
                  <w:tcW w:w="1126" w:type="dxa"/>
                  <w:vAlign w:val="center"/>
                </w:tcPr>
                <w:p>
                  <w:pPr>
                    <w:rPr>
                      <w:rFonts w:ascii="宋体" w:hAnsi="宋体"/>
                      <w:sz w:val="24"/>
                    </w:rPr>
                  </w:pPr>
                  <w:r>
                    <w:rPr>
                      <w:rFonts w:hint="eastAsia" w:ascii="宋体" w:hAnsi="宋体"/>
                      <w:sz w:val="24"/>
                    </w:rPr>
                    <w:t>苯释放量</w:t>
                  </w:r>
                </w:p>
              </w:tc>
              <w:tc>
                <w:tcPr>
                  <w:tcW w:w="1660" w:type="dxa"/>
                  <w:vAlign w:val="center"/>
                </w:tcPr>
                <w:p>
                  <w:pPr>
                    <w:rPr>
                      <w:rFonts w:ascii="宋体" w:hAnsi="宋体"/>
                      <w:sz w:val="24"/>
                    </w:rPr>
                  </w:pPr>
                  <w:r>
                    <w:rPr>
                      <w:rFonts w:ascii="宋体" w:hAnsi="宋体"/>
                      <w:sz w:val="24"/>
                    </w:rPr>
                    <w:t>SZJG52-2016</w:t>
                  </w:r>
                </w:p>
              </w:tc>
              <w:tc>
                <w:tcPr>
                  <w:tcW w:w="1401" w:type="dxa"/>
                  <w:vAlign w:val="center"/>
                </w:tcPr>
                <w:p>
                  <w:pPr>
                    <w:rPr>
                      <w:rFonts w:ascii="宋体" w:hAnsi="宋体"/>
                      <w:sz w:val="24"/>
                    </w:rPr>
                  </w:pPr>
                  <w:r>
                    <w:rPr>
                      <w:rFonts w:hint="eastAsia" w:ascii="宋体" w:hAnsi="宋体"/>
                      <w:sz w:val="24"/>
                    </w:rPr>
                    <w:t>强制性</w:t>
                  </w:r>
                </w:p>
              </w:tc>
              <w:tc>
                <w:tcPr>
                  <w:tcW w:w="1384" w:type="dxa"/>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6" w:type="dxa"/>
                </w:tcPr>
                <w:p>
                  <w:pPr>
                    <w:jc w:val="center"/>
                    <w:rPr>
                      <w:rFonts w:ascii="宋体" w:hAnsi="宋体"/>
                      <w:sz w:val="24"/>
                    </w:rPr>
                  </w:pPr>
                  <w:r>
                    <w:rPr>
                      <w:rFonts w:hint="eastAsia" w:ascii="宋体" w:hAnsi="宋体"/>
                      <w:sz w:val="24"/>
                    </w:rPr>
                    <w:t>3</w:t>
                  </w:r>
                </w:p>
              </w:tc>
              <w:tc>
                <w:tcPr>
                  <w:tcW w:w="1126" w:type="dxa"/>
                  <w:vAlign w:val="center"/>
                </w:tcPr>
                <w:p>
                  <w:pPr>
                    <w:rPr>
                      <w:rFonts w:ascii="宋体" w:hAnsi="宋体"/>
                      <w:sz w:val="24"/>
                    </w:rPr>
                  </w:pPr>
                  <w:r>
                    <w:rPr>
                      <w:rFonts w:hint="eastAsia" w:ascii="宋体" w:hAnsi="宋体"/>
                      <w:sz w:val="24"/>
                    </w:rPr>
                    <w:t>甲苯释放量</w:t>
                  </w:r>
                </w:p>
              </w:tc>
              <w:tc>
                <w:tcPr>
                  <w:tcW w:w="1660" w:type="dxa"/>
                  <w:vAlign w:val="center"/>
                </w:tcPr>
                <w:p>
                  <w:pPr>
                    <w:rPr>
                      <w:rFonts w:ascii="宋体" w:hAnsi="宋体"/>
                      <w:sz w:val="24"/>
                    </w:rPr>
                  </w:pPr>
                  <w:r>
                    <w:rPr>
                      <w:rFonts w:ascii="宋体" w:hAnsi="宋体"/>
                      <w:sz w:val="24"/>
                    </w:rPr>
                    <w:t>SZJG52-2016</w:t>
                  </w:r>
                </w:p>
              </w:tc>
              <w:tc>
                <w:tcPr>
                  <w:tcW w:w="1401" w:type="dxa"/>
                  <w:vAlign w:val="center"/>
                </w:tcPr>
                <w:p>
                  <w:pPr>
                    <w:rPr>
                      <w:rFonts w:ascii="宋体" w:hAnsi="宋体"/>
                      <w:sz w:val="24"/>
                    </w:rPr>
                  </w:pPr>
                  <w:r>
                    <w:rPr>
                      <w:rFonts w:hint="eastAsia" w:ascii="宋体" w:hAnsi="宋体"/>
                      <w:sz w:val="24"/>
                    </w:rPr>
                    <w:t>强制性</w:t>
                  </w:r>
                </w:p>
              </w:tc>
              <w:tc>
                <w:tcPr>
                  <w:tcW w:w="1384" w:type="dxa"/>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6" w:type="dxa"/>
                </w:tcPr>
                <w:p>
                  <w:pPr>
                    <w:jc w:val="center"/>
                    <w:rPr>
                      <w:rFonts w:ascii="宋体" w:hAnsi="宋体"/>
                      <w:sz w:val="24"/>
                    </w:rPr>
                  </w:pPr>
                  <w:r>
                    <w:rPr>
                      <w:rFonts w:hint="eastAsia" w:ascii="宋体" w:hAnsi="宋体"/>
                      <w:sz w:val="24"/>
                    </w:rPr>
                    <w:t>4</w:t>
                  </w:r>
                </w:p>
              </w:tc>
              <w:tc>
                <w:tcPr>
                  <w:tcW w:w="1126" w:type="dxa"/>
                  <w:vAlign w:val="center"/>
                </w:tcPr>
                <w:p>
                  <w:pPr>
                    <w:rPr>
                      <w:rFonts w:ascii="宋体" w:hAnsi="宋体"/>
                      <w:sz w:val="24"/>
                    </w:rPr>
                  </w:pPr>
                  <w:r>
                    <w:rPr>
                      <w:rFonts w:hint="eastAsia" w:ascii="宋体" w:hAnsi="宋体"/>
                      <w:sz w:val="24"/>
                    </w:rPr>
                    <w:t>二甲苯释放量</w:t>
                  </w:r>
                </w:p>
              </w:tc>
              <w:tc>
                <w:tcPr>
                  <w:tcW w:w="1660" w:type="dxa"/>
                  <w:vAlign w:val="center"/>
                </w:tcPr>
                <w:p>
                  <w:pPr>
                    <w:rPr>
                      <w:rFonts w:ascii="宋体" w:hAnsi="宋体"/>
                      <w:sz w:val="24"/>
                    </w:rPr>
                  </w:pPr>
                  <w:r>
                    <w:rPr>
                      <w:rFonts w:ascii="宋体" w:hAnsi="宋体"/>
                      <w:sz w:val="24"/>
                    </w:rPr>
                    <w:t>SZJG52-2016</w:t>
                  </w:r>
                </w:p>
              </w:tc>
              <w:tc>
                <w:tcPr>
                  <w:tcW w:w="1401" w:type="dxa"/>
                  <w:vAlign w:val="center"/>
                </w:tcPr>
                <w:p>
                  <w:pPr>
                    <w:rPr>
                      <w:rFonts w:ascii="宋体" w:hAnsi="宋体"/>
                      <w:sz w:val="24"/>
                    </w:rPr>
                  </w:pPr>
                  <w:r>
                    <w:rPr>
                      <w:rFonts w:hint="eastAsia" w:ascii="宋体" w:hAnsi="宋体"/>
                      <w:sz w:val="24"/>
                    </w:rPr>
                    <w:t>强制性</w:t>
                  </w:r>
                </w:p>
              </w:tc>
              <w:tc>
                <w:tcPr>
                  <w:tcW w:w="1384" w:type="dxa"/>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6" w:type="dxa"/>
                </w:tcPr>
                <w:p>
                  <w:pPr>
                    <w:jc w:val="center"/>
                    <w:rPr>
                      <w:rFonts w:ascii="宋体" w:hAnsi="宋体"/>
                      <w:sz w:val="24"/>
                    </w:rPr>
                  </w:pPr>
                  <w:r>
                    <w:rPr>
                      <w:rFonts w:hint="eastAsia" w:ascii="宋体" w:hAnsi="宋体"/>
                      <w:sz w:val="24"/>
                    </w:rPr>
                    <w:t>5</w:t>
                  </w:r>
                </w:p>
              </w:tc>
              <w:tc>
                <w:tcPr>
                  <w:tcW w:w="1126" w:type="dxa"/>
                  <w:vAlign w:val="center"/>
                </w:tcPr>
                <w:p>
                  <w:pPr>
                    <w:rPr>
                      <w:rFonts w:ascii="宋体" w:hAnsi="宋体"/>
                      <w:sz w:val="24"/>
                    </w:rPr>
                  </w:pPr>
                  <w:r>
                    <w:rPr>
                      <w:rFonts w:hint="eastAsia" w:ascii="宋体" w:hAnsi="宋体"/>
                      <w:sz w:val="24"/>
                    </w:rPr>
                    <w:t>总挥发性有机化合物（TVOC</w:t>
                  </w:r>
                  <w:r>
                    <w:rPr>
                      <w:rFonts w:ascii="宋体" w:hAnsi="宋体"/>
                      <w:sz w:val="24"/>
                    </w:rPr>
                    <w:t>）</w:t>
                  </w:r>
                  <w:r>
                    <w:rPr>
                      <w:rFonts w:hint="eastAsia" w:ascii="宋体" w:hAnsi="宋体"/>
                      <w:sz w:val="24"/>
                    </w:rPr>
                    <w:t>释放量</w:t>
                  </w:r>
                </w:p>
              </w:tc>
              <w:tc>
                <w:tcPr>
                  <w:tcW w:w="1660" w:type="dxa"/>
                  <w:vAlign w:val="center"/>
                </w:tcPr>
                <w:p>
                  <w:pPr>
                    <w:rPr>
                      <w:rFonts w:ascii="宋体" w:hAnsi="宋体"/>
                      <w:sz w:val="24"/>
                    </w:rPr>
                  </w:pPr>
                  <w:r>
                    <w:rPr>
                      <w:rFonts w:ascii="宋体" w:hAnsi="宋体"/>
                      <w:sz w:val="24"/>
                    </w:rPr>
                    <w:t>SZJG52-2016</w:t>
                  </w:r>
                </w:p>
              </w:tc>
              <w:tc>
                <w:tcPr>
                  <w:tcW w:w="1401" w:type="dxa"/>
                  <w:vAlign w:val="center"/>
                </w:tcPr>
                <w:p>
                  <w:pPr>
                    <w:rPr>
                      <w:rFonts w:ascii="宋体" w:hAnsi="宋体"/>
                      <w:sz w:val="24"/>
                    </w:rPr>
                  </w:pPr>
                  <w:r>
                    <w:rPr>
                      <w:rFonts w:hint="eastAsia" w:ascii="宋体" w:hAnsi="宋体"/>
                      <w:sz w:val="24"/>
                    </w:rPr>
                    <w:t>强制性</w:t>
                  </w:r>
                </w:p>
              </w:tc>
              <w:tc>
                <w:tcPr>
                  <w:tcW w:w="1384" w:type="dxa"/>
                  <w:vAlign w:val="center"/>
                </w:tcPr>
                <w:p>
                  <w:pPr>
                    <w:rPr>
                      <w:rFonts w:ascii="宋体" w:hAnsi="宋体"/>
                      <w:sz w:val="24"/>
                    </w:rPr>
                  </w:pPr>
                  <w:r>
                    <w:rPr>
                      <w:rFonts w:ascii="宋体" w:hAnsi="宋体"/>
                      <w:sz w:val="24"/>
                    </w:rPr>
                    <w:t>SZJG52-2016</w:t>
                  </w:r>
                  <w:r>
                    <w:rPr>
                      <w:rFonts w:hint="eastAsia" w:ascii="宋体" w:hAnsi="宋体"/>
                      <w:sz w:val="24"/>
                    </w:rPr>
                    <w:t xml:space="preserve"> GB/T31106-2014</w:t>
                  </w:r>
                </w:p>
              </w:tc>
            </w:tr>
          </w:tbl>
          <w:p>
            <w:pPr>
              <w:widowControl/>
              <w:jc w:val="left"/>
              <w:rPr>
                <w:rFonts w:ascii="宋体" w:hAnsi="宋体" w:cs="Arial"/>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ascii="宋体" w:hAnsi="宋体" w:eastAsia="宋体"/>
                <w:b/>
              </w:rPr>
            </w:pPr>
            <w:r>
              <w:rPr>
                <w:rFonts w:hint="eastAsia" w:ascii="宋体" w:hAnsi="宋体" w:eastAsia="宋体"/>
                <w:b/>
              </w:rPr>
              <w:t>9</w:t>
            </w:r>
          </w:p>
        </w:tc>
        <w:tc>
          <w:tcPr>
            <w:tcW w:w="1457" w:type="dxa"/>
            <w:vMerge w:val="restart"/>
            <w:vAlign w:val="center"/>
          </w:tcPr>
          <w:p>
            <w:pPr>
              <w:numPr>
                <w:ilvl w:val="255"/>
                <w:numId w:val="0"/>
              </w:numPr>
              <w:spacing w:after="60" w:afterLines="25" w:line="300" w:lineRule="exact"/>
              <w:jc w:val="left"/>
              <w:rPr>
                <w:rFonts w:ascii="宋体" w:hAnsi="宋体" w:eastAsia="宋体" w:cs="宋体"/>
                <w:b/>
                <w:color w:val="FF0000"/>
                <w:szCs w:val="21"/>
              </w:rPr>
            </w:pPr>
            <w:r>
              <w:rPr>
                <w:rFonts w:hint="eastAsia" w:ascii="宋体" w:hAnsi="宋体" w:eastAsia="宋体" w:cs="宋体"/>
                <w:b/>
                <w:color w:val="FF0000"/>
                <w:szCs w:val="21"/>
              </w:rPr>
              <w:t>项目（产品）要求：</w:t>
            </w:r>
          </w:p>
          <w:p>
            <w:pPr>
              <w:spacing w:line="360" w:lineRule="exact"/>
              <w:jc w:val="left"/>
              <w:rPr>
                <w:rFonts w:ascii="宋体" w:hAnsi="宋体"/>
                <w:b/>
              </w:rPr>
            </w:pPr>
          </w:p>
        </w:tc>
        <w:tc>
          <w:tcPr>
            <w:tcW w:w="6523" w:type="dxa"/>
          </w:tcPr>
          <w:p>
            <w:pPr>
              <w:spacing w:after="60" w:afterLines="25" w:line="300" w:lineRule="exact"/>
              <w:rPr>
                <w:rFonts w:ascii="宋体" w:hAnsi="宋体" w:eastAsia="宋体" w:cs="Arial"/>
                <w:color w:val="FF0000"/>
                <w:szCs w:val="21"/>
              </w:rPr>
            </w:pPr>
            <w:r>
              <w:rPr>
                <w:rFonts w:hint="eastAsia" w:ascii="宋体" w:hAnsi="宋体" w:eastAsia="宋体" w:cs="宋体"/>
                <w:b/>
                <w:bCs/>
                <w:color w:val="FF0000"/>
                <w:szCs w:val="21"/>
              </w:rPr>
              <w:t>9.1采</w:t>
            </w:r>
            <w:r>
              <w:rPr>
                <w:rFonts w:hint="eastAsia" w:ascii="宋体" w:hAnsi="宋体" w:cs="宋体"/>
                <w:b/>
                <w:bCs/>
                <w:color w:val="FF0000"/>
                <w:szCs w:val="21"/>
              </w:rPr>
              <w:t>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17"/>
              <w:tblW w:w="5419" w:type="dxa"/>
              <w:jc w:val="center"/>
              <w:tblLayout w:type="fixed"/>
              <w:tblCellMar>
                <w:top w:w="0" w:type="dxa"/>
                <w:left w:w="108" w:type="dxa"/>
                <w:bottom w:w="0" w:type="dxa"/>
                <w:right w:w="108" w:type="dxa"/>
              </w:tblCellMar>
            </w:tblPr>
            <w:tblGrid>
              <w:gridCol w:w="1098"/>
              <w:gridCol w:w="1114"/>
              <w:gridCol w:w="641"/>
              <w:gridCol w:w="744"/>
              <w:gridCol w:w="1822"/>
            </w:tblGrid>
            <w:tr>
              <w:tblPrEx>
                <w:tblCellMar>
                  <w:top w:w="0" w:type="dxa"/>
                  <w:left w:w="108" w:type="dxa"/>
                  <w:bottom w:w="0" w:type="dxa"/>
                  <w:right w:w="108" w:type="dxa"/>
                </w:tblCellMar>
              </w:tblPrEx>
              <w:trPr>
                <w:trHeight w:val="408" w:hRule="atLeast"/>
                <w:jc w:val="center"/>
              </w:trPr>
              <w:tc>
                <w:tcPr>
                  <w:tcW w:w="1098"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Cs w:val="21"/>
                    </w:rPr>
                  </w:pPr>
                  <w:r>
                    <w:rPr>
                      <w:rFonts w:hint="eastAsia" w:ascii="宋体" w:hAnsi="宋体" w:cs="宋体"/>
                      <w:b/>
                      <w:kern w:val="0"/>
                      <w:szCs w:val="21"/>
                    </w:rPr>
                    <w:t>序号</w:t>
                  </w:r>
                </w:p>
              </w:tc>
              <w:tc>
                <w:tcPr>
                  <w:tcW w:w="1114"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Cs w:val="21"/>
                    </w:rPr>
                  </w:pPr>
                  <w:r>
                    <w:rPr>
                      <w:rFonts w:hint="eastAsia" w:ascii="宋体" w:hAnsi="宋体" w:cs="宋体"/>
                      <w:b/>
                      <w:kern w:val="0"/>
                      <w:szCs w:val="21"/>
                    </w:rPr>
                    <w:t>货物名称</w:t>
                  </w:r>
                </w:p>
              </w:tc>
              <w:tc>
                <w:tcPr>
                  <w:tcW w:w="641"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Cs w:val="21"/>
                    </w:rPr>
                  </w:pPr>
                  <w:r>
                    <w:rPr>
                      <w:rFonts w:hint="eastAsia" w:ascii="宋体" w:hAnsi="宋体" w:cs="宋体"/>
                      <w:b/>
                      <w:kern w:val="0"/>
                      <w:szCs w:val="21"/>
                    </w:rPr>
                    <w:t>数量</w:t>
                  </w:r>
                </w:p>
              </w:tc>
              <w:tc>
                <w:tcPr>
                  <w:tcW w:w="744"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b/>
                      <w:szCs w:val="21"/>
                    </w:rPr>
                  </w:pPr>
                  <w:r>
                    <w:rPr>
                      <w:rFonts w:hint="eastAsia" w:ascii="宋体" w:hAnsi="宋体" w:cs="宋体"/>
                      <w:b/>
                      <w:kern w:val="0"/>
                      <w:szCs w:val="21"/>
                    </w:rPr>
                    <w:t>单位</w:t>
                  </w:r>
                </w:p>
              </w:tc>
              <w:tc>
                <w:tcPr>
                  <w:tcW w:w="1822"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宋体" w:hAnsi="宋体" w:cs="宋体"/>
                      <w:b/>
                      <w:kern w:val="0"/>
                      <w:szCs w:val="21"/>
                    </w:rPr>
                  </w:pPr>
                </w:p>
              </w:tc>
            </w:tr>
            <w:tr>
              <w:tblPrEx>
                <w:tblCellMar>
                  <w:top w:w="0" w:type="dxa"/>
                  <w:left w:w="108" w:type="dxa"/>
                  <w:bottom w:w="0" w:type="dxa"/>
                  <w:right w:w="108" w:type="dxa"/>
                </w:tblCellMar>
              </w:tblPrEx>
              <w:trPr>
                <w:trHeight w:val="291" w:hRule="atLeast"/>
                <w:jc w:val="center"/>
              </w:trPr>
              <w:tc>
                <w:tcPr>
                  <w:tcW w:w="5419"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cs="宋体"/>
                      <w:kern w:val="0"/>
                      <w:szCs w:val="21"/>
                    </w:rPr>
                    <w:t>升降课桌</w:t>
                  </w:r>
                </w:p>
              </w:tc>
            </w:tr>
            <w:tr>
              <w:tblPrEx>
                <w:tblCellMar>
                  <w:top w:w="0" w:type="dxa"/>
                  <w:left w:w="108" w:type="dxa"/>
                  <w:bottom w:w="0" w:type="dxa"/>
                  <w:right w:w="108" w:type="dxa"/>
                </w:tblCellMar>
              </w:tblPrEx>
              <w:trPr>
                <w:trHeight w:val="560" w:hRule="atLeast"/>
                <w:jc w:val="center"/>
              </w:trPr>
              <w:tc>
                <w:tcPr>
                  <w:tcW w:w="10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1</w:t>
                  </w:r>
                </w:p>
              </w:tc>
              <w:tc>
                <w:tcPr>
                  <w:tcW w:w="111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lang w:val="zh-CN"/>
                    </w:rPr>
                  </w:pPr>
                  <w:r>
                    <w:rPr>
                      <w:rFonts w:hint="eastAsia" w:ascii="宋体" w:hAnsi="宋体" w:cs="宋体"/>
                      <w:szCs w:val="21"/>
                    </w:rPr>
                    <w:t>手摇柄</w:t>
                  </w:r>
                </w:p>
              </w:tc>
              <w:tc>
                <w:tcPr>
                  <w:tcW w:w="6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≥54</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把</w:t>
                  </w:r>
                </w:p>
              </w:tc>
              <w:tc>
                <w:tcPr>
                  <w:tcW w:w="182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一把手摇柄可以满足该批全部课桌椅调节</w:t>
                  </w:r>
                </w:p>
              </w:tc>
            </w:tr>
            <w:tr>
              <w:tblPrEx>
                <w:tblCellMar>
                  <w:top w:w="0" w:type="dxa"/>
                  <w:left w:w="108" w:type="dxa"/>
                  <w:bottom w:w="0" w:type="dxa"/>
                  <w:right w:w="108" w:type="dxa"/>
                </w:tblCellMar>
              </w:tblPrEx>
              <w:trPr>
                <w:trHeight w:val="318" w:hRule="atLeast"/>
                <w:jc w:val="center"/>
              </w:trPr>
              <w:tc>
                <w:tcPr>
                  <w:tcW w:w="5419"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cs="宋体"/>
                      <w:color w:val="000000"/>
                      <w:kern w:val="0"/>
                      <w:szCs w:val="21"/>
                    </w:rPr>
                    <w:t>升降课椅</w:t>
                  </w:r>
                </w:p>
              </w:tc>
            </w:tr>
            <w:tr>
              <w:tblPrEx>
                <w:tblCellMar>
                  <w:top w:w="0" w:type="dxa"/>
                  <w:left w:w="108" w:type="dxa"/>
                  <w:bottom w:w="0" w:type="dxa"/>
                  <w:right w:w="108" w:type="dxa"/>
                </w:tblCellMar>
              </w:tblPrEx>
              <w:trPr>
                <w:trHeight w:val="567" w:hRule="atLeast"/>
                <w:jc w:val="center"/>
              </w:trPr>
              <w:tc>
                <w:tcPr>
                  <w:tcW w:w="10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3</w:t>
                  </w:r>
                </w:p>
              </w:tc>
              <w:tc>
                <w:tcPr>
                  <w:tcW w:w="111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cs="宋体"/>
                      <w:szCs w:val="21"/>
                    </w:rPr>
                    <w:t>手摇柄</w:t>
                  </w:r>
                </w:p>
              </w:tc>
              <w:tc>
                <w:tcPr>
                  <w:tcW w:w="6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≥54</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把</w:t>
                  </w:r>
                </w:p>
              </w:tc>
              <w:tc>
                <w:tcPr>
                  <w:tcW w:w="182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Cs w:val="21"/>
                    </w:rPr>
                  </w:pPr>
                  <w:r>
                    <w:rPr>
                      <w:rFonts w:hint="eastAsia" w:ascii="宋体" w:hAnsi="宋体" w:eastAsia="宋体" w:cs="宋体"/>
                      <w:szCs w:val="21"/>
                    </w:rPr>
                    <w:t>一把手摇柄可以满足该批全部课桌椅调节</w:t>
                  </w:r>
                </w:p>
              </w:tc>
            </w:tr>
          </w:tbl>
          <w:p>
            <w:pPr>
              <w:widowControl/>
              <w:jc w:val="left"/>
              <w:rPr>
                <w:rFonts w:ascii="宋体" w:hAnsi="宋体" w:cs="Arial"/>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tcPr>
          <w:p>
            <w:pPr>
              <w:spacing w:line="360" w:lineRule="exact"/>
              <w:jc w:val="center"/>
              <w:rPr>
                <w:rFonts w:ascii="宋体" w:hAnsi="宋体" w:eastAsia="宋体"/>
                <w:b/>
              </w:rPr>
            </w:pPr>
          </w:p>
        </w:tc>
        <w:tc>
          <w:tcPr>
            <w:tcW w:w="1457" w:type="dxa"/>
            <w:vMerge w:val="continue"/>
          </w:tcPr>
          <w:p>
            <w:pPr>
              <w:spacing w:line="360" w:lineRule="exact"/>
              <w:jc w:val="center"/>
              <w:rPr>
                <w:rFonts w:ascii="宋体" w:hAnsi="宋体"/>
                <w:b/>
              </w:rPr>
            </w:pPr>
          </w:p>
        </w:tc>
        <w:tc>
          <w:tcPr>
            <w:tcW w:w="6523" w:type="dxa"/>
          </w:tcPr>
          <w:p>
            <w:pPr>
              <w:spacing w:after="60" w:afterLines="25" w:line="300" w:lineRule="exact"/>
              <w:rPr>
                <w:rFonts w:ascii="宋体" w:hAnsi="宋体" w:eastAsia="宋体" w:cs="宋体"/>
                <w:b/>
                <w:bCs/>
                <w:color w:val="FF0000"/>
                <w:szCs w:val="21"/>
              </w:rPr>
            </w:pPr>
            <w:r>
              <w:rPr>
                <w:rFonts w:hint="eastAsia" w:ascii="宋体" w:hAnsi="宋体" w:eastAsia="宋体" w:cs="宋体"/>
                <w:b/>
                <w:bCs/>
                <w:color w:val="FF0000"/>
                <w:szCs w:val="21"/>
              </w:rPr>
              <w:t>9.2课桌选择的具体调节型号范围，中标后可根据使用年级另行确定，存在不同调节范围的情况，中标供应商无条件配合。</w:t>
            </w:r>
          </w:p>
        </w:tc>
      </w:tr>
    </w:tbl>
    <w:p>
      <w:pPr>
        <w:rPr>
          <w:b/>
        </w:rPr>
      </w:pPr>
    </w:p>
    <w:p>
      <w:pPr>
        <w:pStyle w:val="6"/>
        <w:spacing w:before="60" w:beforeLines="25" w:after="60" w:afterLines="25"/>
        <w:ind w:firstLine="0"/>
        <w:rPr>
          <w:rFonts w:ascii="宋体" w:hAnsi="宋体"/>
          <w:szCs w:val="21"/>
        </w:rPr>
      </w:pPr>
    </w:p>
    <w:p>
      <w:pPr>
        <w:pStyle w:val="6"/>
        <w:spacing w:before="60" w:beforeLines="25" w:after="60" w:afterLines="25"/>
        <w:ind w:firstLine="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第四章</w:t>
      </w:r>
      <w:r>
        <w:t xml:space="preserve"> </w:t>
      </w:r>
      <w:r>
        <w:rPr>
          <w:rFonts w:hint="eastAsia"/>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9"/>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4" w:name="_Hlk72257771"/>
      <w:bookmarkStart w:id="45" w:name="_Hlk72263559"/>
      <w:r>
        <w:rPr>
          <w:rFonts w:hint="eastAsia" w:ascii="宋体" w:hAnsi="宋体"/>
          <w:sz w:val="24"/>
        </w:rPr>
        <w:t>投标文件组成：</w:t>
      </w:r>
    </w:p>
    <w:p>
      <w:pPr>
        <w:ind w:firstLine="1200" w:firstLineChars="50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46" w:name="_Hlk72070784"/>
      <w:r>
        <w:rPr>
          <w:rFonts w:hint="eastAsia"/>
          <w:szCs w:val="21"/>
        </w:rPr>
        <w:t>投标函</w:t>
      </w:r>
      <w:bookmarkEnd w:id="46"/>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p>
    <w:p>
      <w:pPr>
        <w:ind w:left="718" w:leftChars="342" w:firstLine="1417" w:firstLineChars="675"/>
        <w:rPr>
          <w:szCs w:val="21"/>
        </w:rPr>
      </w:pPr>
      <w:r>
        <w:rPr>
          <w:rFonts w:hint="eastAsia"/>
          <w:szCs w:val="21"/>
        </w:rPr>
        <w:t>（5）经验评价；</w:t>
      </w:r>
    </w:p>
    <w:p>
      <w:pPr>
        <w:ind w:left="718" w:leftChars="342" w:firstLine="1627" w:firstLineChars="775"/>
        <w:rPr>
          <w:szCs w:val="21"/>
        </w:rPr>
      </w:pPr>
    </w:p>
    <w:p>
      <w:pPr>
        <w:ind w:firstLine="1200" w:firstLineChars="50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eastAsia="宋体"/>
          <w:szCs w:val="21"/>
        </w:rPr>
      </w:pPr>
      <w:r>
        <w:rPr>
          <w:rFonts w:hint="eastAsia"/>
          <w:szCs w:val="21"/>
        </w:rPr>
        <w:t>（5）技术要求偏离表</w:t>
      </w:r>
    </w:p>
    <w:p>
      <w:pPr>
        <w:ind w:left="718" w:leftChars="342" w:firstLine="1417" w:firstLineChars="675"/>
        <w:rPr>
          <w:szCs w:val="21"/>
        </w:rPr>
      </w:pPr>
      <w:r>
        <w:rPr>
          <w:rFonts w:hint="eastAsia"/>
          <w:szCs w:val="21"/>
        </w:rPr>
        <w:t>（6）政府采购节能环保产品情况；</w:t>
      </w:r>
    </w:p>
    <w:p>
      <w:pPr>
        <w:ind w:left="718" w:leftChars="342" w:firstLine="1417" w:firstLineChars="675"/>
        <w:rPr>
          <w:rFonts w:hint="eastAsia" w:eastAsiaTheme="minorEastAsia"/>
          <w:szCs w:val="21"/>
          <w:lang w:eastAsia="zh-CN"/>
        </w:rPr>
      </w:pPr>
      <w:r>
        <w:rPr>
          <w:rFonts w:hint="eastAsia"/>
          <w:szCs w:val="21"/>
        </w:rPr>
        <w:t>（7）绿色采购情况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宋体" w:hAnsi="宋体" w:eastAsia="宋体" w:cs="宋体"/>
          <w:kern w:val="0"/>
          <w:szCs w:val="21"/>
          <w:lang w:bidi="ar"/>
        </w:rPr>
        <w:t>项目组织实施方案的评价</w:t>
      </w:r>
      <w:r>
        <w:rPr>
          <w:rFonts w:hint="eastAsia" w:ascii="宋体" w:hAnsi="宋体" w:eastAsia="宋体" w:cs="宋体"/>
          <w:kern w:val="0"/>
          <w:szCs w:val="21"/>
          <w:lang w:eastAsia="zh-CN" w:bidi="ar"/>
        </w:rPr>
        <w:t>；</w:t>
      </w:r>
    </w:p>
    <w:p>
      <w:pPr>
        <w:ind w:left="718" w:leftChars="342" w:firstLine="1417" w:firstLineChars="675"/>
        <w:rPr>
          <w:rFonts w:eastAsia="宋体"/>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宋体" w:hAnsi="宋体" w:eastAsia="宋体" w:cs="宋体"/>
          <w:kern w:val="0"/>
          <w:szCs w:val="21"/>
          <w:lang w:bidi="ar"/>
        </w:rPr>
        <w:t>售后服务评价</w:t>
      </w:r>
      <w:r>
        <w:rPr>
          <w:rFonts w:hint="eastAsia"/>
          <w:szCs w:val="21"/>
        </w:rPr>
        <w:t>；</w:t>
      </w:r>
    </w:p>
    <w:p>
      <w:pPr>
        <w:ind w:left="718" w:leftChars="342" w:firstLine="1417" w:firstLineChars="675"/>
        <w:rPr>
          <w:rFonts w:eastAsia="宋体"/>
          <w:szCs w:val="21"/>
        </w:rPr>
      </w:pPr>
      <w:r>
        <w:rPr>
          <w:rFonts w:hint="eastAsia" w:ascii="宋体" w:hAnsi="宋体"/>
          <w:szCs w:val="21"/>
        </w:rPr>
        <w:t>（</w:t>
      </w:r>
      <w:r>
        <w:rPr>
          <w:rFonts w:hint="eastAsia" w:ascii="宋体" w:hAnsi="宋体"/>
          <w:szCs w:val="21"/>
          <w:lang w:val="en-US" w:eastAsia="zh-CN"/>
        </w:rPr>
        <w:t>10</w:t>
      </w:r>
      <w:r>
        <w:rPr>
          <w:rFonts w:hint="eastAsia" w:ascii="宋体" w:hAnsi="宋体"/>
          <w:szCs w:val="21"/>
        </w:rPr>
        <w:t>）</w:t>
      </w:r>
      <w:r>
        <w:rPr>
          <w:rFonts w:hint="eastAsia"/>
          <w:szCs w:val="21"/>
        </w:rPr>
        <w:t>投标人认为需要加以说明的其他内容；</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8"/>
    <w:p>
      <w:pPr>
        <w:pStyle w:val="3"/>
        <w:jc w:val="center"/>
        <w:rPr>
          <w:rFonts w:ascii="黑体" w:eastAsia="黑体"/>
          <w:b w:val="0"/>
          <w:sz w:val="24"/>
        </w:rPr>
      </w:pPr>
      <w:r>
        <w:rPr>
          <w:rFonts w:hint="eastAsia" w:ascii="黑体" w:eastAsia="黑体"/>
          <w:b w:val="0"/>
          <w:sz w:val="24"/>
        </w:rPr>
        <w:t>二、自行采购投标及履约承诺函</w:t>
      </w:r>
    </w:p>
    <w:p>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rPr>
        <w:t>6.</w:t>
      </w:r>
      <w:bookmarkStart w:id="53" w:name="_Hlk72587269"/>
      <w:bookmarkStart w:id="54"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3"/>
      <w:r>
        <w:rPr>
          <w:rFonts w:hint="eastAsia" w:ascii="宋体" w:hAnsi="宋体"/>
          <w:szCs w:val="21"/>
        </w:rPr>
        <w:t>。</w:t>
      </w:r>
    </w:p>
    <w:bookmarkEnd w:id="54"/>
    <w:p>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rPr>
        <w:t>9.我单位承诺中标后项目不转包，未经采购人同意不进行分包。</w:t>
      </w:r>
    </w:p>
    <w:p>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ascii="黑体" w:hAnsi="宋体" w:eastAsia="黑体"/>
          <w:bCs/>
          <w:kern w:val="0"/>
          <w:sz w:val="24"/>
          <w:szCs w:val="32"/>
        </w:rPr>
      </w:pPr>
      <w:bookmarkStart w:id="56" w:name="_Hlk72257908"/>
      <w:r>
        <w:rPr>
          <w:rFonts w:hint="eastAsia" w:ascii="黑体" w:hAnsi="宋体" w:eastAsia="黑体"/>
          <w:bCs/>
          <w:kern w:val="0"/>
          <w:sz w:val="24"/>
          <w:szCs w:val="32"/>
        </w:rPr>
        <w:t>（二）中小企业声明函、残疾人福利性单位声明函及监狱企业声明函</w:t>
      </w:r>
    </w:p>
    <w:bookmarkEnd w:id="55"/>
    <w:p>
      <w:pPr>
        <w:jc w:val="left"/>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rPr>
          <w:b/>
          <w:sz w:val="24"/>
        </w:rPr>
      </w:pPr>
      <w:r>
        <w:rPr>
          <w:b/>
          <w:sz w:val="24"/>
        </w:rPr>
        <w:t>中小企业声明函（货物）</w:t>
      </w:r>
    </w:p>
    <w:p>
      <w:pPr>
        <w:pStyle w:val="7"/>
      </w:pPr>
    </w:p>
    <w:p>
      <w:pPr>
        <w:pStyle w:val="14"/>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4"/>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4"/>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w:t>
      </w:r>
    </w:p>
    <w:p>
      <w:pPr>
        <w:pStyle w:val="14"/>
        <w:ind w:firstLine="420" w:firstLineChars="200"/>
        <w:rPr>
          <w:rFonts w:asciiTheme="minorEastAsia" w:hAnsiTheme="minorEastAsia" w:cstheme="minorEastAsia"/>
          <w:sz w:val="21"/>
          <w:szCs w:val="21"/>
        </w:rPr>
      </w:pP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asciiTheme="minorEastAsia" w:hAnsiTheme="minorEastAsia" w:cstheme="minorEastAsia"/>
          <w:szCs w:val="21"/>
        </w:rPr>
      </w:pPr>
      <w:bookmarkStart w:id="57"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7"/>
    </w:p>
    <w:p>
      <w:pPr>
        <w:ind w:firstLine="420" w:firstLineChars="200"/>
        <w:rPr>
          <w:rFonts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asciiTheme="minorEastAsia" w:hAnsiTheme="minorEastAsia" w:cstheme="minorEastAsia"/>
          <w:szCs w:val="21"/>
        </w:rPr>
      </w:pPr>
      <w:bookmarkStart w:id="58" w:name="_Hlk73562331"/>
      <w:bookmarkStart w:id="59"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pPr>
        <w:ind w:firstLine="420" w:firstLineChars="200"/>
        <w:rPr>
          <w:rFonts w:ascii="宋体" w:hAnsi="宋体"/>
          <w:szCs w:val="21"/>
        </w:rPr>
      </w:pPr>
    </w:p>
    <w:p>
      <w:pPr>
        <w:ind w:firstLine="420" w:firstLineChars="200"/>
        <w:rPr>
          <w:rFonts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ascii="宋体" w:hAnsi="宋体"/>
          <w:szCs w:val="21"/>
        </w:rPr>
      </w:pP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bookmarkEnd w:id="56"/>
    </w:p>
    <w:p>
      <w:pPr>
        <w:spacing w:line="360" w:lineRule="auto"/>
        <w:ind w:firstLine="420" w:firstLineChars="200"/>
        <w:rPr>
          <w:rFonts w:ascii="宋体" w:hAnsi="宋体"/>
          <w:szCs w:val="21"/>
        </w:rPr>
      </w:pPr>
    </w:p>
    <w:p>
      <w:pPr>
        <w:pStyle w:val="3"/>
        <w:jc w:val="center"/>
        <w:rPr>
          <w:rFonts w:ascii="黑体" w:eastAsia="黑体"/>
          <w:b w:val="0"/>
          <w:sz w:val="24"/>
          <w:szCs w:val="24"/>
        </w:rPr>
      </w:pPr>
      <w:bookmarkStart w:id="60"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532"/>
        <w:gridCol w:w="35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3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35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szCs w:val="21"/>
              </w:rPr>
              <w:t>JYCG-DECL-2025-27151</w:t>
            </w:r>
          </w:p>
        </w:tc>
        <w:tc>
          <w:tcPr>
            <w:tcW w:w="1147" w:type="dxa"/>
            <w:vAlign w:val="center"/>
          </w:tcPr>
          <w:p>
            <w:pPr>
              <w:wordWrap w:val="0"/>
              <w:spacing w:line="320" w:lineRule="exact"/>
              <w:jc w:val="center"/>
              <w:rPr>
                <w:rFonts w:ascii="Times New Roman" w:hAnsi="Times New Roman" w:eastAsia="宋体" w:cs="Times New Roman"/>
                <w:bCs/>
                <w:szCs w:val="21"/>
              </w:rPr>
            </w:pPr>
            <w:r>
              <w:rPr>
                <w:rFonts w:hint="eastAsia" w:ascii="宋体" w:hAnsi="宋体" w:eastAsia="宋体" w:cs="宋体"/>
                <w:szCs w:val="21"/>
              </w:rPr>
              <w:t>升降课桌</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532"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1350</w:t>
            </w:r>
          </w:p>
        </w:tc>
        <w:tc>
          <w:tcPr>
            <w:tcW w:w="357"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default" w:ascii="Times New Roman" w:hAnsi="Times New Roman" w:cs="Times New Roman" w:eastAsiaTheme="minorEastAsia"/>
                <w:b/>
                <w:bCs/>
                <w:szCs w:val="21"/>
                <w:lang w:val="en-US" w:eastAsia="zh-CN"/>
              </w:rPr>
            </w:pPr>
            <w:r>
              <w:rPr>
                <w:rFonts w:hint="eastAsia"/>
                <w:bCs/>
                <w:color w:val="FF0000"/>
                <w:szCs w:val="21"/>
              </w:rPr>
              <w:t>810000</w:t>
            </w:r>
            <w:r>
              <w:rPr>
                <w:rFonts w:hint="eastAsia"/>
                <w:bCs/>
                <w:color w:val="FF0000"/>
                <w:szCs w:val="21"/>
                <w:lang w:eastAsia="zh-CN"/>
              </w:rPr>
              <w:t>.</w:t>
            </w:r>
            <w:r>
              <w:rPr>
                <w:rFonts w:hint="eastAsia"/>
                <w:bCs/>
                <w:color w:val="FF0000"/>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ordWrap w:val="0"/>
              <w:spacing w:line="320" w:lineRule="exact"/>
              <w:jc w:val="center"/>
              <w:rPr>
                <w:rFonts w:ascii="Times New Roman" w:hAnsi="Times New Roman" w:eastAsia="宋体" w:cs="Times New Roman"/>
                <w:bCs/>
                <w:szCs w:val="21"/>
              </w:rPr>
            </w:pPr>
            <w:r>
              <w:rPr>
                <w:rFonts w:hint="eastAsia" w:ascii="宋体" w:hAnsi="宋体" w:eastAsia="宋体" w:cs="宋体"/>
                <w:szCs w:val="21"/>
              </w:rPr>
              <w:t>升降课椅</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532"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1350</w:t>
            </w:r>
          </w:p>
        </w:tc>
        <w:tc>
          <w:tcPr>
            <w:tcW w:w="357"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ordWrap w:val="0"/>
              <w:spacing w:line="320" w:lineRule="exact"/>
              <w:jc w:val="center"/>
              <w:rPr>
                <w:rFonts w:ascii="Times New Roman" w:hAnsi="Times New Roman" w:eastAsia="宋体" w:cs="Times New Roman"/>
                <w:bCs/>
                <w:szCs w:val="21"/>
              </w:rPr>
            </w:pPr>
            <w:r>
              <w:rPr>
                <w:rFonts w:hint="eastAsia" w:ascii="宋体" w:hAnsi="宋体" w:eastAsia="宋体" w:cs="宋体"/>
                <w:szCs w:val="21"/>
              </w:rPr>
              <w:t>折叠桌</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532"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135</w:t>
            </w:r>
          </w:p>
        </w:tc>
        <w:tc>
          <w:tcPr>
            <w:tcW w:w="357" w:type="dxa"/>
            <w:vAlign w:val="center"/>
          </w:tcPr>
          <w:p>
            <w:pPr>
              <w:jc w:val="center"/>
              <w:rPr>
                <w:rFonts w:ascii="Times New Roman" w:hAnsi="Times New Roman" w:eastAsia="宋体" w:cs="Times New Roman"/>
                <w:bCs/>
                <w:szCs w:val="21"/>
              </w:rPr>
            </w:pPr>
            <w:r>
              <w:rPr>
                <w:rFonts w:hint="eastAsia" w:ascii="宋体" w:hAnsi="宋体" w:eastAsia="宋体" w:cs="宋体"/>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ordWrap w:val="0"/>
              <w:spacing w:line="320" w:lineRule="exact"/>
              <w:jc w:val="center"/>
              <w:rPr>
                <w:rFonts w:ascii="Times New Roman" w:hAnsi="Times New Roman" w:eastAsia="宋体" w:cs="Times New Roman"/>
                <w:bCs/>
                <w:szCs w:val="21"/>
              </w:rPr>
            </w:pPr>
            <w:r>
              <w:rPr>
                <w:rFonts w:hint="eastAsia" w:ascii="宋体" w:hAnsi="宋体" w:eastAsia="宋体" w:cs="宋体"/>
                <w:szCs w:val="21"/>
              </w:rPr>
              <w:t>折叠椅</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532"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szCs w:val="21"/>
              </w:rPr>
              <w:t>135</w:t>
            </w:r>
          </w:p>
        </w:tc>
        <w:tc>
          <w:tcPr>
            <w:tcW w:w="357" w:type="dxa"/>
            <w:vAlign w:val="center"/>
          </w:tcPr>
          <w:p>
            <w:pPr>
              <w:jc w:val="center"/>
              <w:rPr>
                <w:rFonts w:ascii="Times New Roman" w:hAnsi="Times New Roman" w:eastAsia="宋体" w:cs="Times New Roman"/>
                <w:bCs/>
                <w:szCs w:val="21"/>
              </w:rPr>
            </w:pPr>
            <w:r>
              <w:rPr>
                <w:rFonts w:hint="eastAsia" w:ascii="宋体" w:hAnsi="宋体" w:eastAsia="宋体" w:cs="宋体"/>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1"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1"/>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ascii="宋体" w:hAnsi="宋体" w:eastAsia="宋体"/>
          <w:sz w:val="24"/>
        </w:rPr>
      </w:pPr>
      <w:r>
        <w:rPr>
          <w:rFonts w:hint="eastAsia" w:ascii="宋体" w:hAnsi="宋体"/>
          <w:sz w:val="24"/>
        </w:rPr>
        <w:t>备注：单一产品采购项目，核心产品即为该单一产品。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pPr>
        <w:rPr>
          <w:b/>
          <w:bCs/>
        </w:rPr>
      </w:pPr>
    </w:p>
    <w:p>
      <w:pPr>
        <w:jc w:val="center"/>
        <w:outlineLvl w:val="2"/>
        <w:rPr>
          <w:rFonts w:hint="eastAsia" w:ascii="黑体" w:hAnsi="宋体" w:eastAsia="黑体" w:cstheme="minorBidi"/>
          <w:b w:val="0"/>
          <w:bCs/>
          <w:kern w:val="2"/>
          <w:sz w:val="24"/>
          <w:szCs w:val="32"/>
          <w:lang w:val="en-US" w:eastAsia="zh-CN" w:bidi="ar-SA"/>
        </w:rPr>
      </w:pPr>
      <w:r>
        <w:rPr>
          <w:rFonts w:hint="eastAsia" w:ascii="黑体" w:hAnsi="宋体" w:eastAsia="黑体" w:cstheme="minorBidi"/>
          <w:b w:val="0"/>
          <w:bCs/>
          <w:kern w:val="2"/>
          <w:sz w:val="24"/>
          <w:szCs w:val="32"/>
          <w:lang w:val="en-US" w:eastAsia="zh-CN" w:bidi="ar-SA"/>
        </w:rPr>
        <w:t>五、经验评价</w:t>
      </w:r>
    </w:p>
    <w:p>
      <w:pPr>
        <w:rPr>
          <w:rFonts w:hint="eastAsia"/>
        </w:rPr>
      </w:pPr>
      <w:r>
        <w:rPr>
          <w:rFonts w:hint="eastAsia"/>
          <w:b w:val="0"/>
          <w:bCs w:val="0"/>
        </w:rPr>
        <w:t>（特别提示：投标人须按本招标文件评标信息中这一评审因素要求，提供证明资料）</w:t>
      </w:r>
    </w:p>
    <w:p>
      <w:pPr>
        <w:rPr>
          <w:rFonts w:hint="eastAsia"/>
        </w:rPr>
      </w:pPr>
    </w:p>
    <w:p/>
    <w:p>
      <w:pPr>
        <w:ind w:firstLine="723" w:firstLineChars="300"/>
        <w:rPr>
          <w:b/>
          <w:color w:val="FF0000"/>
          <w:sz w:val="24"/>
        </w:rPr>
      </w:pPr>
      <w:r>
        <w:rPr>
          <w:rFonts w:hint="eastAsia"/>
          <w:b/>
          <w:color w:val="FF0000"/>
          <w:sz w:val="24"/>
        </w:rPr>
        <w:t>（信息公开部分的内容到此为止！以下为信息不公开部分。）</w:t>
      </w:r>
    </w:p>
    <w:bookmarkEnd w:id="60"/>
    <w:p>
      <w:r>
        <w:br w:type="page"/>
      </w:r>
    </w:p>
    <w:p>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rPr>
        <w:t>一、供应商基本情况表</w:t>
      </w:r>
    </w:p>
    <w:p>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7"/>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tc>
        <w:tc>
          <w:tcPr>
            <w:tcW w:w="4265" w:type="dxa"/>
          </w:tcPr>
          <w:p>
            <w:pPr>
              <w:jc w:val="center"/>
            </w:pPr>
            <w:r>
              <w:rPr>
                <w:rFonts w:hint="eastAsia"/>
              </w:rPr>
              <w:t>证件扫描件反面</w:t>
            </w:r>
          </w:p>
          <w:p>
            <w:pPr>
              <w:pStyle w:val="7"/>
              <w:jc w:val="center"/>
            </w:pPr>
          </w:p>
          <w:p>
            <w:pPr>
              <w:pStyle w:val="14"/>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3"/>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7"/>
              <w:jc w:val="center"/>
            </w:pPr>
          </w:p>
          <w:p>
            <w:pPr>
              <w:pStyle w:val="14"/>
              <w:jc w:val="center"/>
            </w:pPr>
          </w:p>
          <w:p>
            <w:pPr>
              <w:pStyle w:val="14"/>
              <w:jc w:val="center"/>
            </w:pPr>
          </w:p>
          <w:p>
            <w:pPr>
              <w:pStyle w:val="14"/>
              <w:jc w:val="center"/>
            </w:pPr>
          </w:p>
          <w:p>
            <w:pPr>
              <w:pStyle w:val="14"/>
              <w:jc w:val="center"/>
            </w:pPr>
          </w:p>
          <w:p>
            <w:pPr>
              <w:pStyle w:val="14"/>
              <w:jc w:val="center"/>
            </w:pPr>
          </w:p>
          <w:p>
            <w:pPr>
              <w:pStyle w:val="14"/>
              <w:jc w:val="center"/>
            </w:pPr>
          </w:p>
        </w:tc>
        <w:tc>
          <w:tcPr>
            <w:tcW w:w="4265" w:type="dxa"/>
          </w:tcPr>
          <w:p>
            <w:pPr>
              <w:jc w:val="center"/>
            </w:pPr>
            <w:r>
              <w:rPr>
                <w:rFonts w:hint="eastAsia" w:ascii="Times New Roman" w:eastAsia="宋体"/>
              </w:rPr>
              <w:t>证件扫描件反面</w:t>
            </w:r>
          </w:p>
          <w:p>
            <w:pPr>
              <w:pStyle w:val="7"/>
              <w:jc w:val="center"/>
            </w:pPr>
          </w:p>
          <w:p>
            <w:pPr>
              <w:pStyle w:val="14"/>
              <w:jc w:val="center"/>
            </w:pPr>
          </w:p>
        </w:tc>
      </w:tr>
    </w:tbl>
    <w:p>
      <w:pPr>
        <w:rPr>
          <w:rFonts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8"/>
        <w:snapToGrid w:val="0"/>
        <w:spacing w:before="0" w:after="0"/>
        <w:outlineLvl w:val="2"/>
        <w:rPr>
          <w:rFonts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3"/>
        <w:jc w:val="center"/>
        <w:rPr>
          <w:sz w:val="24"/>
        </w:rPr>
      </w:pPr>
      <w:r>
        <w:rPr>
          <w:rFonts w:hint="eastAsia" w:ascii="黑体" w:eastAsia="黑体"/>
          <w:b w:val="0"/>
          <w:sz w:val="24"/>
          <w:szCs w:val="24"/>
        </w:rPr>
        <w:t>五、技术要求偏离表</w:t>
      </w:r>
    </w:p>
    <w:p>
      <w:pPr>
        <w:rPr>
          <w:sz w:val="24"/>
        </w:rPr>
      </w:pPr>
    </w:p>
    <w:tbl>
      <w:tblPr>
        <w:tblStyle w:val="17"/>
        <w:tblW w:w="9549" w:type="dxa"/>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057"/>
        <w:gridCol w:w="5541"/>
        <w:gridCol w:w="1091"/>
        <w:gridCol w:w="852"/>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92" w:type="dxa"/>
            <w:vAlign w:val="center"/>
          </w:tcPr>
          <w:p>
            <w:pPr>
              <w:jc w:val="center"/>
              <w:rPr>
                <w:color w:val="000000" w:themeColor="text1"/>
                <w:szCs w:val="21"/>
              </w:rPr>
            </w:pPr>
            <w:r>
              <w:rPr>
                <w:color w:val="000000" w:themeColor="text1"/>
                <w:szCs w:val="21"/>
              </w:rPr>
              <w:t>序号</w:t>
            </w:r>
          </w:p>
        </w:tc>
        <w:tc>
          <w:tcPr>
            <w:tcW w:w="1057" w:type="dxa"/>
            <w:vAlign w:val="center"/>
          </w:tcPr>
          <w:p>
            <w:pPr>
              <w:widowControl/>
              <w:jc w:val="center"/>
              <w:rPr>
                <w:color w:val="000000" w:themeColor="text1"/>
                <w:szCs w:val="21"/>
              </w:rPr>
            </w:pPr>
            <w:r>
              <w:rPr>
                <w:color w:val="000000" w:themeColor="text1"/>
                <w:szCs w:val="21"/>
              </w:rPr>
              <w:t>货物名称</w:t>
            </w:r>
          </w:p>
        </w:tc>
        <w:tc>
          <w:tcPr>
            <w:tcW w:w="5541" w:type="dxa"/>
            <w:vAlign w:val="center"/>
          </w:tcPr>
          <w:p>
            <w:pPr>
              <w:tabs>
                <w:tab w:val="left" w:pos="2100"/>
              </w:tabs>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91" w:type="dxa"/>
            <w:vAlign w:val="center"/>
          </w:tcPr>
          <w:p>
            <w:pPr>
              <w:jc w:val="center"/>
              <w:rPr>
                <w:rFonts w:hint="eastAsia"/>
                <w:color w:val="000000" w:themeColor="text1"/>
                <w:szCs w:val="21"/>
              </w:rPr>
            </w:pPr>
            <w:r>
              <w:rPr>
                <w:rFonts w:hint="eastAsia"/>
                <w:sz w:val="24"/>
              </w:rPr>
              <w:t>投标技术响应</w:t>
            </w:r>
          </w:p>
        </w:tc>
        <w:tc>
          <w:tcPr>
            <w:tcW w:w="852" w:type="dxa"/>
            <w:vAlign w:val="center"/>
          </w:tcPr>
          <w:p>
            <w:pPr>
              <w:jc w:val="center"/>
              <w:rPr>
                <w:rFonts w:hint="eastAsia"/>
                <w:color w:val="000000" w:themeColor="text1"/>
                <w:szCs w:val="21"/>
              </w:rPr>
            </w:pPr>
            <w:r>
              <w:rPr>
                <w:rFonts w:hint="eastAsia"/>
                <w:sz w:val="24"/>
              </w:rPr>
              <w:t>偏离情况</w:t>
            </w:r>
          </w:p>
        </w:tc>
        <w:tc>
          <w:tcPr>
            <w:tcW w:w="516"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1</w:t>
            </w:r>
          </w:p>
        </w:tc>
        <w:tc>
          <w:tcPr>
            <w:tcW w:w="1057" w:type="dxa"/>
            <w:vMerge w:val="restart"/>
            <w:vAlign w:val="center"/>
          </w:tcPr>
          <w:p>
            <w:pPr>
              <w:widowControl/>
              <w:jc w:val="center"/>
              <w:textAlignment w:val="center"/>
              <w:rPr>
                <w:color w:val="000000" w:themeColor="text1"/>
                <w:szCs w:val="21"/>
              </w:rPr>
            </w:pPr>
            <w:r>
              <w:rPr>
                <w:rStyle w:val="38"/>
                <w:rFonts w:hint="default"/>
                <w:lang w:bidi="ar"/>
              </w:rPr>
              <w:t>升降课桌</w:t>
            </w:r>
          </w:p>
        </w:tc>
        <w:tc>
          <w:tcPr>
            <w:tcW w:w="8000" w:type="dxa"/>
            <w:gridSpan w:val="4"/>
            <w:vAlign w:val="center"/>
          </w:tcPr>
          <w:p>
            <w:pPr>
              <w:widowControl/>
              <w:jc w:val="left"/>
              <w:textAlignment w:val="center"/>
              <w:rPr>
                <w:rStyle w:val="39"/>
                <w:rFonts w:hint="default"/>
                <w:lang w:bidi="ar"/>
              </w:rPr>
            </w:pPr>
            <w:r>
              <w:rPr>
                <w:rStyle w:val="39"/>
                <w:rFonts w:hint="default"/>
                <w:lang w:bidi="ar"/>
              </w:rPr>
              <w:t>A.桌面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w:t>
            </w:r>
            <w:r>
              <w:rPr>
                <w:rStyle w:val="40"/>
                <w:rFonts w:hint="default"/>
                <w:lang w:bidi="ar"/>
              </w:rPr>
              <w:t>材质：ABS塑料（塑胶）一体注塑成型。</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rFonts w:eastAsia="宋体"/>
              </w:rPr>
            </w:pPr>
            <w:r>
              <w:rPr>
                <w:rStyle w:val="38"/>
                <w:rFonts w:hint="default"/>
                <w:lang w:bidi="ar"/>
              </w:rPr>
              <w:t>2.</w:t>
            </w:r>
            <w:r>
              <w:rPr>
                <w:rStyle w:val="41"/>
                <w:rFonts w:hint="default"/>
                <w:lang w:bidi="ar"/>
              </w:rPr>
              <w:t>▲ABS塑料（塑胶）检验：【洛氏硬度(HRR)：≥90），测试方法GB/T 3398.2-2008】；【表面电阻率≥1.0x10</w:t>
            </w:r>
            <w:r>
              <w:rPr>
                <w:rStyle w:val="42"/>
                <w:rFonts w:hint="default"/>
                <w:lang w:bidi="ar"/>
              </w:rPr>
              <w:t>12</w:t>
            </w:r>
            <w:r>
              <w:rPr>
                <w:rStyle w:val="41"/>
                <w:rFonts w:hint="default"/>
                <w:lang w:bidi="ar"/>
              </w:rPr>
              <w:t>Ω，测试方法GB/T 31838.3-2019】；【拉伸强度（试验速度：50mm/min）≥40MPa；拉伸断裂伸长率（试验速度：50mm/min）≥1.0%；测试方法GB/T 1040.2-2022】；【简支梁缺口冲击强度：≥10KJ∕㎡</w:t>
            </w:r>
            <w:r>
              <w:rPr>
                <w:rStyle w:val="42"/>
                <w:rFonts w:hint="default"/>
                <w:lang w:bidi="ar"/>
              </w:rPr>
              <w:t xml:space="preserve"> </w:t>
            </w:r>
            <w:r>
              <w:rPr>
                <w:rStyle w:val="41"/>
                <w:rFonts w:hint="default"/>
                <w:lang w:bidi="ar"/>
              </w:rPr>
              <w:t>，测试方法GB/T 1043.1-2008】；【耐磨性(CS-17，750g，100r)≤0.01g，测试方法GB/T 5478-2008】；【荧光紫外灯老化（100h</w:t>
            </w:r>
            <w:r>
              <w:rPr>
                <w:rStyle w:val="42"/>
                <w:rFonts w:hint="default"/>
                <w:lang w:bidi="ar"/>
              </w:rPr>
              <w:t>1</w:t>
            </w:r>
            <w:r>
              <w:rPr>
                <w:rStyle w:val="41"/>
                <w:rFonts w:hint="default"/>
                <w:lang w:bidi="ar"/>
              </w:rPr>
              <w:t>）（拉伸强度保持率≥60%、断裂伸长率保持率≥60%、外观变色评级≥3级），测试方法GB/T 16422.3-2022GB/T 1040.2-2022、GB/T 16422.3-2022、GB/T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w:t>
            </w:r>
            <w:r>
              <w:rPr>
                <w:rStyle w:val="41"/>
                <w:rFonts w:hint="default"/>
                <w:lang w:bidi="ar"/>
              </w:rPr>
              <w:t>▲塑料依据GB/T 32487-2016的测定，经塑料材料理化性能试验（耐老化性-室内用：500h），冲击强度的保持率应≧80%，外观颜色变色评级≧3级，冲击强度≧10J/M2；塑料件经耐冷热循环试验，应无裂纹、鼓泡、变色、起皱；依据GB/T 12000-2017的测定，暴露于盐雾的条件24h，质量变化应≤1%；</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w:t>
            </w:r>
            <w:r>
              <w:rPr>
                <w:rStyle w:val="40"/>
                <w:rFonts w:hint="default"/>
                <w:lang w:bidi="ar"/>
              </w:rPr>
              <w:t>在课桌面做塑面硬化处理以增加桌面的表面硬度，抗污防腐，有效解决在使用过程中学生肆意涂画，灰尘、水渍、汗渍造成桌面污浊不堪，不易清洁的问题，亦可更有效保护桌面不变色，不褪色。</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w:t>
            </w:r>
            <w:r>
              <w:rPr>
                <w:rStyle w:val="41"/>
                <w:rFonts w:hint="default"/>
                <w:lang w:bidi="ar"/>
              </w:rPr>
              <w:t>▲桌面抗污材料应满足以下要求：检验依据GB/T9274-1988《色漆和清漆 耐液体介质的测定》；检测要求：耐油性（200#溶剂油，24h）无异常；耐酸性（10g/L H</w:t>
            </w:r>
            <w:r>
              <w:rPr>
                <w:rStyle w:val="44"/>
                <w:rFonts w:hint="default"/>
                <w:lang w:bidi="ar"/>
              </w:rPr>
              <w:t>2</w:t>
            </w:r>
            <w:r>
              <w:rPr>
                <w:rStyle w:val="41"/>
                <w:rFonts w:hint="default"/>
                <w:lang w:bidi="ar"/>
              </w:rPr>
              <w:t>SO</w:t>
            </w:r>
            <w:r>
              <w:rPr>
                <w:rStyle w:val="44"/>
                <w:rFonts w:hint="default"/>
                <w:lang w:bidi="ar"/>
              </w:rPr>
              <w:t>4</w:t>
            </w:r>
            <w:r>
              <w:rPr>
                <w:rStyle w:val="41"/>
                <w:rFonts w:hint="default"/>
                <w:lang w:bidi="ar"/>
              </w:rPr>
              <w:t>，24h）无异常；耐碱性（50g/L NaHCO</w:t>
            </w:r>
            <w:r>
              <w:rPr>
                <w:rStyle w:val="44"/>
                <w:rFonts w:hint="default"/>
                <w:lang w:bidi="ar"/>
              </w:rPr>
              <w:t>3</w:t>
            </w:r>
            <w:r>
              <w:rPr>
                <w:rStyle w:val="41"/>
                <w:rFonts w:hint="default"/>
                <w:lang w:bidi="ar"/>
              </w:rPr>
              <w:t>，24h）无异常，单项判定均为合格。塑料桌面耐污染应符合以下要求：耐污染[墨水(蓝色和红色)、印泥、水笔、圆珠笔、涂改液，24h]能被符合QB/T2309的普通橡皮擦拭；单项判定为合格。检测依据QB/T 4071-2021《课桌椅》。</w:t>
            </w:r>
            <w:r>
              <w:rPr>
                <w:rStyle w:val="45"/>
                <w:rFonts w:hint="default"/>
                <w:lang w:bidi="ar"/>
              </w:rPr>
              <w:t>（</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Style w:val="45"/>
                <w:rFonts w:hint="default"/>
                <w:lang w:bidi="ar"/>
              </w:rPr>
              <w:t>）</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b/>
                <w:bCs/>
                <w:color w:val="000000" w:themeColor="text1"/>
                <w:szCs w:val="21"/>
              </w:rPr>
            </w:pPr>
            <w:r>
              <w:rPr>
                <w:rStyle w:val="38"/>
                <w:rFonts w:hint="default"/>
                <w:lang w:bidi="ar"/>
              </w:rPr>
              <w:t>6.</w:t>
            </w:r>
            <w:r>
              <w:rPr>
                <w:rStyle w:val="40"/>
                <w:rFonts w:hint="default"/>
                <w:lang w:bidi="ar"/>
              </w:rPr>
              <w:t>规格（需符合GB/T3976-2014《学校课桌椅功能尺寸及技术要求》要求）：具体尺寸中标后依据学校要求确认，尺寸：650mm±5mm×450mm±5mm×20mm±5mm（注：供应商对产品参数可响应区间内任意值也可响应区间范围）。</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7.</w:t>
            </w:r>
            <w:r>
              <w:rPr>
                <w:rStyle w:val="40"/>
                <w:rFonts w:hint="default"/>
                <w:lang w:bidi="ar"/>
              </w:rPr>
              <w:t>功能：桌面靠胸前端处有一內弧造型设计；表面得需有细蚀纹(咬花),不得有反光现象。桌面四周及底部完全不得有毛边，都得倒圆角光滑不刮手。面板底部锁入双钢管支撑，并与面板底部平齐</w:t>
            </w:r>
            <w:r>
              <w:rPr>
                <w:rStyle w:val="38"/>
                <w:rFonts w:hint="default"/>
                <w:lang w:bidi="ar"/>
              </w:rPr>
              <w:t>。</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B.书箱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8.</w:t>
            </w:r>
            <w:r>
              <w:rPr>
                <w:rStyle w:val="40"/>
                <w:rFonts w:hint="default"/>
                <w:lang w:bidi="ar"/>
              </w:rPr>
              <w:t>材质：PP塑料（塑胶）</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9.</w:t>
            </w:r>
            <w:r>
              <w:rPr>
                <w:rStyle w:val="40"/>
                <w:rFonts w:hint="default"/>
                <w:lang w:bidi="ar"/>
              </w:rPr>
              <w:t>规格：内径尺寸：450mm±5mm×330mm±5mm×90mm±5mm；外径尺寸：500mm±5mm×340mm±5mm×100mm±5mm。（需符合GB/T3976-2014《学校课桌椅功能尺寸及技术要求》要求）。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10.</w:t>
            </w:r>
            <w:r>
              <w:rPr>
                <w:rStyle w:val="40"/>
                <w:rFonts w:hint="default"/>
                <w:lang w:bidi="ar"/>
              </w:rPr>
              <w:t>书箱技术至少满足以下要求：书箱内部前沿设有370mm±5mm*60mm±5mm凹槽方便储放笔和橡皮擦等小文具。底部有排水槽缝设计（宽度≤5mm）不少于44条，方便清洗或擦拭底部易排水通风干燥。书箱三墙面为弧型设计，无尖角，确保学生安全。书箱外围倒圆角光滑不刮手，无毛边。书箱底部外侧横向加强筋不少于6条、纵向加强筋不少于3条，加固承重，不易变形。左右两侧各有连体多功能挂钩87mm±5mm×38mm±5mm×26mm±5mm，书箱与挂钩一体成型设计。</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11.</w:t>
            </w:r>
            <w:r>
              <w:rPr>
                <w:rStyle w:val="41"/>
                <w:rFonts w:hint="default"/>
                <w:lang w:bidi="ar"/>
              </w:rPr>
              <w:t>▲PP塑料依据GB/T 40006.1-2021的测定，气味要求应符合≤4级，重金属铅的含量应符合≤0.1%，重金属汞的含量应符合≤0.1%，重金属镉的含量应符合≤0.01%，重金属六价铬的含量应符合≤0.1%；依据GB/T 40006.3-2021的测定，拉伸强度应符合≥16MPa，颗粒外观（大粒和小粒）应符合≤40g/kg。</w:t>
            </w:r>
            <w:r>
              <w:rPr>
                <w:rStyle w:val="45"/>
                <w:rFonts w:hint="default"/>
                <w:lang w:bidi="ar"/>
              </w:rPr>
              <w:t>（</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Style w:val="45"/>
                <w:rFonts w:hint="default"/>
                <w:lang w:bidi="ar"/>
              </w:rPr>
              <w:t>）</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C.桌脚钢架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12.</w:t>
            </w:r>
            <w:r>
              <w:rPr>
                <w:rStyle w:val="40"/>
                <w:rFonts w:hint="default"/>
                <w:lang w:bidi="ar"/>
              </w:rPr>
              <w:t>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13.</w:t>
            </w:r>
            <w:r>
              <w:rPr>
                <w:rStyle w:val="40"/>
                <w:rFonts w:hint="default"/>
                <w:lang w:bidi="ar"/>
              </w:rPr>
              <w:t>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须符合GB/T 3976-2014关于桌下净空深的要求。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14.</w:t>
            </w:r>
            <w:r>
              <w:rPr>
                <w:rStyle w:val="40"/>
                <w:rFonts w:hint="default"/>
                <w:lang w:bidi="ar"/>
              </w:rPr>
              <w:t>表面涂装：焊接完成后的钢管架，表面经除油、脱脂、磷化、皮膜处理。外表采用一级颗粒粉末，经高温粉体烤漆，不得有刮伤或脱漆现象。涂层无漏喷、锈蚀；涂层光滑均匀，色泽一致。涂层平整光滑、清晰。</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15.</w:t>
            </w:r>
            <w:r>
              <w:rPr>
                <w:rStyle w:val="40"/>
                <w:rFonts w:hint="default"/>
                <w:lang w:bidi="ar"/>
              </w:rPr>
              <w:t>底坐P字型弯管左右组合焊接外型。</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16.</w:t>
            </w:r>
            <w:r>
              <w:rPr>
                <w:rStyle w:val="40"/>
                <w:rFonts w:hint="default"/>
                <w:lang w:bidi="ar"/>
              </w:rPr>
              <w:t>产品符合QB/T 4071-2021 标准,无断裂或豁裂, 手揿圧各部件无永久性松动, 零部件无严重影响使用功能的磨损或变形, 五金连接件不松动, 活动部件开关灵便。</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D.课桌椅标识</w:t>
            </w:r>
            <w:r>
              <w:rPr>
                <w:rStyle w:val="40"/>
                <w:rFonts w:hint="default"/>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17.</w:t>
            </w:r>
            <w:r>
              <w:rPr>
                <w:rStyle w:val="40"/>
                <w:rFonts w:hint="default"/>
                <w:lang w:bidi="ar"/>
              </w:rPr>
              <w:t>采用激光镭射标示，字体保证永久不会脱落掉色，方便学校管理使用及产品维护。在可调节的钢制脚架上外侧清晰标记，高度刻度尺按照课桌椅国标（《学校课桌椅功能尺寸及技术要求》（GB/T3976-2014））用阿拉伯数字作标示。</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rStyle w:val="38"/>
                <w:rFonts w:hint="default"/>
                <w:lang w:bidi="ar"/>
              </w:rPr>
            </w:pPr>
            <w:r>
              <w:rPr>
                <w:rStyle w:val="38"/>
                <w:rFonts w:hint="default"/>
                <w:lang w:bidi="ar"/>
              </w:rPr>
              <w:t>18.</w:t>
            </w:r>
            <w:r>
              <w:rPr>
                <w:rStyle w:val="40"/>
                <w:rFonts w:hint="default"/>
                <w:lang w:bidi="ar"/>
              </w:rPr>
              <w:t>在课桌桌腿上部活动立管(钢制脚架上)外侧上做如下标示：</w:t>
            </w:r>
          </w:p>
          <w:p>
            <w:pPr>
              <w:widowControl/>
              <w:jc w:val="left"/>
              <w:textAlignment w:val="center"/>
              <w:rPr>
                <w:color w:val="000000" w:themeColor="text1"/>
                <w:szCs w:val="21"/>
              </w:rPr>
            </w:pPr>
            <w:r>
              <w:rPr>
                <w:rStyle w:val="40"/>
                <w:rFonts w:hint="default"/>
                <w:lang w:bidi="ar"/>
              </w:rPr>
              <w:t>a)标有统一的校名（简称）汉字或学校 LOGO，满足学校财产登记。</w:t>
            </w:r>
          </w:p>
          <w:p>
            <w:pPr>
              <w:widowControl/>
              <w:jc w:val="left"/>
              <w:textAlignment w:val="center"/>
              <w:rPr>
                <w:color w:val="000000" w:themeColor="text1"/>
                <w:szCs w:val="21"/>
              </w:rPr>
            </w:pPr>
            <w:r>
              <w:rPr>
                <w:rStyle w:val="40"/>
                <w:rFonts w:hint="default"/>
                <w:lang w:bidi="ar"/>
              </w:rPr>
              <w:t>b)标有生产（出厂）年月日数字标识，保证设备保修售后。</w:t>
            </w:r>
          </w:p>
          <w:p>
            <w:pPr>
              <w:widowControl/>
              <w:jc w:val="left"/>
              <w:textAlignment w:val="center"/>
              <w:rPr>
                <w:color w:val="000000" w:themeColor="text1"/>
                <w:szCs w:val="21"/>
              </w:rPr>
            </w:pPr>
            <w:r>
              <w:rPr>
                <w:rStyle w:val="40"/>
                <w:rFonts w:hint="default"/>
                <w:lang w:bidi="ar"/>
              </w:rPr>
              <w:t>c)标有产品序列号数字标识（编码从0001开始的四位流水号），满足学校财产登记的需要。</w:t>
            </w:r>
          </w:p>
          <w:p>
            <w:pPr>
              <w:widowControl/>
              <w:jc w:val="left"/>
              <w:textAlignment w:val="center"/>
              <w:rPr>
                <w:color w:val="000000" w:themeColor="text1"/>
                <w:szCs w:val="21"/>
              </w:rPr>
            </w:pPr>
            <w:r>
              <w:rPr>
                <w:rStyle w:val="40"/>
                <w:rFonts w:hint="default"/>
                <w:lang w:bidi="ar"/>
              </w:rPr>
              <w:t>d)标有高度刻度尺数字标识，满足要求。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E.脚垫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19.</w:t>
            </w:r>
            <w:r>
              <w:rPr>
                <w:rStyle w:val="40"/>
                <w:rFonts w:hint="default"/>
                <w:lang w:bidi="ar"/>
              </w:rPr>
              <w:t>材质：PP塑料（塑胶） ，结实耐用不易脱落。</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20.</w:t>
            </w:r>
            <w:r>
              <w:rPr>
                <w:rStyle w:val="40"/>
                <w:rFonts w:hint="default"/>
                <w:lang w:bidi="ar"/>
              </w:rPr>
              <w:t>规格及功能：长93mm±1mm×宽69mm±1mm×高50mm±1mm,垫跟高10mm±2mm。采用环保PP塑料一级新料一体射出注塑成型。并用圆头十字自攻螺丝紧固。课桌后侧两只脚垫底部有一只水平调节塑钢POM螺栓。当地面不平时，可通过调节水平螺栓，使座垫保持平衡不倾斜。表面光滑，无棱角。</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F.挂钩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21.</w:t>
            </w:r>
            <w:r>
              <w:rPr>
                <w:rStyle w:val="40"/>
                <w:rFonts w:hint="default"/>
                <w:lang w:bidi="ar"/>
              </w:rPr>
              <w:t>材质：PP塑料（塑胶） ，结实牢固耐用不易脱落。</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G.其他配件（简述）</w:t>
            </w:r>
          </w:p>
          <w:p>
            <w:pPr>
              <w:widowControl/>
              <w:jc w:val="left"/>
              <w:textAlignment w:val="center"/>
              <w:rPr>
                <w:rStyle w:val="39"/>
                <w:rFonts w:hint="default"/>
                <w:lang w:bidi="ar"/>
              </w:rPr>
            </w:pPr>
            <w:r>
              <w:rPr>
                <w:rStyle w:val="39"/>
                <w:rFonts w:hint="default"/>
                <w:lang w:bidi="ar"/>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22.</w:t>
            </w:r>
            <w:r>
              <w:rPr>
                <w:rStyle w:val="40"/>
                <w:rFonts w:hint="default"/>
                <w:lang w:bidi="ar"/>
              </w:rPr>
              <w:t>可调式升降结构：采用上下安全升降结构组合成，课桌桌腿升降器由中间传动轴连接课桌的左右腿活动立管，可以同时升降。</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23.</w:t>
            </w:r>
            <w:r>
              <w:rPr>
                <w:rStyle w:val="40"/>
                <w:rFonts w:hint="default"/>
                <w:lang w:bidi="ar"/>
              </w:rPr>
              <w:t>组件装置安全性：桌腿外侧外观无外露螺丝五金件，左右腿都可以调整高度。</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24.</w:t>
            </w:r>
            <w:r>
              <w:rPr>
                <w:rStyle w:val="40"/>
                <w:rFonts w:hint="default"/>
                <w:lang w:bidi="ar"/>
              </w:rPr>
              <w:t>升降技术要求：手摇升降调节，每张课桌满足手摇升降调节行程不少于15cm,符合GB/T3976-2014《学校课桌椅功能尺寸及技术要求》 0～5号、4～9号学生课桌标准，可调节高度区间为64cm-79cm、52cm-67cm，在区间内可通过手摇升降快速调节到任意的高度，满足不同学生身高体重个性需求，从而达到（GB/T3976-2014《学校课桌椅功能尺寸及技术要求》）要求（具体实际要求高度以学校要求为准）。</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25.</w:t>
            </w:r>
            <w:r>
              <w:rPr>
                <w:rStyle w:val="40"/>
                <w:rFonts w:hint="default"/>
                <w:lang w:bidi="ar"/>
              </w:rPr>
              <w:t>升降刻度尺采用激光镭射打印。</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26.</w:t>
            </w:r>
            <w:r>
              <w:rPr>
                <w:rStyle w:val="41"/>
                <w:rFonts w:hint="default"/>
                <w:lang w:bidi="ar"/>
              </w:rPr>
              <w:t>▲升降课桌椅钢架检验：【化学成分：C≤0.22%，Si≤0.35%，Mn≤1.40%，P≤0.045%，S≤0.050%】；【力学性能：抗拉强度Rm370～560MPa，下屈服强度ReL≥235MPa，断后伸长率A≥24%】；【维氏硬度HV5≥130】；【中性盐雾(18h)，符合 QB/T3832-1999(2009)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26955-2011《金属材料焊缝破坏性试验宏观和微观检验》、GB/T 4340.1-2024《金属材料维氏硬度试验第1部分:试验方法》、GB/T 6725-2017《冷弯型钢通用技术要求》、GB/T 10125-2021《人造气氛腐蚀试验 盐雾试验》、QB/T 3832-1999(2009)《轻工产品金属镀层腐蚀试验结果的评价》；单项判定均为合格。</w:t>
            </w:r>
            <w:r>
              <w:rPr>
                <w:rStyle w:val="43"/>
                <w:rFonts w:hint="default"/>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27.</w:t>
            </w:r>
            <w:r>
              <w:rPr>
                <w:rStyle w:val="41"/>
                <w:rFonts w:hint="default"/>
                <w:lang w:bidi="ar"/>
              </w:rPr>
              <w:t>▲升降课桌椅：烟密度≤75；氧指数≥20%；垂直燃烧V-1级；氯乙烯单体残留量≤3mg/kg。单项判定均为合格。检验依据GB/T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2</w:t>
            </w:r>
          </w:p>
        </w:tc>
        <w:tc>
          <w:tcPr>
            <w:tcW w:w="1057" w:type="dxa"/>
            <w:vMerge w:val="restart"/>
            <w:vAlign w:val="center"/>
          </w:tcPr>
          <w:p>
            <w:pPr>
              <w:widowControl/>
              <w:jc w:val="center"/>
              <w:textAlignment w:val="center"/>
              <w:rPr>
                <w:color w:val="000000" w:themeColor="text1"/>
                <w:szCs w:val="21"/>
              </w:rPr>
            </w:pPr>
            <w:r>
              <w:rPr>
                <w:rStyle w:val="40"/>
                <w:rFonts w:hint="default"/>
                <w:lang w:bidi="ar"/>
              </w:rPr>
              <w:t>升降课椅</w:t>
            </w:r>
          </w:p>
        </w:tc>
        <w:tc>
          <w:tcPr>
            <w:tcW w:w="8000" w:type="dxa"/>
            <w:gridSpan w:val="4"/>
            <w:vAlign w:val="center"/>
          </w:tcPr>
          <w:p>
            <w:pPr>
              <w:widowControl/>
              <w:jc w:val="left"/>
              <w:textAlignment w:val="center"/>
              <w:rPr>
                <w:rStyle w:val="39"/>
                <w:rFonts w:hint="default"/>
                <w:lang w:bidi="ar"/>
              </w:rPr>
            </w:pPr>
            <w:r>
              <w:rPr>
                <w:rStyle w:val="39"/>
                <w:rFonts w:hint="default"/>
                <w:lang w:bidi="ar"/>
              </w:rPr>
              <w:t>A.靠背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28.</w:t>
            </w:r>
            <w:r>
              <w:rPr>
                <w:rStyle w:val="40"/>
                <w:rFonts w:hint="default"/>
                <w:lang w:bidi="ar"/>
              </w:rPr>
              <w:t>材质：PP塑料（塑胶）</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29.</w:t>
            </w:r>
            <w:r>
              <w:rPr>
                <w:rStyle w:val="40"/>
                <w:rFonts w:hint="default"/>
                <w:lang w:bidi="ar"/>
              </w:rPr>
              <w:t>尺寸：410mm±5mm×270mm±5mm（需符合《学校课桌椅功能尺寸及技术要求》(GB/T3976-2014)）</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30.</w:t>
            </w:r>
            <w:r>
              <w:rPr>
                <w:rStyle w:val="40"/>
                <w:rFonts w:hint="default"/>
                <w:lang w:bidi="ar"/>
              </w:rPr>
              <w:t>样式：靠背与钢管结合方式，采用直插套管卡扣式紧固，无外露螺丝等紧固件。牢固稳定无摇晃、松动现象。靠背呈弯孤曲面，人体工程学舒适设计，设有散热孔透气，孔直径均小于5mm。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B.座垫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31.</w:t>
            </w:r>
            <w:r>
              <w:rPr>
                <w:rStyle w:val="40"/>
                <w:rFonts w:hint="default"/>
                <w:lang w:bidi="ar"/>
              </w:rPr>
              <w:t>材质：PP塑料（塑胶）。</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32.</w:t>
            </w:r>
            <w:r>
              <w:rPr>
                <w:rStyle w:val="40"/>
                <w:rFonts w:hint="default"/>
                <w:lang w:bidi="ar"/>
              </w:rPr>
              <w:t>尺寸：400mm±5mm×414mm±5mm（需符合《学校课桌椅功能尺寸及技术要求》(GB/T3976-2014)）</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33.</w:t>
            </w:r>
            <w:r>
              <w:rPr>
                <w:rStyle w:val="40"/>
                <w:rFonts w:hint="default"/>
                <w:lang w:bidi="ar"/>
              </w:rPr>
              <w:t>样式：座垫前端有两处下凹设计，座垫深部有内陷设计，座垫曲面有散热孔设计，孔直径均小于5mm。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C.椅腿钢架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34.</w:t>
            </w:r>
            <w:r>
              <w:rPr>
                <w:rStyle w:val="40"/>
                <w:rFonts w:hint="default"/>
                <w:lang w:bidi="ar"/>
              </w:rPr>
              <w:t>材质及规格: 符合国家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 mm±1mm×34 mm×±1mm，壁厚1.2mm的椭圆形白皮钢管；椅座垫下设补强管采用16.5mm±1mm×34 mm±1mm，壁厚1.2mm的椭圆形白皮钢管。</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35.</w:t>
            </w:r>
            <w:r>
              <w:rPr>
                <w:rStyle w:val="40"/>
                <w:rFonts w:hint="default"/>
                <w:lang w:bidi="ar"/>
              </w:rPr>
              <w:t>工艺：采用上下安全升降结构，可调节区间（调节行程）不少于7cm，符合国标(GB/T3976-2014) 学生课椅标准（具体实际要求高度以学校要求为准）。升降刻度尺采用激光镭射打印。</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36.</w:t>
            </w:r>
            <w:r>
              <w:rPr>
                <w:rStyle w:val="40"/>
                <w:rFonts w:hint="default"/>
                <w:lang w:bidi="ar"/>
              </w:rPr>
              <w:t>技术形状：底坐采用安全牢固的T字（或C字或工字)组合焊接外型结构，内配隐藏式上下升降结构。</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37.</w:t>
            </w:r>
            <w:r>
              <w:rPr>
                <w:rStyle w:val="40"/>
                <w:rFonts w:hint="default"/>
                <w:lang w:bidi="ar"/>
              </w:rPr>
              <w:t>表面技术要求：焊接完成后的钢管架，表面需经除油、脱脂、磷化、皮膜处理。外表采用一级颗粒粉末，经高温粉体烤漆，无刮伤或脱漆现象。涂层需无漏喷、锈蚀涂层需光滑均匀，色泽一致，需无流挂、疙瘩、皱皮、飞漆等缺陷。涂层需平整光滑、清晰，需无明显粒子、涨边现象。</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38.</w:t>
            </w:r>
            <w:r>
              <w:rPr>
                <w:rStyle w:val="40"/>
                <w:rFonts w:hint="default"/>
                <w:lang w:bidi="ar"/>
              </w:rPr>
              <w:t>采用激光镭射标示，字体保证永久不会脱落掉色，方便学校管理使用及产品维护。在可调节的钢制脚架上外侧清晰标记，高度刻度尺按照课桌椅国标（《学校课桌椅功能尺寸及技术要求》（GB/T3976-2014））用阿拉伯数字作标示。</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39.</w:t>
            </w:r>
            <w:r>
              <w:rPr>
                <w:rStyle w:val="40"/>
                <w:rFonts w:hint="default"/>
                <w:lang w:bidi="ar"/>
              </w:rPr>
              <w:t>表面标示至少满足以下要求：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40"/>
                <w:rFonts w:hint="default"/>
                <w:lang w:bidi="ar"/>
              </w:rPr>
              <w:t>a)在课椅椅腿上部活动立管(钢制脚架上)外侧上做如下标示：</w:t>
            </w:r>
          </w:p>
        </w:tc>
        <w:tc>
          <w:tcPr>
            <w:tcW w:w="1091" w:type="dxa"/>
            <w:vAlign w:val="center"/>
          </w:tcPr>
          <w:p>
            <w:pPr>
              <w:widowControl/>
              <w:jc w:val="left"/>
              <w:textAlignment w:val="center"/>
              <w:rPr>
                <w:rStyle w:val="40"/>
                <w:rFonts w:hint="default"/>
                <w:lang w:bidi="ar"/>
              </w:rPr>
            </w:pPr>
          </w:p>
        </w:tc>
        <w:tc>
          <w:tcPr>
            <w:tcW w:w="852" w:type="dxa"/>
            <w:vAlign w:val="center"/>
          </w:tcPr>
          <w:p>
            <w:pPr>
              <w:widowControl/>
              <w:jc w:val="left"/>
              <w:textAlignment w:val="center"/>
              <w:rPr>
                <w:rStyle w:val="40"/>
                <w:rFonts w:hint="default"/>
                <w:lang w:bidi="ar"/>
              </w:rPr>
            </w:pPr>
          </w:p>
        </w:tc>
        <w:tc>
          <w:tcPr>
            <w:tcW w:w="516"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40"/>
                <w:rFonts w:hint="default"/>
                <w:lang w:bidi="ar"/>
              </w:rPr>
              <w:t>b)标示并标有统一的校名（简称）标识，方便学校财产登记；</w:t>
            </w:r>
          </w:p>
        </w:tc>
        <w:tc>
          <w:tcPr>
            <w:tcW w:w="1091" w:type="dxa"/>
            <w:vAlign w:val="center"/>
          </w:tcPr>
          <w:p>
            <w:pPr>
              <w:widowControl/>
              <w:jc w:val="left"/>
              <w:textAlignment w:val="center"/>
              <w:rPr>
                <w:rStyle w:val="40"/>
                <w:rFonts w:hint="default"/>
                <w:lang w:bidi="ar"/>
              </w:rPr>
            </w:pPr>
          </w:p>
        </w:tc>
        <w:tc>
          <w:tcPr>
            <w:tcW w:w="852" w:type="dxa"/>
            <w:vAlign w:val="center"/>
          </w:tcPr>
          <w:p>
            <w:pPr>
              <w:widowControl/>
              <w:jc w:val="left"/>
              <w:textAlignment w:val="center"/>
              <w:rPr>
                <w:rStyle w:val="40"/>
                <w:rFonts w:hint="default"/>
                <w:lang w:bidi="ar"/>
              </w:rPr>
            </w:pPr>
          </w:p>
        </w:tc>
        <w:tc>
          <w:tcPr>
            <w:tcW w:w="516"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40"/>
                <w:rFonts w:hint="default"/>
                <w:lang w:bidi="ar"/>
              </w:rPr>
              <w:t>c)并标示并标有生产（出厂）年月日数字标识，方便设备保修售后；</w:t>
            </w:r>
          </w:p>
        </w:tc>
        <w:tc>
          <w:tcPr>
            <w:tcW w:w="1091" w:type="dxa"/>
            <w:vAlign w:val="center"/>
          </w:tcPr>
          <w:p>
            <w:pPr>
              <w:widowControl/>
              <w:jc w:val="left"/>
              <w:textAlignment w:val="center"/>
              <w:rPr>
                <w:rStyle w:val="40"/>
                <w:rFonts w:hint="default"/>
                <w:lang w:bidi="ar"/>
              </w:rPr>
            </w:pPr>
          </w:p>
        </w:tc>
        <w:tc>
          <w:tcPr>
            <w:tcW w:w="852" w:type="dxa"/>
            <w:vAlign w:val="center"/>
          </w:tcPr>
          <w:p>
            <w:pPr>
              <w:widowControl/>
              <w:jc w:val="left"/>
              <w:textAlignment w:val="center"/>
              <w:rPr>
                <w:rStyle w:val="40"/>
                <w:rFonts w:hint="default"/>
                <w:lang w:bidi="ar"/>
              </w:rPr>
            </w:pPr>
          </w:p>
        </w:tc>
        <w:tc>
          <w:tcPr>
            <w:tcW w:w="516"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40"/>
                <w:rFonts w:hint="default"/>
                <w:lang w:bidi="ar"/>
              </w:rPr>
              <w:t>d)标示并标有产品序列号数字标识（编号从0001开始的流水号），方便学校财产登记；</w:t>
            </w:r>
          </w:p>
        </w:tc>
        <w:tc>
          <w:tcPr>
            <w:tcW w:w="1091" w:type="dxa"/>
            <w:vAlign w:val="center"/>
          </w:tcPr>
          <w:p>
            <w:pPr>
              <w:widowControl/>
              <w:jc w:val="left"/>
              <w:textAlignment w:val="center"/>
              <w:rPr>
                <w:rStyle w:val="40"/>
                <w:rFonts w:hint="default"/>
                <w:lang w:bidi="ar"/>
              </w:rPr>
            </w:pPr>
          </w:p>
        </w:tc>
        <w:tc>
          <w:tcPr>
            <w:tcW w:w="852" w:type="dxa"/>
            <w:vAlign w:val="center"/>
          </w:tcPr>
          <w:p>
            <w:pPr>
              <w:widowControl/>
              <w:jc w:val="left"/>
              <w:textAlignment w:val="center"/>
              <w:rPr>
                <w:rStyle w:val="40"/>
                <w:rFonts w:hint="default"/>
                <w:lang w:bidi="ar"/>
              </w:rPr>
            </w:pPr>
          </w:p>
        </w:tc>
        <w:tc>
          <w:tcPr>
            <w:tcW w:w="516"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40"/>
                <w:rFonts w:hint="default"/>
                <w:lang w:bidi="ar"/>
              </w:rPr>
              <w:t>e)标示并标有高度刻度尺数字标识，满足国标要求。</w:t>
            </w:r>
          </w:p>
        </w:tc>
        <w:tc>
          <w:tcPr>
            <w:tcW w:w="1091" w:type="dxa"/>
            <w:vAlign w:val="center"/>
          </w:tcPr>
          <w:p>
            <w:pPr>
              <w:widowControl/>
              <w:jc w:val="left"/>
              <w:textAlignment w:val="center"/>
              <w:rPr>
                <w:rStyle w:val="40"/>
                <w:rFonts w:hint="default"/>
                <w:lang w:bidi="ar"/>
              </w:rPr>
            </w:pPr>
          </w:p>
        </w:tc>
        <w:tc>
          <w:tcPr>
            <w:tcW w:w="852" w:type="dxa"/>
            <w:vAlign w:val="center"/>
          </w:tcPr>
          <w:p>
            <w:pPr>
              <w:widowControl/>
              <w:jc w:val="left"/>
              <w:textAlignment w:val="center"/>
              <w:rPr>
                <w:rStyle w:val="40"/>
                <w:rFonts w:hint="default"/>
                <w:lang w:bidi="ar"/>
              </w:rPr>
            </w:pPr>
          </w:p>
        </w:tc>
        <w:tc>
          <w:tcPr>
            <w:tcW w:w="516" w:type="dxa"/>
            <w:vAlign w:val="center"/>
          </w:tcPr>
          <w:p>
            <w:pPr>
              <w:widowControl/>
              <w:jc w:val="left"/>
              <w:textAlignment w:val="center"/>
              <w:rPr>
                <w:rStyle w:val="40"/>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F.脚垫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40.</w:t>
            </w:r>
            <w:r>
              <w:rPr>
                <w:rStyle w:val="40"/>
                <w:rFonts w:hint="default"/>
                <w:lang w:bidi="ar"/>
              </w:rPr>
              <w:t>材质：PP塑料（塑胶）。</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41.</w:t>
            </w:r>
            <w:r>
              <w:rPr>
                <w:rStyle w:val="40"/>
                <w:rFonts w:hint="default"/>
                <w:lang w:bidi="ar"/>
              </w:rPr>
              <w:t>规格及功能：长93mm±1mm×宽69mm±1mm×高50mm±1mm,垫跟高10mm±2mm。采用环保PP塑料一级新料一体射出注塑成型。并用圆头十字自攻螺丝紧固。课椅后侧两只脚垫底部有一只水平调节塑钢POM螺栓。当地面不平时，可通过调节水平螺栓，使座垫保持平衡不倾斜。表面光滑，无棱角。</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G.其他配件（简述）</w:t>
            </w:r>
          </w:p>
          <w:p>
            <w:pPr>
              <w:widowControl/>
              <w:jc w:val="left"/>
              <w:textAlignment w:val="center"/>
              <w:rPr>
                <w:rStyle w:val="40"/>
                <w:rFonts w:hint="default"/>
                <w:lang w:bidi="ar"/>
              </w:rPr>
            </w:pPr>
            <w:r>
              <w:rPr>
                <w:rStyle w:val="40"/>
                <w:rFonts w:hint="default"/>
                <w:lang w:bidi="ar"/>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42.</w:t>
            </w:r>
            <w:r>
              <w:rPr>
                <w:rStyle w:val="40"/>
                <w:rFonts w:hint="default"/>
                <w:lang w:bidi="ar"/>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43.</w:t>
            </w:r>
            <w:r>
              <w:rPr>
                <w:rStyle w:val="40"/>
                <w:rFonts w:hint="default"/>
                <w:lang w:bidi="ar"/>
              </w:rPr>
              <w:t>手摇组件装置安全性：椅腿外侧外观无外露螺丝五金件，学生使用无安全隐患，左右腿都可以同时调整高度。</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44.</w:t>
            </w:r>
            <w:r>
              <w:rPr>
                <w:rStyle w:val="40"/>
                <w:rFonts w:hint="default"/>
                <w:lang w:bidi="ar"/>
              </w:rPr>
              <w:t>升降技术要求：全手摇升降可调式调节，每张课椅满足手摇升降调节行程不少于7cm，可调节高度区间至少满足29cm～36cm、36cm～46cm，达到（《学校课桌椅功能尺寸及技术要求》（GB/T3976-2014））要求。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3</w:t>
            </w:r>
          </w:p>
        </w:tc>
        <w:tc>
          <w:tcPr>
            <w:tcW w:w="1057" w:type="dxa"/>
            <w:vMerge w:val="restart"/>
            <w:vAlign w:val="center"/>
          </w:tcPr>
          <w:p>
            <w:pPr>
              <w:widowControl/>
              <w:jc w:val="center"/>
              <w:textAlignment w:val="center"/>
              <w:rPr>
                <w:color w:val="000000" w:themeColor="text1"/>
                <w:szCs w:val="21"/>
              </w:rPr>
            </w:pPr>
            <w:r>
              <w:rPr>
                <w:rStyle w:val="40"/>
                <w:rFonts w:hint="default"/>
                <w:lang w:bidi="ar"/>
              </w:rPr>
              <w:t>折叠桌</w:t>
            </w:r>
          </w:p>
        </w:tc>
        <w:tc>
          <w:tcPr>
            <w:tcW w:w="8000" w:type="dxa"/>
            <w:gridSpan w:val="4"/>
            <w:vAlign w:val="center"/>
          </w:tcPr>
          <w:p>
            <w:pPr>
              <w:widowControl/>
              <w:jc w:val="left"/>
              <w:textAlignment w:val="center"/>
              <w:rPr>
                <w:rStyle w:val="39"/>
                <w:rFonts w:hint="default"/>
                <w:lang w:bidi="ar"/>
              </w:rPr>
            </w:pPr>
            <w:r>
              <w:rPr>
                <w:rStyle w:val="39"/>
                <w:rFonts w:hint="default"/>
                <w:lang w:bidi="ar"/>
              </w:rPr>
              <w:t>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45.</w:t>
            </w:r>
            <w:r>
              <w:rPr>
                <w:rStyle w:val="40"/>
                <w:rFonts w:hint="default"/>
                <w:lang w:bidi="ar"/>
              </w:rPr>
              <w:t>台面打开尺寸：总长为700mm±5mm*宽为550mm±5mm*高度为750mm±5mm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46.</w:t>
            </w:r>
            <w:r>
              <w:rPr>
                <w:rStyle w:val="40"/>
                <w:rFonts w:hint="default"/>
                <w:lang w:bidi="ar"/>
              </w:rPr>
              <w:t>台架有旋钮折叠装置，脚轮采用φ60±3mmPU万向脚轮带刹车</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台面板：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47.</w:t>
            </w:r>
            <w:r>
              <w:rPr>
                <w:rStyle w:val="40"/>
                <w:rFonts w:hint="default"/>
                <w:lang w:bidi="ar"/>
              </w:rPr>
              <w:t>台面形状为长条形，采用刨花板（三聚氰胺板）；长为700mm±5mm，宽为550mm±5mm，厚度25mm±5mm，面粘三聚氰胺胶面，采用PVC封边条，厚度1.5mm±0.2mm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48.</w:t>
            </w:r>
            <w:r>
              <w:rPr>
                <w:rStyle w:val="41"/>
                <w:rFonts w:hint="default"/>
                <w:lang w:bidi="ar"/>
              </w:rPr>
              <w:t>▲刨花板依据GB/T 4897-2015的测定，板内密度偏差应符合±10%，含水量范围应符合3%~13%，外观质量要求应符合合格标准，依据GB/T 37189-2018的测定，回弹率应符合≥50%，25%压陷力应符合≥60N，氧指数应符合≥30，吸声系数应符合≥75%；</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49.</w:t>
            </w:r>
            <w:r>
              <w:rPr>
                <w:rStyle w:val="41"/>
                <w:rFonts w:hint="default"/>
                <w:lang w:bidi="ar"/>
              </w:rPr>
              <w:t>▲PVC封边条依据GB/T 16422.2-2022的测定，经氙弧灯老化试验120h，应符合表面无明显变化；依据GB/T 3830-2024的测定，拉伸强度应符合≥15.0MPa，拉伸断裂应变应符合≥180%，直角撕裂强度应≥45KN/m，加热损失率应符合≤2%，依据QB/T 4463-2013的测定，甲醛释放量应符合≤1.5mg/L。</w:t>
            </w:r>
            <w:r>
              <w:rPr>
                <w:rStyle w:val="43"/>
                <w:rFonts w:hint="default"/>
                <w:lang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前挡板：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50.</w:t>
            </w:r>
            <w:r>
              <w:rPr>
                <w:rStyle w:val="40"/>
                <w:rFonts w:hint="default"/>
                <w:lang w:bidi="ar"/>
              </w:rPr>
              <w:t>挡板形状为条形，采用刨花板（三聚氰胺板）；所有参数530mm±3mm*340±2mm，厚度15mm±1mm，面粘三聚氰胺胶板，采用PVC封边条，厚度1.0mm±0.1mm；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台面托架：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51.</w:t>
            </w:r>
            <w:r>
              <w:rPr>
                <w:rStyle w:val="40"/>
                <w:rFonts w:hint="default"/>
                <w:lang w:bidi="ar"/>
              </w:rPr>
              <w:t>采用冷轧钢板经冲压折弯工艺一体而成，长280mm±3mm*宽30mm±1mm，采用壁厚：（3.0mm±0.2mm）表面采用防锈静电喷涂处理</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折叠机构：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52.</w:t>
            </w:r>
            <w:r>
              <w:rPr>
                <w:rStyle w:val="40"/>
                <w:rFonts w:hint="default"/>
                <w:lang w:bidi="ar"/>
              </w:rPr>
              <w:t>桌子两侧采用冷轧60圆形钢管，采用壁厚：4.0mm±0.2mm，焊接在锥形立柱上。需安装舌芯+铝芯+弹簧折叠装置，中间配制六角管传动轴连接铝芯，外侧配置PP一体成型旋钮开关，任何一侧只需轻轻一扭便可折叠</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侧脚：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53.</w:t>
            </w:r>
            <w:r>
              <w:rPr>
                <w:rStyle w:val="40"/>
                <w:rFonts w:hint="default"/>
                <w:lang w:bidi="ar"/>
              </w:rPr>
              <w:t>前脚管采用25mm±0.2mm*50mm±0.5mm冷轧旦形钢管，后脚管采用25mm±0.2mm*50mm±0.5mm冷轧旦形钢管，前后脚跨度540mm±5mm,壁厚（1.2mm±0.2mm）表面采用防锈静电喷涂处理及塑料配件而成。</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横梁：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54.</w:t>
            </w:r>
            <w:r>
              <w:rPr>
                <w:rStyle w:val="40"/>
                <w:rFonts w:hint="default"/>
                <w:lang w:bidi="ar"/>
              </w:rPr>
              <w:t>采用φ50±0.5mm圆形冷轧钢管，长度为535mm±5mm壁厚1.2±0.2mm,表面再经防锈静电喷涂处理。（横梁长度跟随定制尺寸变化）</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书网：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55.</w:t>
            </w:r>
            <w:r>
              <w:rPr>
                <w:rStyle w:val="40"/>
                <w:rFonts w:hint="default"/>
                <w:lang w:bidi="ar"/>
              </w:rPr>
              <w:t>采用φ14±1mm圆管，长度为420mm±4mm(厚度为0.8mm±0.2mm)经塑料件与圆管组合成型表面采用防锈静电喷涂处理。(书网长度跟随定制尺寸变化）</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restart"/>
            <w:vAlign w:val="center"/>
          </w:tcPr>
          <w:p>
            <w:pPr>
              <w:widowControl/>
              <w:jc w:val="center"/>
              <w:textAlignment w:val="center"/>
              <w:rPr>
                <w:color w:val="000000" w:themeColor="text1"/>
                <w:szCs w:val="21"/>
              </w:rPr>
            </w:pPr>
            <w:r>
              <w:rPr>
                <w:rFonts w:hint="eastAsia" w:ascii="宋体" w:hAnsi="宋体" w:eastAsia="宋体" w:cs="宋体"/>
                <w:color w:val="000000"/>
                <w:kern w:val="0"/>
                <w:szCs w:val="21"/>
                <w:lang w:bidi="ar"/>
              </w:rPr>
              <w:t>4</w:t>
            </w:r>
          </w:p>
        </w:tc>
        <w:tc>
          <w:tcPr>
            <w:tcW w:w="1057" w:type="dxa"/>
            <w:vMerge w:val="restart"/>
            <w:vAlign w:val="center"/>
          </w:tcPr>
          <w:p>
            <w:pPr>
              <w:widowControl/>
              <w:jc w:val="center"/>
              <w:textAlignment w:val="center"/>
              <w:rPr>
                <w:color w:val="000000" w:themeColor="text1"/>
                <w:szCs w:val="21"/>
              </w:rPr>
            </w:pPr>
            <w:r>
              <w:rPr>
                <w:rStyle w:val="40"/>
                <w:rFonts w:hint="default"/>
                <w:lang w:bidi="ar"/>
              </w:rPr>
              <w:t>折叠椅</w:t>
            </w:r>
          </w:p>
        </w:tc>
        <w:tc>
          <w:tcPr>
            <w:tcW w:w="8000" w:type="dxa"/>
            <w:gridSpan w:val="4"/>
            <w:vAlign w:val="center"/>
          </w:tcPr>
          <w:p>
            <w:pPr>
              <w:widowControl/>
              <w:jc w:val="left"/>
              <w:textAlignment w:val="center"/>
              <w:rPr>
                <w:rStyle w:val="39"/>
                <w:rFonts w:hint="default"/>
                <w:lang w:bidi="ar"/>
              </w:rPr>
            </w:pPr>
            <w:r>
              <w:rPr>
                <w:rStyle w:val="39"/>
                <w:rFonts w:hint="default"/>
                <w:lang w:bidi="ar"/>
              </w:rPr>
              <w:t>外形尺寸：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56.</w:t>
            </w:r>
            <w:r>
              <w:rPr>
                <w:rStyle w:val="40"/>
                <w:rFonts w:hint="default"/>
                <w:lang w:bidi="ar"/>
              </w:rPr>
              <w:t>尺寸：长630mm±5mm*宽630mm±5mm*高830mm±5mm</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57.</w:t>
            </w:r>
            <w:r>
              <w:rPr>
                <w:rStyle w:val="40"/>
                <w:rFonts w:hint="default"/>
                <w:lang w:bidi="ar"/>
              </w:rPr>
              <w:t>靠背框架采用pp+20%铅材质。靠背连接件装饰盖采用ABS材质，靠背网布采用涤纶材质，胶条采用PE材质，活动扶手采用PP材质；</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坐垫：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58.</w:t>
            </w:r>
            <w:r>
              <w:rPr>
                <w:rStyle w:val="40"/>
                <w:rFonts w:hint="default"/>
                <w:lang w:bidi="ar"/>
              </w:rPr>
              <w:t>坐垫定型海绵采用聚合物多元醇二苯基甲烷二异氰酸酯。坐垫塑胶底盘采用pp材质，坐垫木板采用普通胶水桉木单板胶合板，坐垫卡扣固定件采用pp材质，座布采用长丝pp+纤维材质；</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8000" w:type="dxa"/>
            <w:gridSpan w:val="4"/>
            <w:vAlign w:val="center"/>
          </w:tcPr>
          <w:p>
            <w:pPr>
              <w:widowControl/>
              <w:jc w:val="left"/>
              <w:textAlignment w:val="center"/>
              <w:rPr>
                <w:rStyle w:val="39"/>
                <w:rFonts w:hint="default"/>
                <w:lang w:bidi="ar"/>
              </w:rPr>
            </w:pPr>
            <w:r>
              <w:rPr>
                <w:rStyle w:val="39"/>
                <w:rFonts w:hint="default"/>
                <w:lang w:bidi="ar"/>
              </w:rPr>
              <w:t>铁框架：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2" w:type="dxa"/>
            <w:vMerge w:val="continue"/>
            <w:vAlign w:val="center"/>
          </w:tcPr>
          <w:p>
            <w:pPr>
              <w:jc w:val="center"/>
              <w:rPr>
                <w:color w:val="000000" w:themeColor="text1"/>
                <w:szCs w:val="21"/>
              </w:rPr>
            </w:pPr>
          </w:p>
        </w:tc>
        <w:tc>
          <w:tcPr>
            <w:tcW w:w="1057" w:type="dxa"/>
            <w:vMerge w:val="continue"/>
            <w:vAlign w:val="center"/>
          </w:tcPr>
          <w:p>
            <w:pPr>
              <w:jc w:val="center"/>
              <w:rPr>
                <w:color w:val="000000" w:themeColor="text1"/>
                <w:szCs w:val="21"/>
              </w:rPr>
            </w:pPr>
          </w:p>
        </w:tc>
        <w:tc>
          <w:tcPr>
            <w:tcW w:w="5541" w:type="dxa"/>
            <w:vAlign w:val="center"/>
          </w:tcPr>
          <w:p>
            <w:pPr>
              <w:widowControl/>
              <w:jc w:val="left"/>
              <w:textAlignment w:val="center"/>
              <w:rPr>
                <w:color w:val="000000" w:themeColor="text1"/>
                <w:szCs w:val="21"/>
              </w:rPr>
            </w:pPr>
            <w:r>
              <w:rPr>
                <w:rStyle w:val="38"/>
                <w:rFonts w:hint="default"/>
                <w:lang w:bidi="ar"/>
              </w:rPr>
              <w:t>59.</w:t>
            </w:r>
            <w:r>
              <w:rPr>
                <w:rStyle w:val="40"/>
                <w:rFonts w:hint="default"/>
                <w:lang w:bidi="ar"/>
              </w:rPr>
              <w:t>椅架采用33mm±1mm*20mm±1mm壁厚1.5mm±0.1mm冷轧钢管，椅架中间采用直径19mm±1mm圆管壁厚1.5mm±0.1mm做横梁连接；脚轮：采用φ50±2mm尼龙材质+PVC，静音设置，移动时不会发出噪音；脚塞采用pp+30%纤维材质</w:t>
            </w:r>
          </w:p>
        </w:tc>
        <w:tc>
          <w:tcPr>
            <w:tcW w:w="1091" w:type="dxa"/>
            <w:vAlign w:val="center"/>
          </w:tcPr>
          <w:p>
            <w:pPr>
              <w:widowControl/>
              <w:jc w:val="left"/>
              <w:textAlignment w:val="center"/>
              <w:rPr>
                <w:rStyle w:val="38"/>
                <w:rFonts w:hint="default"/>
                <w:lang w:bidi="ar"/>
              </w:rPr>
            </w:pPr>
          </w:p>
        </w:tc>
        <w:tc>
          <w:tcPr>
            <w:tcW w:w="852" w:type="dxa"/>
            <w:vAlign w:val="center"/>
          </w:tcPr>
          <w:p>
            <w:pPr>
              <w:widowControl/>
              <w:jc w:val="left"/>
              <w:textAlignment w:val="center"/>
              <w:rPr>
                <w:rStyle w:val="38"/>
                <w:rFonts w:hint="default"/>
                <w:lang w:bidi="ar"/>
              </w:rPr>
            </w:pPr>
          </w:p>
        </w:tc>
        <w:tc>
          <w:tcPr>
            <w:tcW w:w="516" w:type="dxa"/>
            <w:vAlign w:val="center"/>
          </w:tcPr>
          <w:p>
            <w:pPr>
              <w:widowControl/>
              <w:jc w:val="left"/>
              <w:textAlignment w:val="center"/>
              <w:rPr>
                <w:rStyle w:val="38"/>
                <w:rFonts w:hint="default"/>
                <w:lang w:bidi="ar"/>
              </w:rPr>
            </w:pPr>
          </w:p>
        </w:tc>
      </w:tr>
    </w:tbl>
    <w:p>
      <w:pPr>
        <w:rPr>
          <w:sz w:val="24"/>
        </w:rPr>
      </w:pPr>
    </w:p>
    <w:p>
      <w:pPr>
        <w:rPr>
          <w:szCs w:val="21"/>
        </w:rPr>
      </w:pPr>
      <w:bookmarkStart w:id="66" w:name="_Hlk72095977"/>
      <w:r>
        <w:rPr>
          <w:rFonts w:hint="eastAsia"/>
          <w:szCs w:val="21"/>
        </w:rPr>
        <w:t>证明资料【如有的话，提供的证明资料应统一编号（排序），格式自定】</w:t>
      </w:r>
      <w:bookmarkEnd w:id="66"/>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7" w:name="_Hlk72094407"/>
      <w:r>
        <w:rPr>
          <w:rFonts w:hint="eastAsia"/>
          <w:bCs/>
          <w:szCs w:val="21"/>
        </w:rPr>
        <w:t>对应“用户需求书”中的“技术要求”章节</w:t>
      </w:r>
      <w:bookmarkEnd w:id="67"/>
      <w:r>
        <w:rPr>
          <w:rFonts w:hint="eastAsia"/>
          <w:bCs/>
          <w:szCs w:val="21"/>
        </w:rPr>
        <w:t>相关内容。</w:t>
      </w:r>
    </w:p>
    <w:p>
      <w:pPr>
        <w:pStyle w:val="15"/>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8" w:name="_Hlk72158270"/>
      <w:r>
        <w:rPr>
          <w:rFonts w:hint="eastAsia"/>
          <w:bCs/>
          <w:szCs w:val="21"/>
        </w:rPr>
        <w:t>“偏离情况”</w:t>
      </w:r>
      <w:bookmarkEnd w:id="68"/>
      <w:r>
        <w:rPr>
          <w:rFonts w:hint="eastAsia"/>
          <w:bCs/>
          <w:szCs w:val="21"/>
        </w:rPr>
        <w:t>一栏填写如实填写“正偏离”、“负偏离”或“无偏离”，其中：</w:t>
      </w:r>
      <w:bookmarkStart w:id="69" w:name="_Hlk72093866"/>
      <w:r>
        <w:rPr>
          <w:rFonts w:hint="eastAsia"/>
          <w:bCs/>
          <w:szCs w:val="21"/>
        </w:rPr>
        <w:t>“正偏离”表示“投标响应优于招标技术要求”，“负偏离”表示“投标响应不满足招标技术要求”，“无偏离”表示“投标响应与招标技术要求一致”</w:t>
      </w:r>
      <w:bookmarkEnd w:id="69"/>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70" w:name="_Hlk72096106"/>
      <w:r>
        <w:rPr>
          <w:rFonts w:hint="eastAsia"/>
          <w:bCs/>
          <w:szCs w:val="21"/>
        </w:rPr>
        <w:t>证明资料条款响应要求</w:t>
      </w:r>
      <w:bookmarkEnd w:id="70"/>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Cs/>
          <w:szCs w:val="21"/>
        </w:rPr>
        <w:t>且投标人在“偏离情况”一栏响应为“正偏离”或“无偏离”的，经评审委员会认定，将判定为负偏离。</w:t>
      </w:r>
      <w:bookmarkEnd w:id="71"/>
      <w:bookmarkEnd w:id="72"/>
    </w:p>
    <w:p>
      <w:pPr>
        <w:ind w:firstLine="420" w:firstLineChars="200"/>
        <w:rPr>
          <w:bCs/>
          <w:szCs w:val="21"/>
        </w:rPr>
      </w:pPr>
      <w:r>
        <w:rPr>
          <w:rFonts w:hint="eastAsia"/>
          <w:bCs/>
          <w:szCs w:val="21"/>
        </w:rPr>
        <w:t>6、</w:t>
      </w:r>
      <w:bookmarkStart w:id="73" w:name="_Hlk72096137"/>
      <w:r>
        <w:rPr>
          <w:rFonts w:hint="eastAsia"/>
          <w:bCs/>
          <w:szCs w:val="21"/>
        </w:rPr>
        <w:t>表后“证明资料”部分内容的编制</w:t>
      </w:r>
      <w:bookmarkEnd w:id="73"/>
      <w:r>
        <w:rPr>
          <w:rFonts w:hint="eastAsia"/>
          <w:bCs/>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Cs/>
          <w:szCs w:val="21"/>
        </w:rPr>
        <w:t>未按照招标文件要求在表后放置证明材料的供应商将承担不利后果，经评审委员会认定，相关技术要求将判定为负偏离。</w:t>
      </w:r>
      <w:bookmarkEnd w:id="74"/>
    </w:p>
    <w:p>
      <w:pPr>
        <w:ind w:firstLine="420" w:firstLineChars="200"/>
        <w:rPr>
          <w:bCs/>
          <w:szCs w:val="21"/>
        </w:rPr>
      </w:pPr>
      <w:r>
        <w:rPr>
          <w:rFonts w:hint="eastAsia"/>
          <w:bCs/>
          <w:szCs w:val="21"/>
        </w:rPr>
        <w:t>7、</w:t>
      </w:r>
      <w:bookmarkStart w:id="75" w:name="_Hlk72096176"/>
      <w:r>
        <w:rPr>
          <w:rFonts w:hint="eastAsia"/>
          <w:bCs/>
          <w:szCs w:val="21"/>
        </w:rPr>
        <w:t>证明资料的形式及其它具体要求</w:t>
      </w:r>
      <w:bookmarkEnd w:id="75"/>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6"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6"/>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rPr>
        <w:t>六、政府采购节能环保产品情况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bCs/>
          <w:szCs w:val="21"/>
        </w:rPr>
      </w:pPr>
      <w:r>
        <w:rPr>
          <w:rFonts w:hint="eastAsia" w:ascii="黑体" w:eastAsia="黑体"/>
          <w:b w:val="0"/>
          <w:bCs w:val="0"/>
          <w:sz w:val="24"/>
          <w:szCs w:val="20"/>
          <w:lang w:val="en-US" w:eastAsia="zh-CN"/>
        </w:rPr>
        <w:t>九、</w:t>
      </w:r>
      <w:r>
        <w:rPr>
          <w:rFonts w:hint="eastAsia" w:ascii="黑体" w:eastAsia="黑体"/>
          <w:b w:val="0"/>
          <w:bCs w:val="0"/>
          <w:sz w:val="24"/>
          <w:szCs w:val="20"/>
        </w:rPr>
        <w:t>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rPr>
          <w:sz w:val="24"/>
        </w:rPr>
      </w:pPr>
      <w:bookmarkStart w:id="77" w:name="_Hlk72260576"/>
    </w:p>
    <w:p>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8" w:name="_Hlk72062872"/>
      <w:r>
        <w:rPr>
          <w:rFonts w:hint="eastAsia" w:ascii="黑体" w:eastAsia="黑体"/>
          <w:b w:val="0"/>
          <w:bCs w:val="0"/>
          <w:sz w:val="24"/>
          <w:szCs w:val="20"/>
        </w:rPr>
        <w:t>投标人认为需要加以说明的其他内容</w:t>
      </w:r>
      <w:bookmarkEnd w:id="78"/>
    </w:p>
    <w:bookmarkEnd w:id="77"/>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spacing w:val="-4"/>
                <w:kern w:val="0"/>
                <w:szCs w:val="21"/>
              </w:rPr>
            </w:pPr>
          </w:p>
        </w:tc>
      </w:tr>
    </w:tbl>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ascii="宋体" w:hAnsi="宋体" w:eastAsia="宋体"/>
          <w:b/>
          <w:bCs/>
          <w:spacing w:val="-4"/>
          <w:kern w:val="0"/>
          <w:szCs w:val="21"/>
        </w:rPr>
      </w:pPr>
    </w:p>
    <w:p>
      <w:pPr>
        <w:widowControl/>
        <w:autoSpaceDE w:val="0"/>
        <w:autoSpaceDN w:val="0"/>
        <w:spacing w:line="340" w:lineRule="exact"/>
        <w:ind w:firstLine="406" w:firstLineChars="200"/>
        <w:jc w:val="left"/>
        <w:rPr>
          <w:rFonts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7"/>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pPr>
      <w:bookmarkStart w:id="79" w:name="_Toc3995"/>
      <w:r>
        <w:rPr>
          <w:rFonts w:hint="eastAsia"/>
          <w:b/>
          <w:sz w:val="24"/>
        </w:rPr>
        <w:t>（仅供参考，具体以项目需求及采购结果为准）</w:t>
      </w:r>
    </w:p>
    <w:p>
      <w:pPr>
        <w:jc w:val="center"/>
        <w:rPr>
          <w:rFonts w:ascii="宋体" w:hAnsi="宋体" w:eastAsia="宋体" w:cs="宋体"/>
          <w:b/>
          <w:bCs/>
          <w:spacing w:val="-20"/>
          <w:kern w:val="44"/>
          <w:sz w:val="48"/>
          <w:szCs w:val="48"/>
        </w:rPr>
      </w:pPr>
    </w:p>
    <w:p>
      <w:pPr>
        <w:jc w:val="center"/>
        <w:rPr>
          <w:rFonts w:ascii="宋体" w:hAnsi="宋体" w:eastAsia="宋体" w:cs="宋体"/>
          <w:b/>
          <w:bCs/>
          <w:spacing w:val="-20"/>
          <w:kern w:val="44"/>
          <w:sz w:val="48"/>
          <w:szCs w:val="48"/>
        </w:rPr>
      </w:pPr>
    </w:p>
    <w:p>
      <w:pPr>
        <w:pStyle w:val="7"/>
      </w:pP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79"/>
    <w:p>
      <w:pPr>
        <w:keepNext/>
        <w:keepLines/>
        <w:adjustRightInd w:val="0"/>
        <w:snapToGrid w:val="0"/>
        <w:spacing w:line="400" w:lineRule="exact"/>
        <w:jc w:val="center"/>
        <w:rPr>
          <w:rFonts w:ascii="黑体" w:hAnsi="黑体" w:eastAsia="黑体" w:cs="Times New Roman"/>
          <w:b/>
          <w:bCs/>
          <w:sz w:val="28"/>
          <w:szCs w:val="28"/>
        </w:rPr>
      </w:pPr>
      <w:bookmarkStart w:id="80" w:name="_Toc22209"/>
    </w:p>
    <w:p>
      <w:pPr>
        <w:keepNext/>
        <w:keepLines/>
        <w:adjustRightInd w:val="0"/>
        <w:snapToGrid w:val="0"/>
        <w:spacing w:line="400" w:lineRule="exact"/>
        <w:jc w:val="center"/>
        <w:outlineLvl w:val="1"/>
        <w:rPr>
          <w:rFonts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0"/>
    </w:p>
    <w:p>
      <w:pPr>
        <w:keepNext/>
        <w:keepLines/>
        <w:adjustRightInd w:val="0"/>
        <w:snapToGrid w:val="0"/>
        <w:spacing w:line="400" w:lineRule="exact"/>
        <w:jc w:val="center"/>
        <w:rPr>
          <w:rFonts w:ascii="黑体" w:hAnsi="华文中宋" w:eastAsia="黑体" w:cs="Times New Roman"/>
          <w:sz w:val="28"/>
          <w:szCs w:val="28"/>
        </w:rPr>
      </w:pPr>
    </w:p>
    <w:p>
      <w:pPr>
        <w:adjustRightInd w:val="0"/>
        <w:snapToGrid w:val="0"/>
        <w:spacing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项目信息</w:t>
      </w:r>
    </w:p>
    <w:p>
      <w:pPr>
        <w:numPr>
          <w:ilvl w:val="0"/>
          <w:numId w:val="5"/>
        </w:numPr>
        <w:adjustRightInd w:val="0"/>
        <w:snapToGrid w:val="0"/>
        <w:spacing w:line="400" w:lineRule="exact"/>
        <w:ind w:firstLine="420" w:firstLineChars="200"/>
        <w:rPr>
          <w:rFonts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line="400" w:lineRule="exact"/>
        <w:ind w:firstLine="422" w:firstLineChars="200"/>
        <w:rPr>
          <w:rFonts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ascii="黑体" w:hAnsi="黑体" w:eastAsia="黑体" w:cs="Times New Roman"/>
          <w:b/>
          <w:bCs/>
          <w:sz w:val="28"/>
          <w:szCs w:val="28"/>
        </w:rPr>
      </w:pPr>
      <w:r>
        <w:rPr>
          <w:rFonts w:ascii="宋体" w:hAnsi="宋体" w:eastAsia="宋体" w:cs="Times New Roman"/>
          <w:b/>
          <w:bCs/>
          <w:szCs w:val="21"/>
          <w:u w:val="single"/>
        </w:rPr>
        <w:br w:type="page"/>
      </w:r>
      <w:bookmarkStart w:id="81" w:name="_Toc27624"/>
      <w:r>
        <w:rPr>
          <w:rFonts w:hint="eastAsia" w:ascii="黑体" w:hAnsi="黑体" w:eastAsia="黑体" w:cs="Times New Roman"/>
          <w:sz w:val="28"/>
          <w:szCs w:val="28"/>
        </w:rPr>
        <w:t>第二节 政府采购合同通用条款</w:t>
      </w:r>
      <w:bookmarkEnd w:id="81"/>
    </w:p>
    <w:p>
      <w:pPr>
        <w:tabs>
          <w:tab w:val="left" w:pos="8820"/>
          <w:tab w:val="left" w:pos="9345"/>
          <w:tab w:val="left" w:pos="9765"/>
        </w:tabs>
        <w:adjustRightInd w:val="0"/>
        <w:snapToGrid w:val="0"/>
        <w:spacing w:line="400" w:lineRule="exact"/>
        <w:jc w:val="left"/>
        <w:rPr>
          <w:rFonts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7"/>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8"/>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2"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2"/>
      <w:r>
        <w:rPr>
          <w:rFonts w:hint="eastAsia" w:ascii="宋体" w:hAnsi="宋体" w:eastAsia="宋体"/>
          <w:szCs w:val="21"/>
        </w:rPr>
        <w:t>。</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9"/>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10"/>
        </w:numPr>
        <w:adjustRightInd w:val="0"/>
        <w:snapToGrid w:val="0"/>
        <w:spacing w:line="400" w:lineRule="exact"/>
        <w:jc w:val="left"/>
        <w:rPr>
          <w:rFonts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3" w:name="_Toc20313"/>
    </w:p>
    <w:p>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3"/>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宋体" w:hAnsi="宋体" w:eastAsia="宋体"/>
                <w:szCs w:val="21"/>
              </w:rPr>
            </w:pP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ascii="宋体" w:hAnsi="宋体" w:eastAsia="宋体"/>
                <w:szCs w:val="21"/>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4" w:name="_Hlk72399513"/>
      <w:bookmarkStart w:id="85" w:name="_Hlk72439706"/>
      <w:r>
        <w:rPr>
          <w:rFonts w:hint="eastAsia" w:asciiTheme="majorHAnsi" w:hAnsiTheme="majorHAnsi" w:eastAsiaTheme="majorEastAsia" w:cstheme="majorBidi"/>
          <w:b/>
          <w:bCs/>
          <w:sz w:val="28"/>
          <w:szCs w:val="28"/>
        </w:rPr>
        <w:t>总则</w:t>
      </w:r>
    </w:p>
    <w:bookmarkEnd w:id="84"/>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6" w:name="_Hlk72399729"/>
      <w:r>
        <w:rPr>
          <w:rFonts w:hint="eastAsia" w:ascii="宋体" w:hAnsi="宋体"/>
          <w:szCs w:val="21"/>
        </w:rPr>
        <w:t>如有需要，政府集中采购机构可以对通用条款的内容进行补充。</w:t>
      </w:r>
      <w:bookmarkEnd w:id="86"/>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7"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8"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8"/>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7"/>
    <w:p>
      <w:pPr>
        <w:ind w:firstLine="411" w:firstLineChars="196"/>
        <w:rPr>
          <w:rFonts w:ascii="宋体" w:hAnsi="宋体"/>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9"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9"/>
    </w:p>
    <w:p>
      <w:pPr>
        <w:rPr>
          <w:rFonts w:ascii="宋体" w:hAnsi="宋体"/>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0"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0"/>
    <w:p>
      <w:pPr>
        <w:ind w:firstLine="420" w:firstLineChars="200"/>
        <w:rPr>
          <w:rFonts w:ascii="黑体" w:hAnsi="宋体" w:eastAsia="黑体"/>
          <w:szCs w:val="21"/>
        </w:rPr>
      </w:pPr>
      <w:r>
        <w:rPr>
          <w:rFonts w:hint="eastAsia" w:ascii="黑体" w:hAnsi="宋体" w:eastAsia="黑体"/>
          <w:szCs w:val="21"/>
        </w:rPr>
        <w:t>15．</w:t>
      </w:r>
      <w:bookmarkStart w:id="91"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1"/>
    <w:p>
      <w:pPr>
        <w:ind w:firstLine="420" w:firstLineChars="200"/>
        <w:rPr>
          <w:rFonts w:ascii="黑体" w:hAnsi="宋体" w:eastAsia="黑体"/>
          <w:szCs w:val="21"/>
        </w:rPr>
      </w:pPr>
      <w:r>
        <w:rPr>
          <w:rFonts w:hint="eastAsia" w:ascii="黑体" w:hAnsi="宋体" w:eastAsia="黑体"/>
          <w:szCs w:val="21"/>
        </w:rPr>
        <w:t>18．</w:t>
      </w:r>
      <w:bookmarkStart w:id="92"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2"/>
    <w:p>
      <w:pPr>
        <w:ind w:firstLine="420" w:firstLineChars="200"/>
        <w:rPr>
          <w:rFonts w:ascii="黑体" w:hAnsi="宋体" w:eastAsia="黑体"/>
          <w:szCs w:val="21"/>
        </w:rPr>
      </w:pPr>
      <w:r>
        <w:rPr>
          <w:rFonts w:hint="eastAsia" w:ascii="黑体" w:hAnsi="宋体" w:eastAsia="黑体"/>
          <w:szCs w:val="21"/>
        </w:rPr>
        <w:t>19．</w:t>
      </w:r>
      <w:bookmarkStart w:id="93"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4" w:name="_Hlk71407299"/>
    </w:p>
    <w:bookmarkEnd w:id="94"/>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3"/>
    <w:p>
      <w:pPr>
        <w:ind w:firstLine="420" w:firstLineChars="200"/>
        <w:rPr>
          <w:rFonts w:ascii="宋体" w:hAnsi="宋体"/>
          <w:szCs w:val="21"/>
        </w:rPr>
      </w:pPr>
      <w:bookmarkStart w:id="9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5"/>
    <w:p>
      <w:pPr>
        <w:ind w:firstLine="420" w:firstLineChars="200"/>
        <w:rPr>
          <w:rFonts w:ascii="黑体" w:hAnsi="宋体" w:eastAsia="黑体"/>
          <w:szCs w:val="21"/>
        </w:rPr>
      </w:pPr>
      <w:r>
        <w:rPr>
          <w:rFonts w:hint="eastAsia" w:ascii="黑体" w:hAnsi="宋体" w:eastAsia="黑体"/>
          <w:szCs w:val="21"/>
        </w:rPr>
        <w:t>21．</w:t>
      </w:r>
      <w:bookmarkStart w:id="96"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6"/>
    <w:p>
      <w:pPr>
        <w:ind w:firstLine="420" w:firstLineChars="200"/>
        <w:rPr>
          <w:rFonts w:ascii="黑体" w:hAnsi="宋体" w:eastAsia="黑体"/>
          <w:szCs w:val="21"/>
        </w:rPr>
      </w:pPr>
      <w:r>
        <w:rPr>
          <w:rFonts w:hint="eastAsia" w:ascii="黑体" w:hAnsi="宋体" w:eastAsia="黑体"/>
          <w:szCs w:val="21"/>
        </w:rPr>
        <w:t>23．</w:t>
      </w:r>
      <w:bookmarkStart w:id="97"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7"/>
    </w:p>
    <w:p>
      <w:pPr>
        <w:ind w:firstLine="411" w:firstLineChars="196"/>
        <w:rPr>
          <w:rFonts w:ascii="宋体" w:hAnsi="宋体"/>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8" w:name="_Hlk72405459"/>
      <w:r>
        <w:rPr>
          <w:rFonts w:hint="eastAsia" w:ascii="黑体" w:hAnsi="宋体" w:eastAsia="黑体"/>
          <w:szCs w:val="21"/>
        </w:rPr>
        <w:t>24．投标文件的保密</w:t>
      </w:r>
    </w:p>
    <w:p>
      <w:pPr>
        <w:ind w:firstLine="420" w:firstLineChars="200"/>
        <w:rPr>
          <w:rFonts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8"/>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9"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9"/>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0"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0"/>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1"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1"/>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2" w:name="_Toc73517673"/>
      <w:bookmarkStart w:id="103" w:name="_Toc73521669"/>
      <w:bookmarkStart w:id="104" w:name="_Toc73521581"/>
      <w:bookmarkStart w:id="105" w:name="_Toc73518151"/>
      <w:bookmarkStart w:id="106" w:name="_Toc100052400"/>
      <w:r>
        <w:rPr>
          <w:rFonts w:hint="eastAsia" w:ascii="黑体" w:hAnsi="宋体" w:eastAsia="黑体"/>
          <w:szCs w:val="21"/>
        </w:rPr>
        <w:t>34．错误的修正</w:t>
      </w:r>
      <w:bookmarkEnd w:id="102"/>
      <w:bookmarkEnd w:id="103"/>
      <w:bookmarkEnd w:id="104"/>
      <w:bookmarkEnd w:id="105"/>
      <w:bookmarkEnd w:id="106"/>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7"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7"/>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8"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9" w:name="_Hlk73821177"/>
      <w:r>
        <w:rPr>
          <w:rFonts w:hint="eastAsia" w:ascii="ˎ̥" w:hAnsi="ˎ̥"/>
          <w:szCs w:val="21"/>
        </w:rPr>
        <w:t>唯一候选中标供应商</w:t>
      </w:r>
      <w:bookmarkEnd w:id="109"/>
      <w:r>
        <w:rPr>
          <w:rFonts w:ascii="ˎ̥" w:hAnsi="ˎ̥"/>
          <w:szCs w:val="21"/>
        </w:rPr>
        <w:t>。</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0"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1"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0"/>
      <w:bookmarkEnd w:id="111"/>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8"/>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2"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2"/>
      <w:bookmarkStart w:id="113"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3"/>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4"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4"/>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5" w:name="_Hlk71407340"/>
      <w:r>
        <w:rPr>
          <w:rFonts w:hint="eastAsia" w:ascii="宋体" w:hAnsi="宋体"/>
          <w:szCs w:val="21"/>
        </w:rPr>
        <w:t>41.3因质疑投诉或其他原因导致项目结果变更或采购终止的，政府集中采购机构有权吊销中标通知书。</w:t>
      </w:r>
    </w:p>
    <w:bookmarkEnd w:id="115"/>
    <w:p>
      <w:pPr>
        <w:ind w:firstLine="411" w:firstLineChars="196"/>
        <w:rPr>
          <w:rFonts w:ascii="宋体" w:hAnsi="宋体"/>
          <w:szCs w:val="21"/>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6" w:name="_Hlk72439043"/>
      <w:r>
        <w:rPr>
          <w:rFonts w:hint="eastAsia" w:asciiTheme="majorHAnsi" w:hAnsiTheme="majorHAnsi" w:eastAsiaTheme="majorEastAsia" w:cstheme="majorBidi"/>
          <w:b/>
          <w:bCs/>
          <w:sz w:val="28"/>
          <w:szCs w:val="28"/>
        </w:rPr>
        <w:t>合同的授予与备案</w:t>
      </w:r>
      <w:bookmarkEnd w:id="116"/>
    </w:p>
    <w:p>
      <w:pPr>
        <w:ind w:firstLine="420" w:firstLineChars="200"/>
        <w:rPr>
          <w:rFonts w:ascii="黑体" w:hAnsi="宋体" w:eastAsia="黑体"/>
          <w:szCs w:val="21"/>
        </w:rPr>
      </w:pPr>
      <w:bookmarkStart w:id="117" w:name="_Toc73517679"/>
      <w:bookmarkStart w:id="118" w:name="_Toc73518157"/>
      <w:bookmarkStart w:id="119" w:name="_Toc73521586"/>
      <w:bookmarkStart w:id="120" w:name="_Toc100052408"/>
      <w:bookmarkStart w:id="121" w:name="_Toc73521674"/>
      <w:bookmarkStart w:id="122" w:name="_Hlk72439088"/>
      <w:r>
        <w:rPr>
          <w:rFonts w:hint="eastAsia" w:ascii="黑体" w:hAnsi="宋体" w:eastAsia="黑体"/>
          <w:szCs w:val="21"/>
        </w:rPr>
        <w:t>43．合同授予标准</w:t>
      </w:r>
      <w:bookmarkEnd w:id="117"/>
      <w:bookmarkEnd w:id="118"/>
      <w:bookmarkEnd w:id="119"/>
      <w:bookmarkEnd w:id="120"/>
      <w:bookmarkEnd w:id="121"/>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3" w:name="_Toc73518158"/>
      <w:bookmarkStart w:id="124" w:name="_Toc73517680"/>
      <w:bookmarkStart w:id="125" w:name="_Toc73521587"/>
      <w:bookmarkStart w:id="126" w:name="_Toc73521675"/>
      <w:bookmarkStart w:id="127" w:name="_Toc100052409"/>
      <w:r>
        <w:rPr>
          <w:rFonts w:hint="eastAsia" w:ascii="黑体" w:hAnsi="宋体" w:eastAsia="黑体"/>
          <w:szCs w:val="21"/>
        </w:rPr>
        <w:t>44．</w:t>
      </w:r>
      <w:bookmarkEnd w:id="123"/>
      <w:bookmarkEnd w:id="124"/>
      <w:bookmarkEnd w:id="125"/>
      <w:bookmarkEnd w:id="126"/>
      <w:bookmarkEnd w:id="127"/>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8" w:name="_Toc73518160"/>
      <w:bookmarkStart w:id="129" w:name="_Toc100052410"/>
      <w:bookmarkStart w:id="130" w:name="_Toc73521677"/>
      <w:bookmarkStart w:id="131" w:name="_Toc73521589"/>
      <w:bookmarkStart w:id="132" w:name="_Toc73517682"/>
      <w:r>
        <w:rPr>
          <w:rFonts w:hint="eastAsia" w:ascii="黑体" w:hAnsi="宋体" w:eastAsia="黑体"/>
          <w:szCs w:val="21"/>
        </w:rPr>
        <w:t>45．合同的签订</w:t>
      </w:r>
      <w:bookmarkEnd w:id="128"/>
      <w:bookmarkEnd w:id="129"/>
      <w:bookmarkEnd w:id="130"/>
      <w:bookmarkEnd w:id="131"/>
      <w:bookmarkEnd w:id="132"/>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3" w:name="_Toc100052411"/>
      <w:bookmarkStart w:id="134" w:name="_Toc73518161"/>
      <w:bookmarkStart w:id="135" w:name="_Toc73521590"/>
      <w:bookmarkStart w:id="136" w:name="_Toc73521678"/>
      <w:bookmarkStart w:id="137" w:name="_Toc73517683"/>
      <w:r>
        <w:rPr>
          <w:rFonts w:hint="eastAsia" w:ascii="黑体" w:hAnsi="宋体" w:eastAsia="黑体"/>
          <w:szCs w:val="21"/>
        </w:rPr>
        <w:t>46．履约担保</w:t>
      </w:r>
      <w:bookmarkEnd w:id="133"/>
      <w:bookmarkEnd w:id="134"/>
      <w:bookmarkEnd w:id="135"/>
      <w:bookmarkEnd w:id="136"/>
      <w:bookmarkEnd w:id="137"/>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8" w:name="_Hlk72440769"/>
      <w:r>
        <w:rPr>
          <w:rFonts w:hint="eastAsia" w:ascii="宋体" w:hAnsi="宋体"/>
          <w:szCs w:val="21"/>
        </w:rPr>
        <w:t>政府集中采购机构或采购人不予退还其交纳的谈判保证金，情节严重的，并由主管部门</w:t>
      </w:r>
      <w:bookmarkEnd w:id="138"/>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2"/>
    <w:p>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9" w:name="_Hlk75374941"/>
      <w:r>
        <w:rPr>
          <w:rFonts w:hint="eastAsia" w:ascii="宋体" w:hAnsi="宋体"/>
          <w:szCs w:val="21"/>
        </w:rPr>
        <w:t>以联合体形式参与的，质疑应当由组成联合体的所有成员共同提出</w:t>
      </w:r>
      <w:bookmarkEnd w:id="139"/>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5"/>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0AB4CA-E8A7-4B0E-9FD0-F65F26F97934}"/>
  </w:font>
  <w:font w:name="Arial">
    <w:panose1 w:val="020B0604020202020204"/>
    <w:charset w:val="01"/>
    <w:family w:val="swiss"/>
    <w:pitch w:val="default"/>
    <w:sig w:usb0="E0002EFF" w:usb1="C000785B" w:usb2="00000009" w:usb3="00000000" w:csb0="400001FF" w:csb1="FFFF0000"/>
    <w:embedRegular r:id="rId2" w:fontKey="{C73906DE-0E5A-4FEE-B298-B6723B1976DC}"/>
  </w:font>
  <w:font w:name="黑体">
    <w:panose1 w:val="02010609060101010101"/>
    <w:charset w:val="86"/>
    <w:family w:val="auto"/>
    <w:pitch w:val="default"/>
    <w:sig w:usb0="800002BF" w:usb1="38CF7CFA" w:usb2="00000016" w:usb3="00000000" w:csb0="00040001" w:csb1="00000000"/>
    <w:embedRegular r:id="rId3" w:fontKey="{20B899D6-4865-498A-BE1C-DC0B18ED90F6}"/>
  </w:font>
  <w:font w:name="Courier New">
    <w:panose1 w:val="02070309020205020404"/>
    <w:charset w:val="01"/>
    <w:family w:val="modern"/>
    <w:pitch w:val="default"/>
    <w:sig w:usb0="E0002EFF" w:usb1="C0007843" w:usb2="00000009" w:usb3="00000000" w:csb0="400001FF" w:csb1="FFFF0000"/>
    <w:embedRegular r:id="rId4" w:fontKey="{ED0265DA-2AF8-4FB7-B8C0-5D4B1656DDB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8494EA6-3C3B-42BB-8CE7-A69D00D86CC6}"/>
  </w:font>
  <w:font w:name="Cambria">
    <w:panose1 w:val="02040503050406030204"/>
    <w:charset w:val="00"/>
    <w:family w:val="roman"/>
    <w:pitch w:val="default"/>
    <w:sig w:usb0="E00006FF" w:usb1="420024FF" w:usb2="02000000" w:usb3="00000000" w:csb0="2000019F" w:csb1="00000000"/>
    <w:embedRegular r:id="rId6" w:fontKey="{14B77A9E-3A69-438F-A090-3E5ED042CE4A}"/>
  </w:font>
  <w:font w:name="隶书">
    <w:altName w:val="微软雅黑"/>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283" w:usb1="288F0000" w:usb2="00000006" w:usb3="00000000" w:csb0="00040001" w:csb1="00000000"/>
    <w:embedRegular r:id="rId7" w:fontKey="{C52E4A43-2374-4D9D-A8C6-74BC7611C117}"/>
  </w:font>
  <w:font w:name="仿宋">
    <w:panose1 w:val="02010609060101010101"/>
    <w:charset w:val="86"/>
    <w:family w:val="modern"/>
    <w:pitch w:val="default"/>
    <w:sig w:usb0="800002BF" w:usb1="38CF7CFA" w:usb2="00000016" w:usb3="00000000" w:csb0="00040001" w:csb1="00000000"/>
    <w:embedRegular r:id="rId8" w:fontKey="{DA250FC7-5700-47DB-88E5-599489E95DE9}"/>
  </w:font>
  <w:font w:name="仿宋_GB2312">
    <w:panose1 w:val="02010609030101010101"/>
    <w:charset w:val="86"/>
    <w:family w:val="modern"/>
    <w:pitch w:val="default"/>
    <w:sig w:usb0="00000000" w:usb1="00000000" w:usb2="00000000" w:usb3="00000000" w:csb0="00000000" w:csb1="00000000"/>
    <w:embedRegular r:id="rId9" w:fontKey="{8A9F3A37-D4D8-48F9-B089-1E4C71D119BB}"/>
  </w:font>
  <w:font w:name="方正仿宋_GBK">
    <w:altName w:val="微软雅黑"/>
    <w:panose1 w:val="00000000000000000000"/>
    <w:charset w:val="86"/>
    <w:family w:val="auto"/>
    <w:pitch w:val="default"/>
    <w:sig w:usb0="00000000" w:usb1="00000000" w:usb2="00082016" w:usb3="00000000" w:csb0="00040001" w:csb1="00000000"/>
    <w:embedRegular r:id="rId10" w:fontKey="{9E287210-D3BF-4061-96AB-0880C253D5A7}"/>
  </w:font>
  <w:font w:name="华文中宋">
    <w:panose1 w:val="02010600040101010101"/>
    <w:charset w:val="86"/>
    <w:family w:val="auto"/>
    <w:pitch w:val="default"/>
    <w:sig w:usb0="00000000" w:usb1="00000000" w:usb2="00000000" w:usb3="00000000" w:csb0="00000000" w:csb1="00000000"/>
    <w:embedRegular r:id="rId11" w:fontKey="{E314A6CF-28BC-4F4E-ADA7-E3DA17C11606}"/>
  </w:font>
  <w:font w:name="汉仪书宋二S">
    <w:panose1 w:val="00020600040101010101"/>
    <w:charset w:val="86"/>
    <w:family w:val="auto"/>
    <w:pitch w:val="default"/>
    <w:sig w:usb0="00000000" w:usb1="00000000" w:usb2="00000000" w:usb3="00000000" w:csb0="00000000" w:csb1="00000000"/>
    <w:embedRegular r:id="rId12" w:fontKey="{75347D1E-2857-4BE0-9E21-BC80B77D9DD0}"/>
  </w:font>
  <w:font w:name="华文楷体">
    <w:panose1 w:val="02010600040101010101"/>
    <w:charset w:val="86"/>
    <w:family w:val="auto"/>
    <w:pitch w:val="default"/>
    <w:sig w:usb0="00000000" w:usb1="00000000" w:usb2="00000000" w:usb3="00000000" w:csb0="00000000" w:csb1="00000000"/>
    <w:embedRegular r:id="rId13" w:fontKey="{48D74CE4-6219-475E-BFC6-BEB6EAD212D9}"/>
  </w:font>
  <w:font w:name="ˎ̥">
    <w:altName w:val="Times New Roman"/>
    <w:panose1 w:val="00000000000000000000"/>
    <w:charset w:val="00"/>
    <w:family w:val="auto"/>
    <w:pitch w:val="default"/>
    <w:sig w:usb0="00000000" w:usb1="00000000" w:usb2="00000000" w:usb3="00000000" w:csb0="00040001" w:csb1="00000000"/>
    <w:embedRegular r:id="rId14" w:fontKey="{209DFA38-5788-48D5-A728-C621C666CA4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15</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2"/>
          <w:jc w:val="center"/>
        </w:pPr>
        <w:r>
          <w:fldChar w:fldCharType="begin"/>
        </w:r>
        <w:r>
          <w:instrText xml:space="preserve"> PAGE   \* MERGEFORMAT </w:instrText>
        </w:r>
        <w:r>
          <w:fldChar w:fldCharType="separate"/>
        </w:r>
        <w:r>
          <w:rPr>
            <w:lang w:val="zh-CN"/>
          </w:rPr>
          <w:t>29</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abstractNum w:abstractNumId="10">
    <w:nsid w:val="7DD3A165"/>
    <w:multiLevelType w:val="singleLevel"/>
    <w:tmpl w:val="7DD3A165"/>
    <w:lvl w:ilvl="0" w:tentative="0">
      <w:start w:val="2"/>
      <w:numFmt w:val="decimal"/>
      <w:suff w:val="nothing"/>
      <w:lvlText w:val="%1、"/>
      <w:lvlJc w:val="left"/>
    </w:lvl>
  </w:abstractNum>
  <w:num w:numId="1">
    <w:abstractNumId w:val="10"/>
  </w:num>
  <w:num w:numId="2">
    <w:abstractNumId w:val="0"/>
  </w:num>
  <w:num w:numId="3">
    <w:abstractNumId w:val="1"/>
  </w:num>
  <w:num w:numId="4">
    <w:abstractNumId w:val="9"/>
  </w:num>
  <w:num w:numId="5">
    <w:abstractNumId w:val="3"/>
  </w:num>
  <w:num w:numId="6">
    <w:abstractNumId w:val="7"/>
  </w:num>
  <w:num w:numId="7">
    <w:abstractNumId w:val="5"/>
  </w:num>
  <w:num w:numId="8">
    <w:abstractNumId w:val="4"/>
  </w:num>
  <w:num w:numId="9">
    <w:abstractNumId w:val="2"/>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6A5A"/>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7711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6775C"/>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4D7D"/>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198"/>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5E3"/>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5C2"/>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97AD2"/>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62F4"/>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EE738E1"/>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85BB2"/>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3C0B3F"/>
    <w:rsid w:val="225A4837"/>
    <w:rsid w:val="228D0920"/>
    <w:rsid w:val="23290736"/>
    <w:rsid w:val="23362D65"/>
    <w:rsid w:val="236E5E5F"/>
    <w:rsid w:val="2378337E"/>
    <w:rsid w:val="239A32F4"/>
    <w:rsid w:val="23A61C99"/>
    <w:rsid w:val="23A76F21"/>
    <w:rsid w:val="23C5440E"/>
    <w:rsid w:val="23D3412A"/>
    <w:rsid w:val="23F30C56"/>
    <w:rsid w:val="24266C7C"/>
    <w:rsid w:val="244A2F6C"/>
    <w:rsid w:val="246A64EC"/>
    <w:rsid w:val="248E0882"/>
    <w:rsid w:val="24AB04CD"/>
    <w:rsid w:val="24B85FE4"/>
    <w:rsid w:val="24D67678"/>
    <w:rsid w:val="252E63EA"/>
    <w:rsid w:val="25493224"/>
    <w:rsid w:val="256533FF"/>
    <w:rsid w:val="25E847EB"/>
    <w:rsid w:val="267047E0"/>
    <w:rsid w:val="270F7B55"/>
    <w:rsid w:val="272D0FFA"/>
    <w:rsid w:val="273B6B9C"/>
    <w:rsid w:val="27427F2B"/>
    <w:rsid w:val="27826B9A"/>
    <w:rsid w:val="27857F9B"/>
    <w:rsid w:val="2795721C"/>
    <w:rsid w:val="27A641C3"/>
    <w:rsid w:val="27A6670B"/>
    <w:rsid w:val="27C546B8"/>
    <w:rsid w:val="282633A8"/>
    <w:rsid w:val="284461F5"/>
    <w:rsid w:val="286F1880"/>
    <w:rsid w:val="28A10C81"/>
    <w:rsid w:val="28C921D7"/>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95215"/>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1C01159"/>
    <w:rsid w:val="322D12BA"/>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2710F7"/>
    <w:rsid w:val="3C9A513B"/>
    <w:rsid w:val="3CCD2793"/>
    <w:rsid w:val="3CFA57E4"/>
    <w:rsid w:val="3D0221DE"/>
    <w:rsid w:val="3D1E60DF"/>
    <w:rsid w:val="3DE2791A"/>
    <w:rsid w:val="3E151A9D"/>
    <w:rsid w:val="3E375EB7"/>
    <w:rsid w:val="3E38205E"/>
    <w:rsid w:val="3E580AAA"/>
    <w:rsid w:val="3EA47C68"/>
    <w:rsid w:val="3ED03C16"/>
    <w:rsid w:val="3EEB27FE"/>
    <w:rsid w:val="3F3423F7"/>
    <w:rsid w:val="3F8E1B07"/>
    <w:rsid w:val="40161AFD"/>
    <w:rsid w:val="403326AF"/>
    <w:rsid w:val="403A05AE"/>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C94B1B"/>
    <w:rsid w:val="44E73A68"/>
    <w:rsid w:val="45223845"/>
    <w:rsid w:val="45290298"/>
    <w:rsid w:val="45B00DA2"/>
    <w:rsid w:val="45B51211"/>
    <w:rsid w:val="45BD6D52"/>
    <w:rsid w:val="45D75726"/>
    <w:rsid w:val="45DC6C01"/>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8B0128"/>
    <w:rsid w:val="529674E9"/>
    <w:rsid w:val="52E266DE"/>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9462B9"/>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761C8C"/>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8B07C1"/>
    <w:rsid w:val="64BD496D"/>
    <w:rsid w:val="64BE25DF"/>
    <w:rsid w:val="64C92D63"/>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BFB26B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1F61B4"/>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56F93"/>
    <w:rsid w:val="741D2E7E"/>
    <w:rsid w:val="74A16CBA"/>
    <w:rsid w:val="74B23B2E"/>
    <w:rsid w:val="74CB28DA"/>
    <w:rsid w:val="74D53759"/>
    <w:rsid w:val="74F33BDF"/>
    <w:rsid w:val="752B5D11"/>
    <w:rsid w:val="752C70F1"/>
    <w:rsid w:val="75387844"/>
    <w:rsid w:val="753903C8"/>
    <w:rsid w:val="75697E7B"/>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D05BE1"/>
    <w:rsid w:val="79EE2C15"/>
    <w:rsid w:val="7AA46F38"/>
    <w:rsid w:val="7AA87245"/>
    <w:rsid w:val="7B467F1D"/>
    <w:rsid w:val="7BA7772C"/>
    <w:rsid w:val="7C0924C9"/>
    <w:rsid w:val="7C507B69"/>
    <w:rsid w:val="7C711A95"/>
    <w:rsid w:val="7C8D4919"/>
    <w:rsid w:val="7CBA4FE2"/>
    <w:rsid w:val="7CD24A22"/>
    <w:rsid w:val="7CFD3EDB"/>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spacing w:before="340" w:afterLines="25" w:line="578" w:lineRule="auto"/>
      <w:outlineLvl w:val="0"/>
    </w:pPr>
    <w:rPr>
      <w:rFonts w:ascii="Arial" w:hAnsi="Arial" w:cs="Times New Roman"/>
      <w:kern w:val="44"/>
      <w:sz w:val="44"/>
      <w:szCs w:val="44"/>
    </w:rPr>
  </w:style>
  <w:style w:type="paragraph" w:styleId="5">
    <w:name w:val="heading 2"/>
    <w:basedOn w:val="3"/>
    <w:next w:val="4"/>
    <w:link w:val="33"/>
    <w:semiHidden/>
    <w:unhideWhenUsed/>
    <w:qFormat/>
    <w:uiPriority w:val="9"/>
    <w:pPr>
      <w:spacing w:line="416" w:lineRule="auto"/>
      <w:outlineLvl w:val="1"/>
    </w:pPr>
    <w:rPr>
      <w:rFonts w:asciiTheme="majorHAnsi" w:hAnsiTheme="majorHAnsi" w:eastAsiaTheme="majorEastAsia" w:cstheme="majorBidi"/>
      <w:sz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font11"/>
    <w:basedOn w:val="19"/>
    <w:qFormat/>
    <w:uiPriority w:val="0"/>
    <w:rPr>
      <w:rFonts w:hint="eastAsia" w:ascii="宋体" w:hAnsi="宋体" w:eastAsia="宋体" w:cs="宋体"/>
      <w:color w:val="000000"/>
      <w:sz w:val="21"/>
      <w:szCs w:val="21"/>
      <w:u w:val="none"/>
    </w:rPr>
  </w:style>
  <w:style w:type="character" w:customStyle="1" w:styleId="39">
    <w:name w:val="font21"/>
    <w:basedOn w:val="19"/>
    <w:qFormat/>
    <w:uiPriority w:val="0"/>
    <w:rPr>
      <w:rFonts w:hint="eastAsia" w:ascii="宋体" w:hAnsi="宋体" w:eastAsia="宋体" w:cs="宋体"/>
      <w:b/>
      <w:bCs/>
      <w:color w:val="000000"/>
      <w:sz w:val="21"/>
      <w:szCs w:val="21"/>
      <w:u w:val="none"/>
    </w:rPr>
  </w:style>
  <w:style w:type="character" w:customStyle="1" w:styleId="40">
    <w:name w:val="font31"/>
    <w:basedOn w:val="19"/>
    <w:qFormat/>
    <w:uiPriority w:val="0"/>
    <w:rPr>
      <w:rFonts w:hint="eastAsia" w:ascii="宋体" w:hAnsi="宋体" w:eastAsia="宋体" w:cs="宋体"/>
      <w:color w:val="000000"/>
      <w:sz w:val="21"/>
      <w:szCs w:val="21"/>
      <w:u w:val="none"/>
    </w:rPr>
  </w:style>
  <w:style w:type="character" w:customStyle="1" w:styleId="41">
    <w:name w:val="font41"/>
    <w:basedOn w:val="19"/>
    <w:qFormat/>
    <w:uiPriority w:val="0"/>
    <w:rPr>
      <w:rFonts w:hint="eastAsia" w:ascii="宋体" w:hAnsi="宋体" w:eastAsia="宋体" w:cs="宋体"/>
      <w:color w:val="FF0000"/>
      <w:sz w:val="21"/>
      <w:szCs w:val="21"/>
      <w:u w:val="none"/>
    </w:rPr>
  </w:style>
  <w:style w:type="character" w:customStyle="1" w:styleId="42">
    <w:name w:val="font51"/>
    <w:basedOn w:val="19"/>
    <w:qFormat/>
    <w:uiPriority w:val="0"/>
    <w:rPr>
      <w:rFonts w:hint="eastAsia" w:ascii="宋体" w:hAnsi="宋体" w:eastAsia="宋体" w:cs="宋体"/>
      <w:color w:val="FF0000"/>
      <w:sz w:val="21"/>
      <w:szCs w:val="21"/>
      <w:u w:val="none"/>
      <w:vertAlign w:val="superscript"/>
    </w:rPr>
  </w:style>
  <w:style w:type="character" w:customStyle="1" w:styleId="43">
    <w:name w:val="font61"/>
    <w:basedOn w:val="19"/>
    <w:qFormat/>
    <w:uiPriority w:val="0"/>
    <w:rPr>
      <w:rFonts w:hint="eastAsia" w:ascii="宋体" w:hAnsi="宋体" w:eastAsia="宋体" w:cs="宋体"/>
      <w:b/>
      <w:bCs/>
      <w:color w:val="0000F4"/>
      <w:sz w:val="21"/>
      <w:szCs w:val="21"/>
      <w:u w:val="none"/>
    </w:rPr>
  </w:style>
  <w:style w:type="character" w:customStyle="1" w:styleId="44">
    <w:name w:val="font71"/>
    <w:basedOn w:val="19"/>
    <w:qFormat/>
    <w:uiPriority w:val="0"/>
    <w:rPr>
      <w:rFonts w:hint="eastAsia" w:ascii="宋体" w:hAnsi="宋体" w:eastAsia="宋体" w:cs="宋体"/>
      <w:color w:val="FF0000"/>
      <w:sz w:val="21"/>
      <w:szCs w:val="21"/>
      <w:u w:val="none"/>
      <w:vertAlign w:val="subscript"/>
    </w:rPr>
  </w:style>
  <w:style w:type="character" w:customStyle="1" w:styleId="45">
    <w:name w:val="font81"/>
    <w:basedOn w:val="19"/>
    <w:qFormat/>
    <w:uiPriority w:val="0"/>
    <w:rPr>
      <w:rFonts w:hint="eastAsia" w:ascii="宋体" w:hAnsi="宋体" w:eastAsia="宋体" w:cs="宋体"/>
      <w:color w:val="0000FF"/>
      <w:sz w:val="21"/>
      <w:szCs w:val="21"/>
      <w:u w:val="none"/>
    </w:rPr>
  </w:style>
  <w:style w:type="paragraph" w:customStyle="1" w:styleId="46">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13810</Words>
  <Characters>15597</Characters>
  <Lines>2107</Lines>
  <Paragraphs>1922</Paragraphs>
  <TotalTime>53</TotalTime>
  <ScaleCrop>false</ScaleCrop>
  <LinksUpToDate>false</LinksUpToDate>
  <CharactersWithSpaces>15757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214ZCPB</cp:lastModifiedBy>
  <cp:lastPrinted>2021-01-15T01:17:00Z</cp:lastPrinted>
  <dcterms:modified xsi:type="dcterms:W3CDTF">2025-07-07T08:21:11Z</dcterms:modified>
  <cp:revision>432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1D35441E0ED44CDAA276D758760C3890_12</vt:lpwstr>
  </property>
  <property fmtid="{D5CDD505-2E9C-101B-9397-08002B2CF9AE}" pid="4" name="KSOTemplateDocerSaveRecord">
    <vt:lpwstr>eyJoZGlkIjoiNjRlMzNjOWRhZTA5NzYxNWM5MDk1YmYwYzdiYzFhYzAiLCJ1c2VySWQiOiI1MTE2NDY5MDkifQ==</vt:lpwstr>
  </property>
</Properties>
</file>