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BAZXCG-2025-00223</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深圳市宝安中学（集团）初中部办公家具采购项目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pStyle w:val="7"/>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16.7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1项非“▲”参数不符合招标要求（或缺漏）的扣3.34分，最低得0分。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keepNext w:val="0"/>
              <w:keepLines w:val="0"/>
              <w:widowControl/>
              <w:numPr>
                <w:ilvl w:val="0"/>
                <w:numId w:val="0"/>
              </w:numPr>
              <w:suppressLineNumbers w:val="0"/>
              <w:ind w:firstLine="420" w:firstLineChars="20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针对本项目提供项目设计图方案，方案中应包含：</w:t>
            </w:r>
          </w:p>
          <w:p>
            <w:pPr>
              <w:keepNext w:val="0"/>
              <w:keepLines w:val="0"/>
              <w:widowControl/>
              <w:numPr>
                <w:ilvl w:val="0"/>
                <w:numId w:val="0"/>
              </w:numPr>
              <w:suppressLineNumbers w:val="0"/>
              <w:ind w:firstLine="420" w:firstLineChars="20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1、场所平面布置图（需包括教师办公卡座、床柜、四折床、桌面书架、办公椅、储物柜）；</w:t>
            </w:r>
          </w:p>
          <w:p>
            <w:pPr>
              <w:keepNext w:val="0"/>
              <w:keepLines w:val="0"/>
              <w:widowControl/>
              <w:numPr>
                <w:ilvl w:val="0"/>
                <w:numId w:val="0"/>
              </w:numPr>
              <w:suppressLineNumbers w:val="0"/>
              <w:ind w:firstLine="420" w:firstLineChars="20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2、家具产品配置效果图；</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w:t>
            </w:r>
          </w:p>
          <w:p>
            <w:pPr>
              <w:keepNext w:val="0"/>
              <w:keepLines w:val="0"/>
              <w:widowControl/>
              <w:numPr>
                <w:ilvl w:val="0"/>
                <w:numId w:val="0"/>
              </w:numPr>
              <w:suppressLineNumbers w:val="0"/>
              <w:ind w:firstLine="420" w:firstLineChars="200"/>
              <w:jc w:val="left"/>
              <w:textAlignment w:val="cente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pP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满足上述任意一项内容得</w:t>
            </w:r>
            <w:r>
              <w:rPr>
                <w:rFonts w:hint="eastAsia" w:asciiTheme="minorEastAsia" w:hAnsiTheme="minorEastAsia" w:cstheme="minorEastAsia"/>
                <w:color w:val="auto"/>
                <w:kern w:val="0"/>
                <w:sz w:val="21"/>
                <w:szCs w:val="21"/>
                <w:highlight w:val="none"/>
                <w:shd w:val="clear" w:color="auto" w:fill="auto"/>
                <w:lang w:val="en-US" w:eastAsia="zh-CN" w:bidi="ar"/>
              </w:rPr>
              <w:t>30</w:t>
            </w: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分,最高得60分。</w:t>
            </w:r>
          </w:p>
          <w:p>
            <w:pPr>
              <w:keepNext w:val="0"/>
              <w:keepLines w:val="0"/>
              <w:widowControl/>
              <w:suppressLineNumbers w:val="0"/>
              <w:ind w:firstLine="420" w:firstLineChars="200"/>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在此基础上，对方案的合理性、可行性进行打分。 </w:t>
            </w:r>
          </w:p>
          <w:p>
            <w:pPr>
              <w:keepNext w:val="0"/>
              <w:keepLines w:val="0"/>
              <w:widowControl/>
              <w:numPr>
                <w:ilvl w:val="0"/>
                <w:numId w:val="0"/>
              </w:numPr>
              <w:suppressLineNumbers w:val="0"/>
              <w:ind w:firstLine="420" w:firstLineChars="20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1、方案清晰周密、合理可行、表述完整、方法得当、技术先进、符合相关规范要求得40分。 </w:t>
            </w:r>
          </w:p>
          <w:p>
            <w:pPr>
              <w:keepNext w:val="0"/>
              <w:keepLines w:val="0"/>
              <w:widowControl/>
              <w:numPr>
                <w:ilvl w:val="0"/>
                <w:numId w:val="0"/>
              </w:numPr>
              <w:suppressLineNumbers w:val="0"/>
              <w:ind w:left="420" w:leftChars="20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2、方案基本可行表述基本完整得20分。 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投标人提供本项目的组织实施方案，方案中应包含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1、项目进度计划安排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2、施工组织计划；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3、验收组织计划；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4、产品培训方案；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pP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满足上述任意一项内容得</w:t>
            </w:r>
            <w:r>
              <w:rPr>
                <w:rFonts w:hint="eastAsia" w:asciiTheme="minorEastAsia" w:hAnsiTheme="minorEastAsia" w:cstheme="minorEastAsia"/>
                <w:color w:val="auto"/>
                <w:kern w:val="0"/>
                <w:sz w:val="21"/>
                <w:szCs w:val="21"/>
                <w:highlight w:val="none"/>
                <w:shd w:val="clear" w:color="auto" w:fill="auto"/>
                <w:lang w:val="en-US" w:eastAsia="zh-CN" w:bidi="ar"/>
              </w:rPr>
              <w:t>15</w:t>
            </w: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分,最高得60分。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1、方案清晰周密、合理可行、表述完整、方法得当、技术先进、符合相关规范要求得40分。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2、</w:t>
            </w:r>
            <w:r>
              <w:rPr>
                <w:rFonts w:hint="eastAsia" w:ascii="宋体" w:hAnsi="宋体" w:eastAsia="宋体" w:cs="宋体"/>
                <w:kern w:val="0"/>
                <w:sz w:val="21"/>
                <w:szCs w:val="21"/>
                <w:lang w:val="en-US" w:eastAsia="zh-CN" w:bidi="ar"/>
              </w:rPr>
              <w:t xml:space="preserve">方案基本可行表述基本完整得20分。 </w:t>
            </w:r>
          </w:p>
          <w:p>
            <w:pPr>
              <w:keepNext w:val="0"/>
              <w:keepLines w:val="0"/>
              <w:widowControl/>
              <w:numPr>
                <w:ilvl w:val="0"/>
                <w:numId w:val="0"/>
              </w:numPr>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（一）评审内容：</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投标人提供本项目的售后服务方案，方案中应包含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1、服务内容 </w:t>
            </w:r>
          </w:p>
          <w:p>
            <w:pPr>
              <w:keepNext w:val="0"/>
              <w:keepLines w:val="0"/>
              <w:widowControl/>
              <w:numPr>
                <w:ilvl w:val="0"/>
                <w:numId w:val="0"/>
              </w:numPr>
              <w:suppressLineNumbers w:val="0"/>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kern w:val="0"/>
                <w:sz w:val="21"/>
                <w:szCs w:val="21"/>
                <w:lang w:val="en-US" w:eastAsia="zh-CN" w:bidi="ar"/>
              </w:rPr>
              <w:t xml:space="preserve">维修应急方案 </w:t>
            </w:r>
          </w:p>
          <w:p>
            <w:pPr>
              <w:keepNext w:val="0"/>
              <w:keepLines w:val="0"/>
              <w:widowControl/>
              <w:numPr>
                <w:ilvl w:val="0"/>
                <w:numId w:val="0"/>
              </w:numPr>
              <w:suppressLineNumbers w:val="0"/>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kern w:val="0"/>
                <w:sz w:val="21"/>
                <w:szCs w:val="21"/>
                <w:lang w:val="en-US" w:eastAsia="zh-CN" w:bidi="ar"/>
              </w:rPr>
              <w:t xml:space="preserve">培训计划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kern w:val="0"/>
                <w:sz w:val="21"/>
                <w:szCs w:val="21"/>
                <w:lang w:val="en-US" w:eastAsia="zh-CN" w:bidi="ar"/>
              </w:rPr>
              <w:t xml:space="preserve">其他特色服务等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（二）评审标准：满足上述任意一项内容得15分,最高得60分。</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(1)售后服务方案非常详细，保障措施完善可行，得40分； </w:t>
            </w:r>
          </w:p>
          <w:p>
            <w:pPr>
              <w:keepNext w:val="0"/>
              <w:keepLines w:val="0"/>
              <w:widowControl/>
              <w:numPr>
                <w:ilvl w:val="0"/>
                <w:numId w:val="0"/>
              </w:numPr>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kern w:val="0"/>
                <w:sz w:val="21"/>
                <w:szCs w:val="21"/>
                <w:lang w:val="en-US" w:eastAsia="zh-CN" w:bidi="ar"/>
              </w:rPr>
              <w:t xml:space="preserve">售后服务方案比较具体，保障措施比较完善可行，能够满足招标文件要求的得20分； </w:t>
            </w:r>
          </w:p>
          <w:p>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auto"/>
                <w:kern w:val="0"/>
                <w:sz w:val="21"/>
                <w:szCs w:val="21"/>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pStyle w:val="10"/>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202</w:t>
            </w: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年1月1日（以合同签订日期为准）</w:t>
            </w:r>
            <w:r>
              <w:rPr>
                <w:rFonts w:hint="eastAsia" w:ascii="宋体" w:hAnsi="宋体" w:eastAsia="宋体" w:cs="宋体"/>
                <w:kern w:val="0"/>
                <w:sz w:val="21"/>
                <w:szCs w:val="21"/>
                <w:lang w:val="en-US" w:eastAsia="zh-CN" w:bidi="ar"/>
              </w:rPr>
              <w:t>以后，投标人具有与本项目同类</w:t>
            </w:r>
            <w:r>
              <w:rPr>
                <w:rFonts w:hint="eastAsia" w:asciiTheme="minorEastAsia" w:hAnsiTheme="minorEastAsia" w:eastAsiaTheme="minorEastAsia" w:cstheme="minorEastAsia"/>
                <w:b/>
                <w:bCs/>
                <w:kern w:val="0"/>
                <w:sz w:val="21"/>
                <w:szCs w:val="21"/>
                <w:highlight w:val="yellow"/>
                <w:lang w:bidi="ar"/>
              </w:rPr>
              <w:t>（</w:t>
            </w:r>
            <w:r>
              <w:rPr>
                <w:rFonts w:hint="eastAsia" w:asciiTheme="minorEastAsia" w:hAnsiTheme="minorEastAsia" w:cstheme="minorEastAsia"/>
                <w:b/>
                <w:bCs/>
                <w:kern w:val="0"/>
                <w:sz w:val="21"/>
                <w:szCs w:val="21"/>
                <w:highlight w:val="yellow"/>
                <w:lang w:val="en-US" w:eastAsia="zh-CN" w:bidi="ar"/>
              </w:rPr>
              <w:t>办公家具</w:t>
            </w:r>
            <w:r>
              <w:rPr>
                <w:rFonts w:hint="eastAsia" w:asciiTheme="minorEastAsia" w:hAnsiTheme="minorEastAsia" w:eastAsiaTheme="minorEastAsia" w:cstheme="minorEastAsia"/>
                <w:b/>
                <w:bCs/>
                <w:kern w:val="0"/>
                <w:sz w:val="21"/>
                <w:szCs w:val="21"/>
                <w:highlight w:val="yellow"/>
                <w:lang w:bidi="ar"/>
              </w:rPr>
              <w:t>类）</w:t>
            </w:r>
            <w:r>
              <w:rPr>
                <w:rFonts w:hint="eastAsia" w:ascii="宋体" w:hAnsi="宋体" w:eastAsia="宋体" w:cs="宋体"/>
                <w:kern w:val="0"/>
                <w:sz w:val="21"/>
                <w:szCs w:val="21"/>
                <w:lang w:val="en-US" w:eastAsia="zh-CN" w:bidi="ar"/>
              </w:rPr>
              <w:t>项目经验，且履约评价为优或满意（或同等评价），每提供一个得25分，最高得100分。</w:t>
            </w:r>
          </w:p>
          <w:p>
            <w:pPr>
              <w:pStyle w:val="10"/>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w:t>
            </w:r>
          </w:p>
          <w:p>
            <w:pPr>
              <w:pStyle w:val="10"/>
              <w:rPr>
                <w:rFonts w:hint="eastAsia" w:asciiTheme="majorEastAsia" w:hAnsiTheme="majorEastAsia" w:eastAsiaTheme="majorEastAsia" w:cstheme="majorEastAsia"/>
                <w:color w:val="0000FF"/>
                <w:sz w:val="21"/>
                <w:szCs w:val="21"/>
                <w:highlight w:val="none"/>
                <w:shd w:val="clear" w:color="auto" w:fill="auto"/>
                <w:lang w:val="en-US" w:eastAsia="zh-CN"/>
              </w:rPr>
            </w:pPr>
            <w:r>
              <w:rPr>
                <w:rFonts w:hint="eastAsia" w:asciiTheme="majorEastAsia" w:hAnsiTheme="majorEastAsia" w:eastAsiaTheme="majorEastAsia" w:cstheme="majorEastAsia"/>
                <w:color w:val="0000FF"/>
                <w:kern w:val="0"/>
                <w:sz w:val="21"/>
                <w:szCs w:val="21"/>
                <w:highlight w:val="none"/>
                <w:shd w:val="clear" w:color="auto" w:fill="auto"/>
                <w:lang w:val="en-US" w:eastAsia="zh-CN" w:bidi="ar"/>
              </w:rPr>
              <w:t>1、同时提供以下：（1）合同关键页扫描件（包括但不限于合同首页、内容页、签章页）；（2）设备配置清单扫描件；（3）加盖甲方（合同相对方）公章或业务章的验收报告；（4）履约评价证明[加盖合同相对方公章（或业务章）]。</w:t>
            </w:r>
          </w:p>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color w:val="0000FF"/>
                <w:szCs w:val="21"/>
                <w:highlight w:val="none"/>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4"/>
        <w:rPr>
          <w:rFonts w:hint="eastAsia"/>
        </w:rPr>
      </w:pPr>
    </w:p>
    <w:p>
      <w:pPr>
        <w:pStyle w:val="14"/>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项目管理班子配备情况"/>
      <w:bookmarkEnd w:id="6"/>
      <w:bookmarkStart w:id="7" w:name="bt投标报价汇总表"/>
      <w:bookmarkEnd w:id="7"/>
      <w:bookmarkStart w:id="8" w:name="bt投标人情况介绍"/>
      <w:bookmarkEnd w:id="8"/>
      <w:bookmarkStart w:id="9" w:name="bt说明"/>
      <w:bookmarkEnd w:id="9"/>
      <w:bookmarkStart w:id="10" w:name="bt投标函"/>
      <w:bookmarkEnd w:id="10"/>
      <w:bookmarkStart w:id="11" w:name="合同格式"/>
      <w:bookmarkEnd w:id="11"/>
      <w:bookmarkStart w:id="12" w:name="bt开标一览表"/>
      <w:bookmarkEnd w:id="12"/>
      <w:bookmarkStart w:id="13" w:name="bt合同条款"/>
      <w:bookmarkEnd w:id="13"/>
      <w:bookmarkStart w:id="14" w:name="bt投标人须知"/>
      <w:bookmarkEnd w:id="14"/>
      <w:bookmarkStart w:id="15" w:name="bt本工程承诺书"/>
      <w:bookmarkEnd w:id="15"/>
      <w:bookmarkStart w:id="16" w:name="bt合同格式"/>
      <w:bookmarkEnd w:id="16"/>
      <w:bookmarkStart w:id="17" w:name="bt其他资料由投标人自定"/>
      <w:bookmarkEnd w:id="17"/>
      <w:bookmarkStart w:id="18" w:name="bt合同条款及格式"/>
      <w:bookmarkEnd w:id="18"/>
      <w:bookmarkStart w:id="19" w:name="bt投标文件签署授权委托书"/>
      <w:bookmarkEnd w:id="19"/>
      <w:bookmarkStart w:id="20" w:name="bt其他资料2"/>
      <w:bookmarkEnd w:id="20"/>
      <w:bookmarkStart w:id="21" w:name="bt技术标投标文件格式"/>
      <w:bookmarkEnd w:id="21"/>
      <w:bookmarkStart w:id="22" w:name="bt商务标投标文件格式"/>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pP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547"/>
      <w:bookmarkStart w:id="25" w:name="_Toc100052364"/>
      <w:bookmarkStart w:id="26" w:name="_Toc101074876"/>
      <w:bookmarkStart w:id="27" w:name="_Toc73517639"/>
      <w:bookmarkStart w:id="28" w:name="_Toc73518117"/>
      <w:bookmarkStart w:id="29" w:name="_Toc60631620"/>
      <w:bookmarkStart w:id="30" w:name="_Toc60560625"/>
      <w:bookmarkStart w:id="31" w:name="_Toc73521635"/>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深圳市宝安中学（集团）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numPr>
          <w:ilvl w:val="0"/>
          <w:numId w:val="0"/>
        </w:numPr>
        <w:tabs>
          <w:tab w:val="left" w:pos="720"/>
        </w:tabs>
        <w:rPr>
          <w:rFonts w:hint="eastAsia" w:ascii="黑体" w:hAnsi="宋体" w:eastAsia="黑体"/>
          <w:sz w:val="24"/>
          <w:highlight w:val="none"/>
          <w:lang w:val="en-US" w:eastAsia="zh-CN"/>
        </w:rPr>
      </w:pPr>
      <w:r>
        <w:rPr>
          <w:rFonts w:hint="eastAsia" w:ascii="黑体" w:hAnsi="宋体" w:eastAsia="黑体"/>
          <w:bCs/>
          <w:sz w:val="24"/>
          <w:highlight w:val="none"/>
          <w:lang w:val="en-US" w:eastAsia="zh-CN"/>
        </w:rPr>
        <w:t>2、</w:t>
      </w:r>
      <w:r>
        <w:rPr>
          <w:rFonts w:hint="eastAsia" w:ascii="黑体" w:hAnsi="宋体" w:eastAsia="黑体"/>
          <w:sz w:val="24"/>
          <w:highlight w:val="none"/>
          <w:lang w:val="en-US" w:eastAsia="zh-CN"/>
        </w:rPr>
        <w:t>踏勘现场要求</w:t>
      </w:r>
    </w:p>
    <w:p>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pPr>
        <w:ind w:firstLine="420" w:firstLineChars="200"/>
        <w:rPr>
          <w:rFonts w:hint="eastAsia" w:ascii="Arial" w:hAnsi="Arial" w:eastAsia="宋体" w:cs="Arial"/>
          <w:color w:val="000000"/>
          <w:sz w:val="24"/>
          <w:szCs w:val="24"/>
          <w:highlight w:val="yellow"/>
        </w:rPr>
      </w:pPr>
      <w:r>
        <w:rPr>
          <w:rFonts w:hint="eastAsia" w:ascii="宋体" w:hAnsi="宋体" w:eastAsia="宋体" w:cs="Times New Roman"/>
          <w:kern w:val="2"/>
          <w:sz w:val="21"/>
          <w:szCs w:val="21"/>
          <w:lang w:val="en-US" w:eastAsia="zh-CN" w:bidi="ar-SA"/>
        </w:rPr>
        <w:t>（2）本项目定于2025年7月10日下午4：00在深圳市宝安区洪浪南路5号宝安中学（集团）初中部大门口集中，统一组织踏勘现场，请各投标人准时参加（参与现场踏勘的投标人代表携带授权委托书及身份证原件），逾期不再单独安排；联系人：赵斌，联系电话：13802872638。</w:t>
      </w: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JYCG-DECL-2025-27143</w:t>
            </w:r>
          </w:p>
        </w:tc>
        <w:tc>
          <w:tcPr>
            <w:tcW w:w="3158" w:type="dxa"/>
            <w:vAlign w:val="center"/>
          </w:tcPr>
          <w:p>
            <w:pPr>
              <w:jc w:val="center"/>
              <w:rPr>
                <w:b/>
                <w:bCs/>
                <w:color w:val="FF0000"/>
                <w:szCs w:val="21"/>
              </w:rPr>
            </w:pPr>
            <w:r>
              <w:rPr>
                <w:rFonts w:hint="eastAsia"/>
                <w:b/>
                <w:bCs/>
                <w:color w:val="FF0000"/>
                <w:szCs w:val="21"/>
              </w:rPr>
              <w:t>深圳市宝安中学（集团）初中部办公家具采购项目</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rPr>
              <w:t>540000</w:t>
            </w:r>
            <w:r>
              <w:rPr>
                <w:rFonts w:hint="eastAsia"/>
                <w:bCs/>
                <w:color w:val="FF0000"/>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540000</w:t>
            </w:r>
            <w:r>
              <w:rPr>
                <w:rFonts w:hint="eastAsia"/>
                <w:bCs/>
                <w:color w:val="FF0000"/>
                <w:szCs w:val="21"/>
                <w:lang w:val="en-US" w:eastAsia="zh-CN"/>
              </w:rPr>
              <w:t>.00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525"/>
        <w:gridCol w:w="634"/>
        <w:gridCol w:w="674"/>
        <w:gridCol w:w="1310"/>
        <w:gridCol w:w="1314"/>
        <w:gridCol w:w="1928"/>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序号</w:t>
            </w:r>
          </w:p>
        </w:tc>
        <w:tc>
          <w:tcPr>
            <w:tcW w:w="760" w:type="pct"/>
            <w:vAlign w:val="center"/>
          </w:tcPr>
          <w:p>
            <w:pPr>
              <w:jc w:val="center"/>
              <w:rPr>
                <w:rFonts w:hint="eastAsia"/>
                <w:bCs/>
                <w:szCs w:val="21"/>
              </w:rPr>
            </w:pPr>
            <w:r>
              <w:rPr>
                <w:rFonts w:hint="eastAsia"/>
                <w:bCs/>
                <w:szCs w:val="21"/>
              </w:rPr>
              <w:t>货物名称</w:t>
            </w:r>
          </w:p>
          <w:p>
            <w:pPr>
              <w:jc w:val="center"/>
              <w:rPr>
                <w:bCs/>
                <w:szCs w:val="21"/>
              </w:rPr>
            </w:pPr>
            <w:r>
              <w:rPr>
                <w:rFonts w:hint="eastAsia"/>
                <w:bCs/>
                <w:szCs w:val="21"/>
              </w:rPr>
              <w:t>（标的名称）</w:t>
            </w:r>
          </w:p>
        </w:tc>
        <w:tc>
          <w:tcPr>
            <w:tcW w:w="316" w:type="pct"/>
            <w:vAlign w:val="center"/>
          </w:tcPr>
          <w:p>
            <w:pPr>
              <w:jc w:val="center"/>
              <w:rPr>
                <w:bCs/>
                <w:szCs w:val="21"/>
              </w:rPr>
            </w:pPr>
            <w:r>
              <w:rPr>
                <w:rFonts w:hint="eastAsia"/>
                <w:bCs/>
                <w:szCs w:val="21"/>
              </w:rPr>
              <w:t>数量</w:t>
            </w:r>
          </w:p>
        </w:tc>
        <w:tc>
          <w:tcPr>
            <w:tcW w:w="336" w:type="pct"/>
            <w:vAlign w:val="center"/>
          </w:tcPr>
          <w:p>
            <w:pPr>
              <w:jc w:val="center"/>
              <w:rPr>
                <w:bCs/>
                <w:szCs w:val="21"/>
              </w:rPr>
            </w:pPr>
            <w:r>
              <w:rPr>
                <w:rFonts w:hint="eastAsia"/>
                <w:bCs/>
                <w:szCs w:val="21"/>
              </w:rPr>
              <w:t>单位</w:t>
            </w:r>
          </w:p>
        </w:tc>
        <w:tc>
          <w:tcPr>
            <w:tcW w:w="653" w:type="pct"/>
            <w:vAlign w:val="center"/>
          </w:tcPr>
          <w:p>
            <w:pPr>
              <w:jc w:val="center"/>
              <w:rPr>
                <w:rFonts w:hint="eastAsia" w:ascii="宋体" w:hAnsi="宋体" w:eastAsia="宋体" w:cs="Times New Roman"/>
                <w:b/>
                <w:color w:val="FF0000"/>
                <w:szCs w:val="21"/>
              </w:rPr>
            </w:pPr>
            <w:r>
              <w:rPr>
                <w:rFonts w:hint="eastAsia" w:ascii="宋体" w:hAnsi="宋体" w:eastAsia="宋体" w:cs="Times New Roman"/>
                <w:b/>
                <w:color w:val="FF0000"/>
                <w:szCs w:val="21"/>
              </w:rPr>
              <w:t>单价控制</w:t>
            </w:r>
          </w:p>
          <w:p>
            <w:pPr>
              <w:jc w:val="center"/>
              <w:rPr>
                <w:rFonts w:hint="default" w:eastAsia="宋体"/>
                <w:bCs/>
                <w:szCs w:val="21"/>
                <w:lang w:val="en-US" w:eastAsia="zh-CN"/>
              </w:rPr>
            </w:pPr>
            <w:r>
              <w:rPr>
                <w:rFonts w:hint="eastAsia" w:ascii="宋体" w:hAnsi="宋体" w:eastAsia="宋体" w:cs="Times New Roman"/>
                <w:b/>
                <w:color w:val="FF0000"/>
                <w:szCs w:val="21"/>
              </w:rPr>
              <w:t>金额</w:t>
            </w:r>
            <w:r>
              <w:rPr>
                <w:rFonts w:hint="eastAsia" w:ascii="宋体" w:hAnsi="宋体" w:eastAsia="宋体" w:cs="Times New Roman"/>
                <w:b/>
                <w:color w:val="FF0000"/>
                <w:szCs w:val="21"/>
                <w:lang w:val="en-US" w:eastAsia="zh-CN"/>
              </w:rPr>
              <w:t>(元)</w:t>
            </w:r>
          </w:p>
        </w:tc>
        <w:tc>
          <w:tcPr>
            <w:tcW w:w="655"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961"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978"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1</w:t>
            </w:r>
          </w:p>
        </w:tc>
        <w:tc>
          <w:tcPr>
            <w:tcW w:w="760" w:type="pct"/>
            <w:vAlign w:val="center"/>
          </w:tcPr>
          <w:p>
            <w:pPr>
              <w:jc w:val="center"/>
              <w:rPr>
                <w:rFonts w:hint="eastAsia"/>
                <w:bCs/>
                <w:szCs w:val="21"/>
              </w:rPr>
            </w:pPr>
            <w:r>
              <w:rPr>
                <w:rFonts w:hint="eastAsia"/>
                <w:bCs/>
                <w:szCs w:val="21"/>
                <w:lang w:val="en-US" w:eastAsia="zh-CN"/>
              </w:rPr>
              <w:t>教师办公卡座</w:t>
            </w:r>
          </w:p>
        </w:tc>
        <w:tc>
          <w:tcPr>
            <w:tcW w:w="316" w:type="pct"/>
            <w:vAlign w:val="center"/>
          </w:tcPr>
          <w:p>
            <w:pPr>
              <w:jc w:val="center"/>
              <w:rPr>
                <w:rFonts w:hint="eastAsia"/>
                <w:bCs/>
                <w:szCs w:val="21"/>
              </w:rPr>
            </w:pPr>
            <w:r>
              <w:rPr>
                <w:rFonts w:hint="eastAsia"/>
                <w:bCs/>
                <w:szCs w:val="21"/>
                <w:lang w:val="en-US" w:eastAsia="zh-CN"/>
              </w:rPr>
              <w:t>66</w:t>
            </w:r>
          </w:p>
        </w:tc>
        <w:tc>
          <w:tcPr>
            <w:tcW w:w="336" w:type="pct"/>
            <w:vAlign w:val="center"/>
          </w:tcPr>
          <w:p>
            <w:pPr>
              <w:jc w:val="center"/>
              <w:rPr>
                <w:rFonts w:hint="eastAsia"/>
                <w:bCs/>
                <w:szCs w:val="21"/>
              </w:rPr>
            </w:pPr>
            <w:r>
              <w:rPr>
                <w:rFonts w:hint="eastAsia"/>
                <w:bCs/>
                <w:szCs w:val="21"/>
                <w:lang w:val="en-US" w:eastAsia="zh-CN"/>
              </w:rPr>
              <w:t>套</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4000</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978"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2</w:t>
            </w:r>
          </w:p>
        </w:tc>
        <w:tc>
          <w:tcPr>
            <w:tcW w:w="760" w:type="pct"/>
            <w:vAlign w:val="center"/>
          </w:tcPr>
          <w:p>
            <w:pPr>
              <w:jc w:val="center"/>
              <w:rPr>
                <w:rFonts w:hint="eastAsia"/>
                <w:bCs/>
                <w:szCs w:val="21"/>
              </w:rPr>
            </w:pPr>
            <w:r>
              <w:rPr>
                <w:rFonts w:hint="eastAsia"/>
                <w:bCs/>
                <w:szCs w:val="21"/>
                <w:lang w:val="en-US" w:eastAsia="zh-CN"/>
              </w:rPr>
              <w:t>床柜</w:t>
            </w:r>
          </w:p>
        </w:tc>
        <w:tc>
          <w:tcPr>
            <w:tcW w:w="316" w:type="pct"/>
            <w:vAlign w:val="center"/>
          </w:tcPr>
          <w:p>
            <w:pPr>
              <w:jc w:val="center"/>
              <w:rPr>
                <w:rFonts w:hint="eastAsia"/>
                <w:bCs/>
                <w:szCs w:val="21"/>
              </w:rPr>
            </w:pPr>
            <w:r>
              <w:rPr>
                <w:rFonts w:hint="eastAsia"/>
                <w:bCs/>
                <w:szCs w:val="21"/>
                <w:lang w:val="en-US" w:eastAsia="zh-CN"/>
              </w:rPr>
              <w:t>66</w:t>
            </w:r>
          </w:p>
        </w:tc>
        <w:tc>
          <w:tcPr>
            <w:tcW w:w="336" w:type="pct"/>
            <w:vAlign w:val="center"/>
          </w:tcPr>
          <w:p>
            <w:pPr>
              <w:jc w:val="center"/>
              <w:rPr>
                <w:rFonts w:hint="eastAsia"/>
                <w:bCs/>
                <w:szCs w:val="21"/>
              </w:rPr>
            </w:pPr>
            <w:r>
              <w:rPr>
                <w:rFonts w:hint="eastAsia"/>
                <w:bCs/>
                <w:szCs w:val="21"/>
                <w:lang w:val="en-US" w:eastAsia="zh-CN"/>
              </w:rPr>
              <w:t>张</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rFonts w:hint="eastAsia"/>
                <w:b/>
                <w:bCs/>
                <w:color w:val="FF0000"/>
                <w:szCs w:val="21"/>
              </w:rPr>
            </w:pPr>
            <w:r>
              <w:rPr>
                <w:rFonts w:hint="eastAsia"/>
                <w:b/>
                <w:bCs/>
                <w:color w:val="FF0000"/>
                <w:szCs w:val="21"/>
                <w:lang w:val="en-US" w:eastAsia="zh-CN"/>
              </w:rPr>
              <w:t>否</w:t>
            </w:r>
          </w:p>
        </w:tc>
        <w:tc>
          <w:tcPr>
            <w:tcW w:w="978"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3</w:t>
            </w:r>
          </w:p>
        </w:tc>
        <w:tc>
          <w:tcPr>
            <w:tcW w:w="760" w:type="pct"/>
            <w:vAlign w:val="center"/>
          </w:tcPr>
          <w:p>
            <w:pPr>
              <w:jc w:val="center"/>
              <w:rPr>
                <w:rFonts w:hint="eastAsia"/>
                <w:bCs/>
                <w:szCs w:val="21"/>
              </w:rPr>
            </w:pPr>
            <w:r>
              <w:rPr>
                <w:rFonts w:hint="eastAsia"/>
                <w:bCs/>
                <w:szCs w:val="21"/>
                <w:lang w:val="en-US" w:eastAsia="zh-CN"/>
              </w:rPr>
              <w:t>四折床</w:t>
            </w:r>
          </w:p>
        </w:tc>
        <w:tc>
          <w:tcPr>
            <w:tcW w:w="316" w:type="pct"/>
            <w:vAlign w:val="center"/>
          </w:tcPr>
          <w:p>
            <w:pPr>
              <w:jc w:val="center"/>
              <w:rPr>
                <w:rFonts w:hint="default"/>
                <w:bCs/>
                <w:szCs w:val="21"/>
                <w:lang w:val="en-US"/>
              </w:rPr>
            </w:pPr>
            <w:r>
              <w:rPr>
                <w:rFonts w:hint="eastAsia"/>
                <w:bCs/>
                <w:szCs w:val="21"/>
                <w:lang w:val="en-US" w:eastAsia="zh-CN"/>
              </w:rPr>
              <w:t>68</w:t>
            </w:r>
          </w:p>
        </w:tc>
        <w:tc>
          <w:tcPr>
            <w:tcW w:w="336" w:type="pct"/>
            <w:vAlign w:val="center"/>
          </w:tcPr>
          <w:p>
            <w:pPr>
              <w:jc w:val="center"/>
              <w:rPr>
                <w:rFonts w:hint="eastAsia"/>
                <w:bCs/>
                <w:szCs w:val="21"/>
              </w:rPr>
            </w:pPr>
            <w:r>
              <w:rPr>
                <w:rFonts w:hint="eastAsia"/>
                <w:bCs/>
                <w:szCs w:val="21"/>
                <w:lang w:val="en-US" w:eastAsia="zh-CN"/>
              </w:rPr>
              <w:t>张</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w:t>
            </w:r>
          </w:p>
        </w:tc>
        <w:tc>
          <w:tcPr>
            <w:tcW w:w="655" w:type="pct"/>
            <w:vAlign w:val="center"/>
          </w:tcPr>
          <w:p>
            <w:pPr>
              <w:jc w:val="center"/>
              <w:rPr>
                <w:b/>
                <w:bCs/>
                <w:szCs w:val="21"/>
              </w:rPr>
            </w:pPr>
            <w:r>
              <w:rPr>
                <w:rFonts w:hint="eastAsia"/>
                <w:b/>
                <w:bCs/>
                <w:szCs w:val="21"/>
              </w:rPr>
              <w:t>拒绝进口</w:t>
            </w:r>
          </w:p>
        </w:tc>
        <w:tc>
          <w:tcPr>
            <w:tcW w:w="961" w:type="pct"/>
            <w:vAlign w:val="center"/>
          </w:tcPr>
          <w:p>
            <w:pPr>
              <w:jc w:val="center"/>
              <w:rPr>
                <w:rFonts w:hint="eastAsia"/>
                <w:b/>
                <w:bCs/>
                <w:szCs w:val="21"/>
              </w:rPr>
            </w:pPr>
            <w:r>
              <w:rPr>
                <w:rFonts w:hint="eastAsia"/>
                <w:b/>
                <w:bCs/>
                <w:color w:val="FF0000"/>
                <w:szCs w:val="21"/>
                <w:lang w:val="en-US" w:eastAsia="zh-CN"/>
              </w:rPr>
              <w:t>否</w:t>
            </w:r>
          </w:p>
        </w:tc>
        <w:tc>
          <w:tcPr>
            <w:tcW w:w="978"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4</w:t>
            </w:r>
          </w:p>
        </w:tc>
        <w:tc>
          <w:tcPr>
            <w:tcW w:w="760" w:type="pct"/>
            <w:vAlign w:val="center"/>
          </w:tcPr>
          <w:p>
            <w:pPr>
              <w:jc w:val="center"/>
              <w:rPr>
                <w:rFonts w:hint="eastAsia"/>
                <w:bCs/>
                <w:szCs w:val="21"/>
              </w:rPr>
            </w:pPr>
            <w:r>
              <w:rPr>
                <w:rFonts w:hint="eastAsia"/>
                <w:bCs/>
                <w:szCs w:val="21"/>
                <w:lang w:val="en-US" w:eastAsia="zh-CN"/>
              </w:rPr>
              <w:t>桌面书架</w:t>
            </w:r>
          </w:p>
        </w:tc>
        <w:tc>
          <w:tcPr>
            <w:tcW w:w="316" w:type="pct"/>
            <w:vAlign w:val="center"/>
          </w:tcPr>
          <w:p>
            <w:pPr>
              <w:jc w:val="center"/>
              <w:rPr>
                <w:rFonts w:hint="eastAsia"/>
                <w:bCs/>
                <w:szCs w:val="21"/>
              </w:rPr>
            </w:pPr>
            <w:r>
              <w:rPr>
                <w:rFonts w:hint="eastAsia"/>
                <w:bCs/>
                <w:szCs w:val="21"/>
                <w:lang w:val="en-US" w:eastAsia="zh-CN"/>
              </w:rPr>
              <w:t>66</w:t>
            </w:r>
          </w:p>
        </w:tc>
        <w:tc>
          <w:tcPr>
            <w:tcW w:w="336" w:type="pct"/>
            <w:vAlign w:val="center"/>
          </w:tcPr>
          <w:p>
            <w:pPr>
              <w:jc w:val="center"/>
              <w:rPr>
                <w:rFonts w:hint="eastAsia"/>
                <w:bCs/>
                <w:szCs w:val="21"/>
              </w:rPr>
            </w:pPr>
            <w:r>
              <w:rPr>
                <w:rFonts w:hint="eastAsia"/>
                <w:bCs/>
                <w:szCs w:val="21"/>
                <w:lang w:val="en-US" w:eastAsia="zh-CN"/>
              </w:rPr>
              <w:t>个</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rFonts w:hint="eastAsia"/>
                <w:b/>
                <w:bCs/>
                <w:szCs w:val="21"/>
              </w:rPr>
            </w:pPr>
            <w:r>
              <w:rPr>
                <w:rFonts w:hint="eastAsia"/>
                <w:b/>
                <w:bCs/>
                <w:color w:val="FF0000"/>
                <w:szCs w:val="21"/>
                <w:lang w:val="en-US" w:eastAsia="zh-CN"/>
              </w:rPr>
              <w:t>否</w:t>
            </w:r>
          </w:p>
        </w:tc>
        <w:tc>
          <w:tcPr>
            <w:tcW w:w="978"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5</w:t>
            </w:r>
          </w:p>
        </w:tc>
        <w:tc>
          <w:tcPr>
            <w:tcW w:w="760" w:type="pct"/>
            <w:vAlign w:val="center"/>
          </w:tcPr>
          <w:p>
            <w:pPr>
              <w:jc w:val="center"/>
              <w:rPr>
                <w:rFonts w:hint="eastAsia"/>
                <w:bCs/>
                <w:szCs w:val="21"/>
              </w:rPr>
            </w:pPr>
            <w:r>
              <w:rPr>
                <w:rFonts w:hint="eastAsia"/>
                <w:bCs/>
                <w:szCs w:val="21"/>
                <w:lang w:val="en-US" w:eastAsia="zh-CN"/>
              </w:rPr>
              <w:t>办公椅</w:t>
            </w:r>
          </w:p>
        </w:tc>
        <w:tc>
          <w:tcPr>
            <w:tcW w:w="316" w:type="pct"/>
            <w:vAlign w:val="center"/>
          </w:tcPr>
          <w:p>
            <w:pPr>
              <w:jc w:val="center"/>
              <w:rPr>
                <w:rFonts w:hint="eastAsia"/>
                <w:bCs/>
                <w:szCs w:val="21"/>
              </w:rPr>
            </w:pPr>
            <w:r>
              <w:rPr>
                <w:rFonts w:hint="eastAsia"/>
                <w:bCs/>
                <w:szCs w:val="21"/>
                <w:lang w:val="en-US" w:eastAsia="zh-CN"/>
              </w:rPr>
              <w:t>66</w:t>
            </w:r>
          </w:p>
        </w:tc>
        <w:tc>
          <w:tcPr>
            <w:tcW w:w="336" w:type="pct"/>
            <w:vAlign w:val="center"/>
          </w:tcPr>
          <w:p>
            <w:pPr>
              <w:jc w:val="center"/>
              <w:rPr>
                <w:rFonts w:hint="eastAsia"/>
                <w:bCs/>
                <w:szCs w:val="21"/>
              </w:rPr>
            </w:pPr>
            <w:r>
              <w:rPr>
                <w:rFonts w:hint="eastAsia"/>
                <w:bCs/>
                <w:szCs w:val="21"/>
                <w:lang w:val="en-US" w:eastAsia="zh-CN"/>
              </w:rPr>
              <w:t>张</w:t>
            </w:r>
          </w:p>
        </w:tc>
        <w:tc>
          <w:tcPr>
            <w:tcW w:w="653" w:type="pct"/>
            <w:vAlign w:val="center"/>
          </w:tcPr>
          <w:p>
            <w:pPr>
              <w:jc w:val="center"/>
              <w:rPr>
                <w:rFonts w:hint="eastAsia"/>
                <w:bCs/>
                <w:szCs w:val="21"/>
                <w:highlight w:val="yellow"/>
                <w:lang w:val="en-US" w:eastAsia="zh-CN"/>
              </w:rPr>
            </w:pPr>
            <w:r>
              <w:rPr>
                <w:rFonts w:hint="eastAsia"/>
                <w:bCs/>
                <w:szCs w:val="21"/>
                <w:highlight w:val="yellow"/>
                <w:lang w:val="en-US" w:eastAsia="zh-CN"/>
              </w:rPr>
              <w:t>1320</w:t>
            </w:r>
          </w:p>
        </w:tc>
        <w:tc>
          <w:tcPr>
            <w:tcW w:w="655" w:type="pct"/>
            <w:vAlign w:val="center"/>
          </w:tcPr>
          <w:p>
            <w:pPr>
              <w:jc w:val="center"/>
              <w:rPr>
                <w:b/>
                <w:bCs/>
                <w:color w:val="FF0000"/>
                <w:szCs w:val="21"/>
                <w:highlight w:val="yellow"/>
              </w:rPr>
            </w:pPr>
            <w:r>
              <w:rPr>
                <w:rFonts w:hint="eastAsia"/>
                <w:b/>
                <w:bCs/>
                <w:szCs w:val="21"/>
              </w:rPr>
              <w:t>拒绝进口</w:t>
            </w:r>
          </w:p>
        </w:tc>
        <w:tc>
          <w:tcPr>
            <w:tcW w:w="961" w:type="pct"/>
            <w:vAlign w:val="center"/>
          </w:tcPr>
          <w:p>
            <w:pPr>
              <w:jc w:val="center"/>
              <w:rPr>
                <w:b/>
                <w:bCs/>
                <w:color w:val="FF0000"/>
                <w:szCs w:val="21"/>
                <w:highlight w:val="yellow"/>
              </w:rPr>
            </w:pPr>
            <w:r>
              <w:rPr>
                <w:rFonts w:hint="eastAsia"/>
                <w:b/>
                <w:bCs/>
                <w:color w:val="FF0000"/>
                <w:szCs w:val="21"/>
                <w:lang w:val="en-US" w:eastAsia="zh-CN"/>
              </w:rPr>
              <w:t>否</w:t>
            </w:r>
          </w:p>
        </w:tc>
        <w:tc>
          <w:tcPr>
            <w:tcW w:w="978" w:type="pct"/>
            <w:vAlign w:val="center"/>
          </w:tcPr>
          <w:p>
            <w:pPr>
              <w:jc w:val="center"/>
              <w:rPr>
                <w:b/>
                <w:bCs/>
                <w:color w:val="FF0000"/>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6" w:type="pct"/>
            <w:vAlign w:val="center"/>
          </w:tcPr>
          <w:p>
            <w:pPr>
              <w:jc w:val="center"/>
              <w:rPr>
                <w:bCs/>
                <w:szCs w:val="21"/>
              </w:rPr>
            </w:pPr>
            <w:r>
              <w:rPr>
                <w:rFonts w:hint="eastAsia"/>
                <w:bCs/>
                <w:szCs w:val="21"/>
              </w:rPr>
              <w:t>6</w:t>
            </w:r>
          </w:p>
        </w:tc>
        <w:tc>
          <w:tcPr>
            <w:tcW w:w="760" w:type="pct"/>
            <w:vAlign w:val="center"/>
          </w:tcPr>
          <w:p>
            <w:pPr>
              <w:jc w:val="center"/>
              <w:rPr>
                <w:rFonts w:hint="eastAsia"/>
                <w:bCs/>
                <w:szCs w:val="21"/>
              </w:rPr>
            </w:pPr>
            <w:r>
              <w:rPr>
                <w:rFonts w:hint="eastAsia"/>
                <w:bCs/>
                <w:szCs w:val="21"/>
                <w:lang w:val="en-US" w:eastAsia="zh-CN"/>
              </w:rPr>
              <w:t>储物柜</w:t>
            </w:r>
          </w:p>
        </w:tc>
        <w:tc>
          <w:tcPr>
            <w:tcW w:w="316" w:type="pct"/>
            <w:vAlign w:val="center"/>
          </w:tcPr>
          <w:p>
            <w:pPr>
              <w:jc w:val="center"/>
              <w:rPr>
                <w:rFonts w:hint="eastAsia"/>
                <w:bCs/>
                <w:szCs w:val="21"/>
              </w:rPr>
            </w:pPr>
            <w:r>
              <w:rPr>
                <w:rFonts w:hint="eastAsia"/>
                <w:bCs/>
                <w:szCs w:val="21"/>
                <w:lang w:val="en-US" w:eastAsia="zh-CN"/>
              </w:rPr>
              <w:t>7</w:t>
            </w:r>
          </w:p>
        </w:tc>
        <w:tc>
          <w:tcPr>
            <w:tcW w:w="336" w:type="pct"/>
            <w:vAlign w:val="center"/>
          </w:tcPr>
          <w:p>
            <w:pPr>
              <w:jc w:val="center"/>
              <w:rPr>
                <w:rFonts w:hint="eastAsia"/>
                <w:bCs/>
                <w:szCs w:val="21"/>
              </w:rPr>
            </w:pPr>
            <w:r>
              <w:rPr>
                <w:rFonts w:hint="eastAsia"/>
                <w:bCs/>
                <w:szCs w:val="21"/>
                <w:lang w:val="en-US" w:eastAsia="zh-CN"/>
              </w:rPr>
              <w:t>个</w:t>
            </w:r>
          </w:p>
        </w:tc>
        <w:tc>
          <w:tcPr>
            <w:tcW w:w="653" w:type="pct"/>
            <w:vAlign w:val="center"/>
          </w:tcPr>
          <w:p>
            <w:pPr>
              <w:jc w:val="center"/>
              <w:rPr>
                <w:rFonts w:hint="default"/>
                <w:bCs/>
                <w:szCs w:val="21"/>
                <w:highlight w:val="yellow"/>
                <w:lang w:val="en-US" w:eastAsia="zh-CN"/>
              </w:rPr>
            </w:pPr>
            <w:r>
              <w:rPr>
                <w:rFonts w:hint="eastAsia"/>
                <w:bCs/>
                <w:szCs w:val="21"/>
                <w:highlight w:val="yellow"/>
                <w:lang w:val="en-US" w:eastAsia="zh-CN"/>
              </w:rPr>
              <w:t>3000</w:t>
            </w:r>
          </w:p>
        </w:tc>
        <w:tc>
          <w:tcPr>
            <w:tcW w:w="655" w:type="pct"/>
            <w:vAlign w:val="center"/>
          </w:tcPr>
          <w:p>
            <w:pPr>
              <w:jc w:val="center"/>
              <w:rPr>
                <w:b/>
                <w:bCs/>
                <w:szCs w:val="21"/>
                <w:highlight w:val="yellow"/>
              </w:rPr>
            </w:pPr>
            <w:r>
              <w:rPr>
                <w:rFonts w:hint="eastAsia"/>
                <w:b/>
                <w:bCs/>
                <w:szCs w:val="21"/>
              </w:rPr>
              <w:t>拒绝进口</w:t>
            </w:r>
          </w:p>
        </w:tc>
        <w:tc>
          <w:tcPr>
            <w:tcW w:w="961" w:type="pct"/>
            <w:vAlign w:val="center"/>
          </w:tcPr>
          <w:p>
            <w:pPr>
              <w:jc w:val="center"/>
              <w:rPr>
                <w:b/>
                <w:bCs/>
                <w:szCs w:val="21"/>
                <w:highlight w:val="yellow"/>
              </w:rPr>
            </w:pPr>
            <w:r>
              <w:rPr>
                <w:rFonts w:hint="eastAsia"/>
                <w:b/>
                <w:bCs/>
                <w:color w:val="FF0000"/>
                <w:szCs w:val="21"/>
                <w:lang w:val="en-US" w:eastAsia="zh-CN"/>
              </w:rPr>
              <w:t>否</w:t>
            </w:r>
          </w:p>
        </w:tc>
        <w:tc>
          <w:tcPr>
            <w:tcW w:w="978" w:type="pct"/>
            <w:vAlign w:val="center"/>
          </w:tcPr>
          <w:p>
            <w:pPr>
              <w:jc w:val="center"/>
              <w:rPr>
                <w:b/>
                <w:bCs/>
                <w:szCs w:val="21"/>
                <w:highlight w:val="yellow"/>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1"/>
        </w:numPr>
        <w:ind w:firstLine="422" w:firstLineChars="200"/>
        <w:rPr>
          <w:rFonts w:ascii="宋体" w:hAnsi="宋体"/>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numPr>
          <w:ilvl w:val="0"/>
          <w:numId w:val="1"/>
        </w:numPr>
        <w:ind w:firstLine="422" w:firstLineChars="200"/>
        <w:rPr>
          <w:rFonts w:ascii="宋体" w:hAnsi="宋体"/>
          <w:b/>
          <w:color w:val="FF0000"/>
          <w:szCs w:val="21"/>
        </w:rPr>
      </w:pPr>
      <w:r>
        <w:rPr>
          <w:rFonts w:hint="eastAsia" w:ascii="宋体" w:hAnsi="宋体"/>
          <w:b/>
          <w:color w:val="FF0000"/>
          <w:szCs w:val="21"/>
        </w:rPr>
        <w:t>本项目核心产品为：</w:t>
      </w:r>
      <w:r>
        <w:rPr>
          <w:rFonts w:hint="eastAsia" w:ascii="宋体" w:hAnsi="宋体"/>
          <w:b/>
          <w:color w:val="FF0000"/>
          <w:szCs w:val="21"/>
          <w:u w:val="single"/>
        </w:rPr>
        <w:t xml:space="preserve">   教师办公卡座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14:textFill>
                  <w14:solidFill>
                    <w14:schemeClr w14:val="tx1"/>
                  </w14:solidFill>
                </w14:textFill>
              </w:rPr>
            </w:pPr>
            <w:bookmarkStart w:id="41" w:name="_Hlk70236148"/>
            <w:r>
              <w:rPr>
                <w:color w:val="000000" w:themeColor="text1"/>
                <w:szCs w:val="21"/>
                <w14:textFill>
                  <w14:solidFill>
                    <w14:schemeClr w14:val="tx1"/>
                  </w14:solidFill>
                </w14:textFill>
              </w:rPr>
              <w:t>序号</w:t>
            </w:r>
          </w:p>
        </w:tc>
        <w:tc>
          <w:tcPr>
            <w:tcW w:w="113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64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教师办公卡座</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1、规格：（W1600mm*D1600mm*H1200mm）±5%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2、外观：屏风厚度为40mm，屏风为白色框架，框架铝合金挤压而成，铝材厚度2.0mm表面通过氧化处理，颜色稳定不易褪色，耐撞击，隐藏式走线槽,屏风面板为钢板扪布，里面蒙布含有钢板，可以用磁石吸附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3、连接件：采用铝合金压铸而成，后抛光加以电镀，表面光滑、亮洁，连接牢固，承动更佳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4、桌面基材：采用25mm厚ENF级多层实木板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5、固定柜.规格：（W400mm*D500mm*H725mm）±5%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6、材料：采用双面电解钢板，主体钢板厚度≥0.8mm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left"/>
              <w:textAlignment w:val="top"/>
              <w:rPr>
                <w:rFonts w:hint="default" w:ascii="宋体" w:hAnsi="宋体" w:eastAsia="宋体" w:cs="宋体"/>
                <w:color w:val="000000"/>
                <w:kern w:val="0"/>
                <w:sz w:val="21"/>
                <w:szCs w:val="21"/>
              </w:rPr>
            </w:pPr>
            <w:r>
              <w:rPr>
                <w:rStyle w:val="43"/>
                <w:lang w:val="en-US" w:eastAsia="zh-CN" w:bidi="ar"/>
              </w:rPr>
              <w:t>7、五金配件：锁采用抽芯锁具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8、导轨：三节导轨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▲9、</w:t>
            </w:r>
            <w:r>
              <w:rPr>
                <w:rStyle w:val="42"/>
                <w:lang w:val="en-US" w:eastAsia="zh-CN" w:bidi="ar"/>
              </w:rPr>
              <w:t>实木多层板</w:t>
            </w:r>
            <w:r>
              <w:rPr>
                <w:rStyle w:val="43"/>
                <w:lang w:val="en-US" w:eastAsia="zh-CN" w:bidi="ar"/>
              </w:rPr>
              <w:t>检测依据：GB/T34722-2017浸渍胶膜纸饰面胶合板和细木工板；检测要求：含水率8~10%、表面胶合强度≥1.20MPa、表面耐划痕:≥1.5N表面无大于90%的连续划痕、表面耐磨：磨耗值≤80mg/100r，表面情况：磨350r以后应无露底现象；表面耐冷热循环：无裂纹、鼓泡、变色、起皱等、表面耐龟裂≥5级，表面耐水蒸气≥4级。甲醛释放限量≤0.02mg/m³。</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left"/>
              <w:textAlignment w:val="top"/>
              <w:rPr>
                <w:rFonts w:hint="default"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▲10、屏风卡位检测依据：</w:t>
            </w:r>
            <w:r>
              <w:rPr>
                <w:rStyle w:val="45"/>
                <w:sz w:val="21"/>
                <w:szCs w:val="21"/>
                <w:lang w:val="en-US" w:eastAsia="zh-CN" w:bidi="ar"/>
              </w:rPr>
              <w:t>GB/T 35607-2024 绿色产品评价 家具</w:t>
            </w:r>
            <w:r>
              <w:rPr>
                <w:rStyle w:val="43"/>
                <w:sz w:val="22"/>
                <w:szCs w:val="22"/>
                <w:lang w:val="en-US" w:eastAsia="zh-CN" w:bidi="ar"/>
              </w:rPr>
              <w:t>；检测要求：</w:t>
            </w:r>
            <w:r>
              <w:rPr>
                <w:rStyle w:val="45"/>
                <w:sz w:val="21"/>
                <w:szCs w:val="21"/>
                <w:lang w:val="en-US" w:eastAsia="zh-CN" w:bidi="ar"/>
              </w:rPr>
              <w:t>甲苯未检出；二甲苯未检出；总挥发性有机化合物（TVOC）≤0.15mg/m³；苯未检出；甲醛≤0.05mg/m³</w:t>
            </w:r>
            <w:r>
              <w:rPr>
                <w:rStyle w:val="43"/>
                <w:sz w:val="22"/>
                <w:szCs w:val="22"/>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床柜</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1、规格：（W700mm*D500mm*H725mm）±5%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2、材质：采用双面电解钢板，主体钢板厚度≥0.8.0mm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3、门铰：缓冲门铰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四折床</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1、规格：（W1800mm*D600mm*H640mm）±5%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2、材质：选用麻布面料纹理清晰，抗磨性佳，表面精湛的缝合走线，有效固定里面的填充棉，摸起来均匀、平整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3、床垫：拆洗设计，拉链轻松拉合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4、海绵：加厚约55mm床垫（包含木板+钢管厚度）海绵采用成型P.U发泡高密度阻燃海绵，座垫的密度45kg/m</w:t>
            </w:r>
            <w:r>
              <w:rPr>
                <w:rStyle w:val="42"/>
                <w:rFonts w:hint="eastAsia"/>
                <w:lang w:val="en-US" w:eastAsia="zh-CN" w:bidi="ar"/>
              </w:rPr>
              <w:t>³</w:t>
            </w:r>
            <w:r>
              <w:rPr>
                <w:rStyle w:val="42"/>
                <w:lang w:val="en-US" w:eastAsia="zh-CN" w:bidi="ar"/>
              </w:rPr>
              <w:t>,靠背的密度40kg/m</w:t>
            </w:r>
            <w:r>
              <w:rPr>
                <w:rStyle w:val="42"/>
                <w:rFonts w:hint="eastAsia"/>
                <w:lang w:val="en-US" w:eastAsia="zh-CN" w:bidi="ar"/>
              </w:rPr>
              <w:t>³</w:t>
            </w:r>
            <w:r>
              <w:rPr>
                <w:rStyle w:val="42"/>
                <w:lang w:val="en-US" w:eastAsia="zh-CN" w:bidi="ar"/>
              </w:rPr>
              <w:t>，回弹力≥65%密度、回弹力等指标符合国家标准要求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5、木板：高密度加厚木板承托设计，承托力更强，受力更均匀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▲6、静电喷涂粉末检测依据：QB/T 4371-2012 《家具抗菌性能的评价 附录 B 贴膜法》；检测要求：大肠杆菌、金黄色葡萄球菌、白色葡萄球菌、奇异变形杆菌、海氏肠球菌：抑菌率检测结果均≥99%</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w:t>
            </w:r>
            <w:r>
              <w:rPr>
                <w:rStyle w:val="44"/>
                <w:rFonts w:hint="eastAsia"/>
                <w:highlight w:val="yellow"/>
                <w:lang w:val="en-US" w:eastAsia="zh-CN" w:bidi="ar"/>
              </w:rPr>
              <w:t>1</w:t>
            </w:r>
            <w:r>
              <w:rPr>
                <w:rStyle w:val="44"/>
                <w:highlight w:val="yellow"/>
                <w:lang w:val="en-US" w:eastAsia="zh-CN" w:bidi="ar"/>
              </w:rPr>
              <w:t>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▲7、中密度板检测依据：</w:t>
            </w:r>
            <w:r>
              <w:rPr>
                <w:rStyle w:val="47"/>
                <w:rFonts w:eastAsia="宋体"/>
                <w:lang w:val="en-US" w:eastAsia="zh-CN" w:bidi="ar"/>
              </w:rPr>
              <w:t>GB/T 15102-2017</w:t>
            </w:r>
            <w:r>
              <w:rPr>
                <w:rStyle w:val="43"/>
                <w:lang w:val="en-US" w:eastAsia="zh-CN" w:bidi="ar"/>
              </w:rPr>
              <w:t>浸渍胶膜纸饰面纤维板和刨花板；检测要求：内结合强度≥</w:t>
            </w:r>
            <w:r>
              <w:rPr>
                <w:rStyle w:val="47"/>
                <w:rFonts w:eastAsia="宋体"/>
                <w:lang w:val="en-US" w:eastAsia="zh-CN" w:bidi="ar"/>
              </w:rPr>
              <w:t>0.7Mpa</w:t>
            </w:r>
            <w:r>
              <w:rPr>
                <w:rStyle w:val="43"/>
                <w:lang w:val="en-US" w:eastAsia="zh-CN" w:bidi="ar"/>
              </w:rPr>
              <w:t>，</w:t>
            </w:r>
            <w:r>
              <w:rPr>
                <w:rStyle w:val="47"/>
                <w:rFonts w:eastAsia="宋体"/>
                <w:lang w:val="en-US" w:eastAsia="zh-CN" w:bidi="ar"/>
              </w:rPr>
              <w:t>24h</w:t>
            </w:r>
            <w:r>
              <w:rPr>
                <w:rStyle w:val="43"/>
                <w:lang w:val="en-US" w:eastAsia="zh-CN" w:bidi="ar"/>
              </w:rPr>
              <w:t>吸水厚度膨胀率≤</w:t>
            </w:r>
            <w:r>
              <w:rPr>
                <w:rStyle w:val="47"/>
                <w:rFonts w:eastAsia="宋体"/>
                <w:lang w:val="en-US" w:eastAsia="zh-CN" w:bidi="ar"/>
              </w:rPr>
              <w:t>1.5</w:t>
            </w:r>
            <w:r>
              <w:rPr>
                <w:rStyle w:val="43"/>
                <w:lang w:val="en-US" w:eastAsia="zh-CN" w:bidi="ar"/>
              </w:rPr>
              <w:t>％，含水率</w:t>
            </w:r>
            <w:r>
              <w:rPr>
                <w:rStyle w:val="47"/>
                <w:rFonts w:eastAsia="宋体"/>
                <w:lang w:val="en-US" w:eastAsia="zh-CN" w:bidi="ar"/>
              </w:rPr>
              <w:t>8%~10%</w:t>
            </w:r>
            <w:r>
              <w:rPr>
                <w:rStyle w:val="43"/>
                <w:lang w:val="en-US" w:eastAsia="zh-CN" w:bidi="ar"/>
              </w:rPr>
              <w:t>，表面结合强度≥</w:t>
            </w:r>
            <w:r>
              <w:rPr>
                <w:rStyle w:val="47"/>
                <w:rFonts w:eastAsia="宋体"/>
                <w:lang w:val="en-US" w:eastAsia="zh-CN" w:bidi="ar"/>
              </w:rPr>
              <w:t>1Mpa</w:t>
            </w:r>
            <w:r>
              <w:rPr>
                <w:rStyle w:val="43"/>
                <w:lang w:val="en-US" w:eastAsia="zh-CN" w:bidi="ar"/>
              </w:rPr>
              <w:t>，甲醛释放限量（测试时间</w:t>
            </w:r>
            <w:r>
              <w:rPr>
                <w:rStyle w:val="47"/>
                <w:rFonts w:eastAsia="宋体"/>
                <w:lang w:val="en-US" w:eastAsia="zh-CN" w:bidi="ar"/>
              </w:rPr>
              <w:t>54h</w:t>
            </w:r>
            <w:r>
              <w:rPr>
                <w:rStyle w:val="43"/>
                <w:lang w:val="en-US" w:eastAsia="zh-CN" w:bidi="ar"/>
              </w:rPr>
              <w:t>）≤</w:t>
            </w:r>
            <w:r>
              <w:rPr>
                <w:rStyle w:val="47"/>
                <w:rFonts w:eastAsia="宋体"/>
                <w:lang w:val="en-US" w:eastAsia="zh-CN" w:bidi="ar"/>
              </w:rPr>
              <w:t>0.2mg/m</w:t>
            </w:r>
            <w:r>
              <w:rPr>
                <w:rStyle w:val="43"/>
                <w:lang w:val="en-US" w:eastAsia="zh-CN" w:bidi="ar"/>
              </w:rPr>
              <w:t>³，握螺钉力：板面≥</w:t>
            </w:r>
            <w:r>
              <w:rPr>
                <w:rStyle w:val="47"/>
                <w:rFonts w:eastAsia="宋体"/>
                <w:lang w:val="en-US" w:eastAsia="zh-CN" w:bidi="ar"/>
              </w:rPr>
              <w:t>1100N</w:t>
            </w:r>
            <w:r>
              <w:rPr>
                <w:rStyle w:val="43"/>
                <w:lang w:val="en-US" w:eastAsia="zh-CN" w:bidi="ar"/>
              </w:rPr>
              <w:t>，板边≥</w:t>
            </w:r>
            <w:r>
              <w:rPr>
                <w:rStyle w:val="47"/>
                <w:rFonts w:eastAsia="宋体"/>
                <w:lang w:val="en-US" w:eastAsia="zh-CN" w:bidi="ar"/>
              </w:rPr>
              <w:t>800N</w:t>
            </w:r>
            <w:r>
              <w:rPr>
                <w:rStyle w:val="43"/>
                <w:lang w:val="en-US" w:eastAsia="zh-CN" w:bidi="ar"/>
              </w:rPr>
              <w:t>。</w:t>
            </w:r>
            <w:bookmarkStart w:id="139" w:name="_GoBack"/>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bookmarkEnd w:id="1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桌面书架</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1、规格：（W1500mm*D250mm*H330mm）±5%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2、基材：采用18mm厚ENF级多层实木板。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3、封边：2mm厚PVC封边，热熔胶经自动调温热压机使板材粘连无丝无缝，在不同地区气温、湿度的变化中不受影响，能长期不变形、不开裂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center"/>
          </w:tcPr>
          <w:p>
            <w:pPr>
              <w:keepNext w:val="0"/>
              <w:keepLines w:val="0"/>
              <w:widowControl/>
              <w:suppressLineNumbers w:val="0"/>
              <w:jc w:val="left"/>
              <w:textAlignment w:val="center"/>
              <w:rPr>
                <w:rFonts w:hint="default" w:ascii="宋体" w:hAnsi="宋体" w:eastAsia="宋体" w:cs="宋体"/>
                <w:color w:val="000000"/>
                <w:kern w:val="0"/>
                <w:sz w:val="21"/>
                <w:szCs w:val="21"/>
              </w:rPr>
            </w:pPr>
            <w:r>
              <w:rPr>
                <w:rStyle w:val="42"/>
                <w:lang w:val="en-US" w:eastAsia="zh-CN" w:bidi="ar"/>
              </w:rPr>
              <w:t>4、配件：所有五金件作防锈、防腐处理。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办公椅</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1、规格：（W690mm*D530mm*H1030-1250mm）±5%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2、材料：头枕：PA+GF30%，网面料；椅背：PA+GF30%背框+特网面料；腰靠：活动腰靠+升降调节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3、底盘：三档锁定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4、椅座：定型海绵+网面料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5、气杆：三级气压棒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6、椅脚：金属五星脚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▲7、办公椅检测依据：</w:t>
            </w:r>
            <w:r>
              <w:rPr>
                <w:rStyle w:val="45"/>
                <w:lang w:val="en-US" w:eastAsia="zh-CN" w:bidi="ar"/>
              </w:rPr>
              <w:t>GB/T 3325-2024 金属家具通用技术条件</w:t>
            </w:r>
            <w:r>
              <w:rPr>
                <w:rStyle w:val="43"/>
                <w:lang w:val="en-US" w:eastAsia="zh-CN" w:bidi="ar"/>
              </w:rPr>
              <w:t>；检测要求：结构安全检测结果符合，</w:t>
            </w:r>
            <w:r>
              <w:rPr>
                <w:rStyle w:val="45"/>
                <w:lang w:val="en-US" w:eastAsia="zh-CN" w:bidi="ar"/>
              </w:rPr>
              <w:t>甲苯未检出；二甲苯未检出；总挥发性有机化合物（TVOC）≤0.10mg/m³；苯未检出；甲醛≤0.08mg/m³；纺织品-可分解芳香胺染料未检出</w:t>
            </w:r>
            <w:r>
              <w:rPr>
                <w:rStyle w:val="43"/>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w:t>
            </w:r>
          </w:p>
        </w:tc>
        <w:tc>
          <w:tcPr>
            <w:tcW w:w="1134"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储物柜</w:t>
            </w: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1、规格：（W900mm*D400mm*H2000mm）±5%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2、基材：采用18mm厚ENF级多层实木板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3、封边：2mm厚PVC封边，热熔胶经自动调温热压机使板材粘连无丝无缝，在不同地区气温、湿度的变化中不受影响，能长期不变形、不开裂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4、配件：所有五金件作防锈、防腐处理，门采用缓冲铰链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5、饰面板：双饰面刨花板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rFonts w:hint="eastAsia"/>
                <w:color w:val="000000" w:themeColor="text1"/>
                <w:szCs w:val="21"/>
                <w14:textFill>
                  <w14:solidFill>
                    <w14:schemeClr w14:val="tx1"/>
                  </w14:solidFill>
                </w14:textFill>
              </w:rPr>
            </w:pPr>
          </w:p>
        </w:tc>
        <w:tc>
          <w:tcPr>
            <w:tcW w:w="6485"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▲6、刨花板（饰面）检测依据：</w:t>
            </w:r>
            <w:r>
              <w:rPr>
                <w:rStyle w:val="47"/>
                <w:rFonts w:eastAsia="宋体"/>
                <w:lang w:val="en-US" w:eastAsia="zh-CN" w:bidi="ar"/>
              </w:rPr>
              <w:t>GB/T15102-2017</w:t>
            </w:r>
            <w:r>
              <w:rPr>
                <w:rStyle w:val="43"/>
                <w:lang w:val="en-US" w:eastAsia="zh-CN" w:bidi="ar"/>
              </w:rPr>
              <w:t>浸渍胶膜纸饰面纤维板和刨花板；检测要求：静曲强度≥</w:t>
            </w:r>
            <w:r>
              <w:rPr>
                <w:rStyle w:val="47"/>
                <w:rFonts w:eastAsia="宋体"/>
                <w:lang w:val="en-US" w:eastAsia="zh-CN" w:bidi="ar"/>
              </w:rPr>
              <w:t>13MPa</w:t>
            </w:r>
            <w:r>
              <w:rPr>
                <w:rStyle w:val="43"/>
                <w:lang w:val="en-US" w:eastAsia="zh-CN" w:bidi="ar"/>
              </w:rPr>
              <w:t>，弹性模量≥</w:t>
            </w:r>
            <w:r>
              <w:rPr>
                <w:rStyle w:val="47"/>
                <w:rFonts w:eastAsia="宋体"/>
                <w:lang w:val="en-US" w:eastAsia="zh-CN" w:bidi="ar"/>
              </w:rPr>
              <w:t>2900MPa</w:t>
            </w:r>
            <w:r>
              <w:rPr>
                <w:rStyle w:val="43"/>
                <w:lang w:val="en-US" w:eastAsia="zh-CN" w:bidi="ar"/>
              </w:rPr>
              <w:t>，内结合强度≥</w:t>
            </w:r>
            <w:r>
              <w:rPr>
                <w:rStyle w:val="47"/>
                <w:rFonts w:eastAsia="宋体"/>
                <w:lang w:val="en-US" w:eastAsia="zh-CN" w:bidi="ar"/>
              </w:rPr>
              <w:t>0.50MPa</w:t>
            </w:r>
            <w:r>
              <w:rPr>
                <w:rStyle w:val="43"/>
                <w:lang w:val="en-US" w:eastAsia="zh-CN" w:bidi="ar"/>
              </w:rPr>
              <w:t>，</w:t>
            </w:r>
            <w:r>
              <w:rPr>
                <w:rStyle w:val="47"/>
                <w:rFonts w:eastAsia="宋体"/>
                <w:lang w:val="en-US" w:eastAsia="zh-CN" w:bidi="ar"/>
              </w:rPr>
              <w:t xml:space="preserve">2h </w:t>
            </w:r>
            <w:r>
              <w:rPr>
                <w:rStyle w:val="43"/>
                <w:lang w:val="en-US" w:eastAsia="zh-CN" w:bidi="ar"/>
              </w:rPr>
              <w:t>吸水厚度膨胀率≤</w:t>
            </w:r>
            <w:r>
              <w:rPr>
                <w:rStyle w:val="47"/>
                <w:rFonts w:eastAsia="宋体"/>
                <w:lang w:val="en-US" w:eastAsia="zh-CN" w:bidi="ar"/>
              </w:rPr>
              <w:t>8%</w:t>
            </w:r>
            <w:r>
              <w:rPr>
                <w:rStyle w:val="43"/>
                <w:lang w:val="en-US" w:eastAsia="zh-CN" w:bidi="ar"/>
              </w:rPr>
              <w:t>，含水率</w:t>
            </w:r>
            <w:r>
              <w:rPr>
                <w:rStyle w:val="47"/>
                <w:rFonts w:eastAsia="宋体"/>
                <w:lang w:val="en-US" w:eastAsia="zh-CN" w:bidi="ar"/>
              </w:rPr>
              <w:t>8~10%</w:t>
            </w:r>
            <w:r>
              <w:rPr>
                <w:rStyle w:val="43"/>
                <w:lang w:val="en-US" w:eastAsia="zh-CN" w:bidi="ar"/>
              </w:rPr>
              <w:t>，表面胶合强度≥</w:t>
            </w:r>
            <w:r>
              <w:rPr>
                <w:rStyle w:val="47"/>
                <w:rFonts w:eastAsia="宋体"/>
                <w:lang w:val="en-US" w:eastAsia="zh-CN" w:bidi="ar"/>
              </w:rPr>
              <w:t>1MPa</w:t>
            </w:r>
            <w:r>
              <w:rPr>
                <w:rStyle w:val="43"/>
                <w:lang w:val="en-US" w:eastAsia="zh-CN" w:bidi="ar"/>
              </w:rPr>
              <w:t>，表面耐香烟灼烧≥</w:t>
            </w:r>
            <w:r>
              <w:rPr>
                <w:rStyle w:val="47"/>
                <w:rFonts w:eastAsia="宋体"/>
                <w:lang w:val="en-US" w:eastAsia="zh-CN" w:bidi="ar"/>
              </w:rPr>
              <w:t>4</w:t>
            </w:r>
            <w:r>
              <w:rPr>
                <w:rStyle w:val="43"/>
                <w:lang w:val="en-US" w:eastAsia="zh-CN" w:bidi="ar"/>
              </w:rPr>
              <w:t>级，表面耐干热≥</w:t>
            </w:r>
            <w:r>
              <w:rPr>
                <w:rStyle w:val="47"/>
                <w:rFonts w:eastAsia="宋体"/>
                <w:lang w:val="en-US" w:eastAsia="zh-CN" w:bidi="ar"/>
              </w:rPr>
              <w:t>4</w:t>
            </w:r>
            <w:r>
              <w:rPr>
                <w:rStyle w:val="43"/>
                <w:lang w:val="en-US" w:eastAsia="zh-CN" w:bidi="ar"/>
              </w:rPr>
              <w:t>级，表面耐龟裂≥</w:t>
            </w:r>
            <w:r>
              <w:rPr>
                <w:rStyle w:val="47"/>
                <w:rFonts w:eastAsia="宋体"/>
                <w:lang w:val="en-US" w:eastAsia="zh-CN" w:bidi="ar"/>
              </w:rPr>
              <w:t>4</w:t>
            </w:r>
            <w:r>
              <w:rPr>
                <w:rStyle w:val="43"/>
                <w:lang w:val="en-US" w:eastAsia="zh-CN" w:bidi="ar"/>
              </w:rPr>
              <w:t>级，表面耐水蒸气≥</w:t>
            </w:r>
            <w:r>
              <w:rPr>
                <w:rStyle w:val="47"/>
                <w:rFonts w:eastAsia="宋体"/>
                <w:lang w:val="en-US" w:eastAsia="zh-CN" w:bidi="ar"/>
              </w:rPr>
              <w:t>4</w:t>
            </w:r>
            <w:r>
              <w:rPr>
                <w:rStyle w:val="43"/>
                <w:lang w:val="en-US" w:eastAsia="zh-CN" w:bidi="ar"/>
              </w:rPr>
              <w:t>级，表面耐冷热循环：无裂纹、鼓泡、变色、起皱等。表面耐污染：【丙酮、咖啡、氢氧化钠(25%的溶液)、双氧水(30%的溶液)、鞋油、柠酸(10%溶液)】≥5级。</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r>
      <w:bookmarkEnd w:id="41"/>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24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w:t>
            </w:r>
            <w:r>
              <w:rPr>
                <w:rFonts w:hint="eastAsia"/>
                <w:bCs/>
                <w:color w:val="FF0000"/>
                <w:szCs w:val="21"/>
                <w:u w:val="single"/>
                <w:lang w:val="en-US" w:eastAsia="zh-CN"/>
              </w:rPr>
              <w:t>3</w:t>
            </w:r>
            <w:r>
              <w:rPr>
                <w:rFonts w:hint="eastAsia"/>
                <w:bCs/>
                <w:color w:val="FF0000"/>
                <w:szCs w:val="21"/>
                <w:u w:val="single"/>
              </w:rPr>
              <w:t xml:space="preserve">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rPr>
            </w:pPr>
            <w:r>
              <w:rPr>
                <w:rFonts w:hint="eastAsia"/>
                <w:bCs/>
              </w:rPr>
              <w:t>4</w:t>
            </w:r>
          </w:p>
        </w:tc>
        <w:tc>
          <w:tcPr>
            <w:tcW w:w="1457" w:type="dxa"/>
            <w:noWrap w:val="0"/>
            <w:vAlign w:val="center"/>
          </w:tcPr>
          <w:p>
            <w:pPr>
              <w:jc w:val="center"/>
              <w:rPr>
                <w:bCs/>
              </w:rPr>
            </w:pPr>
            <w:r>
              <w:rPr>
                <w:rFonts w:hint="eastAsia"/>
                <w:szCs w:val="21"/>
              </w:rPr>
              <w:t>安装调试</w:t>
            </w:r>
          </w:p>
        </w:tc>
        <w:tc>
          <w:tcPr>
            <w:tcW w:w="6523" w:type="dxa"/>
            <w:noWrap w:val="0"/>
            <w:vAlign w:val="center"/>
          </w:tcPr>
          <w:p>
            <w:pPr>
              <w:widowControl w:val="0"/>
              <w:jc w:val="left"/>
              <w:rPr>
                <w:rFonts w:ascii="宋体" w:hAnsi="宋体" w:eastAsia="宋体" w:cs="宋体"/>
                <w:color w:val="FFFFFF"/>
                <w:kern w:val="2"/>
                <w:sz w:val="21"/>
                <w:szCs w:val="21"/>
                <w:lang w:eastAsia="zh-CN"/>
              </w:rPr>
            </w:pPr>
            <w:r>
              <w:rPr>
                <w:rFonts w:hint="eastAsia" w:ascii="宋体" w:hAnsi="宋体" w:eastAsia="宋体" w:cs="宋体"/>
                <w:color w:val="FF0000"/>
                <w:kern w:val="2"/>
                <w:sz w:val="21"/>
                <w:szCs w:val="21"/>
                <w:lang w:eastAsia="zh-CN"/>
              </w:rPr>
              <w:t>本项目要求在进场施工日起 30个日历日内完工，进场时间由采购人确定。</w:t>
            </w:r>
          </w:p>
          <w:p>
            <w:pPr>
              <w:widowControl w:val="0"/>
              <w:jc w:val="left"/>
              <w:rPr>
                <w:rFonts w:ascii="宋体" w:hAnsi="宋体" w:eastAsia="宋体" w:cs="宋体"/>
                <w:kern w:val="2"/>
                <w:sz w:val="21"/>
                <w:szCs w:val="21"/>
                <w:lang w:eastAsia="zh-CN"/>
              </w:rPr>
            </w:pPr>
            <w:r>
              <w:rPr>
                <w:rFonts w:hint="eastAsia" w:ascii="宋体" w:hAnsi="宋体" w:eastAsia="宋体" w:cs="宋体"/>
                <w:kern w:val="2"/>
                <w:sz w:val="21"/>
                <w:szCs w:val="21"/>
                <w:lang w:eastAsia="zh-CN"/>
              </w:rPr>
              <w:t>中标人负责免费安装、调试。安装、调试完成后，由采购人和中标人双方组成验收小组共同进行技术验收和商务验收，验收合格后签署《验收报告》。产品质量和安装调试检验标准遵照国家相关规定和最新标准执行。</w:t>
            </w:r>
          </w:p>
          <w:p>
            <w:pPr>
              <w:widowControl w:val="0"/>
              <w:jc w:val="left"/>
              <w:rPr>
                <w:bCs/>
                <w:szCs w:val="21"/>
              </w:rPr>
            </w:pPr>
            <w:r>
              <w:rPr>
                <w:rFonts w:hint="eastAsia" w:ascii="宋体" w:hAnsi="宋体" w:eastAsia="宋体" w:cs="宋体"/>
                <w:kern w:val="2"/>
                <w:sz w:val="21"/>
                <w:szCs w:val="21"/>
                <w:lang w:eastAsia="zh-CN"/>
              </w:rPr>
              <w:t>验收中如发现有质量不合格或型号规格、数量等与送货清单不符、提交的技术文件和资料不完整等情形，中标人应更换或补齐，并按照“其它商务要求”中的“违约责任”承担相应责任，不额外收费。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840" w:type="dxa"/>
            <w:vMerge w:val="restart"/>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840" w:type="dxa"/>
            <w:vMerge w:val="continue"/>
            <w:noWrap w:val="0"/>
            <w:vAlign w:val="center"/>
          </w:tcPr>
          <w:p>
            <w:pPr>
              <w:spacing w:line="360" w:lineRule="exact"/>
            </w:pPr>
          </w:p>
        </w:tc>
        <w:tc>
          <w:tcPr>
            <w:tcW w:w="1457" w:type="dxa"/>
            <w:vMerge w:val="continue"/>
            <w:noWrap w:val="0"/>
            <w:vAlign w:val="center"/>
          </w:tcPr>
          <w:p>
            <w:pPr>
              <w:spacing w:line="360" w:lineRule="exact"/>
            </w:pPr>
          </w:p>
        </w:tc>
        <w:tc>
          <w:tcPr>
            <w:tcW w:w="6523" w:type="dxa"/>
            <w:noWrap w:val="0"/>
            <w:vAlign w:val="center"/>
          </w:tcPr>
          <w:p>
            <w:pPr>
              <w:spacing w:line="360" w:lineRule="exact"/>
              <w:rPr>
                <w:rFonts w:hint="eastAsia" w:ascii="宋体" w:hAnsi="宋体" w:cs="宋体"/>
                <w:color w:val="000000"/>
                <w:sz w:val="20"/>
                <w:szCs w:val="20"/>
              </w:rPr>
            </w:pPr>
            <w:r>
              <w:rPr>
                <w:rFonts w:hint="eastAsia" w:ascii="宋体" w:hAnsi="宋体" w:cs="宋体"/>
                <w:color w:val="000000"/>
                <w:sz w:val="21"/>
                <w:szCs w:val="21"/>
              </w:rPr>
              <w:t>1.2中标单位</w:t>
            </w:r>
            <w:r>
              <w:rPr>
                <w:rFonts w:hint="eastAsia" w:ascii="宋体" w:hAnsi="宋体" w:cs="宋体"/>
                <w:color w:val="000000"/>
                <w:sz w:val="21"/>
                <w:szCs w:val="21"/>
                <w:lang w:eastAsia="zh-CN"/>
              </w:rPr>
              <w:t>需要提前报价并获得同意后方可开展维修，并</w:t>
            </w:r>
            <w:r>
              <w:rPr>
                <w:rFonts w:hint="eastAsia" w:ascii="宋体" w:hAnsi="宋体" w:cs="宋体"/>
                <w:color w:val="000000"/>
                <w:sz w:val="21"/>
                <w:szCs w:val="21"/>
              </w:rPr>
              <w:t>确保</w:t>
            </w:r>
            <w:r>
              <w:rPr>
                <w:rFonts w:hint="eastAsia" w:ascii="宋体" w:hAnsi="宋体" w:cs="宋体"/>
                <w:color w:val="000000"/>
                <w:sz w:val="21"/>
                <w:szCs w:val="21"/>
                <w:lang w:eastAsia="zh-CN"/>
              </w:rPr>
              <w:t>维修后</w:t>
            </w:r>
            <w:r>
              <w:rPr>
                <w:rFonts w:hint="eastAsia" w:ascii="宋体" w:hAnsi="宋体" w:cs="宋体"/>
                <w:color w:val="000000"/>
                <w:sz w:val="21"/>
                <w:szCs w:val="21"/>
              </w:rPr>
              <w:t>产品正常使用的时间期限</w:t>
            </w:r>
            <w:r>
              <w:rPr>
                <w:rFonts w:hint="eastAsia" w:ascii="宋体" w:hAnsi="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10</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天内交货，交货地点为深圳市宝安中学(集团)海天学校。</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r>
              <w:rPr>
                <w:rFonts w:hint="eastAsia" w:ascii="新宋体" w:hAnsi="新宋体" w:eastAsia="新宋体" w:cstheme="minorBidi"/>
                <w:color w:val="FF0000"/>
                <w:sz w:val="21"/>
                <w:szCs w:val="21"/>
                <w:lang w:eastAsia="zh-CN"/>
              </w:rPr>
              <w:t>合同签订后</w:t>
            </w:r>
            <w:r>
              <w:rPr>
                <w:rFonts w:hint="eastAsia" w:ascii="新宋体" w:hAnsi="新宋体" w:eastAsia="新宋体" w:cstheme="minorBidi"/>
                <w:color w:val="FF0000"/>
                <w:sz w:val="21"/>
                <w:szCs w:val="21"/>
                <w:lang w:val="en-US" w:eastAsia="zh-CN"/>
              </w:rPr>
              <w:t>7</w:t>
            </w:r>
            <w:r>
              <w:rPr>
                <w:rFonts w:hint="eastAsia" w:ascii="新宋体" w:hAnsi="新宋体" w:eastAsia="新宋体" w:cstheme="minorBidi"/>
                <w:color w:val="FF0000"/>
                <w:sz w:val="21"/>
                <w:szCs w:val="21"/>
                <w:lang w:eastAsia="zh-CN"/>
              </w:rPr>
              <w:t>个工作日内支付50%的预付款。本项目完成并经验收合格后，对于满足合同约定支付条件的，采购人应当自收到发票后10个工作日内</w:t>
            </w:r>
            <w:r>
              <w:rPr>
                <w:rFonts w:hint="eastAsia" w:ascii="新宋体" w:hAnsi="新宋体" w:eastAsia="新宋体" w:cstheme="minorBidi"/>
                <w:color w:val="FF0000"/>
                <w:sz w:val="21"/>
                <w:szCs w:val="21"/>
                <w:highlight w:val="yellow"/>
                <w:lang w:eastAsia="zh-CN"/>
              </w:rPr>
              <w:t>（最长不超过15日历日）</w:t>
            </w:r>
            <w:r>
              <w:rPr>
                <w:rFonts w:hint="eastAsia" w:ascii="新宋体" w:hAnsi="新宋体" w:eastAsia="新宋体" w:cstheme="minorBidi"/>
                <w:color w:val="FF0000"/>
                <w:sz w:val="21"/>
                <w:szCs w:val="21"/>
                <w:lang w:eastAsia="zh-CN"/>
              </w:rPr>
              <w:t>将资金支付到合同约定的中标供应商账户。</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.1.投标人货物经过双方检验认可后，签署验收报告，产品保修期自验收合格之日起算，由投标人提供产品保修文件。</w:t>
            </w:r>
            <w:r>
              <w:rPr>
                <w:rFonts w:ascii="Calibri" w:hAnsi="Calibri" w:eastAsia="宋体" w:cstheme="minorBidi"/>
                <w:kern w:val="2"/>
                <w:sz w:val="21"/>
                <w:szCs w:val="22"/>
                <w:lang w:eastAsia="zh-CN"/>
              </w:rPr>
              <w:br w:type="textWrapping"/>
            </w: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.2.当满足以下条件时，采购人才向</w:t>
            </w:r>
            <w:r>
              <w:rPr>
                <w:rFonts w:hint="eastAsia" w:ascii="Calibri" w:hAnsi="Calibri" w:eastAsia="宋体" w:cstheme="minorBidi"/>
                <w:kern w:val="2"/>
                <w:sz w:val="21"/>
                <w:szCs w:val="22"/>
                <w:lang w:eastAsia="zh-CN"/>
              </w:rPr>
              <w:t>中标</w:t>
            </w:r>
            <w:r>
              <w:rPr>
                <w:rFonts w:ascii="Calibri" w:hAnsi="Calibri" w:eastAsia="宋体" w:cstheme="minorBidi"/>
                <w:kern w:val="2"/>
                <w:sz w:val="21"/>
                <w:szCs w:val="22"/>
                <w:lang w:eastAsia="zh-CN"/>
              </w:rPr>
              <w:t>人签发货物验收报告：</w:t>
            </w:r>
            <w:r>
              <w:rPr>
                <w:rFonts w:ascii="Calibri" w:hAnsi="Calibri" w:eastAsia="宋体" w:cstheme="minorBidi"/>
                <w:kern w:val="2"/>
                <w:sz w:val="21"/>
                <w:szCs w:val="22"/>
                <w:lang w:eastAsia="zh-CN"/>
              </w:rPr>
              <w:br w:type="textWrapping"/>
            </w: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2.1.</w:t>
            </w:r>
            <w:r>
              <w:rPr>
                <w:rFonts w:hint="eastAsia" w:ascii="Calibri" w:hAnsi="Calibri" w:eastAsia="宋体" w:cstheme="minorBidi"/>
                <w:kern w:val="2"/>
                <w:sz w:val="21"/>
                <w:szCs w:val="22"/>
                <w:lang w:eastAsia="zh-CN"/>
              </w:rPr>
              <w:t>中标</w:t>
            </w:r>
            <w:r>
              <w:rPr>
                <w:rFonts w:ascii="Calibri" w:hAnsi="Calibri" w:eastAsia="宋体" w:cstheme="minorBidi"/>
                <w:kern w:val="2"/>
                <w:sz w:val="21"/>
                <w:szCs w:val="22"/>
                <w:lang w:eastAsia="zh-CN"/>
              </w:rPr>
              <w:t>人已按照合同规定提供了全部产品及完整的技术资料。</w:t>
            </w:r>
            <w:r>
              <w:rPr>
                <w:rFonts w:ascii="Calibri" w:hAnsi="Calibri" w:eastAsia="宋体" w:cstheme="minorBidi"/>
                <w:kern w:val="2"/>
                <w:sz w:val="21"/>
                <w:szCs w:val="22"/>
                <w:lang w:eastAsia="zh-CN"/>
              </w:rPr>
              <w:br w:type="textWrapping"/>
            </w: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.2.2.货物符合招标文件技术规格书的要求，性能满足要求。</w:t>
            </w:r>
            <w:r>
              <w:rPr>
                <w:rFonts w:ascii="Calibri" w:hAnsi="Calibri" w:eastAsia="宋体" w:cstheme="minorBidi"/>
                <w:kern w:val="2"/>
                <w:sz w:val="21"/>
                <w:szCs w:val="22"/>
                <w:lang w:eastAsia="zh-CN"/>
              </w:rPr>
              <w:br w:type="textWrapping"/>
            </w:r>
            <w:r>
              <w:rPr>
                <w:rFonts w:hint="eastAsia" w:ascii="Calibri" w:hAnsi="Calibri" w:eastAsia="宋体" w:cstheme="minorBidi"/>
                <w:kern w:val="2"/>
                <w:sz w:val="21"/>
                <w:szCs w:val="22"/>
                <w:lang w:eastAsia="zh-CN"/>
              </w:rPr>
              <w:t>3</w:t>
            </w:r>
            <w:r>
              <w:rPr>
                <w:rFonts w:ascii="Calibri" w:hAnsi="Calibri" w:eastAsia="宋体" w:cstheme="minorBidi"/>
                <w:kern w:val="2"/>
                <w:sz w:val="21"/>
                <w:szCs w:val="22"/>
                <w:lang w:eastAsia="zh-CN"/>
              </w:rP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noWrap w:val="0"/>
            <w:vAlign w:val="center"/>
          </w:tcPr>
          <w:p>
            <w:pPr>
              <w:widowControl w:val="0"/>
              <w:jc w:val="left"/>
              <w:rPr>
                <w:rFonts w:ascii="宋体" w:hAnsi="宋体" w:eastAsia="宋体" w:cs="宋体"/>
                <w:color w:val="FFFFFF"/>
                <w:kern w:val="2"/>
                <w:sz w:val="21"/>
                <w:szCs w:val="21"/>
                <w:lang w:eastAsia="zh-CN"/>
              </w:rPr>
            </w:pPr>
            <w:r>
              <w:rPr>
                <w:rFonts w:hint="eastAsia" w:ascii="宋体" w:hAnsi="宋体" w:eastAsia="宋体" w:cs="宋体"/>
                <w:kern w:val="2"/>
                <w:sz w:val="21"/>
                <w:szCs w:val="21"/>
                <w:lang w:eastAsia="zh-CN"/>
              </w:rPr>
              <w:t>4.1.凡因执行项目合同所发生的或与本合同有关的一切争议，双方应通过友好协商解决。</w:t>
            </w:r>
          </w:p>
          <w:p>
            <w:pPr>
              <w:spacing w:line="360" w:lineRule="exact"/>
              <w:rPr>
                <w:rFonts w:hint="eastAsia" w:ascii="宋体" w:hAnsi="宋体" w:cs="宋体"/>
                <w:color w:val="000000"/>
                <w:sz w:val="20"/>
                <w:szCs w:val="20"/>
                <w:lang w:val="en-US" w:eastAsia="zh-CN"/>
              </w:rPr>
            </w:pPr>
            <w:r>
              <w:rPr>
                <w:rFonts w:hint="eastAsia" w:ascii="宋体" w:hAnsi="宋体" w:eastAsia="宋体" w:cs="宋体"/>
                <w:kern w:val="2"/>
                <w:sz w:val="21"/>
                <w:szCs w:val="21"/>
                <w:lang w:eastAsia="zh-CN"/>
              </w:rPr>
              <w:t>如果协商还不能解决，应提交深圳仲裁委员会，按其仲裁规则和程序在深圳进行仲裁。仲裁裁决应为最终裁决，对双方均具有约束力。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8</w:t>
            </w:r>
          </w:p>
        </w:tc>
        <w:tc>
          <w:tcPr>
            <w:tcW w:w="1457" w:type="dxa"/>
            <w:vMerge w:val="restart"/>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8.1</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noWrap w:val="0"/>
            <w:vAlign w:val="center"/>
          </w:tcPr>
          <w:p>
            <w:pPr>
              <w:widowControl/>
              <w:jc w:val="left"/>
            </w:pPr>
          </w:p>
        </w:tc>
        <w:tc>
          <w:tcPr>
            <w:tcW w:w="1457" w:type="dxa"/>
            <w:vMerge w:val="continue"/>
            <w:noWrap w:val="0"/>
            <w:vAlign w:val="center"/>
          </w:tcPr>
          <w:p>
            <w:pPr>
              <w:widowControl/>
              <w:jc w:val="left"/>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eastAsia="宋体" w:cs="Arial"/>
                <w:color w:val="FF0000"/>
                <w:kern w:val="2"/>
                <w:sz w:val="20"/>
                <w:szCs w:val="20"/>
                <w:lang w:eastAsia="zh-CN"/>
              </w:rPr>
              <w:t>8.</w:t>
            </w:r>
            <w:r>
              <w:rPr>
                <w:rFonts w:hint="eastAsia" w:ascii="宋体" w:hAnsi="宋体" w:eastAsia="宋体" w:cs="Arial"/>
                <w:color w:val="FF0000"/>
                <w:kern w:val="2"/>
                <w:sz w:val="20"/>
                <w:szCs w:val="20"/>
                <w:lang w:val="en-US" w:eastAsia="zh-CN"/>
              </w:rPr>
              <w:t>2</w:t>
            </w:r>
            <w:r>
              <w:rPr>
                <w:rFonts w:hint="eastAsia" w:ascii="宋体" w:hAnsi="宋体" w:eastAsia="宋体" w:cs="Arial"/>
                <w:color w:val="FF0000"/>
                <w:kern w:val="2"/>
                <w:sz w:val="20"/>
                <w:szCs w:val="20"/>
                <w:lang w:eastAsia="zh-CN"/>
              </w:rPr>
              <w:t>中标供应商在签订合同时应提供投标文件打印稿贰份，并加盖公章（一份交给监理公司，一份交给学校），同时提供投标文件的OFFICE文档。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noWrap w:val="0"/>
            <w:vAlign w:val="center"/>
          </w:tcPr>
          <w:p>
            <w:pPr>
              <w:widowControl/>
              <w:jc w:val="left"/>
              <w:rPr>
                <w:rFonts w:hint="eastAsia" w:ascii="宋体" w:hAnsi="宋体" w:cs="宋体"/>
                <w:color w:val="000000"/>
                <w:sz w:val="20"/>
                <w:szCs w:val="20"/>
              </w:rPr>
            </w:pPr>
          </w:p>
        </w:tc>
        <w:tc>
          <w:tcPr>
            <w:tcW w:w="1457" w:type="dxa"/>
            <w:vMerge w:val="continue"/>
            <w:noWrap w:val="0"/>
            <w:vAlign w:val="center"/>
          </w:tcPr>
          <w:p>
            <w:pPr>
              <w:widowControl/>
              <w:jc w:val="left"/>
              <w:rPr>
                <w:rFonts w:hint="eastAsia" w:ascii="宋体" w:hAnsi="宋体" w:cs="宋体"/>
                <w:color w:val="000000"/>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eastAsia="宋体" w:cs="Arial"/>
                <w:color w:val="FF0000"/>
                <w:kern w:val="2"/>
                <w:sz w:val="20"/>
                <w:szCs w:val="20"/>
                <w:lang w:eastAsia="zh-CN"/>
              </w:rPr>
              <w:t>8.</w:t>
            </w:r>
            <w:r>
              <w:rPr>
                <w:rFonts w:hint="eastAsia" w:ascii="宋体" w:hAnsi="宋体" w:eastAsia="宋体" w:cs="Arial"/>
                <w:color w:val="FF0000"/>
                <w:kern w:val="2"/>
                <w:sz w:val="20"/>
                <w:szCs w:val="20"/>
                <w:lang w:val="en-US" w:eastAsia="zh-CN"/>
              </w:rPr>
              <w:t>3</w:t>
            </w:r>
            <w:r>
              <w:rPr>
                <w:rFonts w:hint="eastAsia" w:ascii="宋体" w:hAnsi="宋体" w:eastAsia="宋体" w:cs="Arial"/>
                <w:color w:val="FF0000"/>
                <w:kern w:val="2"/>
                <w:sz w:val="20"/>
                <w:szCs w:val="20"/>
                <w:lang w:eastAsia="zh-CN"/>
              </w:rPr>
              <w:t>上报验收报告时，除了表格中写明的材料外，还需要提交验收记录表、产品三证（产品合格证、供货凭证（含生产厂家或代理商证明）、产品检测证明（含第三方有资质检测机构出具的有效检测报告）、合同及附件；提供室内环境污染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noWrap w:val="0"/>
            <w:vAlign w:val="center"/>
          </w:tcPr>
          <w:p>
            <w:pPr>
              <w:widowControl/>
              <w:jc w:val="left"/>
              <w:rPr>
                <w:rFonts w:hint="eastAsia" w:ascii="宋体" w:hAnsi="宋体" w:cs="宋体"/>
                <w:color w:val="000000"/>
                <w:sz w:val="20"/>
                <w:szCs w:val="20"/>
              </w:rPr>
            </w:pPr>
          </w:p>
        </w:tc>
        <w:tc>
          <w:tcPr>
            <w:tcW w:w="1457" w:type="dxa"/>
            <w:vMerge w:val="continue"/>
            <w:noWrap w:val="0"/>
            <w:vAlign w:val="center"/>
          </w:tcPr>
          <w:p>
            <w:pPr>
              <w:widowControl/>
              <w:jc w:val="left"/>
              <w:rPr>
                <w:rFonts w:hint="eastAsia" w:ascii="宋体" w:hAnsi="宋体" w:cs="宋体"/>
                <w:color w:val="000000"/>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eastAsia="宋体" w:cs="Arial"/>
                <w:color w:val="FF0000"/>
                <w:kern w:val="2"/>
                <w:sz w:val="20"/>
                <w:szCs w:val="20"/>
                <w:lang w:eastAsia="zh-CN"/>
              </w:rPr>
              <w:t>8.</w:t>
            </w:r>
            <w:r>
              <w:rPr>
                <w:rFonts w:hint="eastAsia" w:ascii="宋体" w:hAnsi="宋体" w:eastAsia="宋体" w:cs="Arial"/>
                <w:color w:val="FF0000"/>
                <w:kern w:val="2"/>
                <w:sz w:val="20"/>
                <w:szCs w:val="20"/>
                <w:lang w:val="en-US" w:eastAsia="zh-CN"/>
              </w:rPr>
              <w:t>4</w:t>
            </w:r>
            <w:r>
              <w:rPr>
                <w:rFonts w:hint="eastAsia" w:ascii="宋体" w:hAnsi="宋体" w:eastAsia="宋体" w:cs="Arial"/>
                <w:color w:val="FF0000"/>
                <w:kern w:val="2"/>
                <w:sz w:val="20"/>
                <w:szCs w:val="20"/>
                <w:lang w:eastAsia="zh-CN"/>
              </w:rPr>
              <w:t>投标商必须确保中标后提供的货物为正规渠道供货，不存在违反国家法律、法规的情况。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noWrap w:val="0"/>
            <w:vAlign w:val="center"/>
          </w:tcPr>
          <w:p>
            <w:pPr>
              <w:widowControl/>
              <w:jc w:val="left"/>
              <w:rPr>
                <w:rFonts w:hint="eastAsia" w:ascii="宋体" w:hAnsi="宋体" w:cs="宋体"/>
                <w:color w:val="000000"/>
                <w:sz w:val="20"/>
                <w:szCs w:val="20"/>
              </w:rPr>
            </w:pPr>
          </w:p>
        </w:tc>
        <w:tc>
          <w:tcPr>
            <w:tcW w:w="1457" w:type="dxa"/>
            <w:vMerge w:val="continue"/>
            <w:noWrap w:val="0"/>
            <w:vAlign w:val="center"/>
          </w:tcPr>
          <w:p>
            <w:pPr>
              <w:widowControl/>
              <w:jc w:val="left"/>
              <w:rPr>
                <w:rFonts w:hint="eastAsia" w:ascii="宋体" w:hAnsi="宋体" w:cs="宋体"/>
                <w:color w:val="000000"/>
                <w:sz w:val="20"/>
                <w:szCs w:val="20"/>
              </w:rPr>
            </w:pPr>
          </w:p>
        </w:tc>
        <w:tc>
          <w:tcPr>
            <w:tcW w:w="6523"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8.</w:t>
            </w:r>
            <w:r>
              <w:rPr>
                <w:rFonts w:hint="eastAsia" w:ascii="宋体" w:hAnsi="宋体" w:eastAsia="宋体" w:cs="Arial"/>
                <w:color w:val="FF0000"/>
                <w:kern w:val="2"/>
                <w:sz w:val="20"/>
                <w:szCs w:val="20"/>
                <w:lang w:val="en-US" w:eastAsia="zh-CN"/>
              </w:rPr>
              <w:t>5</w:t>
            </w:r>
            <w:r>
              <w:rPr>
                <w:rFonts w:hint="eastAsia" w:ascii="宋体" w:hAnsi="宋体" w:eastAsia="宋体" w:cs="Arial"/>
                <w:color w:val="FF0000"/>
                <w:kern w:val="2"/>
                <w:sz w:val="20"/>
                <w:szCs w:val="20"/>
                <w:lang w:eastAsia="zh-CN"/>
              </w:rPr>
              <w:t>特别条款：含家具或装修的功能室应当另行提供室内环境污染检测报告。按照国家《室内空气质量标准》（GB/T 18883-2022）中的标准进行检测并合格（至少包括以下五项，如有更新则以最新标准为准）：</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3309"/>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blHeader/>
                <w:jc w:val="center"/>
              </w:trPr>
              <w:tc>
                <w:tcPr>
                  <w:tcW w:w="743" w:type="dxa"/>
                  <w:noWrap w:val="0"/>
                  <w:vAlign w:val="center"/>
                </w:tcPr>
                <w:p>
                  <w:pPr>
                    <w:widowControl/>
                    <w:snapToGrid/>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序号</w:t>
                  </w:r>
                </w:p>
              </w:tc>
              <w:tc>
                <w:tcPr>
                  <w:tcW w:w="3195" w:type="dxa"/>
                  <w:noWrap w:val="0"/>
                  <w:vAlign w:val="center"/>
                </w:tcPr>
                <w:p>
                  <w:pPr>
                    <w:widowControl/>
                    <w:snapToGrid/>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检验项目</w:t>
                  </w:r>
                </w:p>
              </w:tc>
              <w:tc>
                <w:tcPr>
                  <w:tcW w:w="2141" w:type="dxa"/>
                  <w:noWrap w:val="0"/>
                  <w:vAlign w:val="center"/>
                </w:tcPr>
                <w:p>
                  <w:pPr>
                    <w:widowControl/>
                    <w:snapToGrid/>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1</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甲醛</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2</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苯</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3</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甲苯</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4</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二甲苯</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743" w:type="dxa"/>
                  <w:noWrap w:val="0"/>
                  <w:vAlign w:val="top"/>
                </w:tcPr>
                <w:p>
                  <w:pPr>
                    <w:widowControl/>
                    <w:jc w:val="center"/>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5</w:t>
                  </w:r>
                </w:p>
              </w:tc>
              <w:tc>
                <w:tcPr>
                  <w:tcW w:w="3195"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总挥发性有机化合物（TVOC）</w:t>
                  </w:r>
                </w:p>
              </w:tc>
              <w:tc>
                <w:tcPr>
                  <w:tcW w:w="2141" w:type="dxa"/>
                  <w:noWrap w:val="0"/>
                  <w:vAlign w:val="center"/>
                </w:tcPr>
                <w:p>
                  <w:pPr>
                    <w:widowControl/>
                    <w:jc w:val="left"/>
                    <w:rPr>
                      <w:rFonts w:hint="eastAsia" w:ascii="宋体" w:hAnsi="宋体" w:eastAsia="宋体" w:cs="Arial"/>
                      <w:color w:val="FF0000"/>
                      <w:kern w:val="2"/>
                      <w:sz w:val="20"/>
                      <w:szCs w:val="20"/>
                      <w:lang w:eastAsia="zh-CN"/>
                    </w:rPr>
                  </w:pPr>
                  <w:r>
                    <w:rPr>
                      <w:rFonts w:hint="eastAsia" w:ascii="宋体" w:hAnsi="宋体" w:eastAsia="宋体" w:cs="Arial"/>
                      <w:color w:val="FF0000"/>
                      <w:kern w:val="2"/>
                      <w:sz w:val="20"/>
                      <w:szCs w:val="20"/>
                      <w:lang w:eastAsia="zh-CN"/>
                    </w:rPr>
                    <w:t>GB/T 18883-2022</w:t>
                  </w:r>
                </w:p>
              </w:tc>
            </w:tr>
          </w:tbl>
          <w:p>
            <w:pPr>
              <w:widowControl/>
              <w:jc w:val="left"/>
              <w:rPr>
                <w:rFonts w:hint="eastAsia" w:ascii="宋体" w:hAnsi="宋体" w:cs="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9</w:t>
            </w:r>
          </w:p>
        </w:tc>
        <w:tc>
          <w:tcPr>
            <w:tcW w:w="1457" w:type="dxa"/>
            <w:shd w:val="clear" w:color="auto" w:fill="auto"/>
            <w:noWrap w:val="0"/>
            <w:vAlign w:val="center"/>
          </w:tcPr>
          <w:p>
            <w:pPr>
              <w:widowControl w:val="0"/>
              <w:spacing w:line="360" w:lineRule="exact"/>
              <w:jc w:val="center"/>
              <w:rPr>
                <w:rFonts w:ascii="宋体" w:hAnsi="宋体" w:eastAsia="宋体" w:cstheme="minorBidi"/>
                <w:b/>
                <w:color w:val="0000FF"/>
                <w:kern w:val="2"/>
                <w:sz w:val="20"/>
                <w:szCs w:val="20"/>
                <w:lang w:val="en-US" w:eastAsia="zh-CN" w:bidi="ar-SA"/>
              </w:rPr>
            </w:pPr>
            <w:r>
              <w:rPr>
                <w:rFonts w:hint="eastAsia" w:ascii="宋体" w:hAnsi="宋体" w:eastAsia="宋体" w:cstheme="minorBidi"/>
                <w:b/>
                <w:kern w:val="2"/>
                <w:sz w:val="20"/>
                <w:szCs w:val="20"/>
                <w:lang w:eastAsia="zh-CN"/>
              </w:rPr>
              <w:t>报价要求</w:t>
            </w:r>
          </w:p>
        </w:tc>
        <w:tc>
          <w:tcPr>
            <w:tcW w:w="6523" w:type="dxa"/>
            <w:shd w:val="clear" w:color="auto" w:fill="auto"/>
            <w:noWrap w:val="0"/>
            <w:vAlign w:val="top"/>
          </w:tcPr>
          <w:p>
            <w:pPr>
              <w:widowControl/>
              <w:jc w:val="left"/>
              <w:rPr>
                <w:rFonts w:hint="eastAsia" w:ascii="宋体" w:hAnsi="宋体" w:eastAsia="宋体" w:cs="Arial"/>
                <w:color w:val="FF0000"/>
                <w:kern w:val="2"/>
                <w:sz w:val="21"/>
                <w:szCs w:val="21"/>
                <w:lang w:eastAsia="zh-CN"/>
              </w:rPr>
            </w:pPr>
            <w:r>
              <w:rPr>
                <w:rFonts w:hint="eastAsia" w:ascii="宋体" w:hAnsi="宋体" w:eastAsia="宋体" w:cs="Arial"/>
                <w:color w:val="FF0000"/>
                <w:kern w:val="2"/>
                <w:sz w:val="21"/>
                <w:szCs w:val="21"/>
                <w:lang w:val="en-US" w:eastAsia="zh-CN"/>
              </w:rPr>
              <w:t>9.1</w:t>
            </w:r>
            <w:r>
              <w:rPr>
                <w:rFonts w:hint="eastAsia" w:ascii="宋体" w:hAnsi="宋体" w:eastAsia="宋体" w:cs="Arial"/>
                <w:color w:val="FF0000"/>
                <w:kern w:val="2"/>
                <w:sz w:val="21"/>
                <w:szCs w:val="21"/>
                <w:lang w:eastAsia="zh-CN"/>
              </w:rPr>
              <w:t>投标总价必须是完成该项目的一切费用总和，包括投标费、设备费、运输费、装卸费、保险费、技术培训费、设备安装费、调试费、检测费、国家规定的各项税费等。</w:t>
            </w:r>
          </w:p>
          <w:p>
            <w:pPr>
              <w:widowControl/>
              <w:jc w:val="left"/>
              <w:rPr>
                <w:rFonts w:hint="default" w:ascii="宋体" w:hAnsi="宋体" w:eastAsia="宋体" w:cs="Arial"/>
                <w:color w:val="FF0000"/>
                <w:kern w:val="2"/>
                <w:sz w:val="21"/>
                <w:szCs w:val="21"/>
                <w:lang w:val="en-US" w:eastAsia="zh-CN"/>
              </w:rPr>
            </w:pPr>
            <w:r>
              <w:rPr>
                <w:rFonts w:hint="eastAsia" w:ascii="宋体" w:hAnsi="宋体" w:eastAsia="宋体" w:cs="Arial"/>
                <w:color w:val="FF0000"/>
                <w:kern w:val="2"/>
                <w:sz w:val="21"/>
                <w:szCs w:val="21"/>
                <w:highlight w:val="yellow"/>
                <w:lang w:val="en-US" w:eastAsia="zh-CN"/>
              </w:rPr>
              <w:t>9.2投标报价须符合《深圳市市直党政机关办公家具配置标准》（深财资〔2018〕45号）</w:t>
            </w: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r>
        <w:rPr>
          <w:rFonts w:hint="eastAsia"/>
          <w:szCs w:val="21"/>
          <w:lang w:eastAsia="zh-CN"/>
        </w:rPr>
        <w:t>；</w:t>
      </w:r>
    </w:p>
    <w:p>
      <w:pPr>
        <w:ind w:left="718" w:leftChars="342" w:firstLine="1417" w:firstLineChars="675"/>
        <w:rPr>
          <w:rFonts w:hint="default" w:ascii="宋体" w:hAnsi="宋体" w:eastAsia="宋体" w:cs="宋体"/>
          <w:kern w:val="0"/>
          <w:sz w:val="21"/>
          <w:szCs w:val="21"/>
          <w:lang w:val="en-US" w:eastAsia="zh-CN" w:bidi="ar"/>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w:t>
      </w:r>
      <w:r>
        <w:rPr>
          <w:rFonts w:hint="eastAsia" w:ascii="宋体" w:hAnsi="宋体" w:eastAsia="宋体" w:cs="宋体"/>
          <w:kern w:val="0"/>
          <w:sz w:val="21"/>
          <w:szCs w:val="21"/>
          <w:lang w:val="en-US" w:eastAsia="zh-CN" w:bidi="ar"/>
        </w:rPr>
        <w:t>设计图评价；</w:t>
      </w:r>
    </w:p>
    <w:p>
      <w:pPr>
        <w:ind w:left="718" w:leftChars="342" w:firstLine="1417" w:firstLineChars="675"/>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（9）项目组织实施方案的评价；</w:t>
      </w:r>
    </w:p>
    <w:p>
      <w:pPr>
        <w:ind w:left="718" w:leftChars="342" w:firstLine="1417" w:firstLineChars="675"/>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（10）售后服务评价；</w:t>
      </w:r>
    </w:p>
    <w:p>
      <w:pPr>
        <w:ind w:left="718" w:leftChars="342" w:firstLine="1417" w:firstLineChars="675"/>
        <w:rPr>
          <w:rFonts w:hint="eastAsia" w:eastAsia="宋体"/>
          <w:szCs w:val="21"/>
          <w:lang w:eastAsia="zh-CN"/>
        </w:rPr>
      </w:pPr>
      <w:r>
        <w:rPr>
          <w:rFonts w:hint="eastAsia" w:ascii="宋体" w:hAnsi="宋体" w:eastAsia="宋体" w:cs="宋体"/>
          <w:kern w:val="0"/>
          <w:sz w:val="21"/>
          <w:szCs w:val="21"/>
          <w:lang w:val="en-US" w:eastAsia="zh-CN" w:bidi="ar"/>
        </w:rPr>
        <w:t>（11）</w:t>
      </w:r>
      <w:r>
        <w:rPr>
          <w:rFonts w:hint="eastAsia"/>
          <w:szCs w:val="21"/>
        </w:rPr>
        <w:t>投标人认为需要加以说明的其他内容</w:t>
      </w:r>
      <w:r>
        <w:rPr>
          <w:rFonts w:hint="eastAsia"/>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2"/>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743"/>
        <w:gridCol w:w="636"/>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743" w:type="dxa"/>
            <w:vAlign w:val="center"/>
          </w:tcPr>
          <w:p>
            <w:pPr>
              <w:jc w:val="center"/>
              <w:rPr>
                <w:rFonts w:hint="eastAsia" w:ascii="宋体" w:hAnsi="宋体" w:eastAsia="宋体" w:cs="Times New Roman"/>
                <w:b/>
                <w:color w:val="FF0000"/>
                <w:szCs w:val="21"/>
              </w:rPr>
            </w:pPr>
            <w:r>
              <w:rPr>
                <w:rFonts w:hint="eastAsia" w:ascii="宋体" w:hAnsi="宋体" w:eastAsia="宋体" w:cs="Times New Roman"/>
                <w:b/>
                <w:color w:val="FF0000"/>
                <w:szCs w:val="21"/>
              </w:rPr>
              <w:t>单价控制</w:t>
            </w:r>
          </w:p>
          <w:p>
            <w:pPr>
              <w:jc w:val="center"/>
              <w:rPr>
                <w:rFonts w:hint="eastAsia" w:ascii="Times New Roman" w:hAnsi="Times New Roman" w:eastAsia="宋体" w:cs="Times New Roman"/>
                <w:szCs w:val="21"/>
              </w:rPr>
            </w:pPr>
            <w:r>
              <w:rPr>
                <w:rFonts w:hint="eastAsia" w:ascii="宋体" w:hAnsi="宋体" w:eastAsia="宋体" w:cs="Times New Roman"/>
                <w:b/>
                <w:color w:val="FF0000"/>
                <w:szCs w:val="21"/>
              </w:rPr>
              <w:t>金额</w:t>
            </w:r>
            <w:r>
              <w:rPr>
                <w:rFonts w:hint="eastAsia" w:ascii="宋体" w:hAnsi="宋体" w:eastAsia="宋体" w:cs="Times New Roman"/>
                <w:b/>
                <w:color w:val="FF0000"/>
                <w:szCs w:val="21"/>
                <w:lang w:val="en-US" w:eastAsia="zh-CN"/>
              </w:rPr>
              <w:t>(元)</w:t>
            </w:r>
          </w:p>
        </w:tc>
        <w:tc>
          <w:tcPr>
            <w:tcW w:w="63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86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JYCG-DECL-2025-27143</w:t>
            </w: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教师办公卡座</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66</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套</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4000</w:t>
            </w:r>
          </w:p>
        </w:tc>
        <w:tc>
          <w:tcPr>
            <w:tcW w:w="636" w:type="dxa"/>
            <w:vAlign w:val="center"/>
          </w:tcPr>
          <w:p>
            <w:pPr>
              <w:jc w:val="center"/>
              <w:rPr>
                <w:rFonts w:ascii="Times New Roman" w:hAnsi="Times New Roman" w:eastAsia="宋体" w:cs="Times New Roman"/>
                <w:bCs/>
                <w:szCs w:val="21"/>
              </w:rPr>
            </w:pPr>
          </w:p>
        </w:tc>
        <w:tc>
          <w:tcPr>
            <w:tcW w:w="864" w:type="dxa"/>
            <w:vMerge w:val="restar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rPr>
              <w:t>540000</w:t>
            </w:r>
            <w:r>
              <w:rPr>
                <w:rFonts w:hint="eastAsia" w:ascii="Times New Roman" w:hAnsi="Times New Roman" w:eastAsia="宋体" w:cs="Times New Roman"/>
                <w:b/>
                <w:bCs/>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床柜</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66</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四折床</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68</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桌面书架</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66</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个</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lang w:val="en-US" w:eastAsia="zh-CN"/>
              </w:rPr>
              <w:t>办公椅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lang w:val="en-US" w:eastAsia="zh-CN"/>
              </w:rPr>
              <w:t>66</w:t>
            </w:r>
          </w:p>
        </w:tc>
        <w:tc>
          <w:tcPr>
            <w:tcW w:w="427" w:type="dxa"/>
            <w:vAlign w:val="center"/>
          </w:tcPr>
          <w:p>
            <w:pPr>
              <w:jc w:val="center"/>
              <w:rPr>
                <w:rFonts w:ascii="Times New Roman" w:hAnsi="Times New Roman" w:eastAsia="宋体" w:cs="Times New Roman"/>
                <w:bCs/>
                <w:szCs w:val="21"/>
              </w:rPr>
            </w:pPr>
            <w:r>
              <w:rPr>
                <w:rFonts w:hint="eastAsia"/>
                <w:bCs/>
                <w:szCs w:val="21"/>
                <w:lang w:val="en-US" w:eastAsia="zh-CN"/>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1320</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7" w:type="dxa"/>
            <w:vAlign w:val="center"/>
          </w:tcPr>
          <w:p>
            <w:pPr>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hint="eastAsia" w:ascii="宋体" w:hAnsi="宋体" w:eastAsia="宋体" w:cs="Times New Roman"/>
                <w:bCs/>
                <w:szCs w:val="21"/>
              </w:rPr>
            </w:pPr>
            <w:r>
              <w:rPr>
                <w:rFonts w:hint="eastAsia"/>
                <w:bCs/>
                <w:szCs w:val="21"/>
                <w:lang w:val="en-US" w:eastAsia="zh-CN"/>
              </w:rPr>
              <w:t>储物柜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hint="eastAsia" w:ascii="Times New Roman" w:hAnsi="Times New Roman" w:eastAsia="宋体" w:cs="Times New Roman"/>
                <w:bCs/>
                <w:szCs w:val="21"/>
              </w:rPr>
            </w:pPr>
            <w:r>
              <w:rPr>
                <w:rFonts w:hint="eastAsia"/>
                <w:bCs/>
                <w:szCs w:val="21"/>
                <w:lang w:val="en-US" w:eastAsia="zh-CN"/>
              </w:rPr>
              <w:t>7</w:t>
            </w:r>
          </w:p>
        </w:tc>
        <w:tc>
          <w:tcPr>
            <w:tcW w:w="427" w:type="dxa"/>
            <w:vAlign w:val="center"/>
          </w:tcPr>
          <w:p>
            <w:pPr>
              <w:jc w:val="center"/>
              <w:rPr>
                <w:rFonts w:hint="eastAsia" w:ascii="Times New Roman" w:hAnsi="Times New Roman" w:eastAsia="宋体" w:cs="Times New Roman"/>
                <w:bCs/>
                <w:szCs w:val="21"/>
              </w:rPr>
            </w:pPr>
            <w:r>
              <w:rPr>
                <w:rFonts w:hint="eastAsia"/>
                <w:bCs/>
                <w:szCs w:val="21"/>
                <w:lang w:val="en-US" w:eastAsia="zh-CN"/>
              </w:rPr>
              <w:t>个</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lang w:val="en-US" w:eastAsia="zh-CN"/>
              </w:rPr>
              <w:t>3000</w:t>
            </w:r>
          </w:p>
        </w:tc>
        <w:tc>
          <w:tcPr>
            <w:tcW w:w="636" w:type="dxa"/>
            <w:vAlign w:val="center"/>
          </w:tcPr>
          <w:p>
            <w:pPr>
              <w:jc w:val="center"/>
              <w:rPr>
                <w:rFonts w:ascii="Times New Roman" w:hAnsi="Times New Roman" w:eastAsia="宋体" w:cs="Times New Roman"/>
                <w:bCs/>
                <w:szCs w:val="21"/>
              </w:rPr>
            </w:pPr>
          </w:p>
        </w:tc>
        <w:tc>
          <w:tcPr>
            <w:tcW w:w="864"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42"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c>
          <w:tcPr>
            <w:tcW w:w="864" w:type="dxa"/>
            <w:vAlign w:val="center"/>
          </w:tcPr>
          <w:p>
            <w:pPr>
              <w:jc w:val="left"/>
              <w:rPr>
                <w:rFonts w:hint="eastAsia" w:ascii="Times New Roman" w:hAnsi="Times New Roman" w:eastAsia="宋体" w:cs="Times New Roman"/>
                <w:bCs/>
                <w:szCs w:val="21"/>
              </w:rPr>
            </w:pP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pStyle w:val="3"/>
        <w:jc w:val="center"/>
        <w:rPr>
          <w:rFonts w:hint="eastAsia" w:ascii="黑体" w:eastAsia="黑体"/>
          <w:b w:val="0"/>
          <w:sz w:val="24"/>
          <w:lang w:val="en-US" w:eastAsia="zh-CN"/>
        </w:rPr>
      </w:pPr>
      <w:r>
        <w:rPr>
          <w:rFonts w:hint="eastAsia" w:ascii="黑体" w:eastAsia="黑体"/>
          <w:b w:val="0"/>
          <w:sz w:val="24"/>
          <w:lang w:val="en-US" w:eastAsia="zh-CN"/>
        </w:rPr>
        <w:t>五、经验评价</w:t>
      </w:r>
    </w:p>
    <w:p>
      <w:r>
        <w:rPr>
          <w:rFonts w:hint="eastAsia"/>
        </w:rPr>
        <w:t xml:space="preserve"> </w:t>
      </w:r>
      <w:r>
        <w:t xml:space="preserve">     </w:t>
      </w:r>
    </w:p>
    <w:p>
      <w:pPr>
        <w:pStyle w:val="7"/>
        <w:rPr>
          <w:b w:val="0"/>
          <w:bCs w:val="0"/>
        </w:rPr>
      </w:pP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p>
      <w:pPr>
        <w:rPr>
          <w:sz w:val="24"/>
        </w:rPr>
      </w:pPr>
    </w:p>
    <w:tbl>
      <w:tblPr>
        <w:tblStyle w:val="17"/>
        <w:tblW w:w="9655" w:type="dxa"/>
        <w:tblInd w:w="-5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090"/>
        <w:gridCol w:w="4402"/>
        <w:gridCol w:w="1704"/>
        <w:gridCol w:w="132"/>
        <w:gridCol w:w="860"/>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00" w:type="dxa"/>
            <w:vAlign w:val="center"/>
          </w:tcPr>
          <w:p>
            <w:pPr>
              <w:jc w:val="center"/>
              <w:rPr>
                <w:color w:val="000000" w:themeColor="text1"/>
                <w:szCs w:val="21"/>
                <w14:textFill>
                  <w14:solidFill>
                    <w14:schemeClr w14:val="tx1"/>
                  </w14:solidFill>
                </w14:textFill>
              </w:rPr>
            </w:pPr>
            <w:bookmarkStart w:id="65" w:name="_Hlk72095977"/>
            <w:r>
              <w:rPr>
                <w:color w:val="000000" w:themeColor="text1"/>
                <w:szCs w:val="21"/>
                <w14:textFill>
                  <w14:solidFill>
                    <w14:schemeClr w14:val="tx1"/>
                  </w14:solidFill>
                </w14:textFill>
              </w:rPr>
              <w:t>序号</w:t>
            </w:r>
          </w:p>
        </w:tc>
        <w:tc>
          <w:tcPr>
            <w:tcW w:w="109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440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c>
          <w:tcPr>
            <w:tcW w:w="1836" w:type="dxa"/>
            <w:gridSpan w:val="2"/>
            <w:vAlign w:val="center"/>
          </w:tcPr>
          <w:p>
            <w:pPr>
              <w:jc w:val="center"/>
              <w:rPr>
                <w:rFonts w:hint="eastAsia"/>
                <w:color w:val="000000" w:themeColor="text1"/>
                <w:szCs w:val="21"/>
                <w14:textFill>
                  <w14:solidFill>
                    <w14:schemeClr w14:val="tx1"/>
                  </w14:solidFill>
                </w14:textFill>
              </w:rPr>
            </w:pPr>
            <w:r>
              <w:rPr>
                <w:rFonts w:hint="eastAsia"/>
                <w:sz w:val="24"/>
              </w:rPr>
              <w:t>投标技术响应</w:t>
            </w:r>
          </w:p>
        </w:tc>
        <w:tc>
          <w:tcPr>
            <w:tcW w:w="860" w:type="dxa"/>
            <w:vAlign w:val="center"/>
          </w:tcPr>
          <w:p>
            <w:pPr>
              <w:jc w:val="center"/>
              <w:rPr>
                <w:rFonts w:hint="eastAsia"/>
                <w:color w:val="000000" w:themeColor="text1"/>
                <w:szCs w:val="21"/>
                <w14:textFill>
                  <w14:solidFill>
                    <w14:schemeClr w14:val="tx1"/>
                  </w14:solidFill>
                </w14:textFill>
              </w:rPr>
            </w:pPr>
            <w:r>
              <w:rPr>
                <w:rFonts w:hint="eastAsia"/>
                <w:sz w:val="24"/>
              </w:rPr>
              <w:t>偏离情况</w:t>
            </w:r>
          </w:p>
        </w:tc>
        <w:tc>
          <w:tcPr>
            <w:tcW w:w="967" w:type="dxa"/>
            <w:vAlign w:val="center"/>
          </w:tcPr>
          <w:p>
            <w:pPr>
              <w:jc w:val="center"/>
              <w:rPr>
                <w:rFonts w:hint="eastAsia"/>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教师办公卡座</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1、规格：（W1600mm*D1600mm*H1200mm）±5%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2、外观：屏风厚度为40mm，屏风为白色框架，框架铝合金挤压而成，铝材厚度2.0mm表面通过氧化处理，颜色稳定不易褪色，耐撞击，隐藏式走线槽,屏风面板为钢板扪布，里面蒙布含有钢板，可以用磁石吸附</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3、连接件：采用铝合金压铸而成，后抛光加以电镀，表面光滑、亮洁，连接牢固，承动更佳</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4、桌面基材：采用25mm厚ENF级多层实木板</w:t>
            </w:r>
          </w:p>
        </w:tc>
        <w:tc>
          <w:tcPr>
            <w:tcW w:w="1704" w:type="dxa"/>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967" w:type="dxa"/>
            <w:shd w:val="clear" w:color="auto" w:fill="auto"/>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5、固定柜.规格：（W400mm*D500mm*H725mm）±5%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6、材料：采用双面电解钢板，主体钢板厚度≥0.8mm</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left"/>
              <w:textAlignment w:val="top"/>
              <w:rPr>
                <w:rFonts w:hint="default" w:ascii="宋体" w:hAnsi="宋体" w:eastAsia="宋体" w:cs="宋体"/>
                <w:color w:val="000000"/>
                <w:kern w:val="0"/>
                <w:sz w:val="21"/>
                <w:szCs w:val="21"/>
              </w:rPr>
            </w:pPr>
            <w:r>
              <w:rPr>
                <w:rStyle w:val="43"/>
                <w:lang w:val="en-US" w:eastAsia="zh-CN" w:bidi="ar"/>
              </w:rPr>
              <w:t>7、五金配件：锁采用抽芯锁具</w:t>
            </w:r>
          </w:p>
        </w:tc>
        <w:tc>
          <w:tcPr>
            <w:tcW w:w="1704" w:type="dxa"/>
            <w:shd w:val="clear" w:color="auto" w:fill="auto"/>
            <w:vAlign w:val="top"/>
          </w:tcPr>
          <w:p>
            <w:pPr>
              <w:keepNext w:val="0"/>
              <w:keepLines w:val="0"/>
              <w:widowControl/>
              <w:suppressLineNumbers w:val="0"/>
              <w:jc w:val="left"/>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left"/>
              <w:textAlignment w:val="top"/>
              <w:rPr>
                <w:rStyle w:val="43"/>
                <w:lang w:val="en-US" w:eastAsia="zh-CN" w:bidi="ar"/>
              </w:rPr>
            </w:pPr>
          </w:p>
        </w:tc>
        <w:tc>
          <w:tcPr>
            <w:tcW w:w="967" w:type="dxa"/>
            <w:shd w:val="clear" w:color="auto" w:fill="auto"/>
            <w:vAlign w:val="top"/>
          </w:tcPr>
          <w:p>
            <w:pPr>
              <w:keepNext w:val="0"/>
              <w:keepLines w:val="0"/>
              <w:widowControl/>
              <w:suppressLineNumbers w:val="0"/>
              <w:jc w:val="left"/>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8、导轨：三节导轨</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▲9、</w:t>
            </w:r>
            <w:r>
              <w:rPr>
                <w:rStyle w:val="42"/>
                <w:lang w:val="en-US" w:eastAsia="zh-CN" w:bidi="ar"/>
              </w:rPr>
              <w:t>实木多层板</w:t>
            </w:r>
            <w:r>
              <w:rPr>
                <w:rStyle w:val="43"/>
                <w:lang w:val="en-US" w:eastAsia="zh-CN" w:bidi="ar"/>
              </w:rPr>
              <w:t>检测依据：GB/T34722-2017浸渍胶膜纸饰面胶合板和细木工板；检测要求：含水率8~10%、表面胶合强度≥1.20MPa、表面耐划痕:≥1.5N表面无大于90%的连续划痕、表面耐磨：磨耗值≤80mg/100r，表面情况：磨350r以后应无露底现象；表面耐冷热循环：无裂纹、鼓泡、变色、起皱等、表面耐龟裂≥5级，表面耐水蒸气≥4级。甲醛释放限量≤0.02mg/m³。</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left"/>
              <w:textAlignment w:val="top"/>
              <w:rPr>
                <w:rFonts w:hint="default"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▲10、屏风卡位检测依据：</w:t>
            </w:r>
            <w:r>
              <w:rPr>
                <w:rStyle w:val="45"/>
                <w:sz w:val="21"/>
                <w:szCs w:val="21"/>
                <w:lang w:val="en-US" w:eastAsia="zh-CN" w:bidi="ar"/>
              </w:rPr>
              <w:t>GB/T 35607-2024 绿色产品评价 家具</w:t>
            </w:r>
            <w:r>
              <w:rPr>
                <w:rStyle w:val="43"/>
                <w:sz w:val="22"/>
                <w:szCs w:val="22"/>
                <w:lang w:val="en-US" w:eastAsia="zh-CN" w:bidi="ar"/>
              </w:rPr>
              <w:t>；检测要求：</w:t>
            </w:r>
            <w:r>
              <w:rPr>
                <w:rStyle w:val="45"/>
                <w:sz w:val="21"/>
                <w:szCs w:val="21"/>
                <w:lang w:val="en-US" w:eastAsia="zh-CN" w:bidi="ar"/>
              </w:rPr>
              <w:t>甲苯未检出；二甲苯未检出；总挥发性有机化合物（TVOC）≤0.15mg/m³；苯未检出；甲醛≤0.05mg/m³</w:t>
            </w:r>
            <w:r>
              <w:rPr>
                <w:rStyle w:val="43"/>
                <w:sz w:val="22"/>
                <w:szCs w:val="22"/>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992" w:type="dxa"/>
            <w:gridSpan w:val="2"/>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967" w:type="dxa"/>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床柜</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1、规格：（W700mm*D500mm*H725mm）±5%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2、材质：采用双面电解钢板，主体钢板厚度≥0.8.0mm</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3、门铰：缓冲门铰</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四折床</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1、规格：（W1800mm*D600mm*H640mm）±5%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2、材质：选用麻布面料纹理清晰，抗磨性佳，表面精湛的缝合走线，有效固定里面的填充棉，摸起来均匀、平整</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3、床垫：拆洗设计，拉链轻松拉合</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4、海绵：加厚约55mm床垫（包含木板+钢管厚度）海绵采用成型P.U发泡高密度阻燃海绵，座垫的密度45kg/m</w:t>
            </w:r>
            <w:r>
              <w:rPr>
                <w:rStyle w:val="42"/>
                <w:rFonts w:hint="eastAsia"/>
                <w:lang w:val="en-US" w:eastAsia="zh-CN" w:bidi="ar"/>
              </w:rPr>
              <w:t>³</w:t>
            </w:r>
            <w:r>
              <w:rPr>
                <w:rStyle w:val="42"/>
                <w:lang w:val="en-US" w:eastAsia="zh-CN" w:bidi="ar"/>
              </w:rPr>
              <w:t>,靠背的密度40kg/m</w:t>
            </w:r>
            <w:r>
              <w:rPr>
                <w:rStyle w:val="42"/>
                <w:rFonts w:hint="eastAsia"/>
                <w:lang w:val="en-US" w:eastAsia="zh-CN" w:bidi="ar"/>
              </w:rPr>
              <w:t>³</w:t>
            </w:r>
            <w:r>
              <w:rPr>
                <w:rStyle w:val="42"/>
                <w:lang w:val="en-US" w:eastAsia="zh-CN" w:bidi="ar"/>
              </w:rPr>
              <w:t>，回弹力≥65%密度、回弹力等指标符合国家标准要求</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5、木板：高密度加厚木板承托设计，承托力更强，受力更均匀</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▲6▲6、静电喷涂粉末检测依据：QB/T 4371-2012 《家具抗菌性能的评价 附录 B 贴膜法》；检测要求：大肠杆菌、金黄色葡萄球菌、白色葡萄球菌、奇异变形杆菌、海氏肠球菌：抑菌率检测结果均≥99%</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▲7、中密度板检测依据：</w:t>
            </w:r>
            <w:r>
              <w:rPr>
                <w:rStyle w:val="47"/>
                <w:rFonts w:eastAsia="宋体"/>
                <w:lang w:val="en-US" w:eastAsia="zh-CN" w:bidi="ar"/>
              </w:rPr>
              <w:t>GB/T 15102-2017</w:t>
            </w:r>
            <w:r>
              <w:rPr>
                <w:rStyle w:val="43"/>
                <w:lang w:val="en-US" w:eastAsia="zh-CN" w:bidi="ar"/>
              </w:rPr>
              <w:t>浸渍胶膜纸饰面纤维板和刨花板；检测要求：内结合强度≥</w:t>
            </w:r>
            <w:r>
              <w:rPr>
                <w:rStyle w:val="47"/>
                <w:rFonts w:eastAsia="宋体"/>
                <w:lang w:val="en-US" w:eastAsia="zh-CN" w:bidi="ar"/>
              </w:rPr>
              <w:t>0.7Mpa</w:t>
            </w:r>
            <w:r>
              <w:rPr>
                <w:rStyle w:val="43"/>
                <w:lang w:val="en-US" w:eastAsia="zh-CN" w:bidi="ar"/>
              </w:rPr>
              <w:t>，</w:t>
            </w:r>
            <w:r>
              <w:rPr>
                <w:rStyle w:val="47"/>
                <w:rFonts w:eastAsia="宋体"/>
                <w:lang w:val="en-US" w:eastAsia="zh-CN" w:bidi="ar"/>
              </w:rPr>
              <w:t>24h</w:t>
            </w:r>
            <w:r>
              <w:rPr>
                <w:rStyle w:val="43"/>
                <w:lang w:val="en-US" w:eastAsia="zh-CN" w:bidi="ar"/>
              </w:rPr>
              <w:t>吸水厚度膨胀率≤</w:t>
            </w:r>
            <w:r>
              <w:rPr>
                <w:rStyle w:val="47"/>
                <w:rFonts w:eastAsia="宋体"/>
                <w:lang w:val="en-US" w:eastAsia="zh-CN" w:bidi="ar"/>
              </w:rPr>
              <w:t>1.5</w:t>
            </w:r>
            <w:r>
              <w:rPr>
                <w:rStyle w:val="43"/>
                <w:lang w:val="en-US" w:eastAsia="zh-CN" w:bidi="ar"/>
              </w:rPr>
              <w:t>％，含水率</w:t>
            </w:r>
            <w:r>
              <w:rPr>
                <w:rStyle w:val="47"/>
                <w:rFonts w:eastAsia="宋体"/>
                <w:lang w:val="en-US" w:eastAsia="zh-CN" w:bidi="ar"/>
              </w:rPr>
              <w:t>8%~10%</w:t>
            </w:r>
            <w:r>
              <w:rPr>
                <w:rStyle w:val="43"/>
                <w:lang w:val="en-US" w:eastAsia="zh-CN" w:bidi="ar"/>
              </w:rPr>
              <w:t>，表面结合强度≥</w:t>
            </w:r>
            <w:r>
              <w:rPr>
                <w:rStyle w:val="47"/>
                <w:rFonts w:eastAsia="宋体"/>
                <w:lang w:val="en-US" w:eastAsia="zh-CN" w:bidi="ar"/>
              </w:rPr>
              <w:t>1Mpa</w:t>
            </w:r>
            <w:r>
              <w:rPr>
                <w:rStyle w:val="43"/>
                <w:lang w:val="en-US" w:eastAsia="zh-CN" w:bidi="ar"/>
              </w:rPr>
              <w:t>，甲醛释放限量（测试时间</w:t>
            </w:r>
            <w:r>
              <w:rPr>
                <w:rStyle w:val="47"/>
                <w:rFonts w:eastAsia="宋体"/>
                <w:lang w:val="en-US" w:eastAsia="zh-CN" w:bidi="ar"/>
              </w:rPr>
              <w:t>54h</w:t>
            </w:r>
            <w:r>
              <w:rPr>
                <w:rStyle w:val="43"/>
                <w:lang w:val="en-US" w:eastAsia="zh-CN" w:bidi="ar"/>
              </w:rPr>
              <w:t>）≤</w:t>
            </w:r>
            <w:r>
              <w:rPr>
                <w:rStyle w:val="47"/>
                <w:rFonts w:eastAsia="宋体"/>
                <w:lang w:val="en-US" w:eastAsia="zh-CN" w:bidi="ar"/>
              </w:rPr>
              <w:t>0.2mg/m</w:t>
            </w:r>
            <w:r>
              <w:rPr>
                <w:rStyle w:val="43"/>
                <w:lang w:val="en-US" w:eastAsia="zh-CN" w:bidi="ar"/>
              </w:rPr>
              <w:t>³，握螺钉力：板面≥</w:t>
            </w:r>
            <w:r>
              <w:rPr>
                <w:rStyle w:val="47"/>
                <w:rFonts w:eastAsia="宋体"/>
                <w:lang w:val="en-US" w:eastAsia="zh-CN" w:bidi="ar"/>
              </w:rPr>
              <w:t>1100N</w:t>
            </w:r>
            <w:r>
              <w:rPr>
                <w:rStyle w:val="43"/>
                <w:lang w:val="en-US" w:eastAsia="zh-CN" w:bidi="ar"/>
              </w:rPr>
              <w:t>，板边≥</w:t>
            </w:r>
            <w:r>
              <w:rPr>
                <w:rStyle w:val="47"/>
                <w:rFonts w:eastAsia="宋体"/>
                <w:lang w:val="en-US" w:eastAsia="zh-CN" w:bidi="ar"/>
              </w:rPr>
              <w:t>800N</w:t>
            </w:r>
            <w:r>
              <w:rPr>
                <w:rStyle w:val="43"/>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6"/>
                <w:lang w:val="en-US" w:eastAsia="zh-CN" w:bidi="ar"/>
              </w:rPr>
              <w:t>桌面书架</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1、规格：（W1500mm*D250mm*H330mm）±5%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2、基材：采用18mm厚ENF级多层实木板。</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3、封边：2mm厚PVC封边，热熔胶经自动调温热压机使板材粘连无丝无缝，在不同地区气温、湿度的变化中不受影响，能长期不变形、不开裂</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center"/>
          </w:tcPr>
          <w:p>
            <w:pPr>
              <w:keepNext w:val="0"/>
              <w:keepLines w:val="0"/>
              <w:widowControl/>
              <w:suppressLineNumbers w:val="0"/>
              <w:jc w:val="left"/>
              <w:textAlignment w:val="center"/>
              <w:rPr>
                <w:rFonts w:hint="default" w:ascii="宋体" w:hAnsi="宋体" w:eastAsia="宋体" w:cs="宋体"/>
                <w:color w:val="000000"/>
                <w:kern w:val="0"/>
                <w:sz w:val="21"/>
                <w:szCs w:val="21"/>
              </w:rPr>
            </w:pPr>
            <w:r>
              <w:rPr>
                <w:rStyle w:val="42"/>
                <w:lang w:val="en-US" w:eastAsia="zh-CN" w:bidi="ar"/>
              </w:rPr>
              <w:t>4、配件：所有五金件作防锈、防腐处理。</w:t>
            </w:r>
          </w:p>
        </w:tc>
        <w:tc>
          <w:tcPr>
            <w:tcW w:w="1704" w:type="dxa"/>
            <w:shd w:val="clear" w:color="auto" w:fill="auto"/>
            <w:vAlign w:val="center"/>
          </w:tcPr>
          <w:p>
            <w:pPr>
              <w:keepNext w:val="0"/>
              <w:keepLines w:val="0"/>
              <w:widowControl/>
              <w:suppressLineNumbers w:val="0"/>
              <w:jc w:val="left"/>
              <w:textAlignment w:val="center"/>
              <w:rPr>
                <w:rStyle w:val="42"/>
                <w:lang w:val="en-US" w:eastAsia="zh-CN" w:bidi="ar"/>
              </w:rPr>
            </w:pPr>
          </w:p>
        </w:tc>
        <w:tc>
          <w:tcPr>
            <w:tcW w:w="992" w:type="dxa"/>
            <w:gridSpan w:val="2"/>
            <w:shd w:val="clear" w:color="auto" w:fill="auto"/>
            <w:vAlign w:val="center"/>
          </w:tcPr>
          <w:p>
            <w:pPr>
              <w:keepNext w:val="0"/>
              <w:keepLines w:val="0"/>
              <w:widowControl/>
              <w:suppressLineNumbers w:val="0"/>
              <w:jc w:val="left"/>
              <w:textAlignment w:val="center"/>
              <w:rPr>
                <w:rStyle w:val="42"/>
                <w:lang w:val="en-US" w:eastAsia="zh-CN" w:bidi="ar"/>
              </w:rPr>
            </w:pPr>
          </w:p>
        </w:tc>
        <w:tc>
          <w:tcPr>
            <w:tcW w:w="967" w:type="dxa"/>
            <w:shd w:val="clear" w:color="auto" w:fill="auto"/>
            <w:vAlign w:val="center"/>
          </w:tcPr>
          <w:p>
            <w:pPr>
              <w:keepNext w:val="0"/>
              <w:keepLines w:val="0"/>
              <w:widowControl/>
              <w:suppressLineNumbers w:val="0"/>
              <w:jc w:val="left"/>
              <w:textAlignment w:val="center"/>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办公椅</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1、规格：（W690mm*D530mm*H1030-1250mm）±5%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2、材料：头枕：PA+GF30%，网面料；椅背：PA+GF30%背框+特网面料；腰靠：活动腰靠+升降调节</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3、底盘：三档锁定</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4、椅座：定型海绵+网面料</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5、气杆：三级气压棒</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6、椅脚：金属五星脚</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▲7、办公椅检测依据：</w:t>
            </w:r>
            <w:r>
              <w:rPr>
                <w:rStyle w:val="45"/>
                <w:lang w:val="en-US" w:eastAsia="zh-CN" w:bidi="ar"/>
              </w:rPr>
              <w:t>GB/T 3325-2024 金属家具通用技术条件</w:t>
            </w:r>
            <w:r>
              <w:rPr>
                <w:rStyle w:val="43"/>
                <w:lang w:val="en-US" w:eastAsia="zh-CN" w:bidi="ar"/>
              </w:rPr>
              <w:t>；检测要求：结构安全检测结果符合，</w:t>
            </w:r>
            <w:r>
              <w:rPr>
                <w:rStyle w:val="45"/>
                <w:lang w:val="en-US" w:eastAsia="zh-CN" w:bidi="ar"/>
              </w:rPr>
              <w:t>甲苯未检出；二甲苯未检出；总挥发性有机化合物（TVOC）≤0.10mg/m³；苯未检出；甲醛≤0.08mg/m³；纺织品-可分解芳香胺染料未检出</w:t>
            </w:r>
            <w:r>
              <w:rPr>
                <w:rStyle w:val="43"/>
                <w:lang w:val="en-US" w:eastAsia="zh-CN" w:bidi="ar"/>
              </w:rPr>
              <w:t>。</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检验检测报告出具的时间应在本项目投标截止日前3年内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restart"/>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w:t>
            </w:r>
          </w:p>
        </w:tc>
        <w:tc>
          <w:tcPr>
            <w:tcW w:w="1090" w:type="dxa"/>
            <w:vMerge w:val="restart"/>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Style w:val="41"/>
                <w:lang w:val="en-US" w:eastAsia="zh-CN" w:bidi="ar"/>
              </w:rPr>
              <w:t>储物柜</w:t>
            </w: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1、规格：（W900mm*D400mm*H2000mm）±5%</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2、基材：采用18mm厚ENF级多层实木板</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3、封边：2mm厚PVC封边，热熔胶经自动调温热压机使板材粘连无丝无缝，在不同地区气温、湿度的变化中不受影响，能长期不变形、不开裂</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2"/>
                <w:lang w:val="en-US" w:eastAsia="zh-CN" w:bidi="ar"/>
              </w:rPr>
              <w:t>4、配件：所有五金件作防锈、防腐处理，门采用缓冲铰链</w:t>
            </w:r>
          </w:p>
        </w:tc>
        <w:tc>
          <w:tcPr>
            <w:tcW w:w="1704" w:type="dxa"/>
            <w:shd w:val="clear" w:color="auto" w:fill="auto"/>
            <w:vAlign w:val="top"/>
          </w:tcPr>
          <w:p>
            <w:pPr>
              <w:keepNext w:val="0"/>
              <w:keepLines w:val="0"/>
              <w:widowControl/>
              <w:suppressLineNumbers w:val="0"/>
              <w:jc w:val="both"/>
              <w:textAlignment w:val="top"/>
              <w:rPr>
                <w:rStyle w:val="42"/>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2"/>
                <w:lang w:val="en-US" w:eastAsia="zh-CN" w:bidi="ar"/>
              </w:rPr>
            </w:pPr>
          </w:p>
        </w:tc>
        <w:tc>
          <w:tcPr>
            <w:tcW w:w="967" w:type="dxa"/>
            <w:shd w:val="clear" w:color="auto" w:fill="auto"/>
            <w:vAlign w:val="top"/>
          </w:tcPr>
          <w:p>
            <w:pPr>
              <w:keepNext w:val="0"/>
              <w:keepLines w:val="0"/>
              <w:widowControl/>
              <w:suppressLineNumbers w:val="0"/>
              <w:jc w:val="both"/>
              <w:textAlignment w:val="top"/>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5、饰面板：双饰面刨花板</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 w:type="dxa"/>
            <w:vMerge w:val="continue"/>
            <w:vAlign w:val="center"/>
          </w:tcPr>
          <w:p>
            <w:pPr>
              <w:jc w:val="center"/>
              <w:rPr>
                <w:color w:val="000000" w:themeColor="text1"/>
                <w:szCs w:val="21"/>
                <w14:textFill>
                  <w14:solidFill>
                    <w14:schemeClr w14:val="tx1"/>
                  </w14:solidFill>
                </w14:textFill>
              </w:rPr>
            </w:pPr>
          </w:p>
        </w:tc>
        <w:tc>
          <w:tcPr>
            <w:tcW w:w="1090" w:type="dxa"/>
            <w:vMerge w:val="continue"/>
            <w:vAlign w:val="center"/>
          </w:tcPr>
          <w:p>
            <w:pPr>
              <w:jc w:val="center"/>
              <w:rPr>
                <w:rFonts w:hint="eastAsia"/>
                <w:color w:val="000000" w:themeColor="text1"/>
                <w:szCs w:val="21"/>
                <w14:textFill>
                  <w14:solidFill>
                    <w14:schemeClr w14:val="tx1"/>
                  </w14:solidFill>
                </w14:textFill>
              </w:rPr>
            </w:pPr>
          </w:p>
        </w:tc>
        <w:tc>
          <w:tcPr>
            <w:tcW w:w="4402" w:type="dxa"/>
            <w:shd w:val="clear" w:color="auto" w:fill="auto"/>
            <w:vAlign w:val="top"/>
          </w:tcPr>
          <w:p>
            <w:pPr>
              <w:keepNext w:val="0"/>
              <w:keepLines w:val="0"/>
              <w:widowControl/>
              <w:suppressLineNumbers w:val="0"/>
              <w:jc w:val="both"/>
              <w:textAlignment w:val="top"/>
              <w:rPr>
                <w:rFonts w:hint="default" w:ascii="宋体" w:hAnsi="宋体" w:eastAsia="宋体" w:cs="宋体"/>
                <w:color w:val="000000"/>
                <w:kern w:val="0"/>
                <w:sz w:val="21"/>
                <w:szCs w:val="21"/>
              </w:rPr>
            </w:pPr>
            <w:r>
              <w:rPr>
                <w:rStyle w:val="43"/>
                <w:lang w:val="en-US" w:eastAsia="zh-CN" w:bidi="ar"/>
              </w:rPr>
              <w:t>▲6、刨花板（饰面）检测依据：</w:t>
            </w:r>
            <w:r>
              <w:rPr>
                <w:rStyle w:val="47"/>
                <w:rFonts w:eastAsia="宋体"/>
                <w:lang w:val="en-US" w:eastAsia="zh-CN" w:bidi="ar"/>
              </w:rPr>
              <w:t>GB/T15102-2017</w:t>
            </w:r>
            <w:r>
              <w:rPr>
                <w:rStyle w:val="43"/>
                <w:lang w:val="en-US" w:eastAsia="zh-CN" w:bidi="ar"/>
              </w:rPr>
              <w:t>浸渍胶膜纸饰面纤维板和刨花板；检测要求：静曲强度≥</w:t>
            </w:r>
            <w:r>
              <w:rPr>
                <w:rStyle w:val="47"/>
                <w:rFonts w:eastAsia="宋体"/>
                <w:lang w:val="en-US" w:eastAsia="zh-CN" w:bidi="ar"/>
              </w:rPr>
              <w:t>13MPa</w:t>
            </w:r>
            <w:r>
              <w:rPr>
                <w:rStyle w:val="43"/>
                <w:lang w:val="en-US" w:eastAsia="zh-CN" w:bidi="ar"/>
              </w:rPr>
              <w:t>，弹性模量≥</w:t>
            </w:r>
            <w:r>
              <w:rPr>
                <w:rStyle w:val="47"/>
                <w:rFonts w:eastAsia="宋体"/>
                <w:lang w:val="en-US" w:eastAsia="zh-CN" w:bidi="ar"/>
              </w:rPr>
              <w:t>2900MPa</w:t>
            </w:r>
            <w:r>
              <w:rPr>
                <w:rStyle w:val="43"/>
                <w:lang w:val="en-US" w:eastAsia="zh-CN" w:bidi="ar"/>
              </w:rPr>
              <w:t>，内结合强度≥</w:t>
            </w:r>
            <w:r>
              <w:rPr>
                <w:rStyle w:val="47"/>
                <w:rFonts w:eastAsia="宋体"/>
                <w:lang w:val="en-US" w:eastAsia="zh-CN" w:bidi="ar"/>
              </w:rPr>
              <w:t>0.50MPa</w:t>
            </w:r>
            <w:r>
              <w:rPr>
                <w:rStyle w:val="43"/>
                <w:lang w:val="en-US" w:eastAsia="zh-CN" w:bidi="ar"/>
              </w:rPr>
              <w:t>，</w:t>
            </w:r>
            <w:r>
              <w:rPr>
                <w:rStyle w:val="47"/>
                <w:rFonts w:eastAsia="宋体"/>
                <w:lang w:val="en-US" w:eastAsia="zh-CN" w:bidi="ar"/>
              </w:rPr>
              <w:t xml:space="preserve">2h </w:t>
            </w:r>
            <w:r>
              <w:rPr>
                <w:rStyle w:val="43"/>
                <w:lang w:val="en-US" w:eastAsia="zh-CN" w:bidi="ar"/>
              </w:rPr>
              <w:t>吸水厚度膨胀率≤</w:t>
            </w:r>
            <w:r>
              <w:rPr>
                <w:rStyle w:val="47"/>
                <w:rFonts w:eastAsia="宋体"/>
                <w:lang w:val="en-US" w:eastAsia="zh-CN" w:bidi="ar"/>
              </w:rPr>
              <w:t>8%</w:t>
            </w:r>
            <w:r>
              <w:rPr>
                <w:rStyle w:val="43"/>
                <w:lang w:val="en-US" w:eastAsia="zh-CN" w:bidi="ar"/>
              </w:rPr>
              <w:t>，含水率</w:t>
            </w:r>
            <w:r>
              <w:rPr>
                <w:rStyle w:val="47"/>
                <w:rFonts w:eastAsia="宋体"/>
                <w:lang w:val="en-US" w:eastAsia="zh-CN" w:bidi="ar"/>
              </w:rPr>
              <w:t>8~10%</w:t>
            </w:r>
            <w:r>
              <w:rPr>
                <w:rStyle w:val="43"/>
                <w:lang w:val="en-US" w:eastAsia="zh-CN" w:bidi="ar"/>
              </w:rPr>
              <w:t>，表面胶合强度≥</w:t>
            </w:r>
            <w:r>
              <w:rPr>
                <w:rStyle w:val="47"/>
                <w:rFonts w:eastAsia="宋体"/>
                <w:lang w:val="en-US" w:eastAsia="zh-CN" w:bidi="ar"/>
              </w:rPr>
              <w:t>1MPa</w:t>
            </w:r>
            <w:r>
              <w:rPr>
                <w:rStyle w:val="43"/>
                <w:lang w:val="en-US" w:eastAsia="zh-CN" w:bidi="ar"/>
              </w:rPr>
              <w:t>，表面耐香烟灼烧≥</w:t>
            </w:r>
            <w:r>
              <w:rPr>
                <w:rStyle w:val="47"/>
                <w:rFonts w:eastAsia="宋体"/>
                <w:lang w:val="en-US" w:eastAsia="zh-CN" w:bidi="ar"/>
              </w:rPr>
              <w:t>4</w:t>
            </w:r>
            <w:r>
              <w:rPr>
                <w:rStyle w:val="43"/>
                <w:lang w:val="en-US" w:eastAsia="zh-CN" w:bidi="ar"/>
              </w:rPr>
              <w:t>级，表面耐干热≥</w:t>
            </w:r>
            <w:r>
              <w:rPr>
                <w:rStyle w:val="47"/>
                <w:rFonts w:eastAsia="宋体"/>
                <w:lang w:val="en-US" w:eastAsia="zh-CN" w:bidi="ar"/>
              </w:rPr>
              <w:t>4</w:t>
            </w:r>
            <w:r>
              <w:rPr>
                <w:rStyle w:val="43"/>
                <w:lang w:val="en-US" w:eastAsia="zh-CN" w:bidi="ar"/>
              </w:rPr>
              <w:t>级，表面耐龟裂≥</w:t>
            </w:r>
            <w:r>
              <w:rPr>
                <w:rStyle w:val="47"/>
                <w:rFonts w:eastAsia="宋体"/>
                <w:lang w:val="en-US" w:eastAsia="zh-CN" w:bidi="ar"/>
              </w:rPr>
              <w:t>4</w:t>
            </w:r>
            <w:r>
              <w:rPr>
                <w:rStyle w:val="43"/>
                <w:lang w:val="en-US" w:eastAsia="zh-CN" w:bidi="ar"/>
              </w:rPr>
              <w:t>级，表面耐水蒸气≥</w:t>
            </w:r>
            <w:r>
              <w:rPr>
                <w:rStyle w:val="47"/>
                <w:rFonts w:eastAsia="宋体"/>
                <w:lang w:val="en-US" w:eastAsia="zh-CN" w:bidi="ar"/>
              </w:rPr>
              <w:t>4</w:t>
            </w:r>
            <w:r>
              <w:rPr>
                <w:rStyle w:val="43"/>
                <w:lang w:val="en-US" w:eastAsia="zh-CN" w:bidi="ar"/>
              </w:rPr>
              <w:t>级，表面耐冷热循环：无裂纹、鼓泡、变色、起皱等。表面耐污染：【丙酮、咖啡、氢氧化钠(25%的溶液)、双氧水(30%的溶液)、鞋油、柠酸(10%溶液)】≥5级。</w:t>
            </w:r>
            <w:r>
              <w:rPr>
                <w:rStyle w:val="44"/>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44"/>
                <w:highlight w:val="yellow"/>
                <w:lang w:val="en-US" w:eastAsia="zh-CN" w:bidi="ar"/>
              </w:rPr>
              <w:t>检验检测报告出具的时间应在本项目投标截止日前1年内</w:t>
            </w:r>
            <w:r>
              <w:rPr>
                <w:rStyle w:val="44"/>
                <w:lang w:val="en-US" w:eastAsia="zh-CN" w:bidi="ar"/>
              </w:rPr>
              <w:t>；如检验检测报告中明确备注说明相关检验检测项不在检验检测机构CMA或CNAS资质许可（认定）范围内的，不符合招标文件要求。</w:t>
            </w:r>
          </w:p>
        </w:tc>
        <w:tc>
          <w:tcPr>
            <w:tcW w:w="1704" w:type="dxa"/>
            <w:shd w:val="clear" w:color="auto" w:fill="auto"/>
            <w:vAlign w:val="top"/>
          </w:tcPr>
          <w:p>
            <w:pPr>
              <w:keepNext w:val="0"/>
              <w:keepLines w:val="0"/>
              <w:widowControl/>
              <w:suppressLineNumbers w:val="0"/>
              <w:jc w:val="both"/>
              <w:textAlignment w:val="top"/>
              <w:rPr>
                <w:rStyle w:val="43"/>
                <w:lang w:val="en-US" w:eastAsia="zh-CN" w:bidi="ar"/>
              </w:rPr>
            </w:pPr>
          </w:p>
        </w:tc>
        <w:tc>
          <w:tcPr>
            <w:tcW w:w="992" w:type="dxa"/>
            <w:gridSpan w:val="2"/>
            <w:shd w:val="clear" w:color="auto" w:fill="auto"/>
            <w:vAlign w:val="top"/>
          </w:tcPr>
          <w:p>
            <w:pPr>
              <w:keepNext w:val="0"/>
              <w:keepLines w:val="0"/>
              <w:widowControl/>
              <w:suppressLineNumbers w:val="0"/>
              <w:jc w:val="both"/>
              <w:textAlignment w:val="top"/>
              <w:rPr>
                <w:rStyle w:val="43"/>
                <w:lang w:val="en-US" w:eastAsia="zh-CN" w:bidi="ar"/>
              </w:rPr>
            </w:pPr>
          </w:p>
        </w:tc>
        <w:tc>
          <w:tcPr>
            <w:tcW w:w="967" w:type="dxa"/>
            <w:shd w:val="clear" w:color="auto" w:fill="auto"/>
            <w:vAlign w:val="top"/>
          </w:tcPr>
          <w:p>
            <w:pPr>
              <w:keepNext w:val="0"/>
              <w:keepLines w:val="0"/>
              <w:widowControl/>
              <w:suppressLineNumbers w:val="0"/>
              <w:jc w:val="both"/>
              <w:textAlignment w:val="top"/>
              <w:rPr>
                <w:rStyle w:val="43"/>
                <w:lang w:val="en-US" w:eastAsia="zh-CN" w:bidi="ar"/>
              </w:rPr>
            </w:pPr>
          </w:p>
        </w:tc>
      </w:tr>
    </w:tbl>
    <w:p>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sz w:val="21"/>
          <w:szCs w:val="21"/>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六、政府采购节能环保产品情况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七、绿色采购情况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八、设计图评价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九、项目组织实施方案的评价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rPr>
          <w:sz w:val="24"/>
        </w:rPr>
      </w:pPr>
      <w:bookmarkStart w:id="76" w:name="_Hlk72260576"/>
    </w:p>
    <w:p>
      <w:pPr>
        <w:pStyle w:val="3"/>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5"/>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4"/>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4"/>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6"/>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7"/>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8"/>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9"/>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0"/>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21669"/>
      <w:bookmarkStart w:id="102" w:name="_Toc73521581"/>
      <w:bookmarkStart w:id="103" w:name="_Toc100052400"/>
      <w:bookmarkStart w:id="104" w:name="_Toc73518151"/>
      <w:bookmarkStart w:id="105" w:name="_Toc73517673"/>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100052408"/>
      <w:bookmarkStart w:id="117" w:name="_Toc73518157"/>
      <w:bookmarkStart w:id="118" w:name="_Toc73521586"/>
      <w:bookmarkStart w:id="119" w:name="_Toc73517679"/>
      <w:bookmarkStart w:id="120" w:name="_Toc73521674"/>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18158"/>
      <w:bookmarkStart w:id="123" w:name="_Toc100052409"/>
      <w:bookmarkStart w:id="124" w:name="_Toc73521675"/>
      <w:bookmarkStart w:id="125" w:name="_Toc73521587"/>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18160"/>
      <w:bookmarkStart w:id="128" w:name="_Toc100052410"/>
      <w:bookmarkStart w:id="129" w:name="_Toc73517682"/>
      <w:bookmarkStart w:id="130" w:name="_Toc73521589"/>
      <w:bookmarkStart w:id="131" w:name="_Toc73521677"/>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21590"/>
      <w:bookmarkStart w:id="133" w:name="_Toc73518161"/>
      <w:bookmarkStart w:id="134" w:name="_Toc73517683"/>
      <w:bookmarkStart w:id="135" w:name="_Toc73521678"/>
      <w:bookmarkStart w:id="136" w:name="_Toc100052411"/>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05251A-1615-40E7-B2DD-9E4BF5DA35FC}"/>
  </w:font>
  <w:font w:name="Arial">
    <w:panose1 w:val="020B0604020202020204"/>
    <w:charset w:val="01"/>
    <w:family w:val="swiss"/>
    <w:pitch w:val="default"/>
    <w:sig w:usb0="E0002EFF" w:usb1="C000785B" w:usb2="00000009" w:usb3="00000000" w:csb0="400001FF" w:csb1="FFFF0000"/>
    <w:embedRegular r:id="rId2" w:fontKey="{CA353295-4A54-4DC8-9219-6D1E84CA79E2}"/>
  </w:font>
  <w:font w:name="黑体">
    <w:panose1 w:val="02010609060101010101"/>
    <w:charset w:val="86"/>
    <w:family w:val="auto"/>
    <w:pitch w:val="default"/>
    <w:sig w:usb0="800002BF" w:usb1="38CF7CFA" w:usb2="00000016" w:usb3="00000000" w:csb0="00040001" w:csb1="00000000"/>
    <w:embedRegular r:id="rId3" w:fontKey="{93D78088-3504-4F7E-8AC1-0CA3D34CFD8D}"/>
  </w:font>
  <w:font w:name="Courier New">
    <w:panose1 w:val="02070309020205020404"/>
    <w:charset w:val="01"/>
    <w:family w:val="modern"/>
    <w:pitch w:val="default"/>
    <w:sig w:usb0="E0002EFF" w:usb1="C0007843" w:usb2="00000009" w:usb3="00000000" w:csb0="400001FF" w:csb1="FFFF0000"/>
    <w:embedRegular r:id="rId4" w:fontKey="{5888A1BA-1124-4306-A0CF-F1A9D315343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68EE533C-6513-4305-A159-5986A2495058}"/>
  </w:font>
  <w:font w:name="Cambria">
    <w:panose1 w:val="02040503050406030204"/>
    <w:charset w:val="00"/>
    <w:family w:val="roman"/>
    <w:pitch w:val="default"/>
    <w:sig w:usb0="E00006FF" w:usb1="420024FF" w:usb2="02000000" w:usb3="00000000" w:csb0="2000019F" w:csb1="00000000"/>
    <w:embedRegular r:id="rId6" w:fontKey="{95EB04CE-8B41-45DA-B2AC-861743C6DA8D}"/>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embedRegular r:id="rId7" w:fontKey="{F1C2DAA0-1F3E-45BA-9DAA-65FE3151A09B}"/>
  </w:font>
  <w:font w:name="仿宋_GB2312">
    <w:panose1 w:val="02010609030101010101"/>
    <w:charset w:val="86"/>
    <w:family w:val="auto"/>
    <w:pitch w:val="default"/>
    <w:sig w:usb0="00000001" w:usb1="080E0000" w:usb2="00000000" w:usb3="00000000" w:csb0="00040000" w:csb1="00000000"/>
    <w:embedRegular r:id="rId8" w:fontKey="{8495A03C-4546-459F-8C24-7A64870DB721}"/>
  </w:font>
  <w:font w:name="方正仿宋_GBK">
    <w:panose1 w:val="03000509000000000000"/>
    <w:charset w:val="86"/>
    <w:family w:val="auto"/>
    <w:pitch w:val="default"/>
    <w:sig w:usb0="00000001" w:usb1="080E0000" w:usb2="00000000" w:usb3="00000000" w:csb0="00040000" w:csb1="00000000"/>
    <w:embedRegular r:id="rId9" w:fontKey="{E1FCC8E3-5345-4003-89D1-F35A63EC0C1C}"/>
  </w:font>
  <w:font w:name="华文中宋">
    <w:panose1 w:val="02010600040101010101"/>
    <w:charset w:val="86"/>
    <w:family w:val="auto"/>
    <w:pitch w:val="default"/>
    <w:sig w:usb0="00000287" w:usb1="080F0000" w:usb2="00000000" w:usb3="00000000" w:csb0="0004009F" w:csb1="DFD70000"/>
    <w:embedRegular r:id="rId10" w:fontKey="{459BCB3F-FC28-4B65-BD96-04DFB047E170}"/>
  </w:font>
  <w:font w:name="汉仪书宋二S">
    <w:panose1 w:val="00020600040101010101"/>
    <w:charset w:val="86"/>
    <w:family w:val="auto"/>
    <w:pitch w:val="default"/>
    <w:sig w:usb0="A00002BF" w:usb1="18EF7CFA" w:usb2="00000016" w:usb3="00000000" w:csb0="00040000" w:csb1="00000000"/>
    <w:embedRegular r:id="rId11" w:fontKey="{FCAA65FE-5065-4AD9-85A2-32434BAA3B84}"/>
  </w:font>
  <w:font w:name="华文楷体">
    <w:panose1 w:val="02010600040101010101"/>
    <w:charset w:val="86"/>
    <w:family w:val="auto"/>
    <w:pitch w:val="default"/>
    <w:sig w:usb0="00000287" w:usb1="080F0000" w:usb2="00000000" w:usb3="00000000" w:csb0="0004009F" w:csb1="DFD70000"/>
    <w:embedRegular r:id="rId12" w:fontKey="{BA8B5FB3-E6F1-459A-93A4-FEE6C9E385E6}"/>
  </w:font>
  <w:font w:name="ˎ̥">
    <w:altName w:val="Times New Roman"/>
    <w:panose1 w:val="00000000000000000000"/>
    <w:charset w:val="00"/>
    <w:family w:val="auto"/>
    <w:pitch w:val="default"/>
    <w:sig w:usb0="00000000" w:usb1="00000000" w:usb2="00000000" w:usb3="00000000" w:csb0="00040001" w:csb1="00000000"/>
    <w:embedRegular r:id="rId13" w:fontKey="{C1610915-53E6-42DD-8728-1C449A9ECC16}"/>
  </w:font>
  <w:font w:name="仿宋">
    <w:panose1 w:val="02010609060101010101"/>
    <w:charset w:val="86"/>
    <w:family w:val="modern"/>
    <w:pitch w:val="default"/>
    <w:sig w:usb0="800002BF" w:usb1="38CF7CFA" w:usb2="00000016" w:usb3="00000000" w:csb0="00040001" w:csb1="00000000"/>
    <w:embedRegular r:id="rId14" w:fontKey="{D59B067B-56A4-483B-94EA-91E7C5AE0A5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7"/>
  </w:num>
  <w:num w:numId="2">
    <w:abstractNumId w:val="0"/>
  </w:num>
  <w:num w:numId="3">
    <w:abstractNumId w:val="1"/>
  </w:num>
  <w:num w:numId="4">
    <w:abstractNumId w:val="10"/>
  </w:num>
  <w:num w:numId="5">
    <w:abstractNumId w:val="3"/>
  </w:num>
  <w:num w:numId="6">
    <w:abstractNumId w:val="8"/>
  </w:num>
  <w:num w:numId="7">
    <w:abstractNumId w:val="5"/>
  </w:num>
  <w:num w:numId="8">
    <w:abstractNumId w:val="4"/>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C67DC2"/>
    <w:rsid w:val="02E25F12"/>
    <w:rsid w:val="02FC0E89"/>
    <w:rsid w:val="030516AD"/>
    <w:rsid w:val="038A3F97"/>
    <w:rsid w:val="03993BA4"/>
    <w:rsid w:val="03A66B69"/>
    <w:rsid w:val="03E017D2"/>
    <w:rsid w:val="042C0AC3"/>
    <w:rsid w:val="042C4F6C"/>
    <w:rsid w:val="04446205"/>
    <w:rsid w:val="047255F5"/>
    <w:rsid w:val="048C54B6"/>
    <w:rsid w:val="049A4077"/>
    <w:rsid w:val="05130EC4"/>
    <w:rsid w:val="05452235"/>
    <w:rsid w:val="05A21435"/>
    <w:rsid w:val="05B728ED"/>
    <w:rsid w:val="06052280"/>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9512B1"/>
    <w:rsid w:val="09B4074E"/>
    <w:rsid w:val="09B47989"/>
    <w:rsid w:val="09CB6A81"/>
    <w:rsid w:val="0A0106F5"/>
    <w:rsid w:val="0A4426BD"/>
    <w:rsid w:val="0A522CFE"/>
    <w:rsid w:val="0A537E82"/>
    <w:rsid w:val="0A670558"/>
    <w:rsid w:val="0A87085A"/>
    <w:rsid w:val="0A9D041D"/>
    <w:rsid w:val="0B5C3158"/>
    <w:rsid w:val="0B845139"/>
    <w:rsid w:val="0B913B41"/>
    <w:rsid w:val="0BB023D2"/>
    <w:rsid w:val="0BC027C4"/>
    <w:rsid w:val="0BC750CE"/>
    <w:rsid w:val="0BE16F32"/>
    <w:rsid w:val="0BEE7806"/>
    <w:rsid w:val="0C0C0F57"/>
    <w:rsid w:val="0C204376"/>
    <w:rsid w:val="0C254A1B"/>
    <w:rsid w:val="0C526FE5"/>
    <w:rsid w:val="0C6875C2"/>
    <w:rsid w:val="0C6D2071"/>
    <w:rsid w:val="0CA77331"/>
    <w:rsid w:val="0CB16402"/>
    <w:rsid w:val="0CEC0DE7"/>
    <w:rsid w:val="0D0227BA"/>
    <w:rsid w:val="0D605732"/>
    <w:rsid w:val="0D844388"/>
    <w:rsid w:val="0DEE34CD"/>
    <w:rsid w:val="0E0B7D94"/>
    <w:rsid w:val="0E230C39"/>
    <w:rsid w:val="0E607F86"/>
    <w:rsid w:val="0E8A0CB9"/>
    <w:rsid w:val="0E9C279A"/>
    <w:rsid w:val="0EB421D9"/>
    <w:rsid w:val="0F142273"/>
    <w:rsid w:val="0F372067"/>
    <w:rsid w:val="0F5B4403"/>
    <w:rsid w:val="0F5D008C"/>
    <w:rsid w:val="0FD3114F"/>
    <w:rsid w:val="0FEE5EBF"/>
    <w:rsid w:val="108300B5"/>
    <w:rsid w:val="108654B0"/>
    <w:rsid w:val="108C64EF"/>
    <w:rsid w:val="10BE733F"/>
    <w:rsid w:val="10CA1840"/>
    <w:rsid w:val="10D97CD5"/>
    <w:rsid w:val="10E30B54"/>
    <w:rsid w:val="10FC5772"/>
    <w:rsid w:val="11093651"/>
    <w:rsid w:val="11662604"/>
    <w:rsid w:val="11796EDC"/>
    <w:rsid w:val="119D5A3B"/>
    <w:rsid w:val="124E657B"/>
    <w:rsid w:val="12635AA8"/>
    <w:rsid w:val="127840D2"/>
    <w:rsid w:val="12900790"/>
    <w:rsid w:val="12900868"/>
    <w:rsid w:val="12C81CDA"/>
    <w:rsid w:val="134F24D1"/>
    <w:rsid w:val="137B658D"/>
    <w:rsid w:val="13882A18"/>
    <w:rsid w:val="13AA7707"/>
    <w:rsid w:val="13FF3EF7"/>
    <w:rsid w:val="144E2788"/>
    <w:rsid w:val="14806439"/>
    <w:rsid w:val="149C1746"/>
    <w:rsid w:val="14E4477F"/>
    <w:rsid w:val="14E673AA"/>
    <w:rsid w:val="155C3B18"/>
    <w:rsid w:val="15BD1BCA"/>
    <w:rsid w:val="15C33BC1"/>
    <w:rsid w:val="16105DC5"/>
    <w:rsid w:val="16730284"/>
    <w:rsid w:val="16753FFC"/>
    <w:rsid w:val="169A5359"/>
    <w:rsid w:val="16B965DF"/>
    <w:rsid w:val="1741793A"/>
    <w:rsid w:val="1743234C"/>
    <w:rsid w:val="17884203"/>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7B0783"/>
    <w:rsid w:val="198E1EAE"/>
    <w:rsid w:val="1A12195F"/>
    <w:rsid w:val="1A24288D"/>
    <w:rsid w:val="1A620D3B"/>
    <w:rsid w:val="1AEE2D3E"/>
    <w:rsid w:val="1B1B5294"/>
    <w:rsid w:val="1B356450"/>
    <w:rsid w:val="1B421B68"/>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DE5F2D"/>
    <w:rsid w:val="1DE33F41"/>
    <w:rsid w:val="1DE71C83"/>
    <w:rsid w:val="1E206809"/>
    <w:rsid w:val="1E5A29B0"/>
    <w:rsid w:val="1E71779F"/>
    <w:rsid w:val="1E8A6AB3"/>
    <w:rsid w:val="1EFB3211"/>
    <w:rsid w:val="1F103EA9"/>
    <w:rsid w:val="1F1D7927"/>
    <w:rsid w:val="1F784B5D"/>
    <w:rsid w:val="1F8467C0"/>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477488"/>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183E2A"/>
    <w:rsid w:val="252E63EA"/>
    <w:rsid w:val="25493224"/>
    <w:rsid w:val="256533FF"/>
    <w:rsid w:val="25E847EB"/>
    <w:rsid w:val="267047E0"/>
    <w:rsid w:val="26D1527F"/>
    <w:rsid w:val="26E20B65"/>
    <w:rsid w:val="270F7B55"/>
    <w:rsid w:val="273B6B9C"/>
    <w:rsid w:val="27427F2B"/>
    <w:rsid w:val="27857F9B"/>
    <w:rsid w:val="2795721C"/>
    <w:rsid w:val="27A641C3"/>
    <w:rsid w:val="27A6670B"/>
    <w:rsid w:val="27C546B8"/>
    <w:rsid w:val="282633A8"/>
    <w:rsid w:val="284461F5"/>
    <w:rsid w:val="286F1880"/>
    <w:rsid w:val="28A10C81"/>
    <w:rsid w:val="28E75A13"/>
    <w:rsid w:val="28EC2844"/>
    <w:rsid w:val="29114058"/>
    <w:rsid w:val="29745A9F"/>
    <w:rsid w:val="29791BFE"/>
    <w:rsid w:val="29895F6F"/>
    <w:rsid w:val="29995DFC"/>
    <w:rsid w:val="29AC6F9B"/>
    <w:rsid w:val="29B91807"/>
    <w:rsid w:val="29E821D3"/>
    <w:rsid w:val="29F75268"/>
    <w:rsid w:val="2A903B7F"/>
    <w:rsid w:val="2A930A9D"/>
    <w:rsid w:val="2A967EB2"/>
    <w:rsid w:val="2AD417E1"/>
    <w:rsid w:val="2AF9465D"/>
    <w:rsid w:val="2B065713"/>
    <w:rsid w:val="2B2871E7"/>
    <w:rsid w:val="2BA9299F"/>
    <w:rsid w:val="2BF832AE"/>
    <w:rsid w:val="2BFE65C2"/>
    <w:rsid w:val="2C02412C"/>
    <w:rsid w:val="2C074F97"/>
    <w:rsid w:val="2C1665B8"/>
    <w:rsid w:val="2C295297"/>
    <w:rsid w:val="2C6E17C2"/>
    <w:rsid w:val="2D7F69DE"/>
    <w:rsid w:val="2DB16F26"/>
    <w:rsid w:val="2DB3388B"/>
    <w:rsid w:val="2DCA6ECC"/>
    <w:rsid w:val="2E815E80"/>
    <w:rsid w:val="2E954277"/>
    <w:rsid w:val="2EDF69A7"/>
    <w:rsid w:val="2F021E35"/>
    <w:rsid w:val="2F1A79DF"/>
    <w:rsid w:val="2F2A413F"/>
    <w:rsid w:val="2F363171"/>
    <w:rsid w:val="2F780F85"/>
    <w:rsid w:val="30311375"/>
    <w:rsid w:val="30473F91"/>
    <w:rsid w:val="306058C5"/>
    <w:rsid w:val="30610607"/>
    <w:rsid w:val="30B023A9"/>
    <w:rsid w:val="30C714A1"/>
    <w:rsid w:val="311772A4"/>
    <w:rsid w:val="312811AB"/>
    <w:rsid w:val="31B92B8B"/>
    <w:rsid w:val="324D032D"/>
    <w:rsid w:val="3257574A"/>
    <w:rsid w:val="32FB3683"/>
    <w:rsid w:val="32FD564D"/>
    <w:rsid w:val="3328091C"/>
    <w:rsid w:val="332C31B3"/>
    <w:rsid w:val="338F3097"/>
    <w:rsid w:val="33A51F6D"/>
    <w:rsid w:val="33C06DA7"/>
    <w:rsid w:val="342509B8"/>
    <w:rsid w:val="34297F29"/>
    <w:rsid w:val="34A531B8"/>
    <w:rsid w:val="34AE6BFF"/>
    <w:rsid w:val="34CA3E45"/>
    <w:rsid w:val="34D34153"/>
    <w:rsid w:val="356C533B"/>
    <w:rsid w:val="359758E5"/>
    <w:rsid w:val="359D5EEA"/>
    <w:rsid w:val="35BA1D81"/>
    <w:rsid w:val="35D02BA5"/>
    <w:rsid w:val="35E8637E"/>
    <w:rsid w:val="35FC7E3E"/>
    <w:rsid w:val="363C3B17"/>
    <w:rsid w:val="36474247"/>
    <w:rsid w:val="365612FD"/>
    <w:rsid w:val="36693A41"/>
    <w:rsid w:val="3677309A"/>
    <w:rsid w:val="36AE0BF8"/>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642D1"/>
    <w:rsid w:val="3B5D4EDB"/>
    <w:rsid w:val="3B7170FB"/>
    <w:rsid w:val="3B81506E"/>
    <w:rsid w:val="3BA6272A"/>
    <w:rsid w:val="3BB22833"/>
    <w:rsid w:val="3BCE6115"/>
    <w:rsid w:val="3BE27C97"/>
    <w:rsid w:val="3BE473AB"/>
    <w:rsid w:val="3C047B7B"/>
    <w:rsid w:val="3C053CD2"/>
    <w:rsid w:val="3C9A513B"/>
    <w:rsid w:val="3CCD2793"/>
    <w:rsid w:val="3CE753A4"/>
    <w:rsid w:val="3CFA57E4"/>
    <w:rsid w:val="3D0221DE"/>
    <w:rsid w:val="3D140D73"/>
    <w:rsid w:val="3D1E60DF"/>
    <w:rsid w:val="3D47333A"/>
    <w:rsid w:val="3DE2791A"/>
    <w:rsid w:val="3E151A9D"/>
    <w:rsid w:val="3E375EB7"/>
    <w:rsid w:val="3E38205E"/>
    <w:rsid w:val="3EA47C68"/>
    <w:rsid w:val="3ED03C16"/>
    <w:rsid w:val="3EEB27FE"/>
    <w:rsid w:val="3F3423F7"/>
    <w:rsid w:val="3F8E1B07"/>
    <w:rsid w:val="3FD140EA"/>
    <w:rsid w:val="40161AFD"/>
    <w:rsid w:val="403326AF"/>
    <w:rsid w:val="40712158"/>
    <w:rsid w:val="408B6047"/>
    <w:rsid w:val="40AF442B"/>
    <w:rsid w:val="40E165AE"/>
    <w:rsid w:val="411C75E7"/>
    <w:rsid w:val="41520337"/>
    <w:rsid w:val="41540B2E"/>
    <w:rsid w:val="415E333C"/>
    <w:rsid w:val="417A58FB"/>
    <w:rsid w:val="418F600A"/>
    <w:rsid w:val="419B5FD1"/>
    <w:rsid w:val="419E1DAA"/>
    <w:rsid w:val="41B25855"/>
    <w:rsid w:val="420D5851"/>
    <w:rsid w:val="422122CA"/>
    <w:rsid w:val="424B3CDF"/>
    <w:rsid w:val="42507548"/>
    <w:rsid w:val="426D19F0"/>
    <w:rsid w:val="42B40C23"/>
    <w:rsid w:val="42D31F27"/>
    <w:rsid w:val="42D33CD5"/>
    <w:rsid w:val="42FC5208"/>
    <w:rsid w:val="4320516C"/>
    <w:rsid w:val="43341596"/>
    <w:rsid w:val="436F7EA2"/>
    <w:rsid w:val="43860D47"/>
    <w:rsid w:val="43D8763F"/>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388E"/>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171A11"/>
    <w:rsid w:val="4B475260"/>
    <w:rsid w:val="4B4C2876"/>
    <w:rsid w:val="4B9E1324"/>
    <w:rsid w:val="4BA56959"/>
    <w:rsid w:val="4BBF201F"/>
    <w:rsid w:val="4BE17463"/>
    <w:rsid w:val="4C92075D"/>
    <w:rsid w:val="4CA26BF2"/>
    <w:rsid w:val="4CDB2104"/>
    <w:rsid w:val="4CEE1E37"/>
    <w:rsid w:val="4CF64AB0"/>
    <w:rsid w:val="4D145F92"/>
    <w:rsid w:val="4D330192"/>
    <w:rsid w:val="4D461C73"/>
    <w:rsid w:val="4D8D585A"/>
    <w:rsid w:val="4E092CA1"/>
    <w:rsid w:val="4E4156DB"/>
    <w:rsid w:val="4E884EF7"/>
    <w:rsid w:val="4E93713A"/>
    <w:rsid w:val="4F1456D4"/>
    <w:rsid w:val="4F74010A"/>
    <w:rsid w:val="4F9905AE"/>
    <w:rsid w:val="4FC33F25"/>
    <w:rsid w:val="4FD001C7"/>
    <w:rsid w:val="4FFF6109"/>
    <w:rsid w:val="500B71A4"/>
    <w:rsid w:val="502E60F8"/>
    <w:rsid w:val="50334005"/>
    <w:rsid w:val="505E4B9C"/>
    <w:rsid w:val="50A30487"/>
    <w:rsid w:val="50DD1804"/>
    <w:rsid w:val="511E4A12"/>
    <w:rsid w:val="51A52CE0"/>
    <w:rsid w:val="51CB0999"/>
    <w:rsid w:val="51D3742D"/>
    <w:rsid w:val="51EF7B88"/>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BD76A4"/>
    <w:rsid w:val="56D4209E"/>
    <w:rsid w:val="56DB2C2D"/>
    <w:rsid w:val="56E4418B"/>
    <w:rsid w:val="57064221"/>
    <w:rsid w:val="57470BA7"/>
    <w:rsid w:val="5773022F"/>
    <w:rsid w:val="577477EE"/>
    <w:rsid w:val="57770C7B"/>
    <w:rsid w:val="580A1AEF"/>
    <w:rsid w:val="58776655"/>
    <w:rsid w:val="58B74216"/>
    <w:rsid w:val="58C16652"/>
    <w:rsid w:val="590752B6"/>
    <w:rsid w:val="591F15CA"/>
    <w:rsid w:val="596D67DA"/>
    <w:rsid w:val="59760D08"/>
    <w:rsid w:val="599E6993"/>
    <w:rsid w:val="59AC5554"/>
    <w:rsid w:val="59F61727"/>
    <w:rsid w:val="5A564466"/>
    <w:rsid w:val="5A902780"/>
    <w:rsid w:val="5A9F4737"/>
    <w:rsid w:val="5AAE2C06"/>
    <w:rsid w:val="5AE8436A"/>
    <w:rsid w:val="5AF80325"/>
    <w:rsid w:val="5B086C85"/>
    <w:rsid w:val="5B4758E4"/>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00D16"/>
    <w:rsid w:val="5F463D55"/>
    <w:rsid w:val="5FC43288"/>
    <w:rsid w:val="5FD4389C"/>
    <w:rsid w:val="5FEC48FC"/>
    <w:rsid w:val="6013374F"/>
    <w:rsid w:val="60545FFD"/>
    <w:rsid w:val="60B116A2"/>
    <w:rsid w:val="60B42F40"/>
    <w:rsid w:val="60B7767B"/>
    <w:rsid w:val="61696F59"/>
    <w:rsid w:val="61D672CA"/>
    <w:rsid w:val="61E63AF5"/>
    <w:rsid w:val="62081602"/>
    <w:rsid w:val="626A2DAC"/>
    <w:rsid w:val="62784498"/>
    <w:rsid w:val="628174E8"/>
    <w:rsid w:val="63293771"/>
    <w:rsid w:val="637C7D45"/>
    <w:rsid w:val="639808F7"/>
    <w:rsid w:val="645F2960"/>
    <w:rsid w:val="64654C7D"/>
    <w:rsid w:val="64741138"/>
    <w:rsid w:val="64BD496D"/>
    <w:rsid w:val="64BE25DF"/>
    <w:rsid w:val="64DB5DF9"/>
    <w:rsid w:val="64F93617"/>
    <w:rsid w:val="655D3BA6"/>
    <w:rsid w:val="65655387"/>
    <w:rsid w:val="659A6BA8"/>
    <w:rsid w:val="65FE7BFD"/>
    <w:rsid w:val="66EC6F90"/>
    <w:rsid w:val="66F2031E"/>
    <w:rsid w:val="66FA4B3F"/>
    <w:rsid w:val="67AA7E58"/>
    <w:rsid w:val="67AB0BF9"/>
    <w:rsid w:val="67EA0511"/>
    <w:rsid w:val="68077DF9"/>
    <w:rsid w:val="68382663"/>
    <w:rsid w:val="686314D3"/>
    <w:rsid w:val="6888718C"/>
    <w:rsid w:val="68A629A9"/>
    <w:rsid w:val="68E5527F"/>
    <w:rsid w:val="69173CD0"/>
    <w:rsid w:val="693D1D24"/>
    <w:rsid w:val="69A578CA"/>
    <w:rsid w:val="69EA0620"/>
    <w:rsid w:val="6A204BF3"/>
    <w:rsid w:val="6A61200C"/>
    <w:rsid w:val="6A691ED2"/>
    <w:rsid w:val="6A7343B6"/>
    <w:rsid w:val="6AB029CA"/>
    <w:rsid w:val="6AB40090"/>
    <w:rsid w:val="6ADE7537"/>
    <w:rsid w:val="6AE34B4E"/>
    <w:rsid w:val="6AF208ED"/>
    <w:rsid w:val="6B1F6200"/>
    <w:rsid w:val="6B4A3375"/>
    <w:rsid w:val="6B825FC3"/>
    <w:rsid w:val="6B8359E9"/>
    <w:rsid w:val="6C174E18"/>
    <w:rsid w:val="6C613F7C"/>
    <w:rsid w:val="6C806253"/>
    <w:rsid w:val="6CB74321"/>
    <w:rsid w:val="6CCB5899"/>
    <w:rsid w:val="6CF748E0"/>
    <w:rsid w:val="6D15191A"/>
    <w:rsid w:val="6D364B55"/>
    <w:rsid w:val="6D7D3037"/>
    <w:rsid w:val="6D934609"/>
    <w:rsid w:val="6DAE50AD"/>
    <w:rsid w:val="6DDA2238"/>
    <w:rsid w:val="6E0E1EE1"/>
    <w:rsid w:val="6E5A21EA"/>
    <w:rsid w:val="6EB8009F"/>
    <w:rsid w:val="6EC72090"/>
    <w:rsid w:val="6F834B73"/>
    <w:rsid w:val="6F857F81"/>
    <w:rsid w:val="6FC62348"/>
    <w:rsid w:val="6FD74BD1"/>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9E4BB9"/>
    <w:rsid w:val="74A16CBA"/>
    <w:rsid w:val="74B23B2E"/>
    <w:rsid w:val="74CB28DA"/>
    <w:rsid w:val="74D53759"/>
    <w:rsid w:val="74F33BDF"/>
    <w:rsid w:val="74F90C8B"/>
    <w:rsid w:val="752B5D11"/>
    <w:rsid w:val="752C70F1"/>
    <w:rsid w:val="75387844"/>
    <w:rsid w:val="753903C8"/>
    <w:rsid w:val="75A24103"/>
    <w:rsid w:val="75CC2E8E"/>
    <w:rsid w:val="75DC4AB5"/>
    <w:rsid w:val="75EF406B"/>
    <w:rsid w:val="75F55420"/>
    <w:rsid w:val="76391AC6"/>
    <w:rsid w:val="765B7C8E"/>
    <w:rsid w:val="76707B96"/>
    <w:rsid w:val="76726D86"/>
    <w:rsid w:val="768D36C7"/>
    <w:rsid w:val="76C3504D"/>
    <w:rsid w:val="770422FE"/>
    <w:rsid w:val="771F319A"/>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027042"/>
    <w:rsid w:val="7AA46F38"/>
    <w:rsid w:val="7AA716F4"/>
    <w:rsid w:val="7B467F1D"/>
    <w:rsid w:val="7B6368DC"/>
    <w:rsid w:val="7BA7772C"/>
    <w:rsid w:val="7C0924C9"/>
    <w:rsid w:val="7C507B69"/>
    <w:rsid w:val="7C711A95"/>
    <w:rsid w:val="7C8D4919"/>
    <w:rsid w:val="7CBA4FE2"/>
    <w:rsid w:val="7CD24A22"/>
    <w:rsid w:val="7D2F777E"/>
    <w:rsid w:val="7D5F0561"/>
    <w:rsid w:val="7D60202E"/>
    <w:rsid w:val="7D6458CE"/>
    <w:rsid w:val="7D8555F0"/>
    <w:rsid w:val="7D916095"/>
    <w:rsid w:val="7DB13B00"/>
    <w:rsid w:val="7DB14637"/>
    <w:rsid w:val="7DC51E91"/>
    <w:rsid w:val="7E141A72"/>
    <w:rsid w:val="7E703977"/>
    <w:rsid w:val="7E963DC6"/>
    <w:rsid w:val="7EF02F3D"/>
    <w:rsid w:val="7F0D2891"/>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7"/>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Emphasis"/>
    <w:basedOn w:val="19"/>
    <w:qFormat/>
    <w:uiPriority w:val="20"/>
    <w:rPr>
      <w:i/>
    </w:rPr>
  </w:style>
  <w:style w:type="character" w:styleId="24">
    <w:name w:val="Hyperlink"/>
    <w:basedOn w:val="19"/>
    <w:unhideWhenUsed/>
    <w:qFormat/>
    <w:uiPriority w:val="99"/>
    <w:rPr>
      <w:color w:val="0000FF" w:themeColor="hyperlink"/>
      <w:u w:val="single"/>
      <w14:textFill>
        <w14:solidFill>
          <w14:schemeClr w14:val="hlink"/>
        </w14:solidFill>
      </w14:textFill>
    </w:rPr>
  </w:style>
  <w:style w:type="character" w:styleId="25">
    <w:name w:val="annotation reference"/>
    <w:basedOn w:val="19"/>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19"/>
    <w:link w:val="13"/>
    <w:semiHidden/>
    <w:qFormat/>
    <w:uiPriority w:val="99"/>
    <w:rPr>
      <w:sz w:val="18"/>
      <w:szCs w:val="18"/>
    </w:rPr>
  </w:style>
  <w:style w:type="character" w:customStyle="1" w:styleId="28">
    <w:name w:val="页脚 Char"/>
    <w:basedOn w:val="19"/>
    <w:link w:val="12"/>
    <w:qFormat/>
    <w:uiPriority w:val="99"/>
    <w:rPr>
      <w:sz w:val="18"/>
      <w:szCs w:val="18"/>
    </w:rPr>
  </w:style>
  <w:style w:type="character" w:customStyle="1" w:styleId="29">
    <w:name w:val="批注框文本 Char"/>
    <w:basedOn w:val="19"/>
    <w:link w:val="11"/>
    <w:semiHidden/>
    <w:qFormat/>
    <w:uiPriority w:val="99"/>
    <w:rPr>
      <w:sz w:val="18"/>
      <w:szCs w:val="18"/>
    </w:rPr>
  </w:style>
  <w:style w:type="character" w:customStyle="1" w:styleId="30">
    <w:name w:val="普通(网站) Char"/>
    <w:link w:val="15"/>
    <w:qFormat/>
    <w:uiPriority w:val="99"/>
    <w:rPr>
      <w:rFonts w:ascii="宋体" w:hAnsi="宋体"/>
      <w:sz w:val="24"/>
      <w:szCs w:val="24"/>
    </w:rPr>
  </w:style>
  <w:style w:type="character" w:customStyle="1" w:styleId="31">
    <w:name w:val="标题 1 Char"/>
    <w:basedOn w:val="19"/>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19"/>
    <w:link w:val="9"/>
    <w:semiHidden/>
    <w:qFormat/>
    <w:uiPriority w:val="99"/>
    <w:rPr>
      <w:rFonts w:ascii="宋体" w:eastAsia="宋体"/>
      <w:sz w:val="18"/>
      <w:szCs w:val="18"/>
    </w:rPr>
  </w:style>
  <w:style w:type="character" w:customStyle="1" w:styleId="34">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5">
    <w:name w:val="批注文字 Char"/>
    <w:basedOn w:val="19"/>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6"/>
    <w:semiHidden/>
    <w:qFormat/>
    <w:uiPriority w:val="99"/>
    <w:rPr>
      <w:b/>
      <w:bCs/>
    </w:rPr>
  </w:style>
  <w:style w:type="table" w:customStyle="1" w:styleId="38">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11"/>
    <w:basedOn w:val="19"/>
    <w:qFormat/>
    <w:uiPriority w:val="0"/>
    <w:rPr>
      <w:rFonts w:hint="eastAsia" w:ascii="宋体" w:hAnsi="宋体" w:eastAsia="宋体" w:cs="宋体"/>
      <w:b/>
      <w:bCs/>
      <w:color w:val="000000"/>
      <w:sz w:val="21"/>
      <w:szCs w:val="21"/>
      <w:u w:val="none"/>
    </w:rPr>
  </w:style>
  <w:style w:type="character" w:customStyle="1" w:styleId="40">
    <w:name w:val="font21"/>
    <w:basedOn w:val="19"/>
    <w:qFormat/>
    <w:uiPriority w:val="0"/>
    <w:rPr>
      <w:rFonts w:hint="eastAsia" w:ascii="宋体" w:hAnsi="宋体" w:eastAsia="宋体" w:cs="宋体"/>
      <w:b/>
      <w:bCs/>
      <w:color w:val="000000"/>
      <w:sz w:val="21"/>
      <w:szCs w:val="21"/>
      <w:u w:val="none"/>
    </w:rPr>
  </w:style>
  <w:style w:type="character" w:customStyle="1" w:styleId="41">
    <w:name w:val="font41"/>
    <w:basedOn w:val="19"/>
    <w:qFormat/>
    <w:uiPriority w:val="0"/>
    <w:rPr>
      <w:rFonts w:hint="eastAsia" w:ascii="宋体" w:hAnsi="宋体" w:eastAsia="宋体" w:cs="宋体"/>
      <w:color w:val="000000"/>
      <w:sz w:val="24"/>
      <w:szCs w:val="24"/>
      <w:u w:val="none"/>
    </w:rPr>
  </w:style>
  <w:style w:type="character" w:customStyle="1" w:styleId="42">
    <w:name w:val="font31"/>
    <w:basedOn w:val="19"/>
    <w:qFormat/>
    <w:uiPriority w:val="0"/>
    <w:rPr>
      <w:rFonts w:hint="eastAsia" w:ascii="宋体" w:hAnsi="宋体" w:eastAsia="宋体" w:cs="宋体"/>
      <w:color w:val="000000"/>
      <w:sz w:val="21"/>
      <w:szCs w:val="21"/>
      <w:u w:val="none"/>
    </w:rPr>
  </w:style>
  <w:style w:type="character" w:customStyle="1" w:styleId="43">
    <w:name w:val="font51"/>
    <w:basedOn w:val="19"/>
    <w:qFormat/>
    <w:uiPriority w:val="0"/>
    <w:rPr>
      <w:rFonts w:hint="eastAsia" w:ascii="宋体" w:hAnsi="宋体" w:eastAsia="宋体" w:cs="宋体"/>
      <w:color w:val="000000"/>
      <w:sz w:val="21"/>
      <w:szCs w:val="21"/>
      <w:u w:val="none"/>
    </w:rPr>
  </w:style>
  <w:style w:type="character" w:customStyle="1" w:styleId="44">
    <w:name w:val="font71"/>
    <w:basedOn w:val="19"/>
    <w:qFormat/>
    <w:uiPriority w:val="0"/>
    <w:rPr>
      <w:rFonts w:hint="eastAsia" w:ascii="宋体" w:hAnsi="宋体" w:eastAsia="宋体" w:cs="宋体"/>
      <w:b/>
      <w:bCs/>
      <w:color w:val="0000FF"/>
      <w:sz w:val="21"/>
      <w:szCs w:val="21"/>
      <w:u w:val="none"/>
    </w:rPr>
  </w:style>
  <w:style w:type="character" w:customStyle="1" w:styleId="45">
    <w:name w:val="font81"/>
    <w:basedOn w:val="19"/>
    <w:qFormat/>
    <w:uiPriority w:val="0"/>
    <w:rPr>
      <w:rFonts w:hint="eastAsia" w:ascii="宋体" w:hAnsi="宋体" w:eastAsia="宋体" w:cs="宋体"/>
      <w:color w:val="000000"/>
      <w:sz w:val="20"/>
      <w:szCs w:val="20"/>
      <w:u w:val="none"/>
    </w:rPr>
  </w:style>
  <w:style w:type="character" w:customStyle="1" w:styleId="46">
    <w:name w:val="font61"/>
    <w:basedOn w:val="19"/>
    <w:qFormat/>
    <w:uiPriority w:val="0"/>
    <w:rPr>
      <w:rFonts w:hint="eastAsia" w:ascii="宋体" w:hAnsi="宋体" w:eastAsia="宋体" w:cs="宋体"/>
      <w:color w:val="000000"/>
      <w:sz w:val="22"/>
      <w:szCs w:val="22"/>
      <w:u w:val="none"/>
    </w:rPr>
  </w:style>
  <w:style w:type="character" w:customStyle="1" w:styleId="47">
    <w:name w:val="font91"/>
    <w:basedOn w:val="19"/>
    <w:qFormat/>
    <w:uiPriority w:val="0"/>
    <w:rPr>
      <w:rFonts w:hint="default" w:ascii="Times New Roman" w:hAnsi="Times New Roman" w:cs="Times New Roman"/>
      <w:color w:val="000000"/>
      <w:sz w:val="21"/>
      <w:szCs w:val="21"/>
      <w:u w:val="none"/>
    </w:rPr>
  </w:style>
  <w:style w:type="character" w:customStyle="1" w:styleId="48">
    <w:name w:val="font01"/>
    <w:basedOn w:val="1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71</Pages>
  <Words>1539</Words>
  <Characters>1539</Characters>
  <Lines>316</Lines>
  <Paragraphs>88</Paragraphs>
  <TotalTime>15</TotalTime>
  <ScaleCrop>false</ScaleCrop>
  <LinksUpToDate>false</LinksUpToDate>
  <CharactersWithSpaces>1542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2025-07-19T13:49:28Z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BCBD022F357347D8881CE34B7EFAEAA8_13</vt:lpwstr>
  </property>
  <property fmtid="{D5CDD505-2E9C-101B-9397-08002B2CF9AE}" pid="4" name="KSOTemplateDocerSaveRecord">
    <vt:lpwstr>eyJoZGlkIjoiMjkxMDc5NThmNmQ3YjJlZDBlYzBkMzU0MDJlZWM4ZTMiLCJ1c2VySWQiOiI2ODkxOTQ0NzcifQ==</vt:lpwstr>
  </property>
</Properties>
</file>