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BAZXCG-2025-00458</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深圳市宝安区立新湖学校触控一体机采购项目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544"/>
        <w:gridCol w:w="1712"/>
        <w:gridCol w:w="738"/>
        <w:gridCol w:w="5403"/>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2994"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5403"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2994"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2994"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59</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5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171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540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E9A04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13B319">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ascii="宋体" w:hAnsi="宋体" w:cs="宋体"/>
                <w:kern w:val="0"/>
                <w:szCs w:val="21"/>
                <w:lang w:bidi="ar"/>
              </w:rPr>
              <w:t>1</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B7C804">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D4FD88">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30</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top"/>
          </w:tcPr>
          <w:p w14:paraId="078CD511">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6D8ED32A">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5A58C032">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02CA9AA4">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20</w:t>
            </w:r>
            <w:r>
              <w:rPr>
                <w:rFonts w:hint="eastAsia" w:ascii="宋体" w:hAnsi="宋体" w:eastAsia="宋体" w:cs="宋体"/>
                <w:color w:val="0000FF"/>
                <w:kern w:val="0"/>
                <w:szCs w:val="21"/>
                <w:highlight w:val="none"/>
              </w:rPr>
              <w:t>分，最低得0分。</w:t>
            </w:r>
          </w:p>
        </w:tc>
      </w:tr>
      <w:tr w14:paraId="5E1D7B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D71E89E">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B2744">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2</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B6B0EA">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207775">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15</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top"/>
          </w:tcPr>
          <w:p w14:paraId="5A982909">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56E45FE9">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62979EAB">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0EF6D53F">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2</w:t>
            </w:r>
            <w:r>
              <w:rPr>
                <w:rFonts w:hint="eastAsia" w:ascii="宋体" w:hAnsi="宋体" w:eastAsia="宋体" w:cs="宋体"/>
                <w:color w:val="0000FF"/>
                <w:kern w:val="0"/>
                <w:szCs w:val="21"/>
                <w:highlight w:val="none"/>
              </w:rPr>
              <w:t>分，最低得0分。</w:t>
            </w:r>
          </w:p>
        </w:tc>
      </w:tr>
      <w:tr w14:paraId="6B5E22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62E7370">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FAB8C8">
            <w:pPr>
              <w:keepNext w:val="0"/>
              <w:keepLines w:val="0"/>
              <w:widowControl/>
              <w:suppressLineNumbers w:val="0"/>
              <w:jc w:val="center"/>
              <w:textAlignment w:val="center"/>
              <w:rPr>
                <w:rFonts w:hint="eastAsia" w:ascii="微软雅黑" w:hAnsi="微软雅黑" w:eastAsia="微软雅黑" w:cs="微软雅黑"/>
                <w:kern w:val="2"/>
                <w:sz w:val="13"/>
                <w:szCs w:val="13"/>
                <w:lang w:val="en-US" w:eastAsia="zh-CN" w:bidi="ar-SA"/>
              </w:rPr>
            </w:pPr>
            <w:r>
              <w:rPr>
                <w:rFonts w:hint="eastAsia" w:ascii="宋体" w:hAnsi="宋体" w:cs="宋体"/>
                <w:kern w:val="0"/>
                <w:szCs w:val="21"/>
                <w:lang w:val="en-US" w:eastAsia="zh-CN" w:bidi="ar"/>
              </w:rPr>
              <w:t>3</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3DA19B">
            <w:pPr>
              <w:snapToGrid w:val="0"/>
              <w:jc w:val="center"/>
              <w:rPr>
                <w:rFonts w:hint="eastAsia" w:ascii="微软雅黑" w:hAnsi="微软雅黑" w:eastAsia="微软雅黑" w:cs="微软雅黑"/>
                <w:kern w:val="2"/>
                <w:sz w:val="13"/>
                <w:szCs w:val="13"/>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FAFCEF">
            <w:pPr>
              <w:widowControl/>
              <w:wordWrap w:val="0"/>
              <w:jc w:val="center"/>
              <w:textAlignment w:val="top"/>
              <w:rPr>
                <w:rFonts w:hint="default" w:ascii="微软雅黑" w:hAnsi="微软雅黑" w:eastAsia="微软雅黑" w:cs="微软雅黑"/>
                <w:kern w:val="2"/>
                <w:sz w:val="13"/>
                <w:szCs w:val="13"/>
                <w:lang w:val="en-US" w:eastAsia="zh-CN" w:bidi="ar-SA"/>
              </w:rPr>
            </w:pPr>
            <w:r>
              <w:rPr>
                <w:rFonts w:hint="eastAsia"/>
                <w:szCs w:val="21"/>
                <w:lang w:val="en-US" w:eastAsia="zh-CN"/>
              </w:rPr>
              <w:t>1</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top"/>
          </w:tcPr>
          <w:p w14:paraId="2FFEE70B">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6FBBFCC9">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5D55302D">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037C3900">
            <w:pPr>
              <w:snapToGrid w:val="0"/>
              <w:ind w:firstLine="420" w:firstLineChars="200"/>
              <w:jc w:val="both"/>
              <w:rPr>
                <w:rFonts w:hint="eastAsia" w:ascii="微软雅黑" w:hAnsi="微软雅黑" w:eastAsia="微软雅黑" w:cs="微软雅黑"/>
                <w:kern w:val="2"/>
                <w:sz w:val="13"/>
                <w:szCs w:val="13"/>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037ABD">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keepNext w:val="0"/>
              <w:keepLines w:val="0"/>
              <w:widowControl/>
              <w:suppressLineNumbers w:val="0"/>
              <w:jc w:val="center"/>
              <w:textAlignment w:val="center"/>
              <w:rPr>
                <w:rFonts w:hint="eastAsia" w:ascii="微软雅黑" w:hAnsi="微软雅黑" w:eastAsia="微软雅黑" w:cs="微软雅黑"/>
                <w:kern w:val="0"/>
                <w:sz w:val="13"/>
                <w:szCs w:val="13"/>
                <w:lang w:val="en-US" w:eastAsia="zh-CN" w:bidi="ar"/>
              </w:rPr>
            </w:pPr>
            <w:r>
              <w:rPr>
                <w:rFonts w:hint="eastAsia" w:ascii="宋体" w:hAnsi="宋体" w:cs="宋体"/>
                <w:kern w:val="0"/>
                <w:szCs w:val="21"/>
                <w:lang w:val="en-US" w:eastAsia="zh-CN" w:bidi="ar"/>
              </w:rPr>
              <w:t>4</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微软雅黑" w:hAnsi="微软雅黑" w:eastAsia="微软雅黑" w:cs="微软雅黑"/>
                <w:kern w:val="0"/>
                <w:sz w:val="13"/>
                <w:szCs w:val="13"/>
                <w:lang w:val="en-US" w:eastAsia="zh-CN" w:bidi="ar"/>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hint="eastAsia" w:ascii="微软雅黑" w:hAnsi="微软雅黑" w:eastAsia="微软雅黑" w:cs="微软雅黑"/>
                <w:kern w:val="0"/>
                <w:sz w:val="13"/>
                <w:szCs w:val="13"/>
                <w:lang w:val="en-US" w:eastAsia="zh-CN" w:bidi="ar"/>
              </w:rPr>
            </w:pPr>
            <w:r>
              <w:rPr>
                <w:rFonts w:hint="eastAsia" w:ascii="Times New Roman" w:eastAsia="宋体"/>
                <w:szCs w:val="21"/>
                <w:lang w:val="en-US" w:eastAsia="zh-CN"/>
              </w:rPr>
              <w:t>1</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top"/>
          </w:tcPr>
          <w:p w14:paraId="7FD1A7EF">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1CB8F845">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BDA8F8B">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5744F15F">
            <w:pPr>
              <w:snapToGrid w:val="0"/>
              <w:ind w:firstLine="420" w:firstLineChars="200"/>
              <w:jc w:val="both"/>
              <w:rPr>
                <w:rFonts w:hint="eastAsia" w:ascii="微软雅黑" w:hAnsi="微软雅黑" w:eastAsia="微软雅黑" w:cs="微软雅黑"/>
                <w:kern w:val="0"/>
                <w:sz w:val="13"/>
                <w:szCs w:val="13"/>
                <w:lang w:val="en-US" w:eastAsia="zh-CN" w:bidi="ar"/>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5</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Cs w:val="21"/>
                <w:highlight w:val="none"/>
              </w:rPr>
              <w:t>项目组织实施方案的评价</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3</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7C88E6">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14:paraId="015EA609">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投标人提供本项目的组织实施方案，方案中应包含 </w:t>
            </w:r>
          </w:p>
          <w:p w14:paraId="3B106422">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1、</w:t>
            </w:r>
            <w:r>
              <w:rPr>
                <w:rFonts w:hint="eastAsia" w:ascii="宋体" w:hAnsi="宋体" w:eastAsia="宋体" w:cs="宋体"/>
                <w:b/>
                <w:bCs/>
                <w:kern w:val="0"/>
                <w:sz w:val="21"/>
                <w:szCs w:val="21"/>
                <w:highlight w:val="none"/>
                <w:lang w:val="en-US" w:eastAsia="zh-CN" w:bidi="ar"/>
              </w:rPr>
              <w:t>项目进度计划安排；</w:t>
            </w:r>
          </w:p>
          <w:p w14:paraId="7324CA5A">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2、施工组织计划；</w:t>
            </w:r>
          </w:p>
          <w:p w14:paraId="7BACEC77">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3、验收组织计划；</w:t>
            </w:r>
          </w:p>
          <w:p w14:paraId="7E1BCC67">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4、产品培训方案；</w:t>
            </w:r>
          </w:p>
          <w:p w14:paraId="7443F451">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5、实施图纸（含平面布局图、空间效果图）。</w:t>
            </w:r>
          </w:p>
          <w:p w14:paraId="76CDB34E">
            <w:pPr>
              <w:keepNext w:val="0"/>
              <w:keepLines w:val="0"/>
              <w:widowControl/>
              <w:numPr>
                <w:ilvl w:val="0"/>
                <w:numId w:val="0"/>
              </w:numPr>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cs="宋体"/>
                <w:b/>
                <w:bCs/>
                <w:color w:val="0000FF"/>
                <w:kern w:val="0"/>
                <w:sz w:val="21"/>
                <w:szCs w:val="21"/>
                <w:lang w:val="en-US" w:eastAsia="zh-CN" w:bidi="ar"/>
              </w:rPr>
              <w:t>（二）评分准则：</w:t>
            </w:r>
          </w:p>
          <w:p w14:paraId="2EC94518">
            <w:pPr>
              <w:keepNext w:val="0"/>
              <w:keepLines w:val="0"/>
              <w:widowControl/>
              <w:numPr>
                <w:ilvl w:val="0"/>
                <w:numId w:val="0"/>
              </w:numPr>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含有上述一</w:t>
            </w:r>
            <w:r>
              <w:rPr>
                <w:rFonts w:hint="eastAsia" w:ascii="宋体" w:hAnsi="宋体" w:cs="宋体"/>
                <w:color w:val="0000FF"/>
                <w:kern w:val="0"/>
                <w:sz w:val="21"/>
                <w:szCs w:val="21"/>
                <w:highlight w:val="none"/>
                <w:lang w:val="en-US" w:eastAsia="zh-CN" w:bidi="ar"/>
              </w:rPr>
              <w:t>项</w:t>
            </w:r>
            <w:r>
              <w:rPr>
                <w:rFonts w:hint="eastAsia" w:ascii="宋体" w:hAnsi="宋体" w:eastAsia="宋体" w:cs="宋体"/>
                <w:color w:val="0000FF"/>
                <w:kern w:val="0"/>
                <w:sz w:val="21"/>
                <w:szCs w:val="21"/>
                <w:highlight w:val="none"/>
                <w:lang w:val="en-US" w:eastAsia="zh-CN" w:bidi="ar"/>
              </w:rPr>
              <w:t>内容得12分</w:t>
            </w:r>
            <w:r>
              <w:rPr>
                <w:rFonts w:hint="eastAsia" w:ascii="宋体" w:hAnsi="宋体" w:cs="宋体"/>
                <w:color w:val="0000FF"/>
                <w:kern w:val="0"/>
                <w:sz w:val="21"/>
                <w:szCs w:val="21"/>
                <w:highlight w:val="none"/>
                <w:lang w:val="en-US" w:eastAsia="zh-CN" w:bidi="ar"/>
              </w:rPr>
              <w:t>，最高得60分</w:t>
            </w:r>
            <w:r>
              <w:rPr>
                <w:rFonts w:hint="eastAsia" w:ascii="宋体" w:hAnsi="宋体" w:eastAsia="宋体" w:cs="宋体"/>
                <w:color w:val="0000FF"/>
                <w:kern w:val="0"/>
                <w:sz w:val="21"/>
                <w:szCs w:val="21"/>
                <w:highlight w:val="none"/>
                <w:lang w:val="en-US" w:eastAsia="zh-CN" w:bidi="ar"/>
              </w:rPr>
              <w:t>。</w:t>
            </w:r>
          </w:p>
          <w:p w14:paraId="4A2AC312">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
              </w:rPr>
              <w:t xml:space="preserve">在此基础上，对方案的合理性、可行性进行打分。 </w:t>
            </w:r>
          </w:p>
          <w:p w14:paraId="700C462F">
            <w:pPr>
              <w:keepNext w:val="0"/>
              <w:keepLines w:val="0"/>
              <w:widowControl/>
              <w:numPr>
                <w:ilvl w:val="0"/>
                <w:numId w:val="1"/>
              </w:numPr>
              <w:suppressLineNumbers w:val="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方案清晰周密、合理可行、表述完整、方法得当、技术先进、符合相关规范要求得40分。</w:t>
            </w:r>
          </w:p>
          <w:p w14:paraId="496F1317">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2、方案基本可行表述基本完整得20分。</w:t>
            </w:r>
          </w:p>
          <w:p w14:paraId="2B18B918">
            <w:pPr>
              <w:keepNext w:val="0"/>
              <w:keepLines w:val="0"/>
              <w:widowControl/>
              <w:numPr>
                <w:ilvl w:val="0"/>
                <w:numId w:val="0"/>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
              </w:rPr>
              <w:t>3、未提供或方案计划不切合本项目的实际情况、合理完善性差、可行性差的对应项不得分。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6</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9073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4C549">
            <w:pPr>
              <w:widowControl/>
              <w:jc w:val="center"/>
              <w:textAlignment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3</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F97AF3">
            <w:pPr>
              <w:widowControl/>
              <w:numPr>
                <w:ilvl w:val="0"/>
                <w:numId w:val="2"/>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75BEE07F">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投标人提供本项目的售后服务方案，方案中应包含</w:t>
            </w:r>
            <w:r>
              <w:rPr>
                <w:rFonts w:hint="eastAsia" w:ascii="宋体" w:hAnsi="宋体" w:cs="宋体"/>
                <w:kern w:val="0"/>
                <w:sz w:val="21"/>
                <w:szCs w:val="21"/>
                <w:lang w:eastAsia="zh-CN" w:bidi="ar"/>
              </w:rPr>
              <w:t>：</w:t>
            </w:r>
          </w:p>
          <w:p w14:paraId="69D451CE">
            <w:pPr>
              <w:widowControl/>
              <w:numPr>
                <w:ilvl w:val="0"/>
                <w:numId w:val="3"/>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59BC3B8A">
            <w:pPr>
              <w:widowControl/>
              <w:numPr>
                <w:ilvl w:val="0"/>
                <w:numId w:val="3"/>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7D3CDAF0">
            <w:pPr>
              <w:widowControl/>
              <w:numPr>
                <w:ilvl w:val="0"/>
                <w:numId w:val="3"/>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245E3FC0">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63D0C539">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39441F16">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2AF08385">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13C9A9E9">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56DEF89F">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(2)售后服务方案比较具体，保障措施比较完善可行，能够满足招标文件要求的得20分；</w:t>
            </w:r>
          </w:p>
          <w:p w14:paraId="514495BC">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(3)未提供售后服务方案和措施或方案不详细、可行性较差，无法满足招标文件要求的得0分。</w:t>
            </w:r>
          </w:p>
        </w:tc>
      </w:tr>
      <w:tr w14:paraId="36EE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6593DD0">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875F0">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7</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08FDBC">
            <w:pPr>
              <w:snapToGrid w:val="0"/>
              <w:spacing w:line="320" w:lineRule="exact"/>
              <w:jc w:val="center"/>
              <w:rPr>
                <w:rFonts w:hint="eastAsia" w:ascii="宋体" w:hAnsi="宋体" w:eastAsia="宋体" w:cs="宋体"/>
                <w:kern w:val="0"/>
                <w:sz w:val="21"/>
                <w:szCs w:val="21"/>
                <w:lang w:val="en-US" w:eastAsia="zh-CN" w:bidi="ar"/>
              </w:rPr>
            </w:pPr>
            <w:r>
              <w:rPr>
                <w:rFonts w:hint="eastAsia" w:ascii="宋体" w:hAnsi="宋体" w:eastAsia="宋体" w:cs="宋体"/>
                <w:snapToGrid w:val="0"/>
                <w:kern w:val="0"/>
                <w:sz w:val="21"/>
                <w:szCs w:val="21"/>
              </w:rPr>
              <w:t>实施及维护能力评价</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74CBE">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top"/>
          </w:tcPr>
          <w:p w14:paraId="7BADBEE1">
            <w:pPr>
              <w:keepNext w:val="0"/>
              <w:keepLines w:val="0"/>
              <w:widowControl/>
              <w:numPr>
                <w:ilvl w:val="0"/>
                <w:numId w:val="0"/>
              </w:numPr>
              <w:suppressLineNumbers w:val="0"/>
              <w:jc w:val="left"/>
              <w:textAlignment w:val="center"/>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14:paraId="611A00D7">
            <w:pPr>
              <w:wordWrap w:val="0"/>
              <w:rPr>
                <w:rFonts w:hint="eastAsia" w:ascii="宋体" w:hAnsi="宋体" w:eastAsia="宋体" w:cs="宋体"/>
                <w:sz w:val="21"/>
                <w:szCs w:val="21"/>
              </w:rPr>
            </w:pPr>
            <w:r>
              <w:rPr>
                <w:rFonts w:hint="eastAsia" w:ascii="宋体" w:hAnsi="宋体" w:eastAsia="宋体" w:cs="宋体"/>
                <w:sz w:val="21"/>
                <w:szCs w:val="21"/>
              </w:rPr>
              <w:t>投标人实施及服务人员</w:t>
            </w:r>
            <w:r>
              <w:rPr>
                <w:rFonts w:hint="eastAsia" w:ascii="宋体" w:hAnsi="宋体"/>
                <w:bCs/>
                <w:szCs w:val="21"/>
              </w:rPr>
              <w:t>为投标人自有员工</w:t>
            </w:r>
          </w:p>
          <w:p w14:paraId="0BC28F2B">
            <w:pPr>
              <w:numPr>
                <w:ilvl w:val="0"/>
                <w:numId w:val="0"/>
              </w:numPr>
              <w:wordWrap w:val="0"/>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bidi="ar-SA"/>
              </w:rPr>
              <w:t>1.</w:t>
            </w:r>
            <w:r>
              <w:rPr>
                <w:rFonts w:hint="eastAsia" w:ascii="宋体" w:hAnsi="宋体" w:eastAsia="宋体" w:cs="宋体"/>
                <w:sz w:val="21"/>
                <w:szCs w:val="21"/>
                <w:highlight w:val="none"/>
              </w:rPr>
              <w:t>具有</w:t>
            </w:r>
            <w:r>
              <w:rPr>
                <w:rFonts w:hint="eastAsia" w:ascii="宋体" w:hAnsi="宋体" w:eastAsia="宋体" w:cs="宋体"/>
                <w:b/>
                <w:bCs/>
                <w:sz w:val="21"/>
                <w:szCs w:val="21"/>
                <w:highlight w:val="none"/>
                <w:lang w:val="en-US" w:eastAsia="zh-CN"/>
              </w:rPr>
              <w:t>人社部门</w:t>
            </w:r>
            <w:r>
              <w:rPr>
                <w:rFonts w:hint="eastAsia" w:ascii="宋体" w:hAnsi="宋体" w:eastAsia="宋体" w:cs="宋体"/>
                <w:sz w:val="21"/>
                <w:szCs w:val="21"/>
                <w:highlight w:val="none"/>
              </w:rPr>
              <w:t>颁发的</w:t>
            </w:r>
            <w:r>
              <w:rPr>
                <w:rFonts w:hint="eastAsia" w:ascii="宋体" w:hAnsi="宋体" w:eastAsia="宋体" w:cs="宋体"/>
                <w:b/>
                <w:bCs/>
                <w:color w:val="auto"/>
                <w:sz w:val="21"/>
                <w:szCs w:val="21"/>
                <w:highlight w:val="none"/>
              </w:rPr>
              <w:t>信息安全工程师证书</w:t>
            </w:r>
            <w:r>
              <w:rPr>
                <w:rFonts w:hint="eastAsia" w:ascii="宋体" w:hAnsi="宋体" w:eastAsia="宋体" w:cs="宋体"/>
                <w:color w:val="auto"/>
                <w:sz w:val="21"/>
                <w:szCs w:val="21"/>
                <w:highlight w:val="none"/>
                <w:lang w:eastAsia="zh-CN"/>
              </w:rPr>
              <w:t>。</w:t>
            </w:r>
          </w:p>
          <w:p w14:paraId="09449B9B">
            <w:pPr>
              <w:numPr>
                <w:ilvl w:val="0"/>
                <w:numId w:val="0"/>
              </w:numPr>
              <w:wordWrap w:val="0"/>
              <w:rPr>
                <w:rFonts w:hint="eastAsia" w:ascii="宋体" w:hAnsi="宋体" w:eastAsia="宋体" w:cs="宋体"/>
                <w:sz w:val="21"/>
                <w:szCs w:val="21"/>
              </w:rPr>
            </w:pPr>
            <w:r>
              <w:rPr>
                <w:rFonts w:hint="eastAsia" w:ascii="宋体" w:hAnsi="宋体"/>
                <w:bCs/>
                <w:szCs w:val="21"/>
              </w:rPr>
              <w:t>每提供1人得</w:t>
            </w:r>
            <w:r>
              <w:rPr>
                <w:rFonts w:hint="eastAsia" w:ascii="宋体" w:hAnsi="宋体"/>
                <w:bCs/>
                <w:szCs w:val="21"/>
                <w:lang w:val="en-US" w:eastAsia="zh-CN"/>
              </w:rPr>
              <w:t>50</w:t>
            </w:r>
            <w:r>
              <w:rPr>
                <w:rFonts w:hint="eastAsia" w:ascii="宋体" w:hAnsi="宋体"/>
                <w:bCs/>
                <w:szCs w:val="21"/>
              </w:rPr>
              <w:t>分，最高得</w:t>
            </w:r>
            <w:r>
              <w:rPr>
                <w:rFonts w:hint="eastAsia" w:ascii="宋体" w:hAnsi="宋体"/>
                <w:bCs/>
                <w:szCs w:val="21"/>
                <w:lang w:val="en-US" w:eastAsia="zh-CN"/>
              </w:rPr>
              <w:t>100</w:t>
            </w:r>
            <w:r>
              <w:rPr>
                <w:rFonts w:hint="eastAsia" w:ascii="宋体" w:hAnsi="宋体"/>
                <w:bCs/>
                <w:szCs w:val="21"/>
              </w:rPr>
              <w:t>分</w:t>
            </w:r>
            <w:r>
              <w:rPr>
                <w:rFonts w:hint="eastAsia" w:ascii="宋体" w:hAnsi="宋体" w:eastAsia="宋体" w:cs="宋体"/>
                <w:sz w:val="21"/>
                <w:szCs w:val="21"/>
              </w:rPr>
              <w:t>。</w:t>
            </w:r>
          </w:p>
          <w:p w14:paraId="6F703068">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bCs/>
                <w:color w:val="0000FF"/>
                <w:szCs w:val="21"/>
              </w:rPr>
            </w:pPr>
            <w:r>
              <w:rPr>
                <w:rFonts w:hint="eastAsia" w:ascii="宋体" w:hAnsi="宋体"/>
                <w:bCs/>
                <w:color w:val="0000FF"/>
                <w:szCs w:val="21"/>
                <w:lang w:val="en-US" w:eastAsia="zh-CN"/>
              </w:rPr>
              <w:t>（二）评分</w:t>
            </w:r>
            <w:r>
              <w:rPr>
                <w:rFonts w:hint="eastAsia" w:ascii="宋体" w:hAnsi="宋体"/>
                <w:bCs/>
                <w:color w:val="0000FF"/>
                <w:szCs w:val="21"/>
              </w:rPr>
              <w:t>标准</w:t>
            </w:r>
            <w:r>
              <w:rPr>
                <w:rFonts w:hint="eastAsia" w:ascii="宋体" w:hAnsi="宋体"/>
                <w:bCs/>
                <w:color w:val="0000FF"/>
                <w:szCs w:val="21"/>
                <w:lang w:val="en-US" w:eastAsia="zh-CN"/>
              </w:rPr>
              <w:t>：</w:t>
            </w:r>
          </w:p>
          <w:p w14:paraId="263BE776">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bCs/>
                <w:color w:val="0000FF"/>
                <w:szCs w:val="21"/>
              </w:rPr>
            </w:pPr>
            <w:r>
              <w:rPr>
                <w:rFonts w:hint="eastAsia" w:ascii="宋体" w:hAnsi="宋体"/>
                <w:bCs/>
                <w:color w:val="0000FF"/>
                <w:szCs w:val="21"/>
              </w:rPr>
              <w:t>1、提供相关证书扫描件，其中：</w:t>
            </w:r>
            <w:r>
              <w:rPr>
                <w:rFonts w:hint="eastAsia" w:ascii="宋体" w:hAnsi="宋体"/>
                <w:b/>
                <w:bCs w:val="0"/>
                <w:color w:val="0000FF"/>
                <w:szCs w:val="21"/>
              </w:rPr>
              <w:t>1</w:t>
            </w:r>
            <w:r>
              <w:rPr>
                <w:rFonts w:hint="eastAsia" w:ascii="宋体" w:hAnsi="宋体"/>
                <w:b/>
                <w:bCs w:val="0"/>
                <w:color w:val="0000FF"/>
                <w:szCs w:val="21"/>
                <w:lang w:val="en-US" w:eastAsia="zh-CN"/>
              </w:rPr>
              <w:t>)</w:t>
            </w:r>
            <w:r>
              <w:rPr>
                <w:rFonts w:hint="eastAsia" w:ascii="宋体" w:hAnsi="宋体"/>
                <w:b/>
                <w:bCs w:val="0"/>
                <w:color w:val="0000FF"/>
                <w:szCs w:val="21"/>
              </w:rPr>
              <w:t>涉及证书</w:t>
            </w:r>
            <w:r>
              <w:rPr>
                <w:rFonts w:hint="eastAsia" w:ascii="宋体" w:hAnsi="宋体"/>
                <w:b/>
                <w:bCs w:val="0"/>
                <w:color w:val="0000FF"/>
                <w:szCs w:val="21"/>
                <w:lang w:eastAsia="zh-CN"/>
              </w:rPr>
              <w:t>的，</w:t>
            </w:r>
            <w:r>
              <w:rPr>
                <w:rFonts w:hint="eastAsia" w:ascii="宋体" w:hAnsi="宋体"/>
                <w:bCs/>
                <w:color w:val="0000FF"/>
                <w:szCs w:val="21"/>
              </w:rPr>
              <w:t>需要提供全国专业技术人员职业资格证书查询验证系统查询截图（查询网址：https://zs.cpta.com.cn/certMng/loginPage.jsp）,如无法提供查询截图，则需提供发证部门出具的其他证明文件；</w:t>
            </w:r>
          </w:p>
          <w:p w14:paraId="130F4D8E">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bCs/>
                <w:color w:val="0000FF"/>
                <w:szCs w:val="21"/>
              </w:rPr>
            </w:pPr>
            <w:r>
              <w:rPr>
                <w:rFonts w:hint="eastAsia" w:ascii="宋体" w:hAnsi="宋体"/>
                <w:bCs/>
                <w:color w:val="0000FF"/>
                <w:szCs w:val="21"/>
              </w:rPr>
              <w:t>2、提供相关人员开标日当月或前一个月在本公司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自有员工；</w:t>
            </w:r>
          </w:p>
          <w:p w14:paraId="06697DB7">
            <w:pPr>
              <w:keepNext w:val="0"/>
              <w:keepLines w:val="0"/>
              <w:pageBreakBefore w:val="0"/>
              <w:widowControl w:val="0"/>
              <w:kinsoku/>
              <w:wordWrap w:val="0"/>
              <w:overflowPunct/>
              <w:topLinePunct w:val="0"/>
              <w:autoSpaceDE/>
              <w:autoSpaceDN/>
              <w:bidi w:val="0"/>
              <w:adjustRightInd/>
              <w:snapToGrid/>
              <w:spacing w:line="320" w:lineRule="exact"/>
              <w:textAlignment w:val="auto"/>
              <w:rPr>
                <w:rFonts w:hint="eastAsia" w:ascii="宋体" w:hAnsi="宋体" w:eastAsia="宋体" w:cs="宋体"/>
                <w:kern w:val="0"/>
                <w:sz w:val="21"/>
                <w:szCs w:val="21"/>
                <w:highlight w:val="none"/>
                <w:lang w:val="en-US" w:eastAsia="zh-CN" w:bidi="ar"/>
              </w:rPr>
            </w:pPr>
            <w:r>
              <w:rPr>
                <w:rFonts w:hint="eastAsia" w:ascii="宋体" w:hAnsi="宋体"/>
                <w:bCs/>
                <w:color w:val="0000FF"/>
                <w:szCs w:val="21"/>
              </w:rPr>
              <w:t>3、未按要求提供证明材料（或证明材料无法判断是否符合评分要求）的不得分，原件备查。</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2994"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5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171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540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7891F5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FB79DB">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1</w:t>
            </w:r>
          </w:p>
        </w:tc>
        <w:tc>
          <w:tcPr>
            <w:tcW w:w="171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A2BBB2F">
            <w:pPr>
              <w:spacing w:line="320" w:lineRule="exact"/>
              <w:jc w:val="center"/>
              <w:rPr>
                <w:rFonts w:hint="eastAsia" w:ascii="微软雅黑" w:hAnsi="微软雅黑" w:eastAsia="微软雅黑" w:cs="微软雅黑"/>
                <w:kern w:val="2"/>
                <w:sz w:val="13"/>
                <w:szCs w:val="13"/>
                <w:lang w:val="en-US" w:eastAsia="zh-CN" w:bidi="ar-SA"/>
              </w:rPr>
            </w:pPr>
            <w:r>
              <w:rPr>
                <w:rFonts w:hint="eastAsia" w:ascii="宋体" w:hAnsi="宋体" w:eastAsia="宋体" w:cs="宋体"/>
                <w:sz w:val="21"/>
                <w:szCs w:val="21"/>
              </w:rPr>
              <w:t>体系认证情况评价</w:t>
            </w:r>
          </w:p>
        </w:tc>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21DD6A">
            <w:pPr>
              <w:spacing w:line="320" w:lineRule="exact"/>
              <w:jc w:val="center"/>
              <w:rPr>
                <w:rFonts w:hint="eastAsia" w:ascii="微软雅黑" w:hAnsi="微软雅黑" w:eastAsia="微软雅黑" w:cs="微软雅黑"/>
                <w:kern w:val="2"/>
                <w:sz w:val="13"/>
                <w:szCs w:val="13"/>
                <w:lang w:val="en-US" w:eastAsia="zh-CN" w:bidi="ar-SA"/>
              </w:rPr>
            </w:pPr>
            <w:r>
              <w:rPr>
                <w:rFonts w:hint="eastAsia" w:ascii="宋体" w:hAnsi="宋体" w:eastAsia="宋体" w:cs="宋体"/>
                <w:kern w:val="2"/>
                <w:sz w:val="21"/>
                <w:szCs w:val="21"/>
                <w:lang w:val="en-US" w:eastAsia="zh-CN" w:bidi="ar-SA"/>
              </w:rPr>
              <w:t>3</w:t>
            </w:r>
          </w:p>
        </w:tc>
        <w:tc>
          <w:tcPr>
            <w:tcW w:w="540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866CA8">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14:paraId="175D84B4">
            <w:pPr>
              <w:spacing w:after="60" w:line="240" w:lineRule="exact"/>
              <w:rPr>
                <w:rFonts w:hint="eastAsia" w:ascii="宋体" w:hAnsi="宋体" w:eastAsia="宋体" w:cs="宋体"/>
                <w:sz w:val="21"/>
                <w:szCs w:val="21"/>
                <w:lang w:eastAsia="zh-CN"/>
              </w:rPr>
            </w:pPr>
            <w:r>
              <w:rPr>
                <w:rFonts w:hint="eastAsia" w:ascii="宋体" w:hAnsi="宋体" w:eastAsia="宋体" w:cs="宋体"/>
                <w:sz w:val="21"/>
                <w:szCs w:val="21"/>
              </w:rPr>
              <w:t>投标人具有以下</w:t>
            </w:r>
            <w:r>
              <w:rPr>
                <w:rFonts w:hint="eastAsia" w:ascii="宋体" w:hAnsi="宋体" w:eastAsia="宋体" w:cs="宋体"/>
                <w:sz w:val="21"/>
                <w:szCs w:val="21"/>
                <w:lang w:eastAsia="zh-CN"/>
              </w:rPr>
              <w:t>：</w:t>
            </w:r>
          </w:p>
          <w:p w14:paraId="37BAA405">
            <w:pPr>
              <w:numPr>
                <w:ilvl w:val="0"/>
                <w:numId w:val="0"/>
              </w:numPr>
              <w:spacing w:after="60" w:line="240" w:lineRule="exact"/>
              <w:rPr>
                <w:rFonts w:hint="eastAsia" w:ascii="宋体" w:hAnsi="宋体" w:eastAsia="宋体" w:cs="宋体"/>
                <w:b/>
                <w:bCs/>
                <w:sz w:val="21"/>
                <w:szCs w:val="21"/>
                <w:highlight w:val="none"/>
              </w:rPr>
            </w:pPr>
            <w:r>
              <w:rPr>
                <w:rFonts w:hint="eastAsia" w:ascii="宋体" w:hAnsi="宋体" w:eastAsia="宋体" w:cs="宋体"/>
                <w:b/>
                <w:bCs/>
                <w:kern w:val="2"/>
                <w:sz w:val="21"/>
                <w:szCs w:val="21"/>
                <w:highlight w:val="none"/>
                <w:lang w:val="en-US" w:eastAsia="zh-CN" w:bidi="ar-SA"/>
              </w:rPr>
              <w:t>1、</w:t>
            </w:r>
            <w:r>
              <w:rPr>
                <w:rFonts w:hint="eastAsia" w:ascii="宋体" w:hAnsi="宋体" w:eastAsia="宋体" w:cs="宋体"/>
                <w:b/>
                <w:bCs/>
                <w:sz w:val="21"/>
                <w:szCs w:val="21"/>
                <w:highlight w:val="none"/>
              </w:rPr>
              <w:t>职业健康管理体系认证证书；</w:t>
            </w:r>
          </w:p>
          <w:p w14:paraId="3E37A62C">
            <w:pPr>
              <w:numPr>
                <w:ilvl w:val="0"/>
                <w:numId w:val="0"/>
              </w:numPr>
              <w:spacing w:after="60" w:line="240" w:lineRule="exact"/>
              <w:rPr>
                <w:rFonts w:hint="eastAsia" w:ascii="宋体" w:hAnsi="宋体" w:eastAsia="宋体" w:cs="宋体"/>
                <w:b/>
                <w:bCs/>
                <w:sz w:val="21"/>
                <w:szCs w:val="21"/>
                <w:highlight w:val="none"/>
              </w:rPr>
            </w:pPr>
            <w:r>
              <w:rPr>
                <w:rFonts w:hint="eastAsia" w:ascii="宋体" w:hAnsi="宋体" w:eastAsia="宋体" w:cs="宋体"/>
                <w:b/>
                <w:bCs/>
                <w:kern w:val="2"/>
                <w:sz w:val="21"/>
                <w:szCs w:val="21"/>
                <w:highlight w:val="none"/>
                <w:lang w:val="en-US" w:eastAsia="zh-CN" w:bidi="ar-SA"/>
              </w:rPr>
              <w:t>2、</w:t>
            </w:r>
            <w:r>
              <w:rPr>
                <w:rFonts w:hint="eastAsia" w:ascii="宋体" w:hAnsi="宋体" w:eastAsia="宋体" w:cs="宋体"/>
                <w:b/>
                <w:bCs/>
                <w:sz w:val="21"/>
                <w:szCs w:val="21"/>
                <w:highlight w:val="none"/>
              </w:rPr>
              <w:t>环境管理体系认证证书；</w:t>
            </w:r>
          </w:p>
          <w:p w14:paraId="050D58BA">
            <w:pPr>
              <w:spacing w:after="60" w:line="24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质量管理体系认证证书。</w:t>
            </w:r>
          </w:p>
          <w:p w14:paraId="6E3804E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Cs/>
                <w:sz w:val="21"/>
                <w:szCs w:val="21"/>
              </w:rPr>
            </w:pPr>
            <w:r>
              <w:rPr>
                <w:rFonts w:hint="eastAsia" w:ascii="宋体" w:hAnsi="宋体" w:eastAsia="宋体" w:cs="宋体"/>
                <w:bCs/>
                <w:sz w:val="21"/>
                <w:szCs w:val="21"/>
                <w:lang w:val="en-US" w:eastAsia="zh-CN"/>
              </w:rPr>
              <w:t>每具有1类证书得34分，</w:t>
            </w:r>
            <w:r>
              <w:rPr>
                <w:rFonts w:hint="eastAsia" w:ascii="宋体" w:hAnsi="宋体" w:eastAsia="宋体" w:cs="宋体"/>
                <w:bCs/>
                <w:sz w:val="21"/>
                <w:szCs w:val="21"/>
              </w:rPr>
              <w:t>最高得100分</w:t>
            </w:r>
          </w:p>
          <w:p w14:paraId="7138488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cs="宋体"/>
                <w:b/>
                <w:bCs/>
                <w:color w:val="0000FF"/>
                <w:kern w:val="0"/>
                <w:sz w:val="21"/>
                <w:szCs w:val="21"/>
                <w:lang w:val="en-US" w:eastAsia="zh-CN" w:bidi="ar"/>
              </w:rPr>
              <w:t>（二）评分准则：</w:t>
            </w:r>
          </w:p>
          <w:p w14:paraId="561F8DBE">
            <w:pPr>
              <w:wordWrap w:val="0"/>
              <w:ind w:left="0" w:leftChars="0" w:firstLine="0" w:firstLineChars="0"/>
              <w:rPr>
                <w:rFonts w:hint="eastAsia" w:ascii="宋体" w:hAnsi="宋体" w:cs="宋体"/>
                <w:color w:val="0000FF"/>
                <w:sz w:val="21"/>
                <w:szCs w:val="21"/>
              </w:rPr>
            </w:pPr>
            <w:r>
              <w:rPr>
                <w:rFonts w:hint="eastAsia" w:ascii="宋体" w:hAnsi="宋体" w:cs="宋体"/>
                <w:color w:val="0000FF"/>
                <w:sz w:val="21"/>
                <w:szCs w:val="21"/>
              </w:rPr>
              <w:t>1、提供相关认证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或认证机构颁发官网查询结果为准。</w:t>
            </w:r>
          </w:p>
          <w:p w14:paraId="6F4F9321">
            <w:pPr>
              <w:spacing w:after="60" w:line="240" w:lineRule="exact"/>
              <w:rPr>
                <w:rFonts w:hint="eastAsia" w:ascii="微软雅黑" w:hAnsi="微软雅黑" w:eastAsia="微软雅黑" w:cs="微软雅黑"/>
                <w:bCs/>
                <w:kern w:val="2"/>
                <w:sz w:val="13"/>
                <w:szCs w:val="13"/>
                <w:lang w:val="en-US" w:eastAsia="zh-CN" w:bidi="ar-SA"/>
              </w:rPr>
            </w:pPr>
            <w:r>
              <w:rPr>
                <w:rFonts w:hint="eastAsia" w:ascii="宋体" w:hAnsi="宋体" w:cs="宋体"/>
                <w:color w:val="0000FF"/>
                <w:sz w:val="21"/>
                <w:szCs w:val="21"/>
              </w:rPr>
              <w:t>2、未按要求提供证明材料（或证明材料无法判断是否符合评分要求）的不得分，原件备查。</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F520C8">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2</w:t>
            </w:r>
          </w:p>
        </w:tc>
        <w:tc>
          <w:tcPr>
            <w:tcW w:w="171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A9DDD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6BD41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3</w:t>
            </w:r>
          </w:p>
        </w:tc>
        <w:tc>
          <w:tcPr>
            <w:tcW w:w="540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1DC2AB">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14:paraId="08A6F05A">
            <w:pPr>
              <w:pStyle w:val="10"/>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202</w:t>
            </w:r>
            <w:r>
              <w:rPr>
                <w:rFonts w:hint="eastAsia" w:ascii="宋体" w:hAnsi="宋体" w:eastAsia="宋体" w:cs="宋体"/>
                <w:kern w:val="0"/>
                <w:sz w:val="21"/>
                <w:szCs w:val="21"/>
                <w:highlight w:val="none"/>
                <w:lang w:val="en-US" w:eastAsia="zh-CN" w:bidi="ar"/>
              </w:rPr>
              <w:t>2</w:t>
            </w:r>
            <w:r>
              <w:rPr>
                <w:rFonts w:hint="eastAsia" w:ascii="宋体" w:hAnsi="宋体" w:eastAsia="宋体" w:cs="宋体"/>
                <w:kern w:val="0"/>
                <w:sz w:val="21"/>
                <w:szCs w:val="21"/>
                <w:highlight w:val="none"/>
                <w:lang w:bidi="ar"/>
              </w:rPr>
              <w:t>年1月1日（以合同签订日期为准）</w:t>
            </w:r>
            <w:r>
              <w:rPr>
                <w:rFonts w:hint="eastAsia" w:ascii="宋体" w:hAnsi="宋体" w:eastAsia="宋体" w:cs="宋体"/>
                <w:kern w:val="0"/>
                <w:sz w:val="21"/>
                <w:szCs w:val="21"/>
                <w:highlight w:val="none"/>
                <w:lang w:val="en-US" w:eastAsia="zh-CN" w:bidi="ar"/>
              </w:rPr>
              <w:t>以后，投标人具有与本项目同类</w:t>
            </w:r>
            <w:r>
              <w:rPr>
                <w:rFonts w:hint="eastAsia" w:ascii="宋体" w:hAnsi="宋体" w:eastAsia="宋体" w:cs="宋体"/>
                <w:b/>
                <w:bCs/>
                <w:kern w:val="0"/>
                <w:sz w:val="21"/>
                <w:szCs w:val="21"/>
                <w:highlight w:val="none"/>
                <w:lang w:val="en-US" w:eastAsia="zh-CN" w:bidi="ar"/>
              </w:rPr>
              <w:t>（电教平台类，包含触控一体机或交互平板）</w:t>
            </w:r>
            <w:r>
              <w:rPr>
                <w:rFonts w:hint="eastAsia" w:ascii="宋体" w:hAnsi="宋体" w:eastAsia="宋体" w:cs="宋体"/>
                <w:kern w:val="0"/>
                <w:sz w:val="21"/>
                <w:szCs w:val="21"/>
                <w:highlight w:val="none"/>
                <w:lang w:val="en-US" w:eastAsia="zh-CN" w:bidi="ar"/>
              </w:rPr>
              <w:t>项目经验，且履约评价为优或满意（或同等评价），每提供一个得</w:t>
            </w:r>
            <w:r>
              <w:rPr>
                <w:rFonts w:hint="eastAsia" w:hAnsi="宋体" w:cs="宋体"/>
                <w:kern w:val="0"/>
                <w:sz w:val="21"/>
                <w:szCs w:val="21"/>
                <w:highlight w:val="none"/>
                <w:lang w:val="en-US" w:eastAsia="zh-CN" w:bidi="ar"/>
              </w:rPr>
              <w:t>50</w:t>
            </w:r>
            <w:r>
              <w:rPr>
                <w:rFonts w:hint="eastAsia" w:ascii="宋体" w:hAnsi="宋体" w:eastAsia="宋体" w:cs="宋体"/>
                <w:kern w:val="0"/>
                <w:sz w:val="21"/>
                <w:szCs w:val="21"/>
                <w:highlight w:val="none"/>
                <w:lang w:val="en-US" w:eastAsia="zh-CN" w:bidi="ar"/>
              </w:rPr>
              <w:t>分，最高得100分。</w:t>
            </w:r>
          </w:p>
          <w:p w14:paraId="2C978F6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color w:val="0000FF"/>
                <w:kern w:val="0"/>
                <w:sz w:val="21"/>
                <w:szCs w:val="21"/>
                <w:highlight w:val="none"/>
                <w:lang w:val="en-US" w:eastAsia="zh-CN" w:bidi="ar"/>
              </w:rPr>
            </w:pPr>
            <w:r>
              <w:rPr>
                <w:rFonts w:hint="eastAsia" w:ascii="宋体" w:hAnsi="宋体" w:cs="宋体"/>
                <w:b/>
                <w:bCs/>
                <w:color w:val="0000FF"/>
                <w:kern w:val="0"/>
                <w:sz w:val="21"/>
                <w:szCs w:val="21"/>
                <w:highlight w:val="none"/>
                <w:lang w:val="en-US" w:eastAsia="zh-CN" w:bidi="ar"/>
              </w:rPr>
              <w:t>（二）评分准则：</w:t>
            </w:r>
          </w:p>
          <w:p w14:paraId="5A4F2905">
            <w:pPr>
              <w:pStyle w:val="10"/>
              <w:rPr>
                <w:rFonts w:hint="eastAsia" w:ascii="宋体" w:hAnsi="宋体" w:eastAsia="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val="en-US" w:eastAsia="zh-CN" w:bidi="ar"/>
              </w:rPr>
              <w:t>1、同时提供以下：（1）合同关键页扫描件</w:t>
            </w:r>
            <w:r>
              <w:rPr>
                <w:rFonts w:hint="eastAsia" w:asciiTheme="minorEastAsia" w:hAnsiTheme="minorEastAsia" w:eastAsiaTheme="minorEastAsia" w:cstheme="minorEastAsia"/>
                <w:color w:val="0000FF"/>
                <w:sz w:val="21"/>
                <w:szCs w:val="21"/>
                <w:highlight w:val="none"/>
                <w:lang w:val="en-US" w:eastAsia="zh-CN"/>
              </w:rPr>
              <w:t>（包括但不限于合同双方的单位名称、合同项目名称、项目内容、合同双方的落款盖章、签订日期等）</w:t>
            </w:r>
            <w:r>
              <w:rPr>
                <w:rFonts w:hint="eastAsia" w:ascii="宋体" w:hAnsi="宋体" w:eastAsia="宋体" w:cs="宋体"/>
                <w:color w:val="0000FF"/>
                <w:kern w:val="0"/>
                <w:sz w:val="21"/>
                <w:szCs w:val="21"/>
                <w:highlight w:val="none"/>
                <w:lang w:val="en-US" w:eastAsia="zh-CN" w:bidi="ar"/>
              </w:rPr>
              <w:t>；（2）设备配置清单扫描件；（3）验收报告[加盖合同甲方</w:t>
            </w:r>
            <w:r>
              <w:rPr>
                <w:rFonts w:hint="eastAsia" w:hAnsi="宋体" w:cs="宋体"/>
                <w:color w:val="0000FF"/>
                <w:kern w:val="0"/>
                <w:sz w:val="21"/>
                <w:szCs w:val="21"/>
                <w:highlight w:val="none"/>
                <w:lang w:val="en-US" w:eastAsia="zh-CN" w:bidi="ar"/>
              </w:rPr>
              <w:t>（合同相对方）</w:t>
            </w:r>
            <w:r>
              <w:rPr>
                <w:rFonts w:hint="eastAsia" w:ascii="宋体" w:hAnsi="宋体" w:eastAsia="宋体" w:cs="宋体"/>
                <w:color w:val="0000FF"/>
                <w:kern w:val="0"/>
                <w:sz w:val="21"/>
                <w:szCs w:val="21"/>
                <w:highlight w:val="none"/>
                <w:lang w:val="en-US" w:eastAsia="zh-CN" w:bidi="ar"/>
              </w:rPr>
              <w:t>公章</w:t>
            </w:r>
            <w:r>
              <w:rPr>
                <w:rFonts w:hint="eastAsia" w:hAnsi="宋体" w:cs="宋体"/>
                <w:color w:val="0000FF"/>
                <w:kern w:val="0"/>
                <w:sz w:val="21"/>
                <w:szCs w:val="21"/>
                <w:highlight w:val="none"/>
                <w:lang w:val="en-US" w:eastAsia="zh-CN" w:bidi="ar"/>
              </w:rPr>
              <w:t>或</w:t>
            </w:r>
            <w:r>
              <w:rPr>
                <w:rFonts w:hint="eastAsia" w:ascii="宋体" w:hAnsi="宋体" w:eastAsia="宋体" w:cs="宋体"/>
                <w:color w:val="0000FF"/>
                <w:kern w:val="0"/>
                <w:sz w:val="21"/>
                <w:szCs w:val="21"/>
                <w:highlight w:val="none"/>
                <w:lang w:val="en-US" w:eastAsia="zh-CN" w:bidi="ar"/>
              </w:rPr>
              <w:t>业务章）]；（4）履约评价证明[加盖合同甲方</w:t>
            </w:r>
            <w:r>
              <w:rPr>
                <w:rFonts w:hint="eastAsia" w:hAnsi="宋体" w:cs="宋体"/>
                <w:color w:val="0000FF"/>
                <w:kern w:val="0"/>
                <w:sz w:val="21"/>
                <w:szCs w:val="21"/>
                <w:highlight w:val="none"/>
                <w:lang w:val="en-US" w:eastAsia="zh-CN" w:bidi="ar"/>
              </w:rPr>
              <w:t>（合同相对方）</w:t>
            </w:r>
            <w:r>
              <w:rPr>
                <w:rFonts w:hint="eastAsia" w:ascii="宋体" w:hAnsi="宋体" w:eastAsia="宋体" w:cs="宋体"/>
                <w:color w:val="0000FF"/>
                <w:kern w:val="0"/>
                <w:sz w:val="21"/>
                <w:szCs w:val="21"/>
                <w:highlight w:val="none"/>
                <w:lang w:val="en-US" w:eastAsia="zh-CN" w:bidi="ar"/>
              </w:rPr>
              <w:t>公章</w:t>
            </w:r>
            <w:r>
              <w:rPr>
                <w:rFonts w:hint="eastAsia" w:hAnsi="宋体" w:cs="宋体"/>
                <w:color w:val="0000FF"/>
                <w:kern w:val="0"/>
                <w:sz w:val="21"/>
                <w:szCs w:val="21"/>
                <w:highlight w:val="none"/>
                <w:lang w:val="en-US" w:eastAsia="zh-CN" w:bidi="ar"/>
              </w:rPr>
              <w:t>或</w:t>
            </w:r>
            <w:r>
              <w:rPr>
                <w:rFonts w:hint="eastAsia" w:ascii="宋体" w:hAnsi="宋体" w:eastAsia="宋体" w:cs="宋体"/>
                <w:color w:val="0000FF"/>
                <w:kern w:val="0"/>
                <w:sz w:val="21"/>
                <w:szCs w:val="21"/>
                <w:highlight w:val="none"/>
                <w:lang w:val="en-US" w:eastAsia="zh-CN" w:bidi="ar"/>
              </w:rPr>
              <w:t>业务章）]。</w:t>
            </w:r>
          </w:p>
          <w:p w14:paraId="01E9F8EF">
            <w:pPr>
              <w:pStyle w:val="10"/>
              <w:rPr>
                <w:rFonts w:hint="eastAsia" w:ascii="宋体" w:hAnsi="宋体" w:eastAsia="宋体" w:cs="宋体"/>
                <w:kern w:val="0"/>
                <w:sz w:val="21"/>
                <w:szCs w:val="21"/>
                <w:lang w:val="en-US" w:eastAsia="zh-CN" w:bidi="ar"/>
              </w:rPr>
            </w:pPr>
            <w:r>
              <w:rPr>
                <w:rFonts w:hint="eastAsia" w:asciiTheme="minorEastAsia" w:hAnsiTheme="minorEastAsia" w:eastAsiaTheme="minorEastAsia" w:cstheme="minorEastAsia"/>
                <w:color w:val="0000FF"/>
                <w:sz w:val="21"/>
                <w:szCs w:val="21"/>
                <w:highlight w:val="none"/>
                <w:lang w:val="en-US" w:eastAsia="zh-CN"/>
              </w:rPr>
              <w:t>2、未按要求提供相关证明材料（或相关证明材料无法判断是否符合评分要求）的不计得分，原件备查。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2994"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54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5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171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7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540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5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17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7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rFonts w:hint="eastAsia" w:eastAsiaTheme="minorEastAsia"/>
                <w:szCs w:val="21"/>
                <w:lang w:val="en-US" w:eastAsia="zh-CN"/>
              </w:rPr>
            </w:pPr>
            <w:r>
              <w:rPr>
                <w:rFonts w:hint="eastAsia"/>
                <w:szCs w:val="21"/>
                <w:lang w:val="en-US" w:eastAsia="zh-CN"/>
              </w:rPr>
              <w:t>5</w:t>
            </w:r>
          </w:p>
        </w:tc>
        <w:tc>
          <w:tcPr>
            <w:tcW w:w="5403"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6304E28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查询渠道为通过“信用中国”(www.creditchina.gov.cn，下载信用信息报告)、“中国政府采购网”(www.ccgp.gov.cn)、“深圳市政府采购监管网”(http://zfcg.sz.gov.cn)、“</w:t>
            </w:r>
            <w:r>
              <w:rPr>
                <w:rFonts w:hint="eastAsia" w:asciiTheme="minorEastAsia" w:hAnsiTheme="minorEastAsia" w:eastAsiaTheme="minorEastAsia" w:cstheme="minorEastAsia"/>
                <w:b w:val="0"/>
                <w:bCs w:val="0"/>
                <w:color w:val="FF0000"/>
                <w:sz w:val="21"/>
                <w:szCs w:val="21"/>
                <w:lang w:val="en-US" w:eastAsia="zh-CN"/>
              </w:rPr>
              <w:t>深圳政府采购智慧平台信用库</w:t>
            </w:r>
            <w:r>
              <w:rPr>
                <w:rFonts w:hint="eastAsia" w:asciiTheme="minorEastAsia" w:hAnsiTheme="minorEastAsia" w:eastAsiaTheme="minorEastAsia" w:cstheme="minorEastAsia"/>
                <w:b w:val="0"/>
                <w:bCs w:val="0"/>
                <w:sz w:val="21"/>
                <w:szCs w:val="21"/>
                <w:lang w:val="en-US" w:eastAsia="zh-CN"/>
              </w:rPr>
              <w:t>”查询供应商信用信息，信用信息以开标当日的查询结果为准。</w:t>
            </w:r>
          </w:p>
        </w:tc>
      </w:tr>
      <w:bookmarkEnd w:id="2"/>
    </w:tbl>
    <w:p w14:paraId="4A1DB06A"/>
    <w:p w14:paraId="3F1F9F97">
      <w:pPr>
        <w:jc w:val="both"/>
        <w:rPr>
          <w:b/>
          <w:sz w:val="84"/>
          <w:szCs w:val="84"/>
        </w:rPr>
      </w:pPr>
    </w:p>
    <w:p w14:paraId="13C147CC">
      <w:pPr>
        <w:jc w:val="center"/>
        <w:rPr>
          <w:b/>
          <w:sz w:val="84"/>
          <w:szCs w:val="84"/>
        </w:rPr>
      </w:pPr>
    </w:p>
    <w:p w14:paraId="5B6BDF7C">
      <w:pPr>
        <w:jc w:val="center"/>
        <w:rPr>
          <w:rFonts w:hint="eastAsia"/>
          <w:b/>
          <w:sz w:val="120"/>
          <w:szCs w:val="120"/>
          <w:lang w:eastAsia="zh-CN"/>
        </w:rPr>
      </w:pPr>
    </w:p>
    <w:p w14:paraId="64F6501B">
      <w:pPr>
        <w:jc w:val="center"/>
        <w:rPr>
          <w:rFonts w:hint="eastAsia" w:eastAsiaTheme="minorEastAsia"/>
          <w:b/>
          <w:sz w:val="120"/>
          <w:szCs w:val="120"/>
          <w:lang w:eastAsia="zh-CN"/>
        </w:rPr>
      </w:pPr>
      <w:bookmarkStart w:id="139" w:name="_GoBack"/>
      <w:bookmarkEnd w:id="139"/>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8"/>
        <w:rPr>
          <w:rFonts w:hint="eastAsia"/>
        </w:rPr>
      </w:pPr>
    </w:p>
    <w:p w14:paraId="4F472A70">
      <w:pPr>
        <w:pStyle w:val="8"/>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合同条款"/>
      <w:bookmarkEnd w:id="6"/>
      <w:bookmarkStart w:id="7" w:name="bt其他资料由投标人自定"/>
      <w:bookmarkEnd w:id="7"/>
      <w:bookmarkStart w:id="8" w:name="bt投标人情况介绍"/>
      <w:bookmarkEnd w:id="8"/>
      <w:bookmarkStart w:id="9" w:name="bt开标一览表"/>
      <w:bookmarkEnd w:id="9"/>
      <w:bookmarkStart w:id="10" w:name="bt投标文件签署授权委托书"/>
      <w:bookmarkEnd w:id="10"/>
      <w:bookmarkStart w:id="11" w:name="bt合同格式"/>
      <w:bookmarkEnd w:id="11"/>
      <w:bookmarkStart w:id="12" w:name="bt投标函"/>
      <w:bookmarkEnd w:id="12"/>
      <w:bookmarkStart w:id="13" w:name="bt投标人须知"/>
      <w:bookmarkEnd w:id="13"/>
      <w:bookmarkStart w:id="14" w:name="bt技术标投标文件格式"/>
      <w:bookmarkEnd w:id="14"/>
      <w:bookmarkStart w:id="15" w:name="bt本工程承诺书"/>
      <w:bookmarkEnd w:id="15"/>
      <w:bookmarkStart w:id="16" w:name="bt投标报价汇总表"/>
      <w:bookmarkEnd w:id="16"/>
      <w:bookmarkStart w:id="17" w:name="bt商务标投标文件格式"/>
      <w:bookmarkEnd w:id="17"/>
      <w:bookmarkStart w:id="18" w:name="bt其他资料2"/>
      <w:bookmarkEnd w:id="18"/>
      <w:bookmarkStart w:id="19" w:name="bt项目管理班子配备情况"/>
      <w:bookmarkEnd w:id="19"/>
      <w:bookmarkStart w:id="20" w:name="bt说明"/>
      <w:bookmarkEnd w:id="20"/>
      <w:bookmarkStart w:id="21" w:name="合同格式"/>
      <w:bookmarkEnd w:id="21"/>
      <w:bookmarkStart w:id="22" w:name="bt合同条款及格式"/>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rPr>
        <w:t>否</w:t>
      </w:r>
      <w:r>
        <w:rPr>
          <w:rFonts w:hint="eastAsia" w:ascii="宋体" w:hAnsi="宋体" w:cs="宋体"/>
          <w:kern w:val="0"/>
          <w:szCs w:val="21"/>
          <w:highlight w:val="yellow"/>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73518117"/>
      <w:bookmarkStart w:id="25" w:name="_Toc73517639"/>
      <w:bookmarkStart w:id="26" w:name="_Toc60560625"/>
      <w:bookmarkStart w:id="27" w:name="_Toc60631620"/>
      <w:bookmarkStart w:id="28" w:name="_Toc73521635"/>
      <w:bookmarkStart w:id="29" w:name="_Toc73521547"/>
      <w:bookmarkStart w:id="30" w:name="_Toc101074876"/>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深圳市宝安区立新湖学校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10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72895889">
      <w:pPr>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04C67115">
      <w:pPr>
        <w:pStyle w:val="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b/>
          <w:bCs/>
          <w:kern w:val="2"/>
          <w:sz w:val="21"/>
          <w:szCs w:val="22"/>
          <w:lang w:val="en-US" w:eastAsia="zh-CN" w:bidi="ar-SA"/>
        </w:rPr>
      </w:pPr>
    </w:p>
    <w:p w14:paraId="549DBCBE">
      <w:pPr>
        <w:pStyle w:val="7"/>
        <w:keepNext w:val="0"/>
        <w:keepLines w:val="0"/>
        <w:pageBreakBefore w:val="0"/>
        <w:widowControl w:val="0"/>
        <w:kinsoku/>
        <w:wordWrap/>
        <w:overflowPunct/>
        <w:topLinePunct w:val="0"/>
        <w:autoSpaceDE/>
        <w:autoSpaceDN/>
        <w:bidi w:val="0"/>
        <w:adjustRightInd/>
        <w:snapToGrid/>
        <w:spacing w:line="240" w:lineRule="auto"/>
        <w:textAlignment w:val="auto"/>
        <w:sectPr>
          <w:pgSz w:w="11907" w:h="16840"/>
          <w:pgMar w:top="1440" w:right="1797" w:bottom="1440" w:left="1797" w:header="851" w:footer="992" w:gutter="0"/>
          <w:cols w:space="425" w:num="1"/>
          <w:titlePg/>
          <w:docGrid w:linePitch="462" w:charSpace="0"/>
        </w:sectPr>
      </w:pPr>
      <w:r>
        <w:rPr>
          <w:rFonts w:hint="eastAsia" w:asciiTheme="minorHAnsi" w:hAnsiTheme="minorHAnsi" w:eastAsiaTheme="minorEastAsia" w:cstheme="minorBidi"/>
          <w:b/>
          <w:bCs/>
          <w:kern w:val="2"/>
          <w:sz w:val="21"/>
          <w:szCs w:val="22"/>
          <w:lang w:val="en-US" w:eastAsia="zh-CN" w:bidi="ar-SA"/>
        </w:rPr>
        <w:t>重要提示：</w:t>
      </w:r>
      <w:r>
        <w:rPr>
          <w:rFonts w:hint="eastAsia" w:ascii="Times New Roman" w:hAnsi="Times New Roman" w:eastAsia="宋体" w:cs="Times New Roman"/>
          <w:b/>
          <w:bCs/>
          <w:kern w:val="2"/>
          <w:sz w:val="21"/>
          <w:szCs w:val="24"/>
          <w:highlight w:val="yellow"/>
          <w:lang w:val="en-US" w:eastAsia="zh-CN" w:bidi="ar-SA"/>
        </w:rPr>
        <w:t>投标供应商严格核实所提交检测报告的真实性</w:t>
      </w:r>
      <w:r>
        <w:rPr>
          <w:rFonts w:hint="eastAsia" w:ascii="Times New Roman" w:hAnsi="Times New Roman" w:eastAsia="宋体" w:cs="Times New Roman"/>
          <w:b w:val="0"/>
          <w:bCs w:val="0"/>
          <w:kern w:val="2"/>
          <w:sz w:val="21"/>
          <w:szCs w:val="24"/>
          <w:highlight w:val="yellow"/>
          <w:lang w:val="en-US" w:eastAsia="zh-CN" w:bidi="ar-SA"/>
        </w:rPr>
        <w:t>，除通过国家市场监督管理总局的全国认证认可信息公共服务平台核实报告编号、出具机构等基础信息外，还</w:t>
      </w:r>
      <w:r>
        <w:rPr>
          <w:rFonts w:hint="eastAsia" w:ascii="Times New Roman" w:hAnsi="Times New Roman" w:eastAsia="宋体" w:cs="Times New Roman"/>
          <w:b/>
          <w:bCs/>
          <w:kern w:val="2"/>
          <w:sz w:val="21"/>
          <w:szCs w:val="24"/>
          <w:highlight w:val="yellow"/>
          <w:lang w:val="en-US" w:eastAsia="zh-CN" w:bidi="ar-SA"/>
        </w:rPr>
        <w:t>应尽可能通过检测报告出具机构的官网、邮箱、电话等可靠途径查询所提交检测报告具体内容的真实性（不可轻信检测报告上载明的网址、电话、二维码等），并留存核实过程证据备查</w:t>
      </w:r>
      <w:r>
        <w:rPr>
          <w:rFonts w:hint="eastAsia" w:ascii="Times New Roman" w:hAnsi="Times New Roman" w:eastAsia="宋体" w:cs="Times New Roman"/>
          <w:b w:val="0"/>
          <w:bCs w:val="0"/>
          <w:kern w:val="2"/>
          <w:sz w:val="21"/>
          <w:szCs w:val="24"/>
          <w:highlight w:val="yellow"/>
          <w:lang w:val="en-US" w:eastAsia="zh-CN" w:bidi="ar-SA"/>
        </w:rPr>
        <w:t>，避免</w:t>
      </w:r>
      <w:r>
        <w:rPr>
          <w:rFonts w:hint="eastAsia" w:cs="Times New Roman"/>
          <w:b w:val="0"/>
          <w:bCs w:val="0"/>
          <w:kern w:val="2"/>
          <w:sz w:val="21"/>
          <w:szCs w:val="24"/>
          <w:highlight w:val="yellow"/>
          <w:lang w:val="en-US" w:eastAsia="zh-CN" w:bidi="ar-SA"/>
        </w:rPr>
        <w:t>。</w:t>
      </w:r>
      <w:r>
        <w:rPr>
          <w:rFonts w:hint="eastAsia" w:ascii="Times New Roman" w:hAnsi="Times New Roman" w:eastAsia="宋体" w:cs="Times New Roman"/>
          <w:b w:val="0"/>
          <w:bCs w:val="0"/>
          <w:kern w:val="2"/>
          <w:sz w:val="21"/>
          <w:szCs w:val="24"/>
          <w:highlight w:val="yellow"/>
          <w:lang w:val="en-US" w:eastAsia="zh-CN" w:bidi="ar-SA"/>
        </w:rPr>
        <w:t>因未尽核实义务在投标文件中提交伪造、变造的虚假检测报告而被相关部门予以行政处罚</w:t>
      </w:r>
      <w:r>
        <w:rPr>
          <w:rFonts w:hint="eastAsia" w:cs="Times New Roman"/>
          <w:b w:val="0"/>
          <w:bCs w:val="0"/>
          <w:kern w:val="2"/>
          <w:sz w:val="21"/>
          <w:szCs w:val="24"/>
          <w:highlight w:val="yellow"/>
          <w:lang w:val="en-US" w:eastAsia="zh-CN" w:bidi="ar-SA"/>
        </w:rPr>
        <w:t>。</w:t>
      </w: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437"/>
        <w:gridCol w:w="2076"/>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437" w:type="dxa"/>
            <w:vAlign w:val="center"/>
          </w:tcPr>
          <w:p w14:paraId="05C8A760">
            <w:pPr>
              <w:jc w:val="center"/>
              <w:rPr>
                <w:bCs/>
                <w:szCs w:val="21"/>
              </w:rPr>
            </w:pPr>
            <w:r>
              <w:rPr>
                <w:rFonts w:hint="eastAsia"/>
                <w:bCs/>
                <w:szCs w:val="21"/>
              </w:rPr>
              <w:t>采购项目名称</w:t>
            </w:r>
          </w:p>
        </w:tc>
        <w:tc>
          <w:tcPr>
            <w:tcW w:w="2076"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rFonts w:hint="eastAsia" w:eastAsiaTheme="minorEastAsia"/>
                <w:bCs/>
                <w:color w:val="FF0000"/>
                <w:szCs w:val="21"/>
                <w:lang w:eastAsia="zh-CN"/>
              </w:rPr>
            </w:pPr>
            <w:r>
              <w:rPr>
                <w:rFonts w:hint="eastAsia" w:eastAsiaTheme="minorEastAsia"/>
                <w:bCs/>
                <w:color w:val="FF0000"/>
                <w:szCs w:val="21"/>
                <w:lang w:eastAsia="zh-CN"/>
              </w:rPr>
              <w:t>BAJYJ2025092507687A</w:t>
            </w:r>
          </w:p>
        </w:tc>
        <w:tc>
          <w:tcPr>
            <w:tcW w:w="3437" w:type="dxa"/>
            <w:vAlign w:val="center"/>
          </w:tcPr>
          <w:p w14:paraId="26C4A490">
            <w:pPr>
              <w:jc w:val="center"/>
              <w:rPr>
                <w:b/>
                <w:bCs/>
                <w:color w:val="FF0000"/>
                <w:szCs w:val="21"/>
              </w:rPr>
            </w:pPr>
            <w:r>
              <w:rPr>
                <w:rFonts w:hint="eastAsia"/>
                <w:b/>
                <w:bCs/>
                <w:color w:val="FF0000"/>
                <w:szCs w:val="21"/>
              </w:rPr>
              <w:t>深圳市宝安区立新湖学校触控一体机采购项目</w:t>
            </w:r>
          </w:p>
        </w:tc>
        <w:tc>
          <w:tcPr>
            <w:tcW w:w="2076" w:type="dxa"/>
            <w:vAlign w:val="center"/>
          </w:tcPr>
          <w:p w14:paraId="335FA50C">
            <w:pPr>
              <w:jc w:val="center"/>
              <w:rPr>
                <w:bCs/>
                <w:color w:val="FF0000"/>
                <w:szCs w:val="21"/>
              </w:rPr>
            </w:pPr>
            <w:r>
              <w:rPr>
                <w:rFonts w:hint="eastAsia"/>
                <w:bCs/>
                <w:color w:val="FF0000"/>
                <w:szCs w:val="21"/>
                <w:lang w:val="en-US" w:eastAsia="zh-CN"/>
              </w:rPr>
              <w:t>168</w:t>
            </w:r>
            <w:r>
              <w:rPr>
                <w:rFonts w:hint="eastAsia"/>
                <w:bCs/>
                <w:color w:val="FF0000"/>
                <w:szCs w:val="21"/>
              </w:rPr>
              <w:t>,000.00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3" w:type="dxa"/>
            <w:gridSpan w:val="3"/>
            <w:vAlign w:val="center"/>
          </w:tcPr>
          <w:p w14:paraId="28EFB8A0">
            <w:pPr>
              <w:jc w:val="center"/>
              <w:rPr>
                <w:b/>
                <w:bCs/>
                <w:color w:val="FF0000"/>
                <w:szCs w:val="21"/>
              </w:rPr>
            </w:pPr>
            <w:r>
              <w:rPr>
                <w:b/>
                <w:bCs/>
                <w:color w:val="FF0000"/>
                <w:szCs w:val="21"/>
              </w:rPr>
              <w:t>合计</w:t>
            </w:r>
          </w:p>
        </w:tc>
        <w:tc>
          <w:tcPr>
            <w:tcW w:w="2076" w:type="dxa"/>
            <w:vAlign w:val="center"/>
          </w:tcPr>
          <w:p w14:paraId="52AEA4FE">
            <w:pPr>
              <w:jc w:val="center"/>
              <w:rPr>
                <w:bCs/>
                <w:color w:val="FF0000"/>
                <w:szCs w:val="21"/>
              </w:rPr>
            </w:pPr>
            <w:r>
              <w:rPr>
                <w:rFonts w:hint="eastAsia"/>
                <w:bCs/>
                <w:color w:val="FF0000"/>
                <w:szCs w:val="21"/>
                <w:lang w:val="en-US" w:eastAsia="zh-CN"/>
              </w:rPr>
              <w:t>168</w:t>
            </w:r>
            <w:r>
              <w:rPr>
                <w:rFonts w:hint="eastAsia"/>
                <w:bCs/>
                <w:color w:val="FF0000"/>
                <w:szCs w:val="21"/>
              </w:rPr>
              <w:t>,000.00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6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31"/>
        <w:gridCol w:w="2388"/>
        <w:gridCol w:w="513"/>
        <w:gridCol w:w="543"/>
        <w:gridCol w:w="846"/>
        <w:gridCol w:w="933"/>
        <w:gridCol w:w="1200"/>
        <w:gridCol w:w="1378"/>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14:paraId="30411941">
            <w:pPr>
              <w:jc w:val="center"/>
              <w:rPr>
                <w:bCs/>
                <w:sz w:val="21"/>
                <w:szCs w:val="21"/>
              </w:rPr>
            </w:pPr>
            <w:r>
              <w:rPr>
                <w:rFonts w:hint="eastAsia"/>
                <w:bCs/>
                <w:sz w:val="21"/>
                <w:szCs w:val="21"/>
              </w:rPr>
              <w:t>序号</w:t>
            </w:r>
          </w:p>
        </w:tc>
        <w:tc>
          <w:tcPr>
            <w:tcW w:w="638" w:type="pct"/>
            <w:vAlign w:val="center"/>
          </w:tcPr>
          <w:p w14:paraId="26C26A4B">
            <w:pPr>
              <w:jc w:val="center"/>
              <w:rPr>
                <w:bCs/>
                <w:sz w:val="21"/>
                <w:szCs w:val="21"/>
              </w:rPr>
            </w:pPr>
            <w:r>
              <w:rPr>
                <w:rFonts w:hint="eastAsia"/>
                <w:sz w:val="21"/>
                <w:szCs w:val="21"/>
              </w:rPr>
              <w:t>采购计划编号</w:t>
            </w:r>
          </w:p>
        </w:tc>
        <w:tc>
          <w:tcPr>
            <w:tcW w:w="1239" w:type="pct"/>
            <w:vAlign w:val="center"/>
          </w:tcPr>
          <w:p w14:paraId="0A573339">
            <w:pPr>
              <w:jc w:val="center"/>
              <w:rPr>
                <w:bCs/>
                <w:sz w:val="21"/>
                <w:szCs w:val="21"/>
              </w:rPr>
            </w:pPr>
            <w:r>
              <w:rPr>
                <w:rFonts w:hint="eastAsia"/>
                <w:bCs/>
                <w:sz w:val="21"/>
                <w:szCs w:val="21"/>
              </w:rPr>
              <w:t>货物名称（标的名称）</w:t>
            </w:r>
          </w:p>
        </w:tc>
        <w:tc>
          <w:tcPr>
            <w:tcW w:w="266" w:type="pct"/>
            <w:vAlign w:val="center"/>
          </w:tcPr>
          <w:p w14:paraId="771CDA6C">
            <w:pPr>
              <w:jc w:val="center"/>
              <w:rPr>
                <w:bCs/>
                <w:sz w:val="21"/>
                <w:szCs w:val="21"/>
              </w:rPr>
            </w:pPr>
            <w:r>
              <w:rPr>
                <w:rFonts w:hint="eastAsia"/>
                <w:bCs/>
                <w:sz w:val="21"/>
                <w:szCs w:val="21"/>
              </w:rPr>
              <w:t>数量</w:t>
            </w:r>
          </w:p>
        </w:tc>
        <w:tc>
          <w:tcPr>
            <w:tcW w:w="281" w:type="pct"/>
            <w:vAlign w:val="center"/>
          </w:tcPr>
          <w:p w14:paraId="080596E2">
            <w:pPr>
              <w:jc w:val="center"/>
              <w:rPr>
                <w:bCs/>
                <w:sz w:val="21"/>
                <w:szCs w:val="21"/>
              </w:rPr>
            </w:pPr>
            <w:r>
              <w:rPr>
                <w:rFonts w:hint="eastAsia"/>
                <w:bCs/>
                <w:sz w:val="21"/>
                <w:szCs w:val="21"/>
              </w:rPr>
              <w:t>单位</w:t>
            </w:r>
          </w:p>
        </w:tc>
        <w:tc>
          <w:tcPr>
            <w:tcW w:w="439" w:type="pct"/>
            <w:vAlign w:val="center"/>
          </w:tcPr>
          <w:p w14:paraId="293BB406">
            <w:pPr>
              <w:jc w:val="center"/>
              <w:rPr>
                <w:rFonts w:hint="eastAsia"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color w:val="FF0000"/>
                <w:szCs w:val="21"/>
              </w:rPr>
              <w:t>★单价</w:t>
            </w:r>
            <w:r>
              <w:rPr>
                <w:rFonts w:hint="eastAsia" w:asciiTheme="minorEastAsia" w:hAnsiTheme="minorEastAsia" w:eastAsiaTheme="minorEastAsia" w:cstheme="minorEastAsia"/>
                <w:b/>
                <w:bCs w:val="0"/>
                <w:color w:val="FF0000"/>
                <w:szCs w:val="21"/>
              </w:rPr>
              <w:t>限价</w:t>
            </w:r>
          </w:p>
          <w:p w14:paraId="571C6EDA">
            <w:pPr>
              <w:jc w:val="center"/>
              <w:rPr>
                <w:rFonts w:hint="eastAsia"/>
                <w:b/>
                <w:bCs/>
                <w:color w:val="FF0000"/>
                <w:sz w:val="21"/>
                <w:szCs w:val="21"/>
                <w:lang w:val="en-US" w:eastAsia="zh-CN"/>
              </w:rPr>
            </w:pPr>
            <w:r>
              <w:rPr>
                <w:rFonts w:hint="eastAsia" w:asciiTheme="minorEastAsia" w:hAnsiTheme="minorEastAsia" w:eastAsiaTheme="minorEastAsia" w:cstheme="minorEastAsia"/>
                <w:bCs/>
                <w:color w:val="FF0000"/>
                <w:szCs w:val="21"/>
              </w:rPr>
              <w:t>（元</w:t>
            </w:r>
            <w:r>
              <w:rPr>
                <w:rFonts w:hint="eastAsia" w:asciiTheme="minorEastAsia" w:hAnsiTheme="minorEastAsia" w:cstheme="minorEastAsia"/>
                <w:bCs/>
                <w:color w:val="FF0000"/>
                <w:szCs w:val="21"/>
              </w:rPr>
              <w:t>）</w:t>
            </w:r>
          </w:p>
        </w:tc>
        <w:tc>
          <w:tcPr>
            <w:tcW w:w="484" w:type="pct"/>
            <w:vAlign w:val="center"/>
          </w:tcPr>
          <w:p w14:paraId="36DF2F3D">
            <w:pPr>
              <w:jc w:val="center"/>
              <w:rPr>
                <w:rFonts w:hint="default" w:eastAsia="宋体"/>
                <w:b/>
                <w:bCs/>
                <w:color w:val="FF0000"/>
                <w:sz w:val="21"/>
                <w:szCs w:val="21"/>
                <w:lang w:val="en-US" w:eastAsia="zh-CN"/>
              </w:rPr>
            </w:pPr>
            <w:r>
              <w:rPr>
                <w:rFonts w:hint="eastAsia"/>
                <w:b/>
                <w:bCs/>
                <w:color w:val="FF0000"/>
                <w:sz w:val="21"/>
                <w:szCs w:val="21"/>
                <w:lang w:val="en-US" w:eastAsia="zh-CN"/>
              </w:rPr>
              <w:t>是否接受进口</w:t>
            </w:r>
          </w:p>
        </w:tc>
        <w:tc>
          <w:tcPr>
            <w:tcW w:w="622" w:type="pct"/>
            <w:vAlign w:val="center"/>
          </w:tcPr>
          <w:p w14:paraId="3D69E4C9">
            <w:pPr>
              <w:jc w:val="center"/>
              <w:rPr>
                <w:rFonts w:hint="default"/>
                <w:b/>
                <w:bCs/>
                <w:color w:val="FF0000"/>
                <w:sz w:val="21"/>
                <w:szCs w:val="21"/>
                <w:lang w:val="en-US" w:eastAsia="zh-CN"/>
              </w:rPr>
            </w:pPr>
            <w:r>
              <w:rPr>
                <w:rFonts w:hint="eastAsia"/>
                <w:b/>
                <w:bCs/>
                <w:color w:val="FF0000"/>
                <w:sz w:val="21"/>
                <w:szCs w:val="21"/>
                <w:lang w:val="en-US" w:eastAsia="zh-CN"/>
              </w:rPr>
              <w:t>是否专门面向中小企业</w:t>
            </w:r>
          </w:p>
        </w:tc>
        <w:tc>
          <w:tcPr>
            <w:tcW w:w="715" w:type="pct"/>
            <w:vAlign w:val="center"/>
          </w:tcPr>
          <w:p w14:paraId="7B6273C0">
            <w:pPr>
              <w:jc w:val="center"/>
              <w:rPr>
                <w:rFonts w:hint="default"/>
                <w:b/>
                <w:bCs/>
                <w:color w:val="FF0000"/>
                <w:sz w:val="21"/>
                <w:szCs w:val="21"/>
                <w:lang w:val="en-US" w:eastAsia="zh-CN"/>
              </w:rPr>
            </w:pPr>
            <w:r>
              <w:rPr>
                <w:rFonts w:hint="eastAsia"/>
                <w:b/>
                <w:bCs/>
                <w:color w:val="FF0000"/>
                <w:sz w:val="21"/>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14:paraId="4823249A">
            <w:pPr>
              <w:jc w:val="center"/>
              <w:rPr>
                <w:bCs/>
                <w:sz w:val="21"/>
                <w:szCs w:val="21"/>
              </w:rPr>
            </w:pPr>
            <w:r>
              <w:rPr>
                <w:rFonts w:hint="eastAsia"/>
                <w:bCs/>
                <w:sz w:val="21"/>
                <w:szCs w:val="21"/>
              </w:rPr>
              <w:t>1</w:t>
            </w:r>
          </w:p>
        </w:tc>
        <w:tc>
          <w:tcPr>
            <w:tcW w:w="638" w:type="pct"/>
            <w:vAlign w:val="center"/>
          </w:tcPr>
          <w:p w14:paraId="0249345B">
            <w:pPr>
              <w:jc w:val="center"/>
              <w:rPr>
                <w:rFonts w:hint="eastAsia" w:eastAsiaTheme="minorEastAsia"/>
                <w:bCs/>
                <w:sz w:val="21"/>
                <w:szCs w:val="21"/>
                <w:lang w:eastAsia="zh-CN"/>
              </w:rPr>
            </w:pPr>
            <w:r>
              <w:rPr>
                <w:rFonts w:hint="eastAsia" w:eastAsiaTheme="minorEastAsia"/>
                <w:bCs/>
                <w:sz w:val="21"/>
                <w:szCs w:val="21"/>
                <w:lang w:eastAsia="zh-CN"/>
              </w:rPr>
              <w:t>BAJYJ2025092507687A</w:t>
            </w:r>
          </w:p>
        </w:tc>
        <w:tc>
          <w:tcPr>
            <w:tcW w:w="1239" w:type="pct"/>
            <w:shd w:val="clear" w:color="auto" w:fill="auto"/>
            <w:vAlign w:val="center"/>
          </w:tcPr>
          <w:p w14:paraId="6659EC7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触控一体机</w:t>
            </w:r>
          </w:p>
        </w:tc>
        <w:tc>
          <w:tcPr>
            <w:tcW w:w="266" w:type="pct"/>
            <w:shd w:val="clear" w:color="auto" w:fill="auto"/>
            <w:vAlign w:val="center"/>
          </w:tcPr>
          <w:p w14:paraId="1E32A25C">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6</w:t>
            </w:r>
          </w:p>
        </w:tc>
        <w:tc>
          <w:tcPr>
            <w:tcW w:w="281" w:type="pct"/>
            <w:shd w:val="clear" w:color="auto" w:fill="auto"/>
            <w:vAlign w:val="center"/>
          </w:tcPr>
          <w:p w14:paraId="617F9D1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39" w:type="pct"/>
            <w:vAlign w:val="center"/>
          </w:tcPr>
          <w:p w14:paraId="6AFDE0F2">
            <w:pPr>
              <w:jc w:val="both"/>
              <w:rPr>
                <w:rFonts w:hint="default" w:eastAsiaTheme="minorEastAsia"/>
                <w:b/>
                <w:bCs/>
                <w:sz w:val="21"/>
                <w:szCs w:val="21"/>
                <w:lang w:val="en-US" w:eastAsia="zh-CN"/>
              </w:rPr>
            </w:pPr>
            <w:r>
              <w:rPr>
                <w:rFonts w:hint="eastAsia"/>
                <w:b/>
                <w:bCs/>
                <w:color w:val="FF0000"/>
                <w:sz w:val="21"/>
                <w:szCs w:val="21"/>
                <w:lang w:val="en-US" w:eastAsia="zh-CN"/>
              </w:rPr>
              <w:t>28000</w:t>
            </w:r>
          </w:p>
        </w:tc>
        <w:tc>
          <w:tcPr>
            <w:tcW w:w="484" w:type="pct"/>
            <w:vAlign w:val="center"/>
          </w:tcPr>
          <w:p w14:paraId="69010FA6">
            <w:pPr>
              <w:jc w:val="center"/>
              <w:rPr>
                <w:b/>
                <w:bCs/>
                <w:color w:val="FF0000"/>
                <w:sz w:val="21"/>
                <w:szCs w:val="21"/>
              </w:rPr>
            </w:pPr>
            <w:r>
              <w:rPr>
                <w:rFonts w:hint="eastAsia"/>
                <w:b/>
                <w:bCs/>
                <w:sz w:val="21"/>
                <w:szCs w:val="21"/>
              </w:rPr>
              <w:t>拒绝进口</w:t>
            </w:r>
          </w:p>
        </w:tc>
        <w:tc>
          <w:tcPr>
            <w:tcW w:w="622" w:type="pct"/>
            <w:vAlign w:val="center"/>
          </w:tcPr>
          <w:p w14:paraId="29057B99">
            <w:pPr>
              <w:jc w:val="center"/>
              <w:rPr>
                <w:rFonts w:hint="eastAsia" w:eastAsiaTheme="minorEastAsia"/>
                <w:b/>
                <w:bCs/>
                <w:color w:val="FF0000"/>
                <w:sz w:val="21"/>
                <w:szCs w:val="21"/>
                <w:lang w:val="en-US" w:eastAsia="zh-CN"/>
              </w:rPr>
            </w:pPr>
            <w:r>
              <w:rPr>
                <w:rFonts w:hint="eastAsia"/>
                <w:b/>
                <w:bCs/>
                <w:color w:val="FF0000"/>
                <w:sz w:val="21"/>
                <w:szCs w:val="21"/>
                <w:lang w:val="en-US" w:eastAsia="zh-CN"/>
              </w:rPr>
              <w:t>否</w:t>
            </w:r>
          </w:p>
        </w:tc>
        <w:tc>
          <w:tcPr>
            <w:tcW w:w="715" w:type="pct"/>
            <w:vAlign w:val="center"/>
          </w:tcPr>
          <w:p w14:paraId="5DB6A2EF">
            <w:pPr>
              <w:jc w:val="center"/>
              <w:rPr>
                <w:rFonts w:hint="eastAsia" w:eastAsiaTheme="minorEastAsia"/>
                <w:b/>
                <w:bCs/>
                <w:color w:val="FF0000"/>
                <w:sz w:val="21"/>
                <w:szCs w:val="21"/>
                <w:lang w:val="en-US" w:eastAsia="zh-CN"/>
              </w:rPr>
            </w:pPr>
            <w:r>
              <w:rPr>
                <w:rFonts w:hint="eastAsia"/>
                <w:b/>
                <w:bCs/>
                <w:color w:val="FF0000"/>
                <w:sz w:val="21"/>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4"/>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4"/>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bookmarkEnd w:id="37"/>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430D2CAC">
      <w:pPr>
        <w:rPr>
          <w:rFonts w:hint="eastAsia"/>
          <w:sz w:val="28"/>
          <w:szCs w:val="28"/>
          <w:lang w:val="en-US" w:eastAsia="zh-CN"/>
        </w:rPr>
      </w:pPr>
      <w:r>
        <w:rPr>
          <w:rFonts w:hint="eastAsia"/>
          <w:sz w:val="28"/>
          <w:szCs w:val="28"/>
          <w:lang w:val="en-US" w:eastAsia="zh-CN"/>
        </w:rPr>
        <w:br w:type="page"/>
      </w: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44CA3AD">
      <w:pPr>
        <w:ind w:firstLine="420" w:firstLineChars="200"/>
        <w:rPr>
          <w:rFonts w:hint="eastAsia" w:eastAsiaTheme="minorEastAsia"/>
          <w:b/>
          <w:szCs w:val="21"/>
          <w:lang w:eastAsia="zh-CN"/>
        </w:rPr>
      </w:pPr>
      <w:r>
        <w:rPr>
          <w:rFonts w:hint="eastAsia" w:cs="Times New Roman"/>
          <w:color w:val="FF0000"/>
          <w:szCs w:val="21"/>
          <w:lang w:val="en-US" w:eastAsia="zh-CN"/>
        </w:rPr>
        <w:t>6、如提供的检验（检测）报告有分包检测的情况时，需同时提供实施检测的分包机构的CMA资质证明，包括但不限于：分包机构的CMA证书及含分包项目的证书附件（或附件首页、分包项目所在页、附件末页）。如检验（检测）报告中明确备注说明相关检验项目不在该分包机构CMA资质许可范围内的，则该检验（检测）报告视为不满足招标文件要求，作负偏离处理</w:t>
      </w:r>
      <w:r>
        <w:rPr>
          <w:rFonts w:hint="eastAsia"/>
          <w:lang w:eastAsia="zh-CN"/>
        </w:rPr>
        <w:t>。</w:t>
      </w:r>
    </w:p>
    <w:bookmarkEnd w:id="40"/>
    <w:tbl>
      <w:tblPr>
        <w:tblStyle w:val="17"/>
        <w:tblW w:w="8546"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9"/>
        <w:gridCol w:w="906"/>
        <w:gridCol w:w="7081"/>
      </w:tblGrid>
      <w:tr w14:paraId="49D23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07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F7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7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w:t>
            </w:r>
            <w:r>
              <w:rPr>
                <w:rStyle w:val="39"/>
                <w:lang w:val="en-US" w:eastAsia="zh-CN" w:bidi="ar"/>
              </w:rPr>
              <w:t>技术要求</w:t>
            </w:r>
          </w:p>
        </w:tc>
      </w:tr>
      <w:tr w14:paraId="13B8C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44B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EEE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触控一体机</w:t>
            </w: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DC295CE">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一、整体设计：</w:t>
            </w:r>
          </w:p>
        </w:tc>
      </w:tr>
      <w:tr w14:paraId="58BBB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CE7E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6E17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784A09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w:t>
            </w:r>
          </w:p>
        </w:tc>
      </w:tr>
      <w:tr w14:paraId="471B1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AE2D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087CC">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51BE06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2.整机屏幕采用</w:t>
            </w:r>
            <w:r>
              <w:rPr>
                <w:rStyle w:val="40"/>
                <w:lang w:val="en-US" w:eastAsia="zh-CN" w:bidi="ar"/>
              </w:rPr>
              <w:t>≥86英寸液晶显示器。采用LED液晶显示屏，显示比例≥16:9，分辨率≥3840×2160。</w:t>
            </w:r>
          </w:p>
        </w:tc>
      </w:tr>
      <w:tr w14:paraId="7FDC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EE84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B9E8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F79139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3.整机屏幕边缘采用金属圆角包边防护，整机背板采用金属材质；防潮耐盐雾蚀锈。</w:t>
            </w:r>
          </w:p>
        </w:tc>
      </w:tr>
      <w:tr w14:paraId="059AB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F0904">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94812">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C3314F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4.采用红外触控技术，支持Windows系统中进行40点或以上触控，支持在Android系统中进行40点或以上触控。</w:t>
            </w:r>
          </w:p>
        </w:tc>
      </w:tr>
      <w:tr w14:paraId="6C2A9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D1E6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4E459">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ECDC6A3">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r>
              <w:rPr>
                <w:rStyle w:val="40"/>
                <w:lang w:val="en-US" w:eastAsia="zh-CN" w:bidi="ar"/>
              </w:rPr>
              <w:t>整机触控书写功能集成预测算法，在书写速度≥50cm/s，支持笔迹距离笔的距离小于20mm。</w:t>
            </w:r>
          </w:p>
        </w:tc>
      </w:tr>
      <w:tr w14:paraId="7B55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8798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6841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25298C5">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r>
              <w:rPr>
                <w:rStyle w:val="40"/>
                <w:lang w:val="en-US" w:eastAsia="zh-CN" w:bidi="ar"/>
              </w:rPr>
              <w:t>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r>
      <w:tr w14:paraId="37E4B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BE2E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5DB3E">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82F2088">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二、护眼要求：</w:t>
            </w:r>
          </w:p>
        </w:tc>
      </w:tr>
      <w:tr w14:paraId="1A3D0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B9AE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67145">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78F9BD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7.整机采用硬件低蓝光背光技术，蓝光占比（有害蓝光415-455nm能量综合）/（整体蓝光400-500能量综合）＜50%，低蓝光保护显示不偏色、不泛黄。</w:t>
            </w:r>
          </w:p>
        </w:tc>
      </w:tr>
      <w:tr w14:paraId="40B46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ECBC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DAC2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747001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支持色彩空间可选，包含标准模式和sRGB模式，在sRGB模式下支持做到高色准△E≤1。整机全通道支持纸质护眼模式，支持实现画面纹理的实时调整；支持纸质纹理：牛皮纸、素描纸、宣纸、水彩纸、水纹纸；支持透明度调节；支持色温调节。</w:t>
            </w:r>
          </w:p>
        </w:tc>
      </w:tr>
      <w:tr w14:paraId="0070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AA9F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06831">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ACEA66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r>
              <w:rPr>
                <w:rStyle w:val="40"/>
                <w:lang w:val="en-US" w:eastAsia="zh-CN" w:bidi="ar"/>
              </w:rPr>
              <w:t>整机背光系统支持DC调光方式，多级亮度调节，支持白颜色背景下最暗亮度≤100nit。</w:t>
            </w:r>
          </w:p>
        </w:tc>
      </w:tr>
      <w:tr w14:paraId="6E999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903E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AFCA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2135AD2">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三、音效与麦克风要求：</w:t>
            </w:r>
          </w:p>
        </w:tc>
      </w:tr>
      <w:tr w14:paraId="219D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680F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2C78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23E868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10.内置摄像头、麦克风无需外接线材连接，无任何可见外接线材及模块化拼接痕迹，未占用整机设备端口。</w:t>
            </w:r>
          </w:p>
        </w:tc>
      </w:tr>
      <w:tr w14:paraId="60BF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BD5E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DAF16">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3CEA50D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11.整机侧边栏内置朗读工具，通过整机麦克风监测教室中学生的朗读情况，并以游戏化界面反馈学生朗读音量大小。</w:t>
            </w:r>
          </w:p>
        </w:tc>
      </w:tr>
      <w:tr w14:paraId="354C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373C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8A66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C849A8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12.整机内置2.2声道扬声器，位于设备上边框，顶置朝前发声，前朝向10W高音扬声器</w:t>
            </w:r>
            <w:r>
              <w:rPr>
                <w:rStyle w:val="40"/>
                <w:lang w:val="en-US" w:eastAsia="zh-CN" w:bidi="ar"/>
              </w:rPr>
              <w:t>≥2个，上朝向20W中低音扬声器≥2个，额定总功率≥60W。</w:t>
            </w:r>
          </w:p>
        </w:tc>
      </w:tr>
      <w:tr w14:paraId="4643B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DF92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DD699">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ED60C3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13.整机内置非独立外扩展的8阵列麦克风，拾音角度≥180°，可用于对教室环境音频进行采集，拾音距离≥12m。</w:t>
            </w:r>
          </w:p>
        </w:tc>
      </w:tr>
      <w:tr w14:paraId="0883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F4F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72232">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6D6420A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r>
              <w:rPr>
                <w:rStyle w:val="40"/>
                <w:lang w:val="en-US" w:eastAsia="zh-CN" w:bidi="ar"/>
              </w:rPr>
              <w:t>整机可选择高级音效设置，支持在左右声道平衡显示范围中进行更改；中低频段显示调节范围125Hz-1KHz，高频段显示调节范围 2KHz-16KHz，分贝显示（-12dB）-12dB 调节范围。</w:t>
            </w:r>
          </w:p>
        </w:tc>
      </w:tr>
      <w:tr w14:paraId="1B38C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C20C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3658D">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2566AE3">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四、主要功能要求：</w:t>
            </w:r>
          </w:p>
        </w:tc>
      </w:tr>
      <w:tr w14:paraId="6F771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EF2E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500C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6AED643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15.整机侧边栏内置自习工具，通过整机麦克风监测教室中学生音量大小，当学生音量大于阈值时，屏幕自动弹窗提醒进行自习纪律干预。</w:t>
            </w:r>
          </w:p>
        </w:tc>
      </w:tr>
      <w:tr w14:paraId="0DE1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3077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26B3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D63936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16.整机支持在无任何外部设备的情况下，实时录制用户朗读内容，识别用户声纹并进行统一身份登录，登录后自动获取个人云端教学课件列表，打开教学白板软件时可跳过软件自带登录步骤。</w:t>
            </w:r>
          </w:p>
        </w:tc>
      </w:tr>
      <w:tr w14:paraId="189C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ED6A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209D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E4B1FE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17.整机内置双WiFi6无线网卡（不接受外接），在Android和Windows系统下，支持实现Wi-Fi无线上网连接、AP无线热点发射。</w:t>
            </w:r>
          </w:p>
        </w:tc>
      </w:tr>
      <w:tr w14:paraId="0423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823A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C9366">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335A75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18.整机支持蓝牙≥Bluetooth 5.4标准；Wi-Fi和AP热点工作距离≥12m。</w:t>
            </w:r>
          </w:p>
        </w:tc>
      </w:tr>
      <w:tr w14:paraId="2D868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20C5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775F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BF7AF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19.整机Windows通道支持文件传输应用，支持通过扫码、wifi直联、超声三种方式与手机进行连接，实现文件传输功能。</w:t>
            </w:r>
          </w:p>
        </w:tc>
      </w:tr>
      <w:tr w14:paraId="5363F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A937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3773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18FA96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r>
      <w:tr w14:paraId="28261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287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BBCD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FE4903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r>
      <w:tr w14:paraId="00886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92A05">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71584">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58577E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22.整机上边框内置非独立式摄像头，视场角≥141度且水平视场角≥139度，可拍摄≥1600万像素的照片，支持输出</w:t>
            </w:r>
            <w:r>
              <w:rPr>
                <w:rStyle w:val="40"/>
                <w:lang w:val="en-US" w:eastAsia="zh-CN" w:bidi="ar"/>
              </w:rPr>
              <w:t>≥8192×2048分辨率的照片和视频，支持画面畸变矫正功能 。</w:t>
            </w:r>
          </w:p>
        </w:tc>
      </w:tr>
      <w:tr w14:paraId="76891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9AC1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133C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3EC153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23.整机全通道侧边栏快捷菜单包含如下小工具：批注、降半屏、截屏、放大镜、倒计时、日历、聚光灯、秒表、冻屏、倒数日、答题、节拍器。</w:t>
            </w:r>
          </w:p>
        </w:tc>
      </w:tr>
      <w:tr w14:paraId="5A7BA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FF54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6395B">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6C6F4AA">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r>
              <w:rPr>
                <w:rStyle w:val="40"/>
                <w:lang w:val="en-US" w:eastAsia="zh-CN" w:bidi="ar"/>
              </w:rPr>
              <w:t>整机支持上边框内置非独立摄像头模组，同时输出至少 3 路视频流，同时支持课堂远程巡课、课堂教学数据采集、本地画面预览（拍照或视频录制）。</w:t>
            </w:r>
          </w:p>
        </w:tc>
      </w:tr>
      <w:tr w14:paraId="782CF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C675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505A6">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6524FECB">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五、内置电脑要求：</w:t>
            </w:r>
          </w:p>
        </w:tc>
      </w:tr>
      <w:tr w14:paraId="72FF7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3035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C05D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DD24D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25.搭载</w:t>
            </w:r>
            <w:r>
              <w:rPr>
                <w:rStyle w:val="40"/>
                <w:lang w:val="en-US" w:eastAsia="zh-CN" w:bidi="ar"/>
              </w:rPr>
              <w:t>四核以上性能CPU；内存：8GB DDR4笔记本内存或以上配置；硬盘：256 GB或以上SSD固态硬盘；</w:t>
            </w:r>
          </w:p>
        </w:tc>
      </w:tr>
      <w:tr w14:paraId="51DA4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E916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66B25">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680661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26.整机的连接采用万兆级接口，传输速率≥10Gbps。</w:t>
            </w:r>
          </w:p>
        </w:tc>
      </w:tr>
      <w:tr w14:paraId="4EDAD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F413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57BB4">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9D9470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r>
              <w:rPr>
                <w:rStyle w:val="40"/>
                <w:lang w:val="en-US" w:eastAsia="zh-CN" w:bidi="ar"/>
              </w:rPr>
              <w:t>采用按压式卡扣，无需工具就可快速拆卸电脑模块。</w:t>
            </w:r>
          </w:p>
        </w:tc>
      </w:tr>
      <w:tr w14:paraId="0C286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C1AA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4AF1E">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3B9268C5">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六、教学白板软件：</w:t>
            </w:r>
          </w:p>
        </w:tc>
      </w:tr>
      <w:tr w14:paraId="0BEF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B0A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9E6F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EB3E14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28.互动教学软件能够帮助教师备课、授课；支持为教师提供可扩展，易于学校管理，安全可靠的云存储空间，根据每名教师使用时长与教学资料制作频率提供可扩展升级至不小于200G的个人云空间。</w:t>
            </w:r>
          </w:p>
        </w:tc>
      </w:tr>
      <w:tr w14:paraId="4F8E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1C65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BE864">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AE23D2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互动教学软件支持为使用方全体教师配备个人账号，形成一体的信息化教学账号体系；根据教师账号信息将教师云空间匹配至对应学校、学科校本资源库。支持通过数字账号、微信二维码、硬件密钥方式登录教师个人账号。</w:t>
            </w:r>
          </w:p>
        </w:tc>
      </w:tr>
      <w:tr w14:paraId="235E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B3A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37A41">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5B388C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r>
              <w:rPr>
                <w:rStyle w:val="40"/>
                <w:lang w:val="en-US" w:eastAsia="zh-CN" w:bidi="ar"/>
              </w:rPr>
              <w:t>互动教学课件支持定向精准分享：支持分享者将互动课件、课件组精准推送至指定接收方账号云空间，支持接收方在云空间接收并打开分享课件。</w:t>
            </w:r>
          </w:p>
        </w:tc>
      </w:tr>
      <w:tr w14:paraId="12F5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781F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5329D">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0683A0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r>
              <w:rPr>
                <w:rStyle w:val="40"/>
                <w:lang w:val="en-US" w:eastAsia="zh-CN" w:bidi="ar"/>
              </w:rPr>
              <w:t>互动教学课件支持开放式云分享：支持分享者将互动课件、课件组以公开或加密的web链接和二维码形式进行分享，分享链接可设置访问有效期。</w:t>
            </w:r>
          </w:p>
        </w:tc>
      </w:tr>
      <w:tr w14:paraId="2E60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1811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BFDAC">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135880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32.互动教学软件要求表格具备遮罩功能，表格中任一单元格可添加遮罩掩盖单元格内容，授课模式点击即可取消遮罩；</w:t>
            </w:r>
          </w:p>
        </w:tc>
      </w:tr>
      <w:tr w14:paraId="34033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AE1D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B0DB5">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C8C4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33.互动教学软件支持自由绘制长方体、立方体、圆柱体、圆锥等立体几何图形。任意调节几何体的大小尺寸，支持几何图形按比例放大缩小和通过单独调整长宽高（半径/高）改变几何体大小。</w:t>
            </w:r>
          </w:p>
        </w:tc>
      </w:tr>
      <w:tr w14:paraId="2C99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CE3B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38E94">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CA2F16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互动教学软件支持中英文、数学公式的编辑输入，支持快速输入方程组、脱式运算，提供不少于70个数学符号及模板；预置不少于40个常用数学公式，无需编辑一键插入，输入内容可用不同颜色标记及重复编辑。</w:t>
            </w:r>
          </w:p>
        </w:tc>
      </w:tr>
      <w:tr w14:paraId="4ADB8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DFF8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D729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F071E9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互动教学软件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r>
      <w:tr w14:paraId="5EAE7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AF88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5C55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35DC388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r>
              <w:rPr>
                <w:rStyle w:val="40"/>
                <w:lang w:val="en-US" w:eastAsia="zh-CN" w:bidi="ar"/>
              </w:rPr>
              <w:t>互动教学软件支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r>
      <w:tr w14:paraId="56F8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C599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2E0EE">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D5675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r>
              <w:rPr>
                <w:rStyle w:val="39"/>
                <w:lang w:val="en-US" w:eastAsia="zh-CN" w:bidi="ar"/>
              </w:rPr>
              <w:t>多学科课件库：支持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r>
      <w:tr w14:paraId="5955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697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1728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68845B7">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七.设备集中控制管理软件</w:t>
            </w:r>
          </w:p>
        </w:tc>
      </w:tr>
      <w:tr w14:paraId="5875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A86D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B7A0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80924E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38.设计架构：系统支持模块化的架构设计B/S架构，通过浏览器打开并用微信扫码登录、账号密码登录和微信授权登录完成鉴权，即可使用数字校园产品的各项功能模块。</w:t>
            </w:r>
          </w:p>
        </w:tc>
      </w:tr>
      <w:tr w14:paraId="35D8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966F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7ED9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FB2451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39.新闻公告：支持查看来自校园宣传应用的新闻公告，点击以弹窗的形式展示文字，图片，视频等公告消息。</w:t>
            </w:r>
          </w:p>
        </w:tc>
      </w:tr>
      <w:tr w14:paraId="5839B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5CAD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5B32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C122F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r>
      <w:tr w14:paraId="553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0656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9C789">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755CD4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r>
      <w:tr w14:paraId="09C9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E97B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80CFD">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2661EC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r>
      <w:tr w14:paraId="6F33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8F48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98CC2">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42EEE2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r>
      <w:tr w14:paraId="37148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EB6F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DC8C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E1FC0E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44.网址过滤：支持设置网址访问黑名单、白名单，限制所有设备的网址访问。</w:t>
            </w:r>
          </w:p>
        </w:tc>
      </w:tr>
      <w:tr w14:paraId="111A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D3CF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6BFA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381D7F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r>
              <w:rPr>
                <w:rStyle w:val="40"/>
                <w:lang w:val="en-US" w:eastAsia="zh-CN" w:bidi="ar"/>
              </w:rPr>
              <w:t xml:space="preserve"> 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p>
        </w:tc>
      </w:tr>
      <w:tr w14:paraId="1773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E4C8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5E3DE">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CFE830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r>
      <w:tr w14:paraId="6B202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C9874">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C9E7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747A5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查看直播源码率、FPS数据。</w:t>
            </w:r>
          </w:p>
        </w:tc>
      </w:tr>
      <w:tr w14:paraId="375E8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6469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579F">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31B775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48.多维管理：支持实时展示不少于20台设备的运行画面，并支持切换画面模式/列表模式；支持根据设备类型、设备所属年级/场地/自定义分组、设备开关机状态进行分组管理；支持文字检索设备名称。</w:t>
            </w:r>
          </w:p>
        </w:tc>
      </w:tr>
      <w:tr w14:paraId="6FF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8EF7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DED33">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243B44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详情管理：支持查看设备当前使用老师信息，以及最近一次设备解锁时间、解锁方式、解锁老师。支持查看单台设备的当日开机次数、开机时间分布情况、设备已安装软件列表及使用情况、内存/硬盘占用情况、基础参数；支持查看设备异常情况；支持查看设备所有待执行的指令信息；支持远程修改设备关联信息。</w:t>
            </w:r>
          </w:p>
        </w:tc>
      </w:tr>
      <w:tr w14:paraId="63316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A237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5127C">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ABDEF8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指令管理：支持设置即时、定时、循环模式的关机、重启、打铃、锁屏/解锁指令。其中打铃指令支持上传自定义铃声、设置播放时长；其中锁屏指令支持一键下课锁屏、开机自动锁屏、无网络时验证身份解锁、联网时禁用密码解锁、普通/极速锁屏模式；支持设置锁屏壁纸用于校园文化宣传；支持跑马灯、全局弹窗、桌面常驻通知3种类型的文本消息推送；支持定向传输多个超过50MB的文件至不同设备；支持开启/关闭指定设备的倒计日服务；支持批量设置设备音量；支持远程操作和控制设备；支持查看、编辑和撤销待执行指令；支持查看指令执行实时状态、设备操作日志，包含设备每次解锁方式、解锁时间、解锁人信息。</w:t>
            </w:r>
          </w:p>
        </w:tc>
      </w:tr>
      <w:tr w14:paraId="6AF31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2AEC">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A054A">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C55D70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51.移动端管理：支持通过微信小程序远程管理学校所有电子设备，支持查看设备运行状态，支持下发远程指令，支持查看设备数据，支持推送指令执行异常的设备信息、出现不良画面的设备及不良内容。</w:t>
            </w:r>
          </w:p>
        </w:tc>
      </w:tr>
      <w:tr w14:paraId="49FF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424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3C0E9">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E819EE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r>
      <w:tr w14:paraId="64746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0AA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7D910">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B7A45F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批量关联和改绑：支持通过设备辅助管理软件，在单台班班通设备关联学校代码后，自动发现并关联同网段下其他班班通设备；支持批量解绑，解绑设备自动进入回收站，可随时恢复管理；支持修改设备的绑定关系，包含设备名称、建筑场地、班级信息、设备类型、设备品牌、采购年份。</w:t>
            </w:r>
          </w:p>
        </w:tc>
      </w:tr>
      <w:tr w14:paraId="05130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CEE1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936F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33079D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r>
              <w:rPr>
                <w:rStyle w:val="40"/>
                <w:lang w:val="en-US" w:eastAsia="zh-CN" w:bidi="ar"/>
              </w:rPr>
              <w:t>▲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r>
      <w:tr w14:paraId="2D66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4FF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43A64">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75D920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r>
              <w:rPr>
                <w:rStyle w:val="40"/>
                <w:lang w:val="en-US" w:eastAsia="zh-CN" w:bidi="ar"/>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r>
      <w:tr w14:paraId="3172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7EEE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F0C7">
            <w:pPr>
              <w:jc w:val="center"/>
              <w:rPr>
                <w:rFonts w:hint="eastAsia" w:ascii="宋体" w:hAnsi="宋体" w:eastAsia="宋体" w:cs="宋体"/>
                <w:i w:val="0"/>
                <w:iCs w:val="0"/>
                <w:color w:val="000000"/>
                <w:sz w:val="21"/>
                <w:szCs w:val="21"/>
                <w:u w:val="none"/>
              </w:rPr>
            </w:pPr>
          </w:p>
        </w:tc>
        <w:tc>
          <w:tcPr>
            <w:tcW w:w="7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C4C170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Style w:val="41"/>
                <w:lang w:val="en-US" w:eastAsia="zh-CN" w:bidi="ar"/>
              </w:rPr>
              <w:t>★实现与宝安区触控一体机管理平台互联互通，验收时须经区教育发展中心教育技术部确认。</w:t>
            </w:r>
          </w:p>
        </w:tc>
      </w:tr>
    </w:tbl>
    <w:p w14:paraId="2616BF33">
      <w:pPr>
        <w:rPr>
          <w:b/>
          <w:szCs w:val="21"/>
        </w:rPr>
      </w:pPr>
    </w:p>
    <w:p w14:paraId="312FF625">
      <w:pPr>
        <w:rPr>
          <w:b/>
          <w:szCs w:val="21"/>
        </w:rPr>
      </w:pPr>
    </w:p>
    <w:p w14:paraId="2B58D746">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pPr w:leftFromText="180" w:rightFromText="180" w:vertAnchor="text" w:horzAnchor="page" w:tblpX="1686" w:tblpY="438"/>
        <w:tblOverlap w:val="never"/>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2EA3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10108B08">
            <w:pPr>
              <w:jc w:val="center"/>
              <w:rPr>
                <w:rFonts w:ascii="Times New Roman" w:hAnsi="Times New Roman" w:eastAsia="宋体" w:cs="Times New Roman"/>
                <w:b/>
                <w:sz w:val="21"/>
                <w:szCs w:val="21"/>
              </w:rPr>
            </w:pPr>
            <w:bookmarkStart w:id="41" w:name="OLE_LINK9"/>
            <w:r>
              <w:rPr>
                <w:rFonts w:hint="eastAsia" w:ascii="Times New Roman" w:hAnsi="Times New Roman" w:eastAsia="宋体" w:cs="Times New Roman"/>
                <w:b/>
                <w:sz w:val="21"/>
                <w:szCs w:val="21"/>
              </w:rPr>
              <w:t>序号</w:t>
            </w:r>
          </w:p>
        </w:tc>
        <w:tc>
          <w:tcPr>
            <w:tcW w:w="1457" w:type="dxa"/>
            <w:noWrap w:val="0"/>
            <w:vAlign w:val="center"/>
          </w:tcPr>
          <w:p w14:paraId="7FD5A9C3">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商务需求项</w:t>
            </w:r>
          </w:p>
        </w:tc>
        <w:tc>
          <w:tcPr>
            <w:tcW w:w="6523" w:type="dxa"/>
            <w:noWrap w:val="0"/>
            <w:vAlign w:val="center"/>
          </w:tcPr>
          <w:p w14:paraId="201B5030">
            <w:pPr>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招标商务要求</w:t>
            </w:r>
          </w:p>
        </w:tc>
      </w:tr>
      <w:tr w14:paraId="6A6A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tcPr>
          <w:p w14:paraId="4328BA29">
            <w:pPr>
              <w:rPr>
                <w:rFonts w:ascii="Times New Roman" w:hAnsi="Times New Roman" w:eastAsia="宋体" w:cs="Times New Roman"/>
                <w:b/>
                <w:sz w:val="21"/>
                <w:szCs w:val="21"/>
              </w:rPr>
            </w:pPr>
            <w:r>
              <w:rPr>
                <w:rFonts w:hint="eastAsia" w:ascii="Times New Roman" w:hAnsi="Times New Roman" w:eastAsia="宋体" w:cs="Times New Roman"/>
                <w:b/>
                <w:sz w:val="21"/>
                <w:szCs w:val="21"/>
              </w:rPr>
              <w:t>（一）免费保修期内售后服务要求</w:t>
            </w:r>
          </w:p>
        </w:tc>
      </w:tr>
      <w:tr w14:paraId="25FB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70393A80">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w:t>
            </w:r>
          </w:p>
        </w:tc>
        <w:tc>
          <w:tcPr>
            <w:tcW w:w="1457" w:type="dxa"/>
            <w:noWrap w:val="0"/>
          </w:tcPr>
          <w:p w14:paraId="506ED7A8">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维修响应及故障解决时间</w:t>
            </w:r>
          </w:p>
        </w:tc>
        <w:tc>
          <w:tcPr>
            <w:tcW w:w="6523" w:type="dxa"/>
            <w:noWrap w:val="0"/>
          </w:tcPr>
          <w:p w14:paraId="2B776D73">
            <w:pPr>
              <w:rPr>
                <w:rFonts w:ascii="Times New Roman" w:hAnsi="Times New Roman" w:eastAsia="宋体" w:cs="Times New Roman"/>
                <w:b/>
                <w:sz w:val="21"/>
                <w:szCs w:val="21"/>
              </w:rPr>
            </w:pPr>
            <w:r>
              <w:rPr>
                <w:rFonts w:hint="eastAsia" w:ascii="Times New Roman" w:hAnsi="Times New Roman" w:eastAsia="宋体" w:cs="Times New Roman"/>
                <w:bCs/>
                <w:sz w:val="21"/>
                <w:szCs w:val="21"/>
              </w:rPr>
              <w:t>在免费保修期内，一旦发生质量问题，中标人保证在接到通知</w:t>
            </w:r>
            <w:r>
              <w:rPr>
                <w:rFonts w:hint="eastAsia" w:cs="Times New Roman"/>
                <w:bCs/>
                <w:sz w:val="21"/>
                <w:szCs w:val="21"/>
                <w:lang w:val="en-US" w:eastAsia="zh-CN"/>
              </w:rPr>
              <w:t>6</w:t>
            </w:r>
            <w:r>
              <w:rPr>
                <w:rFonts w:hint="eastAsia" w:ascii="Times New Roman" w:hAnsi="Times New Roman" w:eastAsia="宋体" w:cs="Times New Roman"/>
                <w:bCs/>
                <w:sz w:val="21"/>
                <w:szCs w:val="21"/>
              </w:rPr>
              <w:t>小时内赶到现场进行修理或更换。</w:t>
            </w:r>
          </w:p>
        </w:tc>
      </w:tr>
      <w:tr w14:paraId="77C8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065388A2">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457" w:type="dxa"/>
            <w:vMerge w:val="restart"/>
            <w:noWrap w:val="0"/>
            <w:vAlign w:val="center"/>
          </w:tcPr>
          <w:p w14:paraId="11766E3F">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免费保修期</w:t>
            </w:r>
          </w:p>
        </w:tc>
        <w:tc>
          <w:tcPr>
            <w:tcW w:w="6523" w:type="dxa"/>
            <w:noWrap w:val="0"/>
          </w:tcPr>
          <w:p w14:paraId="2B179054">
            <w:pPr>
              <w:rPr>
                <w:rFonts w:ascii="Times New Roman" w:hAnsi="Times New Roman" w:eastAsia="宋体" w:cs="Times New Roman"/>
                <w:b/>
                <w:sz w:val="21"/>
                <w:szCs w:val="21"/>
              </w:rPr>
            </w:pPr>
            <w:r>
              <w:rPr>
                <w:rFonts w:hint="eastAsia"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货物免费保修期</w:t>
            </w:r>
            <w:r>
              <w:rPr>
                <w:rFonts w:hint="eastAsia" w:ascii="Times New Roman" w:hAnsi="Times New Roman" w:eastAsia="宋体" w:cs="Times New Roman"/>
                <w:bCs/>
                <w:color w:val="FF0000"/>
                <w:sz w:val="21"/>
                <w:szCs w:val="21"/>
                <w:u w:val="single"/>
              </w:rPr>
              <w:t xml:space="preserve">  </w:t>
            </w:r>
            <w:r>
              <w:rPr>
                <w:rFonts w:hint="eastAsia" w:cs="Times New Roman"/>
                <w:bCs/>
                <w:color w:val="FF0000"/>
                <w:sz w:val="21"/>
                <w:szCs w:val="21"/>
                <w:u w:val="single"/>
                <w:lang w:val="en-US" w:eastAsia="zh-CN"/>
              </w:rPr>
              <w:t>3</w:t>
            </w:r>
            <w:r>
              <w:rPr>
                <w:rFonts w:hint="eastAsia" w:ascii="Times New Roman" w:hAnsi="Times New Roman" w:eastAsia="宋体" w:cs="Times New Roman"/>
                <w:bCs/>
                <w:color w:val="FF0000"/>
                <w:sz w:val="21"/>
                <w:szCs w:val="21"/>
                <w:u w:val="single"/>
              </w:rPr>
              <w:t xml:space="preserve">  </w:t>
            </w:r>
            <w:r>
              <w:rPr>
                <w:rFonts w:hint="eastAsia" w:ascii="Times New Roman" w:hAnsi="Times New Roman" w:eastAsia="宋体" w:cs="Times New Roman"/>
                <w:bCs/>
                <w:color w:val="FF0000"/>
                <w:sz w:val="21"/>
                <w:szCs w:val="21"/>
              </w:rPr>
              <w:t>年，</w:t>
            </w:r>
            <w:r>
              <w:rPr>
                <w:rFonts w:hint="eastAsia" w:ascii="Times New Roman" w:hAnsi="Times New Roman" w:eastAsia="宋体" w:cs="Times New Roman"/>
                <w:bCs/>
                <w:sz w:val="21"/>
                <w:szCs w:val="21"/>
              </w:rPr>
              <w:t>时间自最终验收合格并交付使用之日起计算。</w:t>
            </w:r>
          </w:p>
        </w:tc>
      </w:tr>
      <w:tr w14:paraId="1F05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14:paraId="2D7B6AFD">
            <w:pPr>
              <w:jc w:val="center"/>
              <w:rPr>
                <w:rFonts w:hint="eastAsia" w:ascii="Times New Roman" w:hAnsi="Times New Roman" w:eastAsia="宋体" w:cs="Times New Roman"/>
                <w:sz w:val="21"/>
                <w:szCs w:val="21"/>
              </w:rPr>
            </w:pPr>
          </w:p>
        </w:tc>
        <w:tc>
          <w:tcPr>
            <w:tcW w:w="1457" w:type="dxa"/>
            <w:vMerge w:val="continue"/>
            <w:noWrap w:val="0"/>
            <w:vAlign w:val="center"/>
          </w:tcPr>
          <w:p w14:paraId="6F76C036">
            <w:pPr>
              <w:jc w:val="center"/>
              <w:rPr>
                <w:rFonts w:hint="eastAsia" w:ascii="Times New Roman" w:hAnsi="Times New Roman" w:eastAsia="宋体" w:cs="Times New Roman"/>
                <w:sz w:val="21"/>
                <w:szCs w:val="21"/>
              </w:rPr>
            </w:pPr>
          </w:p>
        </w:tc>
        <w:tc>
          <w:tcPr>
            <w:tcW w:w="6523" w:type="dxa"/>
            <w:noWrap w:val="0"/>
          </w:tcPr>
          <w:p w14:paraId="4ABE5DF9">
            <w:pPr>
              <w:rPr>
                <w:rFonts w:hint="eastAsia" w:ascii="Times New Roman" w:hAnsi="Times New Roman" w:eastAsia="宋体" w:cs="Times New Roman"/>
                <w:bCs/>
                <w:sz w:val="21"/>
                <w:szCs w:val="21"/>
              </w:rPr>
            </w:pPr>
            <w:r>
              <w:rPr>
                <w:rFonts w:hint="eastAsia" w:cs="Times New Roman"/>
                <w:bCs/>
                <w:sz w:val="21"/>
                <w:szCs w:val="21"/>
                <w:lang w:val="en-US" w:eastAsia="zh-CN"/>
              </w:rPr>
              <w:t>2.</w:t>
            </w:r>
            <w:r>
              <w:rPr>
                <w:rFonts w:hint="eastAsia" w:ascii="Times New Roman" w:hAnsi="Times New Roman" w:eastAsia="宋体" w:cs="Times New Roman"/>
                <w:bCs/>
                <w:sz w:val="21"/>
                <w:szCs w:val="21"/>
              </w:rPr>
              <w:t>要求中标方在交货完成后一周内，免费向用户方进行技术培训工作。</w:t>
            </w:r>
          </w:p>
        </w:tc>
      </w:tr>
      <w:tr w14:paraId="1E73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3993D698">
            <w:pPr>
              <w:jc w:val="center"/>
              <w:rPr>
                <w:rFonts w:ascii="Times New Roman" w:hAnsi="Times New Roman" w:eastAsia="宋体" w:cs="Times New Roman"/>
                <w:b/>
                <w:sz w:val="21"/>
                <w:szCs w:val="21"/>
              </w:rPr>
            </w:pPr>
          </w:p>
        </w:tc>
        <w:tc>
          <w:tcPr>
            <w:tcW w:w="1457" w:type="dxa"/>
            <w:vMerge w:val="continue"/>
            <w:noWrap w:val="0"/>
            <w:vAlign w:val="center"/>
          </w:tcPr>
          <w:p w14:paraId="0ACB2CC3">
            <w:pPr>
              <w:rPr>
                <w:rFonts w:ascii="Times New Roman" w:hAnsi="Times New Roman" w:eastAsia="宋体" w:cs="Times New Roman"/>
                <w:sz w:val="21"/>
                <w:szCs w:val="21"/>
              </w:rPr>
            </w:pPr>
          </w:p>
        </w:tc>
        <w:tc>
          <w:tcPr>
            <w:tcW w:w="6523" w:type="dxa"/>
            <w:noWrap w:val="0"/>
            <w:vAlign w:val="center"/>
          </w:tcPr>
          <w:p w14:paraId="465E3BBF">
            <w:pPr>
              <w:rPr>
                <w:rFonts w:ascii="Times New Roman" w:hAnsi="Times New Roman" w:eastAsia="宋体" w:cs="Times New Roman"/>
                <w:bCs/>
                <w:sz w:val="21"/>
                <w:szCs w:val="21"/>
              </w:rPr>
            </w:pPr>
            <w:r>
              <w:rPr>
                <w:rFonts w:hint="eastAsia" w:cs="Times New Roman"/>
                <w:bCs/>
                <w:sz w:val="21"/>
                <w:szCs w:val="21"/>
                <w:lang w:val="en-US" w:eastAsia="zh-CN"/>
              </w:rPr>
              <w:t>3</w:t>
            </w:r>
            <w:r>
              <w:rPr>
                <w:rFonts w:ascii="Times New Roman" w:hAnsi="Times New Roman" w:eastAsia="宋体" w:cs="Times New Roman"/>
                <w:bCs/>
                <w:sz w:val="21"/>
                <w:szCs w:val="21"/>
              </w:rPr>
              <w:t>.</w:t>
            </w:r>
            <w:r>
              <w:rPr>
                <w:rFonts w:hint="eastAsia" w:ascii="Times New Roman" w:hAnsi="Times New Roman" w:eastAsia="宋体" w:cs="Times New Roman"/>
                <w:bCs/>
                <w:sz w:val="21"/>
                <w:szCs w:val="21"/>
              </w:rPr>
              <w:t>免费保修期内，</w:t>
            </w:r>
            <w:r>
              <w:rPr>
                <w:rFonts w:hint="eastAsia" w:ascii="Times New Roman" w:hAnsi="Times New Roman" w:eastAsia="宋体" w:cs="Times New Roman"/>
                <w:color w:val="000000"/>
                <w:sz w:val="21"/>
                <w:szCs w:val="21"/>
              </w:rPr>
              <w:t>所有服务及配件全部免费。</w:t>
            </w:r>
          </w:p>
        </w:tc>
      </w:tr>
      <w:tr w14:paraId="3993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116B75A4">
            <w:pPr>
              <w:jc w:val="center"/>
              <w:rPr>
                <w:rFonts w:ascii="Times New Roman" w:hAnsi="Times New Roman" w:eastAsia="宋体" w:cs="Times New Roman"/>
                <w:b/>
                <w:sz w:val="21"/>
                <w:szCs w:val="21"/>
              </w:rPr>
            </w:pPr>
            <w:r>
              <w:rPr>
                <w:rFonts w:hint="eastAsia" w:ascii="Times New Roman" w:hAnsi="Times New Roman" w:eastAsia="宋体" w:cs="Times New Roman"/>
                <w:sz w:val="21"/>
                <w:szCs w:val="21"/>
              </w:rPr>
              <w:t>3</w:t>
            </w:r>
          </w:p>
        </w:tc>
        <w:tc>
          <w:tcPr>
            <w:tcW w:w="1457" w:type="dxa"/>
            <w:noWrap w:val="0"/>
            <w:vAlign w:val="center"/>
          </w:tcPr>
          <w:p w14:paraId="1CCB35A0">
            <w:pPr>
              <w:jc w:val="center"/>
              <w:rPr>
                <w:rFonts w:ascii="Times New Roman" w:hAnsi="Times New Roman" w:eastAsia="宋体" w:cs="Times New Roman"/>
                <w:b/>
                <w:sz w:val="21"/>
                <w:szCs w:val="21"/>
              </w:rPr>
            </w:pPr>
            <w:r>
              <w:rPr>
                <w:rFonts w:hint="eastAsia" w:ascii="Times New Roman" w:hAnsi="Times New Roman" w:eastAsia="宋体" w:cs="Times New Roman"/>
                <w:sz w:val="21"/>
                <w:szCs w:val="21"/>
              </w:rPr>
              <w:t>技术文件</w:t>
            </w:r>
          </w:p>
        </w:tc>
        <w:tc>
          <w:tcPr>
            <w:tcW w:w="6523" w:type="dxa"/>
            <w:noWrap w:val="0"/>
            <w:vAlign w:val="center"/>
          </w:tcPr>
          <w:p w14:paraId="052105E6">
            <w:pPr>
              <w:rPr>
                <w:rFonts w:ascii="Times New Roman" w:hAnsi="Times New Roman" w:eastAsia="宋体" w:cs="Times New Roman"/>
                <w:bCs/>
                <w:sz w:val="21"/>
                <w:szCs w:val="21"/>
              </w:rPr>
            </w:pPr>
            <w:r>
              <w:rPr>
                <w:rFonts w:hint="eastAsia" w:ascii="Times New Roman" w:hAnsi="Times New Roman" w:eastAsia="宋体" w:cs="Times New Roman"/>
                <w:bCs/>
                <w:sz w:val="21"/>
                <w:szCs w:val="21"/>
              </w:rPr>
              <w:t>供应商应提供全套、完整的书面技术资料，包括仪器说明书、操作手册、简单维修说明、图纸等。</w:t>
            </w:r>
          </w:p>
        </w:tc>
      </w:tr>
      <w:tr w14:paraId="29CC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05626BC6">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w:t>
            </w:r>
          </w:p>
        </w:tc>
        <w:tc>
          <w:tcPr>
            <w:tcW w:w="1457" w:type="dxa"/>
            <w:noWrap w:val="0"/>
            <w:vAlign w:val="center"/>
          </w:tcPr>
          <w:p w14:paraId="13CB0446">
            <w:pPr>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安装调试</w:t>
            </w:r>
          </w:p>
        </w:tc>
        <w:tc>
          <w:tcPr>
            <w:tcW w:w="6523" w:type="dxa"/>
            <w:noWrap w:val="0"/>
            <w:vAlign w:val="center"/>
          </w:tcPr>
          <w:p w14:paraId="21F57E91">
            <w:pP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本项目设备包含运输搬运及安装调试等服务，中标人须遵守采购人施工规范要求，并配合现场统一管理。</w:t>
            </w:r>
            <w:r>
              <w:rPr>
                <w:rFonts w:hint="eastAsia" w:cs="Times New Roman"/>
                <w:bCs/>
                <w:sz w:val="21"/>
                <w:szCs w:val="21"/>
                <w:highlight w:val="none"/>
                <w:lang w:val="en-US" w:eastAsia="zh-CN"/>
              </w:rPr>
              <w:t>调试人员须具有网络安全相关技术。</w:t>
            </w:r>
          </w:p>
        </w:tc>
      </w:tr>
      <w:tr w14:paraId="170F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330B99AD">
            <w:pPr>
              <w:spacing w:line="360" w:lineRule="exact"/>
              <w:rPr>
                <w:rFonts w:ascii="宋体" w:hAnsi="宋体" w:eastAsia="宋体" w:cs="Times New Roman"/>
                <w:b/>
                <w:sz w:val="21"/>
                <w:szCs w:val="21"/>
              </w:rPr>
            </w:pPr>
            <w:r>
              <w:rPr>
                <w:rFonts w:hint="eastAsia" w:ascii="宋体" w:hAnsi="宋体" w:eastAsia="宋体" w:cs="Times New Roman"/>
                <w:b/>
                <w:sz w:val="21"/>
                <w:szCs w:val="21"/>
              </w:rPr>
              <w:t>（二）免费保修期外售后服务要求</w:t>
            </w:r>
          </w:p>
        </w:tc>
      </w:tr>
      <w:tr w14:paraId="01FD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B55FE31">
            <w:pPr>
              <w:spacing w:line="360" w:lineRule="exact"/>
              <w:jc w:val="center"/>
              <w:rPr>
                <w:rFonts w:ascii="宋体" w:hAnsi="宋体" w:eastAsia="宋体" w:cs="Times New Roman"/>
                <w:b/>
                <w:sz w:val="21"/>
                <w:szCs w:val="21"/>
              </w:rPr>
            </w:pPr>
            <w:r>
              <w:rPr>
                <w:rFonts w:hint="eastAsia" w:ascii="宋体" w:hAnsi="宋体" w:eastAsia="宋体" w:cs="Times New Roman"/>
                <w:b/>
                <w:sz w:val="21"/>
                <w:szCs w:val="21"/>
              </w:rPr>
              <w:t>1</w:t>
            </w:r>
          </w:p>
        </w:tc>
        <w:tc>
          <w:tcPr>
            <w:tcW w:w="1457" w:type="dxa"/>
            <w:vMerge w:val="restart"/>
            <w:noWrap w:val="0"/>
            <w:vAlign w:val="center"/>
          </w:tcPr>
          <w:p w14:paraId="0837A1CC">
            <w:pPr>
              <w:spacing w:line="360" w:lineRule="exact"/>
              <w:jc w:val="center"/>
              <w:rPr>
                <w:rFonts w:ascii="宋体" w:hAnsi="宋体" w:eastAsia="宋体" w:cs="Times New Roman"/>
                <w:b/>
                <w:color w:val="000000"/>
                <w:sz w:val="21"/>
                <w:szCs w:val="21"/>
              </w:rPr>
            </w:pPr>
            <w:r>
              <w:rPr>
                <w:rStyle w:val="20"/>
                <w:rFonts w:hint="eastAsia" w:ascii="宋体" w:hAnsi="宋体" w:eastAsia="宋体" w:cs="宋体"/>
                <w:color w:val="000000"/>
                <w:sz w:val="21"/>
                <w:szCs w:val="21"/>
              </w:rPr>
              <w:t>维修零配件、消耗品和延续保修合同的报价</w:t>
            </w:r>
          </w:p>
        </w:tc>
        <w:tc>
          <w:tcPr>
            <w:tcW w:w="6523" w:type="dxa"/>
            <w:noWrap w:val="0"/>
            <w:vAlign w:val="center"/>
          </w:tcPr>
          <w:p w14:paraId="2F57C34D">
            <w:pPr>
              <w:spacing w:line="360" w:lineRule="exact"/>
              <w:rPr>
                <w:rFonts w:ascii="宋体" w:hAnsi="宋体" w:eastAsia="宋体" w:cs="Times New Roman"/>
                <w:b/>
                <w:color w:val="000000"/>
                <w:sz w:val="21"/>
                <w:szCs w:val="21"/>
              </w:rPr>
            </w:pPr>
            <w:r>
              <w:rPr>
                <w:rFonts w:hint="eastAsia" w:ascii="宋体" w:hAnsi="宋体" w:eastAsia="宋体" w:cs="宋体"/>
                <w:color w:val="000000"/>
                <w:sz w:val="21"/>
                <w:szCs w:val="21"/>
              </w:rPr>
              <w:t>1.1由设备制造商提供售后服务，</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1 </w:t>
            </w:r>
            <w:r>
              <w:rPr>
                <w:rFonts w:hint="eastAsia" w:ascii="宋体" w:hAnsi="宋体" w:eastAsia="宋体" w:cs="宋体"/>
                <w:color w:val="000000"/>
                <w:sz w:val="21"/>
                <w:szCs w:val="21"/>
              </w:rPr>
              <w:t>小时内响应，</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24</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14:paraId="5BA3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C91D77F">
            <w:pPr>
              <w:spacing w:line="360" w:lineRule="exact"/>
              <w:jc w:val="center"/>
              <w:rPr>
                <w:rFonts w:ascii="宋体" w:hAnsi="宋体" w:eastAsia="宋体" w:cs="Times New Roman"/>
                <w:b/>
                <w:sz w:val="21"/>
                <w:szCs w:val="21"/>
              </w:rPr>
            </w:pPr>
          </w:p>
        </w:tc>
        <w:tc>
          <w:tcPr>
            <w:tcW w:w="1457" w:type="dxa"/>
            <w:vMerge w:val="continue"/>
            <w:noWrap w:val="0"/>
            <w:vAlign w:val="center"/>
          </w:tcPr>
          <w:p w14:paraId="082E7363">
            <w:pPr>
              <w:spacing w:line="360" w:lineRule="exact"/>
              <w:rPr>
                <w:rStyle w:val="20"/>
                <w:rFonts w:ascii="宋体" w:hAnsi="宋体" w:eastAsia="宋体" w:cs="宋体"/>
                <w:color w:val="000000"/>
                <w:sz w:val="21"/>
                <w:szCs w:val="21"/>
              </w:rPr>
            </w:pPr>
          </w:p>
        </w:tc>
        <w:tc>
          <w:tcPr>
            <w:tcW w:w="6523" w:type="dxa"/>
            <w:noWrap w:val="0"/>
            <w:vAlign w:val="center"/>
          </w:tcPr>
          <w:p w14:paraId="4816E526">
            <w:pPr>
              <w:spacing w:line="360" w:lineRule="exact"/>
              <w:rPr>
                <w:rFonts w:hint="default" w:ascii="宋体" w:hAnsi="宋体" w:eastAsia="宋体" w:cs="Times New Roman"/>
                <w:b/>
                <w:color w:val="000000"/>
                <w:sz w:val="21"/>
                <w:szCs w:val="21"/>
                <w:lang w:val="en-US" w:eastAsia="zh-CN"/>
              </w:rPr>
            </w:pPr>
            <w:r>
              <w:rPr>
                <w:rFonts w:hint="eastAsia" w:ascii="宋体" w:hAnsi="宋体" w:eastAsia="宋体" w:cs="宋体"/>
                <w:color w:val="000000"/>
                <w:sz w:val="21"/>
                <w:szCs w:val="21"/>
              </w:rPr>
              <w:t>1.2保修期外</w:t>
            </w:r>
            <w:r>
              <w:rPr>
                <w:rFonts w:hint="eastAsia" w:ascii="宋体" w:hAnsi="宋体" w:cs="宋体"/>
                <w:color w:val="000000"/>
                <w:sz w:val="21"/>
                <w:szCs w:val="21"/>
                <w:lang w:val="en-US" w:eastAsia="zh-CN"/>
              </w:rPr>
              <w:t>设备维修及更换配件按市场价收费。</w:t>
            </w:r>
          </w:p>
        </w:tc>
      </w:tr>
      <w:tr w14:paraId="6C23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3B2699CE">
            <w:pPr>
              <w:spacing w:line="360" w:lineRule="exact"/>
              <w:rPr>
                <w:rFonts w:ascii="宋体" w:hAnsi="宋体" w:eastAsia="宋体" w:cs="Times New Roman"/>
                <w:b/>
                <w:sz w:val="21"/>
                <w:szCs w:val="21"/>
              </w:rPr>
            </w:pPr>
            <w:r>
              <w:rPr>
                <w:rFonts w:hint="eastAsia" w:ascii="宋体" w:hAnsi="宋体" w:eastAsia="宋体" w:cs="Times New Roman"/>
                <w:b/>
                <w:sz w:val="21"/>
                <w:szCs w:val="21"/>
              </w:rPr>
              <w:t>（三）其他商务要求</w:t>
            </w:r>
          </w:p>
        </w:tc>
      </w:tr>
      <w:tr w14:paraId="1D18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0B78E51">
            <w:pPr>
              <w:spacing w:line="360" w:lineRule="exact"/>
              <w:jc w:val="center"/>
              <w:rPr>
                <w:rFonts w:hint="eastAsia" w:ascii="宋体" w:hAnsi="宋体" w:eastAsia="宋体" w:cs="Times New Roman"/>
                <w:b/>
                <w:sz w:val="21"/>
                <w:szCs w:val="21"/>
                <w:lang w:val="en-US" w:eastAsia="zh-CN"/>
              </w:rPr>
            </w:pPr>
            <w:r>
              <w:rPr>
                <w:rFonts w:hint="eastAsia" w:ascii="宋体" w:hAnsi="宋体" w:cs="Times New Roman"/>
                <w:b/>
                <w:sz w:val="21"/>
                <w:szCs w:val="21"/>
                <w:lang w:val="en-US" w:eastAsia="zh-CN"/>
              </w:rPr>
              <w:t>1</w:t>
            </w:r>
          </w:p>
        </w:tc>
        <w:tc>
          <w:tcPr>
            <w:tcW w:w="1457" w:type="dxa"/>
            <w:vMerge w:val="restart"/>
            <w:noWrap w:val="0"/>
            <w:vAlign w:val="center"/>
          </w:tcPr>
          <w:p w14:paraId="06F3DC06">
            <w:pPr>
              <w:spacing w:line="360" w:lineRule="exact"/>
              <w:jc w:val="center"/>
              <w:rPr>
                <w:rFonts w:hint="eastAsia" w:ascii="宋体" w:hAnsi="宋体" w:eastAsia="宋体" w:cs="Times New Roman"/>
                <w:b/>
                <w:sz w:val="21"/>
                <w:szCs w:val="21"/>
              </w:rPr>
            </w:pPr>
            <w:r>
              <w:rPr>
                <w:rFonts w:hint="eastAsia" w:ascii="宋体" w:hAnsi="宋体" w:eastAsia="宋体" w:cs="Times New Roman"/>
                <w:b/>
                <w:sz w:val="21"/>
                <w:szCs w:val="21"/>
              </w:rPr>
              <w:t>报价要求</w:t>
            </w:r>
          </w:p>
        </w:tc>
        <w:tc>
          <w:tcPr>
            <w:tcW w:w="6523" w:type="dxa"/>
            <w:noWrap w:val="0"/>
            <w:vAlign w:val="center"/>
          </w:tcPr>
          <w:p w14:paraId="7390C0D1">
            <w:pPr>
              <w:spacing w:line="360" w:lineRule="exact"/>
              <w:rPr>
                <w:rFonts w:hint="eastAsia" w:ascii="宋体" w:hAnsi="宋体" w:eastAsia="宋体" w:cs="Times New Roman"/>
                <w:b/>
                <w:sz w:val="21"/>
                <w:szCs w:val="21"/>
              </w:rPr>
            </w:pPr>
            <w:r>
              <w:rPr>
                <w:rFonts w:hint="eastAsia" w:ascii="宋体" w:hAnsi="宋体" w:eastAsia="宋体" w:cs="Times New Roman"/>
                <w:b w:val="0"/>
                <w:bCs/>
                <w:sz w:val="21"/>
                <w:szCs w:val="21"/>
                <w:lang w:val="en-US" w:eastAsia="zh-CN"/>
              </w:rPr>
              <w:t>1.1</w:t>
            </w:r>
            <w:r>
              <w:rPr>
                <w:rFonts w:hint="eastAsia" w:ascii="宋体" w:hAnsi="宋体" w:eastAsia="宋体" w:cs="Times New Roman"/>
                <w:b w:val="0"/>
                <w:bCs/>
                <w:sz w:val="21"/>
                <w:szCs w:val="21"/>
              </w:rPr>
              <w:t>投标报价为报投标总价。投标总价必须是完成该项目的一切费用总和，包括投标费、设备费、运输费、装卸费、保险费、技术培训费、设备安装费、调试费、检测费、国家规定的各项税费等。</w:t>
            </w:r>
          </w:p>
        </w:tc>
      </w:tr>
      <w:tr w14:paraId="6F81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noWrap w:val="0"/>
            <w:vAlign w:val="center"/>
          </w:tcPr>
          <w:p w14:paraId="1547254C">
            <w:pPr>
              <w:spacing w:line="360" w:lineRule="exact"/>
              <w:jc w:val="center"/>
              <w:rPr>
                <w:rFonts w:hint="default" w:ascii="宋体" w:hAnsi="宋体" w:cs="Times New Roman"/>
                <w:b/>
                <w:sz w:val="21"/>
                <w:szCs w:val="21"/>
                <w:lang w:val="en-US" w:eastAsia="zh-CN"/>
              </w:rPr>
            </w:pPr>
          </w:p>
        </w:tc>
        <w:tc>
          <w:tcPr>
            <w:tcW w:w="1457" w:type="dxa"/>
            <w:vMerge w:val="continue"/>
            <w:noWrap w:val="0"/>
            <w:vAlign w:val="center"/>
          </w:tcPr>
          <w:p w14:paraId="6FDE5F77">
            <w:pPr>
              <w:spacing w:line="360" w:lineRule="exact"/>
              <w:jc w:val="center"/>
              <w:rPr>
                <w:rFonts w:hint="default" w:ascii="宋体" w:hAnsi="宋体" w:eastAsia="宋体" w:cs="Times New Roman"/>
                <w:b/>
                <w:sz w:val="21"/>
                <w:szCs w:val="21"/>
                <w:lang w:val="en-US" w:eastAsia="zh-CN"/>
              </w:rPr>
            </w:pPr>
          </w:p>
        </w:tc>
        <w:tc>
          <w:tcPr>
            <w:tcW w:w="6523" w:type="dxa"/>
            <w:noWrap w:val="0"/>
            <w:vAlign w:val="center"/>
          </w:tcPr>
          <w:p w14:paraId="10413253">
            <w:pPr>
              <w:spacing w:line="360" w:lineRule="exact"/>
              <w:rPr>
                <w:rFonts w:hint="eastAsia" w:ascii="宋体" w:hAnsi="宋体" w:eastAsia="宋体" w:cs="Times New Roman"/>
                <w:b w:val="0"/>
                <w:bCs/>
                <w:sz w:val="21"/>
                <w:szCs w:val="21"/>
              </w:rPr>
            </w:pPr>
            <w:r>
              <w:rPr>
                <w:rFonts w:hint="eastAsia" w:ascii="宋体" w:hAnsi="宋体" w:cs="Times New Roman"/>
                <w:b w:val="0"/>
                <w:bCs/>
                <w:sz w:val="21"/>
                <w:szCs w:val="21"/>
                <w:lang w:val="en-US" w:eastAsia="zh-CN"/>
              </w:rPr>
              <w:t>1.2</w:t>
            </w:r>
            <w:r>
              <w:rPr>
                <w:rFonts w:hint="eastAsia" w:ascii="宋体" w:hAnsi="宋体" w:eastAsia="宋体" w:cs="Times New Roman"/>
                <w:b w:val="0"/>
                <w:bCs/>
                <w:sz w:val="21"/>
                <w:szCs w:val="21"/>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tc>
      </w:tr>
      <w:tr w14:paraId="57B4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9186275">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2</w:t>
            </w:r>
          </w:p>
        </w:tc>
        <w:tc>
          <w:tcPr>
            <w:tcW w:w="1457" w:type="dxa"/>
            <w:vMerge w:val="restart"/>
            <w:noWrap w:val="0"/>
            <w:vAlign w:val="center"/>
          </w:tcPr>
          <w:p w14:paraId="574778E1">
            <w:pPr>
              <w:spacing w:line="360" w:lineRule="exact"/>
              <w:jc w:val="center"/>
              <w:rPr>
                <w:rFonts w:hint="eastAsia" w:ascii="宋体" w:hAnsi="宋体" w:eastAsia="宋体" w:cs="Times New Roman"/>
                <w:b/>
                <w:sz w:val="21"/>
                <w:szCs w:val="21"/>
              </w:rPr>
            </w:pPr>
            <w:r>
              <w:rPr>
                <w:rFonts w:hint="eastAsia" w:ascii="宋体" w:hAnsi="宋体" w:eastAsia="宋体" w:cs="Times New Roman"/>
                <w:b/>
                <w:sz w:val="21"/>
                <w:szCs w:val="21"/>
              </w:rPr>
              <w:t>违约责任</w:t>
            </w:r>
          </w:p>
        </w:tc>
        <w:tc>
          <w:tcPr>
            <w:tcW w:w="6523" w:type="dxa"/>
            <w:noWrap w:val="0"/>
          </w:tcPr>
          <w:p w14:paraId="2D4EF15F">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.1中标人不能交货的，需偿付不能交货部分货款的</w:t>
            </w:r>
            <w:r>
              <w:rPr>
                <w:rFonts w:hint="eastAsia" w:ascii="宋体" w:hAnsi="宋体" w:cs="宋体"/>
                <w:color w:val="000000"/>
                <w:sz w:val="21"/>
                <w:szCs w:val="21"/>
                <w:u w:val="single"/>
                <w:lang w:val="en-US" w:eastAsia="zh-CN"/>
              </w:rPr>
              <w:t>1</w:t>
            </w:r>
            <w:r>
              <w:rPr>
                <w:rFonts w:hint="eastAsia" w:ascii="宋体" w:hAnsi="宋体" w:eastAsia="宋体" w:cs="宋体"/>
                <w:color w:val="000000"/>
                <w:sz w:val="21"/>
                <w:szCs w:val="21"/>
              </w:rPr>
              <w:t>%的违约金并按主管部门相关规定处理。</w:t>
            </w:r>
          </w:p>
        </w:tc>
      </w:tr>
      <w:tr w14:paraId="04FD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485FA30">
            <w:pPr>
              <w:spacing w:line="360" w:lineRule="exact"/>
              <w:jc w:val="center"/>
              <w:rPr>
                <w:rFonts w:hint="eastAsia" w:ascii="宋体" w:hAnsi="宋体" w:eastAsia="宋体" w:cs="Times New Roman"/>
                <w:b/>
                <w:sz w:val="21"/>
                <w:szCs w:val="21"/>
              </w:rPr>
            </w:pPr>
          </w:p>
        </w:tc>
        <w:tc>
          <w:tcPr>
            <w:tcW w:w="1457" w:type="dxa"/>
            <w:vMerge w:val="continue"/>
            <w:noWrap w:val="0"/>
            <w:vAlign w:val="center"/>
          </w:tcPr>
          <w:p w14:paraId="71833D3C">
            <w:pPr>
              <w:spacing w:line="360" w:lineRule="exact"/>
              <w:jc w:val="center"/>
              <w:rPr>
                <w:rFonts w:hint="eastAsia" w:ascii="宋体" w:hAnsi="宋体" w:eastAsia="宋体" w:cs="Times New Roman"/>
                <w:b/>
                <w:sz w:val="21"/>
                <w:szCs w:val="21"/>
              </w:rPr>
            </w:pPr>
          </w:p>
        </w:tc>
        <w:tc>
          <w:tcPr>
            <w:tcW w:w="6523" w:type="dxa"/>
            <w:noWrap w:val="0"/>
          </w:tcPr>
          <w:p w14:paraId="0E91DE7A">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.2中标人逾期交货的，应当承担继续履行、采取补救措施或者赔偿损失等违约责任</w:t>
            </w:r>
          </w:p>
        </w:tc>
      </w:tr>
      <w:tr w14:paraId="23CE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40" w:type="dxa"/>
            <w:vMerge w:val="continue"/>
            <w:noWrap w:val="0"/>
            <w:vAlign w:val="center"/>
          </w:tcPr>
          <w:p w14:paraId="607DBECB">
            <w:pPr>
              <w:spacing w:line="360" w:lineRule="exact"/>
              <w:jc w:val="center"/>
              <w:rPr>
                <w:rFonts w:hint="eastAsia" w:ascii="宋体" w:hAnsi="宋体" w:eastAsia="宋体" w:cs="Times New Roman"/>
                <w:b/>
                <w:sz w:val="21"/>
                <w:szCs w:val="21"/>
              </w:rPr>
            </w:pPr>
          </w:p>
        </w:tc>
        <w:tc>
          <w:tcPr>
            <w:tcW w:w="1457" w:type="dxa"/>
            <w:vMerge w:val="continue"/>
            <w:noWrap w:val="0"/>
            <w:vAlign w:val="center"/>
          </w:tcPr>
          <w:p w14:paraId="767EEB4D">
            <w:pPr>
              <w:spacing w:line="360" w:lineRule="exact"/>
              <w:jc w:val="center"/>
              <w:rPr>
                <w:rFonts w:hint="eastAsia" w:ascii="宋体" w:hAnsi="宋体" w:eastAsia="宋体" w:cs="Times New Roman"/>
                <w:b/>
                <w:sz w:val="21"/>
                <w:szCs w:val="21"/>
              </w:rPr>
            </w:pPr>
          </w:p>
        </w:tc>
        <w:tc>
          <w:tcPr>
            <w:tcW w:w="6523" w:type="dxa"/>
            <w:noWrap w:val="0"/>
          </w:tcPr>
          <w:p w14:paraId="67709146">
            <w:pPr>
              <w:spacing w:line="36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1"/>
                <w:szCs w:val="21"/>
                <w:lang w:val="en-US" w:eastAsia="zh-CN"/>
              </w:rPr>
              <w:t>采购人</w:t>
            </w:r>
            <w:r>
              <w:rPr>
                <w:rFonts w:hint="eastAsia" w:ascii="宋体" w:hAnsi="宋体" w:eastAsia="宋体" w:cs="宋体"/>
                <w:color w:val="000000"/>
                <w:sz w:val="21"/>
                <w:szCs w:val="21"/>
              </w:rPr>
              <w:t>将根据标的的性质以及损失的大小，可以合理选择要求</w:t>
            </w:r>
            <w:r>
              <w:rPr>
                <w:rFonts w:hint="eastAsia" w:ascii="宋体" w:hAnsi="宋体" w:eastAsia="宋体" w:cs="宋体"/>
                <w:color w:val="000000"/>
                <w:sz w:val="21"/>
                <w:szCs w:val="21"/>
                <w:lang w:val="en-US" w:eastAsia="zh-CN"/>
              </w:rPr>
              <w:t>中标人</w:t>
            </w:r>
            <w:r>
              <w:rPr>
                <w:rFonts w:hint="eastAsia" w:ascii="宋体" w:hAnsi="宋体" w:eastAsia="宋体" w:cs="宋体"/>
                <w:color w:val="000000"/>
                <w:sz w:val="21"/>
                <w:szCs w:val="21"/>
              </w:rPr>
              <w:t>承担修理、更换、重作、退货、减少价款或者报酬等违约责任。</w:t>
            </w:r>
          </w:p>
        </w:tc>
      </w:tr>
      <w:tr w14:paraId="54DA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5FE0625">
            <w:pPr>
              <w:spacing w:line="360" w:lineRule="exact"/>
              <w:jc w:val="center"/>
              <w:rPr>
                <w:rFonts w:hint="eastAsia" w:ascii="宋体" w:hAnsi="宋体" w:eastAsia="宋体" w:cs="Times New Roman"/>
                <w:b/>
                <w:bCs w:val="0"/>
                <w:sz w:val="21"/>
                <w:szCs w:val="21"/>
                <w:lang w:eastAsia="zh-CN"/>
              </w:rPr>
            </w:pPr>
            <w:r>
              <w:rPr>
                <w:rFonts w:hint="eastAsia" w:ascii="宋体" w:hAnsi="宋体" w:cs="Times New Roman"/>
                <w:b/>
                <w:bCs w:val="0"/>
                <w:sz w:val="21"/>
                <w:szCs w:val="21"/>
                <w:lang w:val="en-US" w:eastAsia="zh-CN"/>
              </w:rPr>
              <w:t>3</w:t>
            </w:r>
          </w:p>
        </w:tc>
        <w:tc>
          <w:tcPr>
            <w:tcW w:w="1457" w:type="dxa"/>
            <w:vMerge w:val="restart"/>
            <w:noWrap w:val="0"/>
            <w:vAlign w:val="center"/>
          </w:tcPr>
          <w:p w14:paraId="23B6AE7D">
            <w:pPr>
              <w:spacing w:line="360" w:lineRule="exact"/>
              <w:jc w:val="center"/>
              <w:rPr>
                <w:rFonts w:hint="default" w:ascii="宋体" w:hAnsi="宋体" w:eastAsia="宋体" w:cs="Times New Roman"/>
                <w:b/>
                <w:bCs w:val="0"/>
                <w:sz w:val="21"/>
                <w:szCs w:val="21"/>
                <w:lang w:val="en-US" w:eastAsia="zh-CN"/>
              </w:rPr>
            </w:pPr>
            <w:r>
              <w:rPr>
                <w:rFonts w:hint="eastAsia" w:ascii="宋体" w:hAnsi="宋体" w:eastAsia="宋体" w:cs="Times New Roman"/>
                <w:b/>
                <w:bCs w:val="0"/>
                <w:sz w:val="21"/>
                <w:szCs w:val="21"/>
              </w:rPr>
              <w:t>交货</w:t>
            </w:r>
            <w:r>
              <w:rPr>
                <w:rFonts w:hint="eastAsia" w:ascii="宋体" w:hAnsi="宋体" w:eastAsia="宋体" w:cs="Times New Roman"/>
                <w:b/>
                <w:bCs w:val="0"/>
                <w:sz w:val="21"/>
                <w:szCs w:val="21"/>
                <w:lang w:val="en-US" w:eastAsia="zh-CN"/>
              </w:rPr>
              <w:t>及付款要求</w:t>
            </w:r>
          </w:p>
        </w:tc>
        <w:tc>
          <w:tcPr>
            <w:tcW w:w="6523" w:type="dxa"/>
            <w:noWrap w:val="0"/>
            <w:vAlign w:val="center"/>
          </w:tcPr>
          <w:p w14:paraId="4DB9DC0F">
            <w:pPr>
              <w:widowControl/>
              <w:spacing w:after="0" w:line="360" w:lineRule="exact"/>
              <w:jc w:val="left"/>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hint="eastAsia" w:ascii="Times New Roman" w:hAnsi="Times New Roman" w:eastAsia="宋体" w:cs="Times New Roman"/>
                <w:sz w:val="21"/>
                <w:szCs w:val="21"/>
              </w:rPr>
              <w:t>.1履约时间和地点：投标供应商在签订合同之日起</w:t>
            </w:r>
            <w:r>
              <w:rPr>
                <w:rFonts w:ascii="Times New Roman" w:hAnsi="Times New Roman" w:eastAsia="宋体" w:cs="Times New Roman"/>
                <w:sz w:val="21"/>
                <w:szCs w:val="21"/>
              </w:rPr>
              <w:t>30</w:t>
            </w:r>
            <w:r>
              <w:rPr>
                <w:rFonts w:hint="eastAsia" w:ascii="Times New Roman" w:hAnsi="Times New Roman" w:eastAsia="宋体" w:cs="Times New Roman"/>
                <w:sz w:val="21"/>
                <w:szCs w:val="21"/>
              </w:rPr>
              <w:t>天内交货，交货地点为</w:t>
            </w:r>
            <w:r>
              <w:rPr>
                <w:rFonts w:hint="eastAsia" w:ascii="Times New Roman" w:hAnsi="Times New Roman" w:eastAsia="宋体" w:cs="Times New Roman"/>
                <w:b/>
                <w:bCs/>
                <w:sz w:val="21"/>
                <w:szCs w:val="21"/>
                <w:u w:val="single"/>
              </w:rPr>
              <w:t>深圳市宝安区</w:t>
            </w:r>
            <w:r>
              <w:rPr>
                <w:rFonts w:hint="eastAsia" w:ascii="Times New Roman" w:hAnsi="Times New Roman" w:eastAsia="宋体" w:cs="Times New Roman"/>
                <w:b/>
                <w:bCs/>
                <w:sz w:val="21"/>
                <w:szCs w:val="21"/>
                <w:u w:val="single"/>
                <w:lang w:val="en-US" w:eastAsia="zh-CN"/>
              </w:rPr>
              <w:t>福海街道桥顺路立新湖学校</w:t>
            </w:r>
            <w:r>
              <w:rPr>
                <w:rFonts w:hint="eastAsia" w:ascii="Times New Roman" w:hAnsi="Times New Roman" w:eastAsia="宋体" w:cs="Times New Roman"/>
                <w:b/>
                <w:bCs/>
                <w:sz w:val="21"/>
                <w:szCs w:val="21"/>
              </w:rPr>
              <w:t>。</w:t>
            </w:r>
          </w:p>
        </w:tc>
      </w:tr>
      <w:tr w14:paraId="462E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27055D9C">
            <w:pPr>
              <w:spacing w:line="360" w:lineRule="exact"/>
              <w:jc w:val="center"/>
              <w:rPr>
                <w:rFonts w:ascii="宋体" w:hAnsi="宋体" w:eastAsia="宋体" w:cs="Times New Roman"/>
                <w:b/>
                <w:bCs w:val="0"/>
                <w:sz w:val="21"/>
                <w:szCs w:val="21"/>
              </w:rPr>
            </w:pPr>
          </w:p>
        </w:tc>
        <w:tc>
          <w:tcPr>
            <w:tcW w:w="1457" w:type="dxa"/>
            <w:vMerge w:val="continue"/>
            <w:noWrap w:val="0"/>
            <w:vAlign w:val="center"/>
          </w:tcPr>
          <w:p w14:paraId="6E5878A4">
            <w:pPr>
              <w:spacing w:line="360" w:lineRule="exact"/>
              <w:jc w:val="center"/>
              <w:rPr>
                <w:rFonts w:ascii="宋体" w:hAnsi="宋体" w:eastAsia="宋体" w:cs="Times New Roman"/>
                <w:b/>
                <w:bCs w:val="0"/>
                <w:sz w:val="21"/>
                <w:szCs w:val="21"/>
              </w:rPr>
            </w:pPr>
          </w:p>
        </w:tc>
        <w:tc>
          <w:tcPr>
            <w:tcW w:w="6523" w:type="dxa"/>
            <w:noWrap w:val="0"/>
            <w:vAlign w:val="center"/>
          </w:tcPr>
          <w:p w14:paraId="1E204247">
            <w:pPr>
              <w:widowControl/>
              <w:spacing w:after="0" w:line="360" w:lineRule="exact"/>
              <w:jc w:val="left"/>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r>
              <w:rPr>
                <w:rFonts w:ascii="Times New Roman" w:hAnsi="Times New Roman" w:eastAsia="宋体" w:cs="Times New Roman"/>
                <w:sz w:val="21"/>
                <w:szCs w:val="21"/>
              </w:rPr>
              <w:t>.2</w:t>
            </w:r>
            <w:r>
              <w:rPr>
                <w:rFonts w:hint="eastAsia" w:ascii="Times New Roman" w:hAnsi="Times New Roman" w:eastAsia="宋体" w:cs="Times New Roman"/>
                <w:sz w:val="21"/>
                <w:szCs w:val="21"/>
              </w:rPr>
              <w:t>付款期限和方式：本项目完成并经验收合格后，对于满足合同约定支付条件的，中标人提供发票，收到发票后10个工作日内（最长不超过15日历日）采购人按照有关程序要求向中标人支付。</w:t>
            </w:r>
          </w:p>
        </w:tc>
      </w:tr>
      <w:tr w14:paraId="52A1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3FF83AC9">
            <w:pPr>
              <w:spacing w:line="360" w:lineRule="exact"/>
              <w:jc w:val="center"/>
              <w:rPr>
                <w:rFonts w:hint="default" w:ascii="宋体" w:hAnsi="宋体" w:eastAsia="宋体" w:cs="Times New Roman"/>
                <w:b/>
                <w:bCs w:val="0"/>
                <w:sz w:val="21"/>
                <w:szCs w:val="21"/>
                <w:lang w:val="en-US" w:eastAsia="zh-CN"/>
              </w:rPr>
            </w:pPr>
            <w:r>
              <w:rPr>
                <w:rFonts w:hint="eastAsia" w:ascii="宋体" w:hAnsi="宋体" w:cs="Times New Roman"/>
                <w:b/>
                <w:bCs w:val="0"/>
                <w:sz w:val="21"/>
                <w:szCs w:val="21"/>
                <w:lang w:val="en-US" w:eastAsia="zh-CN"/>
              </w:rPr>
              <w:t>4</w:t>
            </w:r>
          </w:p>
        </w:tc>
        <w:tc>
          <w:tcPr>
            <w:tcW w:w="1457" w:type="dxa"/>
            <w:noWrap w:val="0"/>
            <w:vAlign w:val="center"/>
          </w:tcPr>
          <w:p w14:paraId="185A8639">
            <w:pPr>
              <w:spacing w:line="360" w:lineRule="exact"/>
              <w:jc w:val="center"/>
              <w:rPr>
                <w:rStyle w:val="20"/>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验收条件</w:t>
            </w:r>
          </w:p>
        </w:tc>
        <w:tc>
          <w:tcPr>
            <w:tcW w:w="6523" w:type="dxa"/>
            <w:noWrap w:val="0"/>
            <w:vAlign w:val="center"/>
          </w:tcPr>
          <w:p w14:paraId="29FEF2EB">
            <w:pPr>
              <w:spacing w:line="36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由采购单位组织验收小组进行验收</w:t>
            </w:r>
            <w:r>
              <w:rPr>
                <w:rFonts w:hint="eastAsia" w:ascii="宋体" w:hAnsi="宋体" w:cs="宋体"/>
                <w:color w:val="000000"/>
                <w:sz w:val="21"/>
                <w:szCs w:val="21"/>
                <w:lang w:val="en-US" w:eastAsia="zh-CN"/>
              </w:rPr>
              <w:t>，验收资料按采购人标准表格编制。上报验收报告时，除了表格中写明的材料外，还需要提交验收记录表、产品三证（产品合格证、供货凭证（含生产厂家或代理商证明）、产品检测证明（含第三方有资质检测机构出具的有效检测报告）、合同及附件；</w:t>
            </w:r>
          </w:p>
        </w:tc>
      </w:tr>
      <w:tr w14:paraId="03AE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84D9360">
            <w:pPr>
              <w:spacing w:line="360" w:lineRule="exact"/>
              <w:jc w:val="center"/>
              <w:rPr>
                <w:rFonts w:hint="default" w:ascii="宋体" w:hAnsi="宋体" w:eastAsia="宋体" w:cs="Times New Roman"/>
                <w:b/>
                <w:bCs w:val="0"/>
                <w:sz w:val="21"/>
                <w:szCs w:val="21"/>
                <w:lang w:val="en-US" w:eastAsia="zh-CN"/>
              </w:rPr>
            </w:pPr>
            <w:r>
              <w:rPr>
                <w:rFonts w:hint="eastAsia" w:ascii="宋体" w:hAnsi="宋体" w:cs="Times New Roman"/>
                <w:b/>
                <w:bCs w:val="0"/>
                <w:sz w:val="21"/>
                <w:szCs w:val="21"/>
                <w:lang w:val="en-US" w:eastAsia="zh-CN"/>
              </w:rPr>
              <w:t>5</w:t>
            </w:r>
          </w:p>
        </w:tc>
        <w:tc>
          <w:tcPr>
            <w:tcW w:w="1457" w:type="dxa"/>
            <w:noWrap w:val="0"/>
            <w:vAlign w:val="center"/>
          </w:tcPr>
          <w:p w14:paraId="4EB5B6C4">
            <w:pPr>
              <w:spacing w:line="360" w:lineRule="exact"/>
              <w:jc w:val="center"/>
              <w:rPr>
                <w:rStyle w:val="20"/>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争议解决方法</w:t>
            </w:r>
          </w:p>
        </w:tc>
        <w:tc>
          <w:tcPr>
            <w:tcW w:w="6523" w:type="dxa"/>
            <w:noWrap w:val="0"/>
            <w:vAlign w:val="center"/>
          </w:tcPr>
          <w:p w14:paraId="59AFF9D9">
            <w:pPr>
              <w:spacing w:line="360" w:lineRule="exac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优先双方协商解决。</w:t>
            </w:r>
          </w:p>
        </w:tc>
      </w:tr>
      <w:tr w14:paraId="680D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0" w:type="dxa"/>
            <w:vMerge w:val="restart"/>
            <w:noWrap w:val="0"/>
            <w:vAlign w:val="center"/>
          </w:tcPr>
          <w:p w14:paraId="2D4D1E94">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6</w:t>
            </w:r>
          </w:p>
        </w:tc>
        <w:tc>
          <w:tcPr>
            <w:tcW w:w="1457" w:type="dxa"/>
            <w:vMerge w:val="restart"/>
            <w:noWrap w:val="0"/>
            <w:vAlign w:val="center"/>
          </w:tcPr>
          <w:p w14:paraId="7A4FB6F6">
            <w:pPr>
              <w:spacing w:line="360" w:lineRule="exact"/>
              <w:jc w:val="center"/>
              <w:rPr>
                <w:rFonts w:ascii="宋体" w:hAnsi="宋体" w:eastAsia="宋体" w:cs="Times New Roman"/>
                <w:color w:val="000000"/>
                <w:sz w:val="21"/>
                <w:szCs w:val="21"/>
              </w:rPr>
            </w:pPr>
            <w:r>
              <w:rPr>
                <w:rStyle w:val="20"/>
                <w:rFonts w:hint="eastAsia" w:ascii="宋体" w:hAnsi="宋体" w:eastAsia="宋体" w:cs="宋体"/>
                <w:color w:val="000000"/>
                <w:sz w:val="21"/>
                <w:szCs w:val="21"/>
              </w:rPr>
              <w:t>运输、安装条件</w:t>
            </w:r>
          </w:p>
        </w:tc>
        <w:tc>
          <w:tcPr>
            <w:tcW w:w="6523" w:type="dxa"/>
            <w:noWrap w:val="0"/>
            <w:vAlign w:val="center"/>
          </w:tcPr>
          <w:p w14:paraId="32C8EB6D">
            <w:pPr>
              <w:spacing w:line="360" w:lineRule="exact"/>
              <w:rPr>
                <w:rFonts w:ascii="宋体" w:hAnsi="宋体" w:eastAsia="宋体" w:cs="Times New Roman"/>
                <w:bCs/>
                <w:color w:val="000000"/>
                <w:sz w:val="21"/>
                <w:szCs w:val="21"/>
              </w:rPr>
            </w:pPr>
            <w:r>
              <w:rPr>
                <w:rFonts w:hint="eastAsia" w:ascii="宋体" w:hAnsi="宋体" w:eastAsia="宋体" w:cs="宋体"/>
                <w:color w:val="000000"/>
                <w:sz w:val="21"/>
                <w:szCs w:val="21"/>
              </w:rPr>
              <w:t>投标供应商须在签订合同之日起 3天内向采购人提供设备的运行、安装、使用环境要求。</w:t>
            </w:r>
          </w:p>
        </w:tc>
      </w:tr>
      <w:tr w14:paraId="77B5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4858E1C">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7</w:t>
            </w:r>
          </w:p>
        </w:tc>
        <w:tc>
          <w:tcPr>
            <w:tcW w:w="1457" w:type="dxa"/>
            <w:vMerge w:val="restart"/>
            <w:noWrap w:val="0"/>
            <w:vAlign w:val="center"/>
          </w:tcPr>
          <w:p w14:paraId="49D15F32">
            <w:pPr>
              <w:spacing w:line="360" w:lineRule="exact"/>
              <w:jc w:val="center"/>
              <w:rPr>
                <w:rFonts w:ascii="宋体" w:hAnsi="宋体" w:eastAsia="宋体" w:cs="Times New Roman"/>
                <w:b/>
                <w:sz w:val="21"/>
                <w:szCs w:val="21"/>
              </w:rPr>
            </w:pPr>
            <w:r>
              <w:rPr>
                <w:rFonts w:ascii="宋体" w:hAnsi="宋体" w:eastAsia="宋体" w:cs="Times New Roman"/>
                <w:b/>
                <w:sz w:val="21"/>
                <w:szCs w:val="21"/>
              </w:rPr>
              <w:t>培训</w:t>
            </w:r>
          </w:p>
        </w:tc>
        <w:tc>
          <w:tcPr>
            <w:tcW w:w="6523" w:type="dxa"/>
            <w:noWrap w:val="0"/>
          </w:tcPr>
          <w:p w14:paraId="62FBA6F6">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.1投标供应商应派专业技术人员免费对采购单位指定人员进行定期培训及指导，直至其完全掌握设备的基本故障处理技术。</w:t>
            </w:r>
          </w:p>
        </w:tc>
      </w:tr>
      <w:tr w14:paraId="31E3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1E72D74">
            <w:pPr>
              <w:spacing w:line="360" w:lineRule="exact"/>
              <w:jc w:val="center"/>
              <w:rPr>
                <w:rFonts w:ascii="宋体" w:hAnsi="宋体" w:eastAsia="宋体" w:cs="Times New Roman"/>
                <w:b/>
                <w:sz w:val="21"/>
                <w:szCs w:val="21"/>
              </w:rPr>
            </w:pPr>
          </w:p>
        </w:tc>
        <w:tc>
          <w:tcPr>
            <w:tcW w:w="1457" w:type="dxa"/>
            <w:vMerge w:val="continue"/>
            <w:noWrap w:val="0"/>
            <w:vAlign w:val="center"/>
          </w:tcPr>
          <w:p w14:paraId="5F6621D7">
            <w:pPr>
              <w:spacing w:line="360" w:lineRule="exact"/>
              <w:rPr>
                <w:rFonts w:ascii="宋体" w:hAnsi="宋体" w:eastAsia="宋体" w:cs="Times New Roman"/>
                <w:b/>
                <w:sz w:val="21"/>
                <w:szCs w:val="21"/>
              </w:rPr>
            </w:pPr>
          </w:p>
        </w:tc>
        <w:tc>
          <w:tcPr>
            <w:tcW w:w="6523" w:type="dxa"/>
            <w:noWrap w:val="0"/>
          </w:tcPr>
          <w:p w14:paraId="70A5B1B6">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.2 现场培训：投标供应商应提供现场技术培训，保证使用人员正常操作设备的各种功能。</w:t>
            </w:r>
          </w:p>
        </w:tc>
      </w:tr>
      <w:tr w14:paraId="16E3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1EEBA39">
            <w:pPr>
              <w:spacing w:line="360" w:lineRule="exact"/>
              <w:jc w:val="center"/>
              <w:rPr>
                <w:rFonts w:hint="eastAsia" w:ascii="宋体" w:hAnsi="宋体" w:eastAsia="宋体" w:cs="Times New Roman"/>
                <w:b/>
                <w:sz w:val="21"/>
                <w:szCs w:val="21"/>
                <w:lang w:eastAsia="zh-CN"/>
              </w:rPr>
            </w:pPr>
            <w:r>
              <w:rPr>
                <w:rFonts w:hint="eastAsia" w:ascii="宋体" w:hAnsi="宋体" w:cs="Times New Roman"/>
                <w:b/>
                <w:sz w:val="21"/>
                <w:szCs w:val="21"/>
                <w:lang w:val="en-US" w:eastAsia="zh-CN"/>
              </w:rPr>
              <w:t>8</w:t>
            </w:r>
          </w:p>
        </w:tc>
        <w:tc>
          <w:tcPr>
            <w:tcW w:w="1457" w:type="dxa"/>
            <w:vMerge w:val="restart"/>
            <w:noWrap w:val="0"/>
            <w:vAlign w:val="center"/>
          </w:tcPr>
          <w:p w14:paraId="3E8CD24C">
            <w:pPr>
              <w:spacing w:line="360" w:lineRule="exact"/>
              <w:jc w:val="center"/>
              <w:rPr>
                <w:rFonts w:ascii="宋体" w:hAnsi="宋体" w:eastAsia="宋体" w:cs="Times New Roman"/>
                <w:b/>
                <w:sz w:val="21"/>
                <w:szCs w:val="21"/>
              </w:rPr>
            </w:pPr>
            <w:r>
              <w:rPr>
                <w:rFonts w:ascii="宋体" w:hAnsi="宋体" w:eastAsia="宋体" w:cs="Times New Roman"/>
                <w:b/>
                <w:sz w:val="21"/>
                <w:szCs w:val="21"/>
              </w:rPr>
              <w:t>知识产权</w:t>
            </w:r>
          </w:p>
        </w:tc>
        <w:tc>
          <w:tcPr>
            <w:tcW w:w="6523" w:type="dxa"/>
            <w:noWrap w:val="0"/>
          </w:tcPr>
          <w:p w14:paraId="30ED5446">
            <w:pPr>
              <w:rPr>
                <w:rFonts w:ascii="Times New Roman" w:hAnsi="Times New Roman" w:eastAsia="宋体" w:cs="Times New Roman"/>
                <w:sz w:val="21"/>
                <w:szCs w:val="21"/>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.1涉及采购标的的知识产权归属、处理的，</w:t>
            </w:r>
            <w:r>
              <w:rPr>
                <w:rFonts w:hint="eastAsia" w:ascii="宋体" w:hAnsi="宋体" w:eastAsia="宋体" w:cs="宋体"/>
                <w:color w:val="000000"/>
                <w:sz w:val="21"/>
                <w:szCs w:val="21"/>
                <w:lang w:val="en-US" w:eastAsia="zh-CN"/>
              </w:rPr>
              <w:t>应</w:t>
            </w:r>
            <w:r>
              <w:rPr>
                <w:rFonts w:hint="eastAsia" w:ascii="宋体" w:hAnsi="宋体" w:eastAsia="宋体" w:cs="宋体"/>
                <w:color w:val="000000"/>
                <w:sz w:val="21"/>
                <w:szCs w:val="21"/>
              </w:rPr>
              <w:t>约定知识产权的归属和处理方式。</w:t>
            </w:r>
          </w:p>
        </w:tc>
      </w:tr>
      <w:tr w14:paraId="1668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F174CA1">
            <w:pPr>
              <w:spacing w:line="360" w:lineRule="exact"/>
              <w:jc w:val="center"/>
              <w:rPr>
                <w:rFonts w:ascii="宋体" w:hAnsi="宋体" w:eastAsia="宋体" w:cs="Times New Roman"/>
                <w:b/>
                <w:sz w:val="21"/>
                <w:szCs w:val="21"/>
              </w:rPr>
            </w:pPr>
          </w:p>
        </w:tc>
        <w:tc>
          <w:tcPr>
            <w:tcW w:w="1457" w:type="dxa"/>
            <w:vMerge w:val="continue"/>
            <w:noWrap w:val="0"/>
            <w:vAlign w:val="center"/>
          </w:tcPr>
          <w:p w14:paraId="5F1399CD">
            <w:pPr>
              <w:spacing w:line="360" w:lineRule="exact"/>
              <w:rPr>
                <w:rFonts w:ascii="宋体" w:hAnsi="宋体" w:eastAsia="宋体" w:cs="Times New Roman"/>
                <w:b/>
                <w:sz w:val="21"/>
                <w:szCs w:val="21"/>
              </w:rPr>
            </w:pPr>
          </w:p>
        </w:tc>
        <w:tc>
          <w:tcPr>
            <w:tcW w:w="6523" w:type="dxa"/>
            <w:noWrap w:val="0"/>
          </w:tcPr>
          <w:p w14:paraId="6D8E0678">
            <w:pPr>
              <w:widowControl/>
              <w:jc w:val="left"/>
              <w:rPr>
                <w:rFonts w:ascii="宋体" w:hAnsi="宋体" w:eastAsia="宋体" w:cs="宋体"/>
                <w:color w:val="000000"/>
                <w:sz w:val="21"/>
                <w:szCs w:val="21"/>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rPr>
              <w:t>.2采购人购买产品后，有权对该产品与其他设备进行配套、整合或适当改进，而免受侵犯专利权的起诉。</w:t>
            </w:r>
          </w:p>
        </w:tc>
      </w:tr>
      <w:tr w14:paraId="65FC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6829C1F2">
            <w:pPr>
              <w:spacing w:line="360" w:lineRule="exact"/>
              <w:jc w:val="center"/>
              <w:rPr>
                <w:rFonts w:hint="default" w:ascii="宋体" w:hAnsi="宋体" w:eastAsia="宋体" w:cs="Times New Roman"/>
                <w:b/>
                <w:sz w:val="21"/>
                <w:szCs w:val="21"/>
                <w:lang w:val="en-US" w:eastAsia="zh-CN"/>
              </w:rPr>
            </w:pPr>
            <w:r>
              <w:rPr>
                <w:rFonts w:hint="eastAsia" w:cs="Times New Roman"/>
                <w:b/>
                <w:sz w:val="21"/>
                <w:szCs w:val="21"/>
                <w:lang w:val="en-US" w:eastAsia="zh-CN"/>
              </w:rPr>
              <w:t>9</w:t>
            </w:r>
          </w:p>
        </w:tc>
        <w:tc>
          <w:tcPr>
            <w:tcW w:w="1457" w:type="dxa"/>
            <w:noWrap w:val="0"/>
            <w:vAlign w:val="center"/>
          </w:tcPr>
          <w:p w14:paraId="452586EE">
            <w:pPr>
              <w:spacing w:line="360" w:lineRule="exact"/>
              <w:jc w:val="center"/>
              <w:rPr>
                <w:rFonts w:ascii="宋体" w:hAnsi="宋体" w:eastAsia="宋体" w:cs="Times New Roman"/>
                <w:b/>
                <w:sz w:val="21"/>
                <w:szCs w:val="21"/>
              </w:rPr>
            </w:pPr>
            <w:r>
              <w:rPr>
                <w:rFonts w:ascii="宋体" w:hAnsi="宋体" w:eastAsia="宋体" w:cs="Times New Roman"/>
                <w:b/>
                <w:color w:val="0000FF"/>
                <w:sz w:val="21"/>
                <w:szCs w:val="21"/>
              </w:rPr>
              <w:t>其他</w:t>
            </w:r>
          </w:p>
        </w:tc>
        <w:tc>
          <w:tcPr>
            <w:tcW w:w="6523" w:type="dxa"/>
            <w:noWrap w:val="0"/>
          </w:tcPr>
          <w:p w14:paraId="1B8BDA1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投标供应商应按其投标文件中的承诺，进行其他售后服务工作。</w:t>
            </w:r>
          </w:p>
        </w:tc>
      </w:tr>
      <w:bookmarkEnd w:id="41"/>
    </w:tbl>
    <w:p w14:paraId="71DC1945">
      <w:pPr>
        <w:rPr>
          <w:b/>
        </w:rPr>
      </w:pPr>
    </w:p>
    <w:p w14:paraId="548A5519">
      <w:pPr>
        <w:rPr>
          <w:rFonts w:hint="eastAsia"/>
          <w:sz w:val="28"/>
          <w:szCs w:val="28"/>
          <w:lang w:val="en-US" w:eastAsia="zh-CN"/>
        </w:rPr>
      </w:pPr>
      <w:r>
        <w:rPr>
          <w:rFonts w:hint="eastAsia"/>
          <w:sz w:val="28"/>
          <w:szCs w:val="28"/>
          <w:lang w:val="en-US" w:eastAsia="zh-CN"/>
        </w:rPr>
        <w:br w:type="page"/>
      </w: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8"/>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1FE8B5C1">
      <w:pPr>
        <w:rPr>
          <w:rFonts w:ascii="宋体" w:hAnsi="宋体" w:cs="宋体"/>
          <w:kern w:val="0"/>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w:t>
      </w:r>
    </w:p>
    <w:p w14:paraId="769BFBBA">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bookmarkEnd w:id="42"/>
    </w:p>
    <w:p w14:paraId="332479B8">
      <w:pPr>
        <w:rPr>
          <w:rFonts w:ascii="宋体" w:hAnsi="宋体"/>
          <w:sz w:val="24"/>
        </w:rPr>
      </w:pPr>
      <w:bookmarkStart w:id="43" w:name="_Hlk72257771"/>
      <w:bookmarkStart w:id="44"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14:paraId="0541CD54">
      <w:pPr>
        <w:ind w:left="718" w:leftChars="342" w:firstLine="1417" w:firstLineChars="675"/>
        <w:rPr>
          <w:rFonts w:hint="eastAsia" w:eastAsiaTheme="minorEastAsia"/>
          <w:szCs w:val="21"/>
          <w:lang w:eastAsia="zh-CN"/>
        </w:rPr>
      </w:pPr>
      <w:r>
        <w:rPr>
          <w:rFonts w:hint="eastAsia"/>
          <w:szCs w:val="21"/>
        </w:rPr>
        <w:t>（</w:t>
      </w:r>
      <w:r>
        <w:rPr>
          <w:rFonts w:hint="eastAsia"/>
          <w:szCs w:val="21"/>
          <w:lang w:val="en-US" w:eastAsia="zh-CN"/>
        </w:rPr>
        <w:t>5</w:t>
      </w:r>
      <w:r>
        <w:rPr>
          <w:rFonts w:hint="eastAsia"/>
          <w:szCs w:val="21"/>
        </w:rPr>
        <w:t>）体系认证情况评价</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kern w:val="0"/>
          <w:sz w:val="21"/>
          <w:szCs w:val="21"/>
          <w:lang w:bidi="ar"/>
        </w:rPr>
        <w:t>经验评价</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14:paraId="596B777A">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14:paraId="2B74F05A">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）项目组织实施方案的评价；</w:t>
      </w:r>
    </w:p>
    <w:p w14:paraId="64C0A16B">
      <w:pPr>
        <w:ind w:left="718" w:leftChars="342" w:firstLine="1417" w:firstLineChars="675"/>
        <w:rPr>
          <w:rFonts w:hint="eastAsia" w:ascii="宋体" w:hAnsi="宋体" w:eastAsia="宋体" w:cs="宋体"/>
          <w:kern w:val="0"/>
          <w:sz w:val="21"/>
          <w:szCs w:val="21"/>
          <w:lang w:eastAsia="zh-CN" w:bidi="ar"/>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宋体" w:hAnsi="宋体" w:eastAsia="宋体" w:cs="宋体"/>
          <w:kern w:val="0"/>
          <w:sz w:val="21"/>
          <w:szCs w:val="21"/>
          <w:lang w:bidi="ar"/>
        </w:rPr>
        <w:t>售后服务评价</w:t>
      </w:r>
      <w:r>
        <w:rPr>
          <w:rFonts w:hint="eastAsia" w:ascii="宋体" w:hAnsi="宋体" w:eastAsia="宋体" w:cs="宋体"/>
          <w:kern w:val="0"/>
          <w:sz w:val="21"/>
          <w:szCs w:val="21"/>
          <w:lang w:eastAsia="zh-CN" w:bidi="ar"/>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宋体" w:hAnsi="宋体" w:eastAsia="宋体" w:cs="宋体"/>
          <w:snapToGrid w:val="0"/>
          <w:kern w:val="0"/>
          <w:sz w:val="21"/>
          <w:szCs w:val="21"/>
        </w:rPr>
        <w:t>实施及维护能力评价</w:t>
      </w:r>
      <w:r>
        <w:rPr>
          <w:rFonts w:hint="eastAsia" w:ascii="宋体" w:hAnsi="宋体" w:eastAsia="宋体" w:cs="宋体"/>
          <w:snapToGrid w:val="0"/>
          <w:kern w:val="0"/>
          <w:sz w:val="21"/>
          <w:szCs w:val="21"/>
          <w:lang w:eastAsia="zh-CN"/>
        </w:rPr>
        <w:t>；</w:t>
      </w:r>
    </w:p>
    <w:p w14:paraId="736A9B1F">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14:paraId="3501590C">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8" w:name="_Hlk73818812"/>
      <w:r>
        <w:rPr>
          <w:rFonts w:hint="eastAsia"/>
          <w:szCs w:val="21"/>
        </w:rPr>
        <w:t>1、根据已收到贵单位的项目编号为</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 w:val="21"/>
          <w:szCs w:val="21"/>
          <w:u w:val="thick"/>
        </w:rPr>
        <w:t>xxx（项目名称）xxx</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7"/>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5"/>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8"/>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8"/>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8"/>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67A220D4">
      <w:pPr>
        <w:widowControl/>
        <w:jc w:val="left"/>
        <w:outlineLvl w:val="9"/>
        <w:rPr>
          <w:rFonts w:hint="eastAsia" w:ascii="宋体" w:hAnsi="宋体" w:eastAsia="宋体" w:cs="Times New Roman"/>
          <w:b/>
          <w:bCs/>
          <w:kern w:val="0"/>
          <w:sz w:val="24"/>
          <w:szCs w:val="20"/>
          <w:lang w:val="en-US" w:eastAsia="zh-CN"/>
        </w:rPr>
      </w:pPr>
      <w:r>
        <w:rPr>
          <w:rFonts w:hint="eastAsia" w:ascii="宋体" w:hAnsi="宋体"/>
          <w:sz w:val="21"/>
          <w:szCs w:val="21"/>
        </w:rPr>
        <w:t>附：省级以上监狱管理局、戒毒管理局（含新疆生产建设兵团）出具的监狱企业证明文件。</w:t>
      </w:r>
      <w:bookmarkEnd w:id="55"/>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A602B57">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4"/>
        <w:gridCol w:w="1139"/>
        <w:gridCol w:w="1025"/>
        <w:gridCol w:w="587"/>
        <w:gridCol w:w="669"/>
        <w:gridCol w:w="681"/>
        <w:gridCol w:w="750"/>
        <w:gridCol w:w="507"/>
        <w:gridCol w:w="525"/>
        <w:gridCol w:w="809"/>
        <w:gridCol w:w="571"/>
        <w:gridCol w:w="563"/>
        <w:gridCol w:w="86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283" w:type="dxa"/>
            <w:gridSpan w:val="2"/>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025"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87"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69"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81"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50"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07"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525"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809" w:type="dxa"/>
            <w:vAlign w:val="center"/>
          </w:tcPr>
          <w:p w14:paraId="6E4700E9">
            <w:pPr>
              <w:jc w:val="center"/>
              <w:rPr>
                <w:rFonts w:hint="eastAsia"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color w:val="FF0000"/>
                <w:szCs w:val="21"/>
              </w:rPr>
              <w:t>★单价限价</w:t>
            </w:r>
          </w:p>
          <w:p w14:paraId="1930A5E6">
            <w:pPr>
              <w:jc w:val="center"/>
              <w:rPr>
                <w:rFonts w:hint="eastAsia" w:ascii="Times New Roman" w:hAnsi="Times New Roman" w:eastAsia="宋体" w:cs="Times New Roman"/>
                <w:szCs w:val="21"/>
              </w:rPr>
            </w:pPr>
            <w:r>
              <w:rPr>
                <w:rFonts w:hint="eastAsia" w:asciiTheme="minorEastAsia" w:hAnsiTheme="minorEastAsia" w:eastAsiaTheme="minorEastAsia" w:cstheme="minorEastAsia"/>
                <w:bCs/>
                <w:color w:val="FF0000"/>
                <w:szCs w:val="21"/>
              </w:rPr>
              <w:t>（元</w:t>
            </w:r>
            <w:r>
              <w:rPr>
                <w:rFonts w:hint="eastAsia" w:asciiTheme="minorEastAsia" w:hAnsiTheme="minorEastAsia" w:cstheme="minorEastAsia"/>
                <w:bCs/>
                <w:color w:val="FF0000"/>
                <w:szCs w:val="21"/>
              </w:rPr>
              <w:t>）</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6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25F3627">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283" w:type="dxa"/>
            <w:gridSpan w:val="2"/>
            <w:vAlign w:val="center"/>
          </w:tcPr>
          <w:p w14:paraId="6C608AC2">
            <w:pPr>
              <w:jc w:val="center"/>
              <w:rPr>
                <w:rFonts w:ascii="Times New Roman" w:hAnsi="Times New Roman" w:eastAsia="宋体" w:cs="Times New Roman"/>
                <w:bCs/>
                <w:szCs w:val="21"/>
              </w:rPr>
            </w:pPr>
            <w:r>
              <w:rPr>
                <w:rFonts w:hint="eastAsia" w:eastAsiaTheme="minorEastAsia"/>
                <w:bCs/>
                <w:color w:val="FF0000"/>
                <w:szCs w:val="21"/>
                <w:lang w:eastAsia="zh-CN"/>
              </w:rPr>
              <w:t>BAJYJ2025092507687A</w:t>
            </w:r>
          </w:p>
        </w:tc>
        <w:tc>
          <w:tcPr>
            <w:tcW w:w="1025" w:type="dxa"/>
            <w:vAlign w:val="center"/>
          </w:tcPr>
          <w:p w14:paraId="4E08350D">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触控一体机</w:t>
            </w:r>
          </w:p>
        </w:tc>
        <w:tc>
          <w:tcPr>
            <w:tcW w:w="587" w:type="dxa"/>
            <w:vAlign w:val="center"/>
          </w:tcPr>
          <w:p w14:paraId="13695C0C">
            <w:pPr>
              <w:jc w:val="center"/>
              <w:rPr>
                <w:rFonts w:hint="eastAsia" w:ascii="Times New Roman" w:hAnsi="Times New Roman" w:eastAsia="宋体" w:cs="Times New Roman"/>
                <w:bCs/>
                <w:szCs w:val="21"/>
              </w:rPr>
            </w:pPr>
          </w:p>
        </w:tc>
        <w:tc>
          <w:tcPr>
            <w:tcW w:w="669" w:type="dxa"/>
            <w:vAlign w:val="center"/>
          </w:tcPr>
          <w:p w14:paraId="2887837E">
            <w:pPr>
              <w:jc w:val="center"/>
              <w:rPr>
                <w:rFonts w:ascii="Times New Roman" w:hAnsi="Times New Roman" w:eastAsia="宋体" w:cs="Times New Roman"/>
                <w:bCs/>
                <w:szCs w:val="21"/>
              </w:rPr>
            </w:pPr>
          </w:p>
        </w:tc>
        <w:tc>
          <w:tcPr>
            <w:tcW w:w="681" w:type="dxa"/>
            <w:vAlign w:val="center"/>
          </w:tcPr>
          <w:p w14:paraId="4C754A60">
            <w:pPr>
              <w:jc w:val="center"/>
              <w:rPr>
                <w:rFonts w:ascii="Times New Roman" w:hAnsi="Times New Roman" w:eastAsia="宋体" w:cs="Times New Roman"/>
                <w:bCs/>
                <w:szCs w:val="21"/>
              </w:rPr>
            </w:pPr>
          </w:p>
        </w:tc>
        <w:tc>
          <w:tcPr>
            <w:tcW w:w="750" w:type="dxa"/>
            <w:vAlign w:val="center"/>
          </w:tcPr>
          <w:p w14:paraId="528122F9">
            <w:pPr>
              <w:jc w:val="center"/>
              <w:rPr>
                <w:rFonts w:ascii="Times New Roman" w:hAnsi="Times New Roman" w:eastAsia="宋体" w:cs="Times New Roman"/>
                <w:bCs/>
                <w:szCs w:val="21"/>
              </w:rPr>
            </w:pPr>
          </w:p>
        </w:tc>
        <w:tc>
          <w:tcPr>
            <w:tcW w:w="507" w:type="dxa"/>
            <w:vAlign w:val="center"/>
          </w:tcPr>
          <w:p w14:paraId="1BF527C3">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cs="宋体"/>
                <w:i w:val="0"/>
                <w:iCs w:val="0"/>
                <w:color w:val="000000"/>
                <w:sz w:val="21"/>
                <w:szCs w:val="21"/>
                <w:u w:val="none"/>
                <w:lang w:val="en-US" w:eastAsia="zh-CN"/>
              </w:rPr>
              <w:t>6</w:t>
            </w:r>
          </w:p>
        </w:tc>
        <w:tc>
          <w:tcPr>
            <w:tcW w:w="525" w:type="dxa"/>
            <w:vAlign w:val="center"/>
          </w:tcPr>
          <w:p w14:paraId="2DCE25C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套</w:t>
            </w:r>
          </w:p>
        </w:tc>
        <w:tc>
          <w:tcPr>
            <w:tcW w:w="809" w:type="dxa"/>
            <w:vAlign w:val="center"/>
          </w:tcPr>
          <w:p w14:paraId="2D602E22">
            <w:pPr>
              <w:jc w:val="center"/>
              <w:rPr>
                <w:rFonts w:ascii="Times New Roman" w:hAnsi="Times New Roman" w:eastAsia="宋体" w:cs="Times New Roman"/>
                <w:bCs/>
                <w:szCs w:val="21"/>
              </w:rPr>
            </w:pPr>
            <w:r>
              <w:rPr>
                <w:rFonts w:hint="eastAsia"/>
                <w:b/>
                <w:bCs/>
                <w:color w:val="FF0000"/>
                <w:sz w:val="21"/>
                <w:szCs w:val="21"/>
                <w:lang w:val="en-US" w:eastAsia="zh-CN"/>
              </w:rPr>
              <w:t>28000</w:t>
            </w:r>
          </w:p>
        </w:tc>
        <w:tc>
          <w:tcPr>
            <w:tcW w:w="571" w:type="dxa"/>
            <w:vAlign w:val="center"/>
          </w:tcPr>
          <w:p w14:paraId="30B60483">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863" w:type="dxa"/>
            <w:vAlign w:val="center"/>
          </w:tcPr>
          <w:p w14:paraId="2A47B96D">
            <w:pPr>
              <w:jc w:val="center"/>
              <w:rPr>
                <w:rFonts w:ascii="Times New Roman" w:hAnsi="Times New Roman" w:eastAsia="宋体" w:cs="Times New Roman"/>
                <w:b/>
                <w:bCs/>
                <w:szCs w:val="21"/>
              </w:rPr>
            </w:pPr>
            <w:r>
              <w:rPr>
                <w:rFonts w:hint="eastAsia"/>
                <w:bCs/>
                <w:color w:val="FF0000"/>
                <w:szCs w:val="21"/>
                <w:lang w:val="en-US" w:eastAsia="zh-CN"/>
              </w:rPr>
              <w:t>168</w:t>
            </w:r>
            <w:r>
              <w:rPr>
                <w:rFonts w:hint="eastAsia"/>
                <w:bCs/>
                <w:color w:val="FF0000"/>
                <w:szCs w:val="21"/>
              </w:rPr>
              <w:t>,000.00</w:t>
            </w: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dxa"/>
            <w:gridSpan w:val="2"/>
            <w:vAlign w:val="center"/>
          </w:tcPr>
          <w:p w14:paraId="16866151">
            <w:pPr>
              <w:jc w:val="left"/>
              <w:rPr>
                <w:rFonts w:hint="eastAsia" w:ascii="Times New Roman" w:hAnsi="Times New Roman" w:eastAsia="宋体" w:cs="Times New Roman"/>
                <w:bCs/>
                <w:szCs w:val="21"/>
              </w:rPr>
            </w:pPr>
          </w:p>
        </w:tc>
        <w:tc>
          <w:tcPr>
            <w:tcW w:w="8689"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44250040">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14:paraId="77CC0BCE">
      <w:pPr>
        <w:rPr>
          <w:b/>
          <w:bCs/>
        </w:rPr>
      </w:pPr>
    </w:p>
    <w:p w14:paraId="5A1CB25A">
      <w:pPr>
        <w:pStyle w:val="3"/>
        <w:jc w:val="center"/>
        <w:rPr>
          <w:rFonts w:ascii="黑体" w:eastAsia="黑体"/>
          <w:b w:val="0"/>
          <w:sz w:val="24"/>
          <w:szCs w:val="24"/>
        </w:rPr>
      </w:pPr>
      <w:r>
        <w:rPr>
          <w:rFonts w:hint="eastAsia" w:ascii="黑体" w:eastAsia="黑体"/>
          <w:b w:val="0"/>
          <w:sz w:val="24"/>
          <w:szCs w:val="24"/>
        </w:rPr>
        <w:t>五、体系认证情况评价（格式自定）</w:t>
      </w:r>
    </w:p>
    <w:p w14:paraId="08047FEE">
      <w:pPr>
        <w:pStyle w:val="7"/>
        <w:rPr>
          <w:b w:val="0"/>
          <w:bCs w:val="0"/>
        </w:rPr>
      </w:pPr>
      <w:r>
        <w:rPr>
          <w:rFonts w:hint="eastAsia"/>
          <w:b w:val="0"/>
          <w:bCs w:val="0"/>
        </w:rPr>
        <w:t>（特别提示：投标人须按本招标文件评标信息中这一评审因素要求，提供证明资料）</w:t>
      </w:r>
    </w:p>
    <w:p w14:paraId="3CCC92E5">
      <w:pPr>
        <w:pStyle w:val="3"/>
        <w:jc w:val="center"/>
        <w:rPr>
          <w:rFonts w:ascii="黑体" w:eastAsia="黑体"/>
          <w:b w:val="0"/>
          <w:sz w:val="24"/>
          <w:szCs w:val="24"/>
        </w:rPr>
      </w:pPr>
      <w:r>
        <w:rPr>
          <w:rFonts w:hint="eastAsia" w:ascii="黑体" w:eastAsia="黑体"/>
          <w:b w:val="0"/>
          <w:sz w:val="24"/>
          <w:szCs w:val="24"/>
        </w:rPr>
        <w:t>六、经验评价（格式自定）</w:t>
      </w:r>
    </w:p>
    <w:p w14:paraId="17B0FA09">
      <w:pPr>
        <w:pStyle w:val="7"/>
        <w:rPr>
          <w:b w:val="0"/>
          <w:bCs w:val="0"/>
        </w:rPr>
      </w:pPr>
      <w:r>
        <w:rPr>
          <w:rFonts w:hint="eastAsia"/>
          <w:b w:val="0"/>
          <w:bCs w:val="0"/>
        </w:rPr>
        <w:t>（特别提示：投标人须按本招标文件评标信息中这一评审因素要求，提供证明资料）</w:t>
      </w:r>
    </w:p>
    <w:p w14:paraId="5DABFF25">
      <w:pPr>
        <w:pStyle w:val="10"/>
      </w:pPr>
      <w:r>
        <w:rPr>
          <w:rFonts w:hint="eastAsia" w:ascii="宋体" w:hAnsi="宋体"/>
          <w:lang w:val="en-US" w:eastAsia="zh-CN"/>
        </w:rPr>
        <w:t>....</w:t>
      </w:r>
    </w:p>
    <w:p w14:paraId="272B8338"/>
    <w:p w14:paraId="3B5899DA">
      <w:pPr>
        <w:ind w:firstLine="723" w:firstLineChars="300"/>
        <w:rPr>
          <w:b/>
          <w:color w:val="FF0000"/>
          <w:sz w:val="24"/>
        </w:rPr>
      </w:pPr>
      <w:r>
        <w:rPr>
          <w:rFonts w:hint="eastAsia"/>
          <w:b/>
          <w:color w:val="FF0000"/>
          <w:sz w:val="24"/>
        </w:rPr>
        <w:t>（信息公开部分的内容到此为止！以下为信息不公开部分。）</w:t>
      </w:r>
    </w:p>
    <w:bookmarkEnd w:id="59"/>
    <w:p w14:paraId="00F0B4CB">
      <w:r>
        <w:br w:type="page"/>
      </w:r>
    </w:p>
    <w:p w14:paraId="55F154C2">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6"/>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6"/>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8"/>
              <w:jc w:val="center"/>
              <w:rPr>
                <w:rFonts w:hint="default"/>
                <w:lang w:val="en-US" w:eastAsia="zh-CN"/>
              </w:rPr>
            </w:pPr>
          </w:p>
          <w:p w14:paraId="0AC45D52">
            <w:pPr>
              <w:pStyle w:val="8"/>
              <w:jc w:val="center"/>
              <w:rPr>
                <w:rFonts w:hint="default"/>
                <w:lang w:val="en-US" w:eastAsia="zh-CN"/>
              </w:rPr>
            </w:pPr>
          </w:p>
          <w:p w14:paraId="054A6F8D">
            <w:pPr>
              <w:pStyle w:val="8"/>
              <w:jc w:val="center"/>
              <w:rPr>
                <w:rFonts w:hint="default"/>
                <w:lang w:val="en-US" w:eastAsia="zh-CN"/>
              </w:rPr>
            </w:pPr>
          </w:p>
          <w:p w14:paraId="669058A6">
            <w:pPr>
              <w:pStyle w:val="8"/>
              <w:jc w:val="center"/>
              <w:rPr>
                <w:rFonts w:hint="default"/>
                <w:lang w:val="en-US" w:eastAsia="zh-CN"/>
              </w:rPr>
            </w:pPr>
          </w:p>
          <w:p w14:paraId="2AE9B887">
            <w:pPr>
              <w:pStyle w:val="8"/>
              <w:jc w:val="center"/>
              <w:rPr>
                <w:rFonts w:hint="default"/>
                <w:lang w:val="en-US" w:eastAsia="zh-CN"/>
              </w:rPr>
            </w:pPr>
          </w:p>
          <w:p w14:paraId="3CA4CF04">
            <w:pPr>
              <w:pStyle w:val="8"/>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8"/>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2"/>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8"/>
              <w:jc w:val="center"/>
              <w:rPr>
                <w:rFonts w:hint="default"/>
                <w:lang w:val="en-US" w:eastAsia="zh-CN"/>
              </w:rPr>
            </w:pPr>
          </w:p>
          <w:p w14:paraId="2E1CBD99">
            <w:pPr>
              <w:pStyle w:val="8"/>
              <w:jc w:val="center"/>
              <w:rPr>
                <w:rFonts w:hint="default"/>
                <w:lang w:val="en-US" w:eastAsia="zh-CN"/>
              </w:rPr>
            </w:pPr>
          </w:p>
          <w:p w14:paraId="77724F5B">
            <w:pPr>
              <w:pStyle w:val="8"/>
              <w:jc w:val="center"/>
              <w:rPr>
                <w:rFonts w:hint="default"/>
                <w:lang w:val="en-US" w:eastAsia="zh-CN"/>
              </w:rPr>
            </w:pPr>
          </w:p>
          <w:p w14:paraId="79E84714">
            <w:pPr>
              <w:pStyle w:val="8"/>
              <w:jc w:val="center"/>
              <w:rPr>
                <w:rFonts w:hint="default"/>
                <w:lang w:val="en-US" w:eastAsia="zh-CN"/>
              </w:rPr>
            </w:pPr>
          </w:p>
          <w:p w14:paraId="74E2C056">
            <w:pPr>
              <w:pStyle w:val="8"/>
              <w:jc w:val="center"/>
              <w:rPr>
                <w:rFonts w:hint="default"/>
                <w:lang w:val="en-US" w:eastAsia="zh-CN"/>
              </w:rPr>
            </w:pPr>
          </w:p>
          <w:p w14:paraId="479B8A42">
            <w:pPr>
              <w:pStyle w:val="8"/>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8"/>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4"/>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850"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9"/>
        <w:gridCol w:w="906"/>
        <w:gridCol w:w="4735"/>
        <w:gridCol w:w="1213"/>
        <w:gridCol w:w="743"/>
        <w:gridCol w:w="694"/>
      </w:tblGrid>
      <w:tr w14:paraId="1A3EA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CA51">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序号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97B7">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货物名称</w:t>
            </w: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073B">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招标技术要求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418">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投标技术响应</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E304">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偏离情况</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0772">
            <w:pPr>
              <w:jc w:val="center"/>
              <w:rPr>
                <w:rFonts w:hint="eastAsia" w:asciiTheme="minorHAnsi" w:hAnsiTheme="minorHAnsi" w:eastAsiaTheme="minorEastAsia" w:cstheme="minorBidi"/>
                <w:color w:val="000000" w:themeColor="text1"/>
                <w:kern w:val="2"/>
                <w:sz w:val="21"/>
                <w:szCs w:val="21"/>
                <w:lang w:val="en-US" w:eastAsia="zh-CN" w:bidi="ar-SA"/>
              </w:rPr>
            </w:pPr>
            <w:r>
              <w:rPr>
                <w:rFonts w:hint="eastAsia"/>
                <w:sz w:val="24"/>
              </w:rPr>
              <w:t>说明</w:t>
            </w:r>
          </w:p>
        </w:tc>
      </w:tr>
      <w:tr w14:paraId="289A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E9A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3E4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触控一体机</w:t>
            </w: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3BD75CD">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一、整体设计：</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E3F970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41610E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69460C5">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5F123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A9BF4">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46457">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D0276C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2FBB3C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C115C7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E17790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71E3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DFC7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51669">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0588ABD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2.整机屏幕采用</w:t>
            </w:r>
            <w:r>
              <w:rPr>
                <w:rStyle w:val="40"/>
                <w:lang w:val="en-US" w:eastAsia="zh-CN" w:bidi="ar"/>
              </w:rPr>
              <w:t>≥86英寸液晶显示器。采用LED液晶显示屏，显示比例≥16:9，分辨率≥3840×2160。</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91B3EB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AA806F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C73C98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5137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FACA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D0DDD">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EBE9B2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3.整机屏幕边缘采用金属圆角包边防护，整机背板采用金属材质；防潮耐盐雾蚀锈。</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515407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EA8B35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3DC5B8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176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3CB7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86601">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D3F035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4.采用红外触控技术，支持Windows系统中进行40点或以上触控，支持在Android系统中进行40点或以上触控。</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24E822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D0D6EF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54CCB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DF78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EE00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547F9">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B72FB9D">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r>
              <w:rPr>
                <w:rStyle w:val="40"/>
                <w:lang w:val="en-US" w:eastAsia="zh-CN" w:bidi="ar"/>
              </w:rPr>
              <w:t>整机触控书写功能集成预测算法，在书写速度≥50cm/s，支持笔迹距离笔的距离小于20mm。</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7073C1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6FFC06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967DC9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5646A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706E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57FF7">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DBF107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r>
              <w:rPr>
                <w:rStyle w:val="40"/>
                <w:lang w:val="en-US" w:eastAsia="zh-CN" w:bidi="ar"/>
              </w:rPr>
              <w:t>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ED4015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1AD695A">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8A4979F">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603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552C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8EFD">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0995467E">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二、护眼要求：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426A93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A2AECC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0B83BE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15BE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B8ED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36646">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EF3F33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7.整机采用硬件低蓝光背光技术，蓝光占比（有害蓝光415-455nm能量综合）/（整体蓝光400-500能量综合）＜50%，低蓝光保护显示不偏色、不泛黄。</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28F014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E7BFA5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F56BF5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5608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233A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0B831">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2DA6FE4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支持色彩空间可选，包含标准模式和sRGB模式，在sRGB模式下支持做到高色准△E≤1。整机全通道支持纸质护眼模式，支持实现画面纹理的实时调整；支持纸质纹理：牛皮纸、素描纸、宣纸、水彩纸、水纹纸；支持透明度调节；支持色温调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5F1C7C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CE99FC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1ECFE8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71E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7939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6BE0">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C1A5D6D">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w:t>
            </w:r>
            <w:r>
              <w:rPr>
                <w:rStyle w:val="40"/>
                <w:lang w:val="en-US" w:eastAsia="zh-CN" w:bidi="ar"/>
              </w:rPr>
              <w:t>整机背光系统支持DC调光方式，多级亮度调节，支持白颜色背景下最暗亮度≤100nit。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C7A22D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AF2EFAA">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C6780DD">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1B873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7868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9F951">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25A718B">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三、音效与麦克风要求：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007D59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EC7DA86">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80487CA">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04845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D833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41C17">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3C1A80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10.内置摄像头、麦克风无需外接线材连接，无任何可见外接线材及模块化拼接痕迹，未占用整机设备端口。</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B54FE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0BED80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6BD750F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3CEF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DF8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C827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5C9569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11.整机侧边栏内置朗读工具，通过整机麦克风监测教室中学生的朗读情况，并以游戏化界面反馈学生朗读音量大小。</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6E5F1A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2551C49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65A41A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7C2D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B909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4EC6A">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EDBEA8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12.整机内置2.2声道扬声器，位于设备上边框，顶置朝前发声，前朝向10W高音扬声器</w:t>
            </w:r>
            <w:r>
              <w:rPr>
                <w:rStyle w:val="40"/>
                <w:lang w:val="en-US" w:eastAsia="zh-CN" w:bidi="ar"/>
              </w:rPr>
              <w:t>≥2个，上朝向20W中低音扬声器≥2个，额定总功率≥60W。</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79C392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EDD841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6229A20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704B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47EC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104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76CB21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13.整机内置非独立外扩展的8阵列麦克风，拾音角度≥180°，可用于对教室环境音频进行采集，拾音距离≥12m。</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9182F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1A0F60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FF86A0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F6B2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551F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8A09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CED6745">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r>
              <w:rPr>
                <w:rStyle w:val="40"/>
                <w:lang w:val="en-US" w:eastAsia="zh-CN" w:bidi="ar"/>
              </w:rPr>
              <w:t>整机可选择高级音效设置，支持在左右声道平衡显示范围中进行更改；中低频段显示调节范围125Hz-1KHz，高频段显示调节范围 2KHz-16KHz，分贝显示（-12dB）-12dB 调节范围。</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B4CC550">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2F86E10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5401BB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5D089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5FD7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9FB66">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CBB1D66">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四、主要功能要求：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9E6245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A229883">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332E6D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2F9CA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63D7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58B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2CFB71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15.整机侧边栏内置自习工具，通过整机麦克风监测教室中学生音量大小，当学生音量大于阈值时，屏幕自动弹窗提醒进行自习纪律干预。</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124BA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1E0766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AD5693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E2F1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DF53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8447E">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66E6125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16.整机支持在无任何外部设备的情况下，实时录制用户朗读内容，识别用户声纹并进行统一身份登录，登录后自动获取个人云端教学课件列表，打开教学白板软件时可跳过软件自带登录步骤。</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DCAA89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3D6429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94B6C7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A7AE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BBA7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D96D2">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84BFC4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17.整机内置双WiFi6无线网卡（不接受外接），在Android和Windows系统下，支持实现Wi-Fi无线上网连接、AP无线热点发射。</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35015A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A7144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B315CE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33FD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F3D94">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A9E2F">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6DE5B8F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18.整机支持蓝牙≥Bluetooth 5.4标准；Wi-Fi和AP热点工作距离≥12m。</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3AE349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28528A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66FDD73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BEA1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55A3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536AD">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0E300E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19.整机Windows通道支持文件传输应用，支持通过扫码、wifi直联、超声三种方式与手机进行连接，实现文件传输功能。</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C9B11A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846BAC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A9E5E4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1BEB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5F7E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A5886">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D30BF5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629EBD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7A1165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0FA766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60F6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6BF4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1D83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67EC68A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6338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C2ED6F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69DA626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6129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E855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4E5F4">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6B5722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22.整机上边框内置非独立式摄像头，视场角≥141度且水平视场角≥139度，可拍摄≥1600万像素的照片，支持输出</w:t>
            </w:r>
            <w:r>
              <w:rPr>
                <w:rStyle w:val="40"/>
                <w:lang w:val="en-US" w:eastAsia="zh-CN" w:bidi="ar"/>
              </w:rPr>
              <w:t>≥8192×2048分辨率的照片和视频，支持画面畸变矫正功能 。</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017806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2467785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3A7A9D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1BAF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6ABD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64854">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8BF9B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23.整机全通道侧边栏快捷菜单包含如下小工具：批注、降半屏、截屏、放大镜、倒计时、日历、聚光灯、秒表、冻屏、倒数日、答题、节拍器。</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9BB3CF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DE5A0D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E343A4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85D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6615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38DAF">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61277AAA">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r>
              <w:rPr>
                <w:rStyle w:val="40"/>
                <w:lang w:val="en-US" w:eastAsia="zh-CN" w:bidi="ar"/>
              </w:rPr>
              <w:t>整机支持上边框内置非独立摄像头模组，同时输出至少 3 路视频流，同时支持课堂远程巡课、课堂教学数据采集、本地画面预览（拍照或视频录制）。</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C3F2725">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A0F8D5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17FB07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6EF1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F288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126D9">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299F6176">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五、内置电脑要求：</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DCA232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3B4462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B098AF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17D99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9A33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3A018">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D65442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25.搭载</w:t>
            </w:r>
            <w:r>
              <w:rPr>
                <w:rStyle w:val="40"/>
                <w:lang w:val="en-US" w:eastAsia="zh-CN" w:bidi="ar"/>
              </w:rPr>
              <w:t>四核以上性能CPU；内存：8GB DDR4笔记本内存或以上配置；硬盘：256 GB或以上SSD固态硬盘；</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191D6D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A339F1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71C6D8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AE12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169B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BF3ED">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6B75D4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26.整机的连接采用万兆级接口，传输速率≥10Gbps。</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BC8E7D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0921A0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09563B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DEB4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6CC4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DC8F">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BBA2433">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r>
              <w:rPr>
                <w:rStyle w:val="40"/>
                <w:lang w:val="en-US" w:eastAsia="zh-CN" w:bidi="ar"/>
              </w:rPr>
              <w:t>采用按压式卡扣，无需工具就可快速拆卸电脑模块。</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4C344CD">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9A58CBE">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F38267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66880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605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6FB30">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C52CDEB">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六、教学白板软件：</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555EF2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60525C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2E4BB2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834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2313">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FC9A">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0256FC7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28.互动教学软件能够帮助教师备课、授课；支持为教师提供可扩展，易于学校管理，安全可靠的云存储空间，根据每名教师使用时长与教学资料制作频率提供可扩展升级至不小于200G的个人云空间。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9FC35C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F37A52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E5B2AC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FD77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FE79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97FC">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28DCB00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互动教学软件支持为使用方全体教师配备个人账号，形成一体的信息化教学账号体系；根据教师账号信息将教师云空间匹配至对应学校、学科校本资源库。支持通过数字账号、微信二维码、硬件密钥方式登录教师个人账号。</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DBA15D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093A05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2CCA6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A75C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4BDF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40760">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08467A4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r>
              <w:rPr>
                <w:rStyle w:val="40"/>
                <w:lang w:val="en-US" w:eastAsia="zh-CN" w:bidi="ar"/>
              </w:rPr>
              <w:t>互动教学课件支持定向精准分享：支持分享者将互动课件、课件组精准推送至指定接收方账号云空间，支持接收方在云空间接收并打开分享课件。</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15E564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EE42F8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52158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EE4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41D0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4C92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47E23B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r>
              <w:rPr>
                <w:rStyle w:val="40"/>
                <w:lang w:val="en-US" w:eastAsia="zh-CN" w:bidi="ar"/>
              </w:rPr>
              <w:t>互动教学课件支持开放式云分享：支持分享者将互动课件、课件组以公开或加密的web链接和二维码形式进行分享，分享链接可设置访问有效期。</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90DCE3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21CB3EC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73AC19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1CFE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F3F8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B47A0">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27F928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32.互动教学软件要求表格具备遮罩功能，表格中任一单元格可添加遮罩掩盖单元格内容，授课模式点击即可取消遮罩；</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5D5C08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E91D1D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202D27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EB4C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1CB0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95A52">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7124CD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33.互动教学软件支持自由绘制长方体、立方体、圆柱体、圆锥等立体几何图形。任意调节几何体的大小尺寸，支持几何图形按比例放大缩小和通过单独调整长宽高（半径/高）改变几何体大小。</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8E756C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6E219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5357E4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EF2C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FEEF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BA12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2A175C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互动教学软件支持中英文、数学公式的编辑输入，支持快速输入方程组、脱式运算，提供不少于70个数学符号及模板；预置不少于40个常用数学公式，无需编辑一键插入，输入内容可用不同颜色标记及重复编辑。</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5B7B1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D57B50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8A241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9A4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757F0">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83E61">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9D8DAC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互动教学软件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F6565C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EE7A2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1B3843B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628B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5B01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CC724">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BA36C2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r>
              <w:rPr>
                <w:rStyle w:val="40"/>
                <w:lang w:val="en-US" w:eastAsia="zh-CN" w:bidi="ar"/>
              </w:rPr>
              <w:t>互动教学软件支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C2AA1F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295838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FBD721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3C35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D0FE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B4A4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50C49D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r>
              <w:rPr>
                <w:rStyle w:val="39"/>
                <w:lang w:val="en-US" w:eastAsia="zh-CN" w:bidi="ar"/>
              </w:rPr>
              <w:t>多学科课件库：支持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29D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0946A1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8D7C6C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0A13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13CB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13E72">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01213E7">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七.设备集中控制管理软件</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E6C450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D96268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EEB2A8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28341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BDD2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8FD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61BDE8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38.设计架构：系统支持模块化的架构设计B/S架构，通过浏览器打开并用微信扫码登录、账号密码登录和微信授权登录完成鉴权，即可使用数字校园产品的各项功能模块。</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3D5D30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7FAB63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0B3C82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7E2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5BB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2A6C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835BA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39.新闻公告：支持查看来自校园宣传应用的新闻公告，点击以弹窗的形式展示文字，图片，视频等公告消息。</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111883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60874F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E8B85E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4A89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32D6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9159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EEA02D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22E0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7BE2D6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0D06F8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155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2362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BD9A9">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EFE2CD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09634D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C2417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D98154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F621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F555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4436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6DBCEE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B83943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E9B9EF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B8D4A4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DC4A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36F1">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5907D">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573031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C854BF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A63D36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3C0DDA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51BD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CDADF">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2647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26651CE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44.网址过滤：支持设置网址访问黑名单、白名单，限制所有设备的网址访问。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005123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3D83ED3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D0FFB5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DA3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B96AB">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F13C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BD9765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r>
              <w:rPr>
                <w:rStyle w:val="40"/>
                <w:lang w:val="en-US" w:eastAsia="zh-CN" w:bidi="ar"/>
              </w:rPr>
              <w:t xml:space="preserve"> 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2E8D7C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9CA24F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333C3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1EA5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D638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403DC">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E263DB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44AD867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1602491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522F8B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88CB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ACCBA">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899CB">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CA7CC0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查看直播源码率、FPS数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96DBF8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03C4436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6F693A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4AAC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BA1A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D753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3D5541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48.多维管理：支持实时展示不少于20台设备的运行画面，并支持切换画面模式/列表模式；支持根据设备类型、设备所属年级/场地/自定义分组、设备开关机状态进行分组管理；支持文字检索设备名称。</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2FE3860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173C38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733D9B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9A9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3FB6E">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C14C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E1FA59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详情管理：支持查看设备当前使用老师信息，以及最近一次设备解锁时间、解锁方式、解锁老师。支持查看单台设备的当日开机次数、开机时间分布情况、设备已安装软件列表及使用情况、内存/硬盘占用情况、基础参数；支持查看设备异常情况；支持查看设备所有待执行的指令信息；支持远程修改设备关联信息。</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6B82AC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10A831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F4C78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4497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E5246">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905C0">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1F12E1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指令管理：支持设置即时、定时、循环模式的关机、重启、打铃、锁屏/解锁指令。其中打铃指令支持上传自定义铃声、设置播放时长；其中锁屏指令支持一键下课锁屏、开机自动锁屏、无网络时验证身份解锁、联网时禁用密码解锁、普通/极速锁屏模式；支持设置锁屏壁纸用于校园文化宣传；支持跑马灯、全局弹窗、桌面常驻通知3种类型的文本消息推送；支持定向传输多个超过50MB的文件至不同设备；支持开启/关闭指定设备的倒计日服务；支持批量设置设备音量；支持远程操作和控制设备；支持查看、编辑和撤销待执行指令；支持查看指令执行实时状态、设备操作日志，包含设备每次解锁方式、解锁时间、解锁人信息。</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03E726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857DB1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5125F5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DE38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C4E17">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51AF4">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3F32D5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51.移动端管理：支持通过微信小程序远程管理学校所有电子设备，支持查看设备运行状态，支持下发远程指令，支持查看设备数据，支持推送指令执行异常的设备信息、出现不良画面的设备及不良内容。</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711AE7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59D07CB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80D3A6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F1B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20EA2">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A3332">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48169C5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4E380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217AB8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025226B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52E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E1F8">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CBCD3">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5629310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批量关联和改绑：支持通过设备辅助管理软件，在单台班班通设备关联学校代码后，自动发现并关联同网段下其他班班通设备；支持批量解绑，解绑设备自动进入回收站，可随时恢复管理；支持修改设备的绑定关系，包含设备名称、建筑场地、班级信息、设备类型、设备品牌、采购年份。</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18F3F2A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E61D79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45AC74C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0F9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15E85">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EAEC2">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2B0B5EB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r>
              <w:rPr>
                <w:rStyle w:val="40"/>
                <w:lang w:val="en-US" w:eastAsia="zh-CN" w:bidi="ar"/>
              </w:rPr>
              <w:t>▲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3CECE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4D5F384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DA69C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7BA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F4BA9">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5197A">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1BEF355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r>
              <w:rPr>
                <w:rStyle w:val="40"/>
                <w:lang w:val="en-US" w:eastAsia="zh-CN" w:bidi="ar"/>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Style w:val="41"/>
                <w:lang w:val="en-US" w:eastAsia="zh-CN" w:bidi="ar"/>
              </w:rPr>
              <w:t>（</w:t>
            </w:r>
            <w:r>
              <w:rPr>
                <w:rStyle w:val="41"/>
                <w:rFonts w:hint="eastAsia"/>
                <w:lang w:val="en-US" w:eastAsia="zh-CN" w:bidi="ar"/>
              </w:rPr>
              <w:t>投标时同时提供：①由第三方检验（检测）机构出具并加盖（或带有）CMA标志的检验（检测）报告扫描件，</w:t>
            </w:r>
            <w:r>
              <w:rPr>
                <w:rStyle w:val="41"/>
                <w:rFonts w:hint="eastAsia"/>
                <w:b/>
                <w:bCs/>
                <w:lang w:val="en-US" w:eastAsia="zh-CN" w:bidi="ar"/>
              </w:rPr>
              <w:t>检验（检测）报告送检单位（委托单位）须是投标人或所投产品制造商（须与分项报价表一致），</w:t>
            </w:r>
            <w:r>
              <w:rPr>
                <w:rStyle w:val="41"/>
                <w:rFonts w:hint="eastAsia"/>
                <w:lang w:val="en-US" w:eastAsia="zh-CN" w:bidi="ar"/>
              </w:rPr>
              <w:t>原件备查；②上述检验（检测）报告在全国认证认可信息公共服务平台（认e云）（http://cx.cnca.cn/）的信息查询记录截图，</w:t>
            </w:r>
            <w:r>
              <w:rPr>
                <w:rStyle w:val="41"/>
                <w:rFonts w:hint="eastAsia"/>
                <w:b/>
                <w:bCs/>
                <w:highlight w:val="yellow"/>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1"/>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1"/>
                <w:lang w:val="en-US" w:eastAsia="zh-CN" w:bidi="ar"/>
              </w:rPr>
              <w: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39888BF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7785D50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31033C7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B8F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9145D">
            <w:pPr>
              <w:jc w:val="center"/>
              <w:rPr>
                <w:rFonts w:hint="default" w:ascii="Times New Roman" w:hAnsi="Times New Roman" w:eastAsia="宋体" w:cs="Times New Roman"/>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04705">
            <w:pPr>
              <w:jc w:val="center"/>
              <w:rPr>
                <w:rFonts w:hint="eastAsia" w:ascii="宋体" w:hAnsi="宋体" w:eastAsia="宋体" w:cs="宋体"/>
                <w:i w:val="0"/>
                <w:iCs w:val="0"/>
                <w:color w:val="000000"/>
                <w:sz w:val="21"/>
                <w:szCs w:val="21"/>
                <w:u w:val="none"/>
              </w:rPr>
            </w:pPr>
          </w:p>
        </w:tc>
        <w:tc>
          <w:tcPr>
            <w:tcW w:w="4735" w:type="dxa"/>
            <w:tcBorders>
              <w:top w:val="single" w:color="000000" w:sz="4" w:space="0"/>
              <w:left w:val="single" w:color="000000" w:sz="4" w:space="0"/>
              <w:bottom w:val="single" w:color="000000" w:sz="4" w:space="0"/>
              <w:right w:val="single" w:color="000000" w:sz="4" w:space="0"/>
            </w:tcBorders>
            <w:shd w:val="clear" w:color="auto" w:fill="auto"/>
            <w:vAlign w:val="top"/>
          </w:tcPr>
          <w:p w14:paraId="7926715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Style w:val="41"/>
                <w:lang w:val="en-US" w:eastAsia="zh-CN" w:bidi="ar"/>
              </w:rPr>
              <w:t>★实现与宝安区触控一体机管理平台互联互通，验收时须经区教育发展中心教育技术部确认。</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top"/>
          </w:tcPr>
          <w:p w14:paraId="7B53736E">
            <w:pPr>
              <w:keepNext w:val="0"/>
              <w:keepLines w:val="0"/>
              <w:widowControl/>
              <w:suppressLineNumbers w:val="0"/>
              <w:jc w:val="both"/>
              <w:textAlignment w:val="top"/>
              <w:rPr>
                <w:rStyle w:val="41"/>
                <w:lang w:val="en-US" w:eastAsia="zh-CN" w:bidi="ar"/>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top"/>
          </w:tcPr>
          <w:p w14:paraId="698B6B54">
            <w:pPr>
              <w:keepNext w:val="0"/>
              <w:keepLines w:val="0"/>
              <w:widowControl/>
              <w:suppressLineNumbers w:val="0"/>
              <w:jc w:val="both"/>
              <w:textAlignment w:val="top"/>
              <w:rPr>
                <w:rStyle w:val="41"/>
                <w:lang w:val="en-US" w:eastAsia="zh-CN" w:bidi="ar"/>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top"/>
          </w:tcPr>
          <w:p w14:paraId="27627A07">
            <w:pPr>
              <w:keepNext w:val="0"/>
              <w:keepLines w:val="0"/>
              <w:widowControl/>
              <w:suppressLineNumbers w:val="0"/>
              <w:jc w:val="both"/>
              <w:textAlignment w:val="top"/>
              <w:rPr>
                <w:rStyle w:val="41"/>
                <w:lang w:val="en-US" w:eastAsia="zh-CN" w:bidi="ar"/>
              </w:rPr>
            </w:pPr>
          </w:p>
        </w:tc>
      </w:tr>
    </w:tbl>
    <w:p w14:paraId="2CFA64F0">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14:paraId="40F3F29B">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14:paraId="68A00198">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14:paraId="2DC790E4">
      <w:pPr>
        <w:ind w:firstLine="482" w:firstLineChars="200"/>
        <w:rPr>
          <w:b/>
          <w:sz w:val="24"/>
        </w:rPr>
      </w:pPr>
    </w:p>
    <w:p w14:paraId="762806FA">
      <w:pPr>
        <w:rPr>
          <w:sz w:val="24"/>
        </w:rPr>
      </w:pPr>
    </w:p>
    <w:p w14:paraId="07A2A915">
      <w:pPr>
        <w:keepNext w:val="0"/>
        <w:keepLines w:val="0"/>
        <w:pageBreakBefore w:val="0"/>
        <w:widowControl w:val="0"/>
        <w:numPr>
          <w:ilvl w:val="0"/>
          <w:numId w:val="7"/>
        </w:numPr>
        <w:kinsoku/>
        <w:wordWrap/>
        <w:overflowPunct/>
        <w:topLinePunct w:val="0"/>
        <w:autoSpaceDE/>
        <w:autoSpaceDN/>
        <w:bidi w:val="0"/>
        <w:adjustRightInd/>
        <w:snapToGrid/>
        <w:jc w:val="center"/>
        <w:textAlignment w:val="auto"/>
        <w:outlineLvl w:val="2"/>
        <w:rPr>
          <w:rFonts w:hint="eastAsia" w:ascii="黑体" w:hAnsi="宋体" w:eastAsia="黑体" w:cstheme="minorBidi"/>
          <w:b w:val="0"/>
          <w:bCs/>
          <w:kern w:val="2"/>
          <w:sz w:val="24"/>
          <w:szCs w:val="24"/>
          <w:lang w:val="en-US" w:eastAsia="zh-CN" w:bidi="ar-SA"/>
        </w:rPr>
      </w:pPr>
      <w:bookmarkStart w:id="76" w:name="_Hlk72260576"/>
      <w:r>
        <w:rPr>
          <w:rFonts w:hint="eastAsia" w:ascii="黑体" w:hAnsi="宋体" w:eastAsia="黑体" w:cstheme="minorBidi"/>
          <w:b w:val="0"/>
          <w:bCs/>
          <w:kern w:val="2"/>
          <w:sz w:val="24"/>
          <w:szCs w:val="24"/>
          <w:lang w:val="en-US" w:eastAsia="zh-CN" w:bidi="ar-SA"/>
        </w:rPr>
        <w:t>政府采购节能环保产品情况（格式自定）</w:t>
      </w:r>
    </w:p>
    <w:p w14:paraId="5C3F9D30">
      <w:pPr>
        <w:keepNext w:val="0"/>
        <w:keepLines w:val="0"/>
        <w:pageBreakBefore w:val="0"/>
        <w:widowControl w:val="0"/>
        <w:numPr>
          <w:ilvl w:val="0"/>
          <w:numId w:val="7"/>
        </w:numPr>
        <w:kinsoku/>
        <w:wordWrap/>
        <w:overflowPunct/>
        <w:topLinePunct w:val="0"/>
        <w:autoSpaceDE/>
        <w:autoSpaceDN/>
        <w:bidi w:val="0"/>
        <w:adjustRightInd/>
        <w:snapToGrid/>
        <w:jc w:val="center"/>
        <w:textAlignment w:val="auto"/>
        <w:outlineLvl w:val="2"/>
        <w:rPr>
          <w:rFonts w:hint="default"/>
          <w:lang w:val="en-US" w:eastAsia="zh-CN"/>
        </w:rPr>
      </w:pPr>
      <w:r>
        <w:rPr>
          <w:rFonts w:ascii="宋体" w:hAnsi="宋体" w:eastAsia="宋体" w:cs="宋体"/>
          <w:sz w:val="24"/>
          <w:szCs w:val="24"/>
        </w:rPr>
        <w:t>绿色采购情况</w:t>
      </w:r>
      <w:r>
        <w:rPr>
          <w:rFonts w:hint="eastAsia" w:ascii="黑体" w:eastAsia="黑体"/>
          <w:b w:val="0"/>
          <w:kern w:val="0"/>
          <w:sz w:val="24"/>
          <w:szCs w:val="24"/>
        </w:rPr>
        <w:t>（格式自定）</w:t>
      </w:r>
    </w:p>
    <w:p w14:paraId="621A8B1B">
      <w:pPr>
        <w:keepNext w:val="0"/>
        <w:keepLines w:val="0"/>
        <w:pageBreakBefore w:val="0"/>
        <w:widowControl w:val="0"/>
        <w:numPr>
          <w:ilvl w:val="0"/>
          <w:numId w:val="7"/>
        </w:numPr>
        <w:kinsoku/>
        <w:wordWrap/>
        <w:overflowPunct/>
        <w:topLinePunct w:val="0"/>
        <w:autoSpaceDE/>
        <w:autoSpaceDN/>
        <w:bidi w:val="0"/>
        <w:adjustRightInd/>
        <w:snapToGrid/>
        <w:jc w:val="center"/>
        <w:textAlignment w:val="auto"/>
        <w:outlineLvl w:val="2"/>
        <w:rPr>
          <w:rFonts w:hint="default"/>
          <w:lang w:val="en-US" w:eastAsia="zh-CN"/>
        </w:rPr>
      </w:pPr>
      <w:r>
        <w:rPr>
          <w:rFonts w:ascii="宋体" w:hAnsi="宋体" w:eastAsia="宋体" w:cs="宋体"/>
          <w:sz w:val="24"/>
          <w:szCs w:val="24"/>
        </w:rPr>
        <w:t>项目组织实施方案的评价</w:t>
      </w:r>
      <w:r>
        <w:rPr>
          <w:rFonts w:hint="eastAsia" w:ascii="黑体" w:eastAsia="黑体"/>
          <w:b w:val="0"/>
          <w:kern w:val="0"/>
          <w:sz w:val="24"/>
          <w:szCs w:val="24"/>
        </w:rPr>
        <w:t>（格式自定）</w:t>
      </w:r>
    </w:p>
    <w:p w14:paraId="54C1B76C">
      <w:pPr>
        <w:keepNext w:val="0"/>
        <w:keepLines w:val="0"/>
        <w:pageBreakBefore w:val="0"/>
        <w:widowControl w:val="0"/>
        <w:numPr>
          <w:ilvl w:val="0"/>
          <w:numId w:val="7"/>
        </w:numPr>
        <w:kinsoku/>
        <w:wordWrap/>
        <w:overflowPunct/>
        <w:topLinePunct w:val="0"/>
        <w:autoSpaceDE/>
        <w:autoSpaceDN/>
        <w:bidi w:val="0"/>
        <w:adjustRightInd/>
        <w:snapToGrid/>
        <w:jc w:val="center"/>
        <w:textAlignment w:val="auto"/>
        <w:outlineLvl w:val="2"/>
        <w:rPr>
          <w:rFonts w:hint="default"/>
          <w:lang w:val="en-US" w:eastAsia="zh-CN"/>
        </w:rPr>
      </w:pPr>
      <w:r>
        <w:rPr>
          <w:rFonts w:ascii="宋体" w:hAnsi="宋体" w:eastAsia="宋体" w:cs="宋体"/>
          <w:sz w:val="24"/>
          <w:szCs w:val="24"/>
        </w:rPr>
        <w:t>售后服务评价</w:t>
      </w:r>
      <w:r>
        <w:rPr>
          <w:rFonts w:hint="eastAsia" w:ascii="黑体" w:eastAsia="黑体"/>
          <w:b w:val="0"/>
          <w:kern w:val="0"/>
          <w:sz w:val="24"/>
          <w:szCs w:val="24"/>
        </w:rPr>
        <w:t>（格式自定）</w:t>
      </w:r>
    </w:p>
    <w:p w14:paraId="061C3ACC">
      <w:pPr>
        <w:keepNext w:val="0"/>
        <w:keepLines w:val="0"/>
        <w:pageBreakBefore w:val="0"/>
        <w:widowControl w:val="0"/>
        <w:numPr>
          <w:ilvl w:val="0"/>
          <w:numId w:val="7"/>
        </w:numPr>
        <w:kinsoku/>
        <w:wordWrap/>
        <w:overflowPunct/>
        <w:topLinePunct w:val="0"/>
        <w:autoSpaceDE/>
        <w:autoSpaceDN/>
        <w:bidi w:val="0"/>
        <w:adjustRightInd/>
        <w:snapToGrid/>
        <w:jc w:val="center"/>
        <w:textAlignment w:val="auto"/>
        <w:outlineLvl w:val="2"/>
        <w:rPr>
          <w:rFonts w:hint="default"/>
          <w:lang w:val="en-US" w:eastAsia="zh-CN"/>
        </w:rPr>
      </w:pPr>
      <w:r>
        <w:rPr>
          <w:rFonts w:ascii="宋体" w:hAnsi="宋体" w:eastAsia="宋体" w:cs="宋体"/>
          <w:sz w:val="24"/>
          <w:szCs w:val="24"/>
        </w:rPr>
        <w:t>实施及维护能力评价</w:t>
      </w:r>
      <w:r>
        <w:rPr>
          <w:rFonts w:hint="eastAsia" w:ascii="黑体" w:eastAsia="黑体"/>
          <w:b w:val="0"/>
          <w:kern w:val="0"/>
          <w:sz w:val="24"/>
          <w:szCs w:val="24"/>
        </w:rPr>
        <w:t>（格式自定）</w:t>
      </w:r>
    </w:p>
    <w:p w14:paraId="63D5FD9F">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21581"/>
      <w:bookmarkStart w:id="102" w:name="_Toc100052400"/>
      <w:bookmarkStart w:id="103" w:name="_Toc73518151"/>
      <w:bookmarkStart w:id="104" w:name="_Toc73521669"/>
      <w:bookmarkStart w:id="105" w:name="_Toc73517673"/>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21586"/>
      <w:bookmarkStart w:id="117" w:name="_Toc73521674"/>
      <w:bookmarkStart w:id="118" w:name="_Toc73518157"/>
      <w:bookmarkStart w:id="119" w:name="_Toc73517679"/>
      <w:bookmarkStart w:id="120" w:name="_Toc100052408"/>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100052409"/>
      <w:bookmarkStart w:id="123" w:name="_Toc73518158"/>
      <w:bookmarkStart w:id="124" w:name="_Toc73517680"/>
      <w:bookmarkStart w:id="125" w:name="_Toc73521587"/>
      <w:bookmarkStart w:id="126" w:name="_Toc73521675"/>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100052410"/>
      <w:bookmarkStart w:id="128" w:name="_Toc73521589"/>
      <w:bookmarkStart w:id="129" w:name="_Toc73518160"/>
      <w:bookmarkStart w:id="130" w:name="_Toc73517682"/>
      <w:bookmarkStart w:id="131" w:name="_Toc73521677"/>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21678"/>
      <w:bookmarkStart w:id="133" w:name="_Toc73517683"/>
      <w:bookmarkStart w:id="134" w:name="_Toc73518161"/>
      <w:bookmarkStart w:id="135" w:name="_Toc73521590"/>
      <w:bookmarkStart w:id="136" w:name="_Toc100052411"/>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1"/>
    <w:p w14:paraId="65D798E8">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FFA76E-020C-415C-8DDC-82D00898E941}"/>
  </w:font>
  <w:font w:name="Arial">
    <w:panose1 w:val="020B0604020202020204"/>
    <w:charset w:val="01"/>
    <w:family w:val="swiss"/>
    <w:pitch w:val="default"/>
    <w:sig w:usb0="E0002EFF" w:usb1="C000785B" w:usb2="00000009" w:usb3="00000000" w:csb0="400001FF" w:csb1="FFFF0000"/>
    <w:embedRegular r:id="rId2" w:fontKey="{A3C963EE-DA53-4551-950B-903A034924D3}"/>
  </w:font>
  <w:font w:name="黑体">
    <w:panose1 w:val="02010609060101010101"/>
    <w:charset w:val="86"/>
    <w:family w:val="auto"/>
    <w:pitch w:val="default"/>
    <w:sig w:usb0="800002BF" w:usb1="38CF7CFA" w:usb2="00000016" w:usb3="00000000" w:csb0="00040001" w:csb1="00000000"/>
    <w:embedRegular r:id="rId3" w:fontKey="{F9B1FFBA-18A7-4E85-96E0-329564BEDA5A}"/>
  </w:font>
  <w:font w:name="Courier New">
    <w:panose1 w:val="02070309020205020404"/>
    <w:charset w:val="01"/>
    <w:family w:val="modern"/>
    <w:pitch w:val="default"/>
    <w:sig w:usb0="E0002EFF" w:usb1="C0007843" w:usb2="00000009" w:usb3="00000000" w:csb0="400001FF" w:csb1="FFFF0000"/>
    <w:embedRegular r:id="rId4" w:fontKey="{C996A776-BF18-451F-A4B4-D95E20C7096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96FF9BE-5FBC-4565-B792-00C763CC7C9B}"/>
  </w:font>
  <w:font w:name="Cambria">
    <w:panose1 w:val="02040503050406030204"/>
    <w:charset w:val="00"/>
    <w:family w:val="roman"/>
    <w:pitch w:val="default"/>
    <w:sig w:usb0="E00006FF" w:usb1="420024FF" w:usb2="02000000" w:usb3="00000000" w:csb0="2000019F" w:csb1="00000000"/>
    <w:embedRegular r:id="rId6" w:fontKey="{C165CC0A-AFFE-43D1-AAF6-324CC82D5D9E}"/>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4AEC17CC-D42E-45C8-9A7E-44B1DB4B1C77}"/>
  </w:font>
  <w:font w:name="仿宋_GB2312">
    <w:panose1 w:val="02010609030101010101"/>
    <w:charset w:val="86"/>
    <w:family w:val="auto"/>
    <w:pitch w:val="default"/>
    <w:sig w:usb0="00000001" w:usb1="080E0000" w:usb2="00000000" w:usb3="00000000" w:csb0="00040000" w:csb1="00000000"/>
    <w:embedRegular r:id="rId8" w:fontKey="{4047F75C-6B83-4B8A-9538-CCDF3F90C2D3}"/>
  </w:font>
  <w:font w:name="方正仿宋_GBK">
    <w:panose1 w:val="02000000000000000000"/>
    <w:charset w:val="86"/>
    <w:family w:val="auto"/>
    <w:pitch w:val="default"/>
    <w:sig w:usb0="A00002BF" w:usb1="38CF7CFA" w:usb2="00082016" w:usb3="00000000" w:csb0="00040001" w:csb1="00000000"/>
    <w:embedRegular r:id="rId9" w:fontKey="{1DF12361-4F74-4FFF-A130-AD557AB80A78}"/>
  </w:font>
  <w:font w:name="华文中宋">
    <w:panose1 w:val="02010600040101010101"/>
    <w:charset w:val="86"/>
    <w:family w:val="auto"/>
    <w:pitch w:val="default"/>
    <w:sig w:usb0="00000287" w:usb1="080F0000" w:usb2="00000000" w:usb3="00000000" w:csb0="0004009F" w:csb1="DFD70000"/>
    <w:embedRegular r:id="rId10" w:fontKey="{21FDC4FD-2EEF-43A5-B9B6-D2919C22F009}"/>
  </w:font>
  <w:font w:name="汉仪书宋二S">
    <w:altName w:val="宋体"/>
    <w:panose1 w:val="00000000000000000000"/>
    <w:charset w:val="00"/>
    <w:family w:val="auto"/>
    <w:pitch w:val="default"/>
    <w:sig w:usb0="00000000" w:usb1="00000000" w:usb2="00000000" w:usb3="00000000" w:csb0="00000000" w:csb1="00000000"/>
    <w:embedRegular r:id="rId11" w:fontKey="{FF662ECE-FFFD-43CD-810A-E84BF0EF4570}"/>
  </w:font>
  <w:font w:name="华文楷体">
    <w:panose1 w:val="02010600040101010101"/>
    <w:charset w:val="86"/>
    <w:family w:val="auto"/>
    <w:pitch w:val="default"/>
    <w:sig w:usb0="00000287" w:usb1="080F0000" w:usb2="00000000" w:usb3="00000000" w:csb0="0004009F" w:csb1="DFD70000"/>
    <w:embedRegular r:id="rId12" w:fontKey="{4C702490-1C7C-4CDE-BA0C-2123D01275D7}"/>
  </w:font>
  <w:font w:name="ˎ̥">
    <w:altName w:val="Times New Roman"/>
    <w:panose1 w:val="00000000000000000000"/>
    <w:charset w:val="00"/>
    <w:family w:val="auto"/>
    <w:pitch w:val="default"/>
    <w:sig w:usb0="00000000" w:usb1="00000000" w:usb2="00000000" w:usb3="00000000" w:csb0="00040001" w:csb1="00000000"/>
    <w:embedRegular r:id="rId13" w:fontKey="{78299DE1-233D-4678-99B0-5D7E2DA519C1}"/>
  </w:font>
  <w:font w:name="仿宋">
    <w:panose1 w:val="02010609060101010101"/>
    <w:charset w:val="86"/>
    <w:family w:val="modern"/>
    <w:pitch w:val="default"/>
    <w:sig w:usb0="800002BF" w:usb1="38CF7CFA" w:usb2="00000016" w:usb3="00000000" w:csb0="00040001" w:csb1="00000000"/>
    <w:embedRegular r:id="rId14" w:fontKey="{3147D21B-D320-49C5-B75A-144BA762DC7E}"/>
  </w:font>
  <w:font w:name="WPSEMBED1">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928B1BED"/>
    <w:multiLevelType w:val="singleLevel"/>
    <w:tmpl w:val="928B1BED"/>
    <w:lvl w:ilvl="0" w:tentative="0">
      <w:start w:val="1"/>
      <w:numFmt w:val="decimal"/>
      <w:suff w:val="nothing"/>
      <w:lvlText w:val="%1、"/>
      <w:lvlJc w:val="left"/>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EA58A6BA"/>
    <w:multiLevelType w:val="singleLevel"/>
    <w:tmpl w:val="EA58A6BA"/>
    <w:lvl w:ilvl="0" w:tentative="0">
      <w:start w:val="1"/>
      <w:numFmt w:val="chineseCounting"/>
      <w:suff w:val="nothing"/>
      <w:lvlText w:val="（%1）"/>
      <w:lvlJc w:val="left"/>
      <w:rPr>
        <w:rFonts w:hint="eastAsia"/>
      </w:rPr>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1FCD790A"/>
    <w:multiLevelType w:val="singleLevel"/>
    <w:tmpl w:val="1FCD790A"/>
    <w:lvl w:ilvl="0" w:tentative="0">
      <w:start w:val="6"/>
      <w:numFmt w:val="chineseCounting"/>
      <w:suff w:val="nothing"/>
      <w:lvlText w:val="%1、"/>
      <w:lvlJc w:val="left"/>
      <w:rPr>
        <w:rFonts w:hint="eastAsia"/>
      </w:rPr>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1"/>
  </w:num>
  <w:num w:numId="2">
    <w:abstractNumId w:val="10"/>
  </w:num>
  <w:num w:numId="3">
    <w:abstractNumId w:val="0"/>
  </w:num>
  <w:num w:numId="4">
    <w:abstractNumId w:val="9"/>
  </w:num>
  <w:num w:numId="5">
    <w:abstractNumId w:val="2"/>
  </w:num>
  <w:num w:numId="6">
    <w:abstractNumId w:val="3"/>
  </w:num>
  <w:num w:numId="7">
    <w:abstractNumId w:val="12"/>
  </w:num>
  <w:num w:numId="8">
    <w:abstractNumId w:val="14"/>
  </w:num>
  <w:num w:numId="9">
    <w:abstractNumId w:val="5"/>
  </w:num>
  <w:num w:numId="10">
    <w:abstractNumId w:val="11"/>
  </w:num>
  <w:num w:numId="11">
    <w:abstractNumId w:val="7"/>
  </w:num>
  <w:num w:numId="12">
    <w:abstractNumId w:val="6"/>
  </w:num>
  <w:num w:numId="13">
    <w:abstractNumId w:val="4"/>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1A58B1"/>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503631"/>
    <w:rsid w:val="04521727"/>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4D1427"/>
    <w:rsid w:val="08A54D99"/>
    <w:rsid w:val="08E33B14"/>
    <w:rsid w:val="097A64AA"/>
    <w:rsid w:val="09B4074E"/>
    <w:rsid w:val="09B47989"/>
    <w:rsid w:val="09CB6A81"/>
    <w:rsid w:val="09F829A2"/>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DF7707"/>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8A44B3"/>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E86994"/>
    <w:rsid w:val="1EFB3211"/>
    <w:rsid w:val="1F103EA9"/>
    <w:rsid w:val="1F1D7927"/>
    <w:rsid w:val="1F784B5D"/>
    <w:rsid w:val="1FB14636"/>
    <w:rsid w:val="1FCA3C17"/>
    <w:rsid w:val="1FDB296A"/>
    <w:rsid w:val="1FE909DC"/>
    <w:rsid w:val="1FF42436"/>
    <w:rsid w:val="204333BD"/>
    <w:rsid w:val="20457135"/>
    <w:rsid w:val="20631369"/>
    <w:rsid w:val="20755F4B"/>
    <w:rsid w:val="20AF152F"/>
    <w:rsid w:val="20DA193E"/>
    <w:rsid w:val="21431371"/>
    <w:rsid w:val="2149055F"/>
    <w:rsid w:val="21513626"/>
    <w:rsid w:val="215C64E4"/>
    <w:rsid w:val="215D225D"/>
    <w:rsid w:val="219537A4"/>
    <w:rsid w:val="21C36564"/>
    <w:rsid w:val="21DF0EC4"/>
    <w:rsid w:val="225A4837"/>
    <w:rsid w:val="228D0920"/>
    <w:rsid w:val="23290736"/>
    <w:rsid w:val="23334673"/>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3E4E9E"/>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06608"/>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D55F22"/>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CC0EBD"/>
    <w:rsid w:val="43ED0DC6"/>
    <w:rsid w:val="43FB4652"/>
    <w:rsid w:val="43FF1225"/>
    <w:rsid w:val="445F4788"/>
    <w:rsid w:val="44B32884"/>
    <w:rsid w:val="44E73A68"/>
    <w:rsid w:val="45223845"/>
    <w:rsid w:val="45290298"/>
    <w:rsid w:val="45466ABC"/>
    <w:rsid w:val="45B51211"/>
    <w:rsid w:val="45BD6D52"/>
    <w:rsid w:val="45D75726"/>
    <w:rsid w:val="45EF52CA"/>
    <w:rsid w:val="46250BED"/>
    <w:rsid w:val="46276812"/>
    <w:rsid w:val="462A4554"/>
    <w:rsid w:val="46517D32"/>
    <w:rsid w:val="46753001"/>
    <w:rsid w:val="46821C9A"/>
    <w:rsid w:val="46E51A75"/>
    <w:rsid w:val="47762C36"/>
    <w:rsid w:val="477C0DDF"/>
    <w:rsid w:val="47D17F22"/>
    <w:rsid w:val="480212E4"/>
    <w:rsid w:val="482B73A4"/>
    <w:rsid w:val="48C04CFB"/>
    <w:rsid w:val="48FF5824"/>
    <w:rsid w:val="49194F0D"/>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1187F"/>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1532F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DA7573"/>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DF93155"/>
    <w:rsid w:val="6E0E1EE1"/>
    <w:rsid w:val="6E5A21EA"/>
    <w:rsid w:val="6EB8009F"/>
    <w:rsid w:val="6EC72090"/>
    <w:rsid w:val="6F834B73"/>
    <w:rsid w:val="6F857F81"/>
    <w:rsid w:val="6FC62348"/>
    <w:rsid w:val="6FE10E18"/>
    <w:rsid w:val="6FEC14A9"/>
    <w:rsid w:val="6FEC6252"/>
    <w:rsid w:val="702E23C7"/>
    <w:rsid w:val="706B487A"/>
    <w:rsid w:val="70A15EF2"/>
    <w:rsid w:val="70AD3794"/>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Body Text 2"/>
    <w:basedOn w:val="1"/>
    <w:qFormat/>
    <w:uiPriority w:val="0"/>
    <w:pPr>
      <w:spacing w:line="360" w:lineRule="auto"/>
    </w:pPr>
    <w:rPr>
      <w:sz w:val="24"/>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5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000000"/>
      <w:sz w:val="21"/>
      <w:szCs w:val="21"/>
      <w:u w:val="none"/>
    </w:rPr>
  </w:style>
  <w:style w:type="character" w:customStyle="1" w:styleId="41">
    <w:name w:val="font61"/>
    <w:basedOn w:val="19"/>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78</Pages>
  <Words>9047</Words>
  <Characters>9536</Characters>
  <Lines>316</Lines>
  <Paragraphs>88</Paragraphs>
  <TotalTime>21</TotalTime>
  <ScaleCrop>false</ScaleCrop>
  <LinksUpToDate>false</LinksUpToDate>
  <CharactersWithSpaces>9624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2025-10-24T10:30:01Z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1D35441E0ED44CDAA276D758760C3890_12</vt:lpwstr>
  </property>
  <property fmtid="{D5CDD505-2E9C-101B-9397-08002B2CF9AE}" pid="4" name="KSOTemplateDocerSaveRecord">
    <vt:lpwstr>eyJoZGlkIjoiNjEzMmExMWM2NGQxNjg0YTQwNTFhZDdkMmQwNmRkOWYiLCJ1c2VySWQiOiIxMjAxODM5OTk5In0=</vt:lpwstr>
  </property>
</Properties>
</file>