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DFFAA3">
      <w:pPr>
        <w:jc w:val="center"/>
        <w:rPr>
          <w:rFonts w:ascii="宋体" w:hAnsi="宋体"/>
          <w:b/>
          <w:sz w:val="32"/>
          <w:szCs w:val="32"/>
          <w:highlight w:val="none"/>
        </w:rPr>
      </w:pPr>
    </w:p>
    <w:p w14:paraId="3102A690">
      <w:pPr>
        <w:jc w:val="center"/>
        <w:rPr>
          <w:rFonts w:ascii="宋体" w:hAnsi="宋体"/>
          <w:b/>
          <w:sz w:val="32"/>
          <w:szCs w:val="32"/>
          <w:highlight w:val="none"/>
        </w:rPr>
      </w:pPr>
    </w:p>
    <w:p w14:paraId="14BA6CB3">
      <w:pPr>
        <w:jc w:val="center"/>
        <w:rPr>
          <w:rFonts w:ascii="宋体" w:hAnsi="宋体"/>
          <w:b/>
          <w:sz w:val="32"/>
          <w:szCs w:val="32"/>
          <w:highlight w:val="none"/>
        </w:rPr>
      </w:pPr>
    </w:p>
    <w:p w14:paraId="358BE12A">
      <w:pPr>
        <w:jc w:val="center"/>
        <w:outlineLvl w:val="0"/>
        <w:rPr>
          <w:rFonts w:ascii="微软雅黑" w:hAnsi="微软雅黑" w:eastAsia="微软雅黑" w:cs="微软雅黑"/>
          <w:b/>
          <w:bCs/>
          <w:sz w:val="72"/>
          <w:szCs w:val="72"/>
          <w:highlight w:val="none"/>
        </w:rPr>
      </w:pPr>
      <w:r>
        <w:rPr>
          <w:rFonts w:hint="eastAsia" w:ascii="微软雅黑" w:hAnsi="微软雅黑" w:eastAsia="微软雅黑" w:cs="微软雅黑"/>
          <w:b/>
          <w:bCs/>
          <w:sz w:val="72"/>
          <w:szCs w:val="72"/>
          <w:highlight w:val="none"/>
        </w:rPr>
        <w:t>国内</w:t>
      </w:r>
      <w:r>
        <w:rPr>
          <w:rFonts w:hint="eastAsia" w:ascii="微软雅黑" w:hAnsi="微软雅黑" w:eastAsia="微软雅黑" w:cs="微软雅黑"/>
          <w:b/>
          <w:bCs/>
          <w:sz w:val="72"/>
          <w:szCs w:val="72"/>
          <w:highlight w:val="none"/>
          <w:lang w:val="en-US" w:eastAsia="zh-CN"/>
        </w:rPr>
        <w:t>货物</w:t>
      </w:r>
      <w:r>
        <w:rPr>
          <w:rFonts w:hint="eastAsia" w:ascii="微软雅黑" w:hAnsi="微软雅黑" w:eastAsia="微软雅黑" w:cs="微软雅黑"/>
          <w:b/>
          <w:bCs/>
          <w:sz w:val="72"/>
          <w:szCs w:val="72"/>
          <w:highlight w:val="none"/>
        </w:rPr>
        <w:t>公开招标文件</w:t>
      </w:r>
    </w:p>
    <w:p w14:paraId="7736474D">
      <w:pPr>
        <w:ind w:left="1963" w:leftChars="540" w:hanging="829" w:hangingChars="258"/>
        <w:rPr>
          <w:rFonts w:ascii="宋体" w:hAnsi="宋体"/>
          <w:b/>
          <w:sz w:val="32"/>
          <w:szCs w:val="32"/>
          <w:highlight w:val="none"/>
        </w:rPr>
      </w:pPr>
    </w:p>
    <w:p w14:paraId="46EA75D3">
      <w:pPr>
        <w:ind w:left="1963" w:leftChars="540" w:hanging="829" w:hangingChars="258"/>
        <w:rPr>
          <w:rFonts w:ascii="宋体" w:hAnsi="宋体"/>
          <w:b/>
          <w:sz w:val="32"/>
          <w:szCs w:val="32"/>
          <w:highlight w:val="none"/>
        </w:rPr>
      </w:pPr>
    </w:p>
    <w:p w14:paraId="536F444A">
      <w:pPr>
        <w:ind w:left="2066" w:leftChars="540" w:hanging="932" w:hangingChars="258"/>
        <w:rPr>
          <w:rFonts w:ascii="宋体" w:hAnsi="宋体"/>
          <w:b/>
          <w:sz w:val="36"/>
          <w:szCs w:val="36"/>
          <w:highlight w:val="none"/>
        </w:rPr>
      </w:pPr>
    </w:p>
    <w:tbl>
      <w:tblPr>
        <w:tblStyle w:val="42"/>
        <w:tblW w:w="6810" w:type="dxa"/>
        <w:jc w:val="center"/>
        <w:tblLayout w:type="fixed"/>
        <w:tblCellMar>
          <w:top w:w="0" w:type="dxa"/>
          <w:left w:w="108" w:type="dxa"/>
          <w:bottom w:w="0" w:type="dxa"/>
          <w:right w:w="108" w:type="dxa"/>
        </w:tblCellMar>
      </w:tblPr>
      <w:tblGrid>
        <w:gridCol w:w="1707"/>
        <w:gridCol w:w="5103"/>
      </w:tblGrid>
      <w:tr w14:paraId="2E0D28EC">
        <w:tblPrEx>
          <w:tblCellMar>
            <w:top w:w="0" w:type="dxa"/>
            <w:left w:w="108" w:type="dxa"/>
            <w:bottom w:w="0" w:type="dxa"/>
            <w:right w:w="108" w:type="dxa"/>
          </w:tblCellMar>
        </w:tblPrEx>
        <w:trPr>
          <w:trHeight w:val="851" w:hRule="atLeast"/>
          <w:jc w:val="center"/>
        </w:trPr>
        <w:tc>
          <w:tcPr>
            <w:tcW w:w="1707" w:type="dxa"/>
            <w:vAlign w:val="center"/>
          </w:tcPr>
          <w:p w14:paraId="7D7883CA">
            <w:pPr>
              <w:spacing w:line="0" w:lineRule="atLeast"/>
              <w:jc w:val="center"/>
              <w:rPr>
                <w:rFonts w:ascii="宋体" w:hAnsi="宋体"/>
                <w:b/>
                <w:sz w:val="32"/>
                <w:szCs w:val="32"/>
                <w:highlight w:val="none"/>
              </w:rPr>
            </w:pPr>
            <w:r>
              <w:rPr>
                <w:rFonts w:hint="eastAsia" w:ascii="宋体" w:hAnsi="宋体"/>
                <w:b/>
                <w:sz w:val="32"/>
                <w:szCs w:val="32"/>
                <w:highlight w:val="none"/>
              </w:rPr>
              <w:t>项目名称：</w:t>
            </w:r>
          </w:p>
        </w:tc>
        <w:tc>
          <w:tcPr>
            <w:tcW w:w="5103" w:type="dxa"/>
            <w:vAlign w:val="center"/>
          </w:tcPr>
          <w:p w14:paraId="19BAF217">
            <w:pPr>
              <w:spacing w:line="0" w:lineRule="atLeast"/>
              <w:jc w:val="both"/>
              <w:rPr>
                <w:rFonts w:hint="eastAsia" w:ascii="宋体" w:hAnsi="宋体" w:eastAsia="宋体"/>
                <w:bCs/>
                <w:color w:val="0000FF"/>
                <w:sz w:val="32"/>
                <w:szCs w:val="32"/>
                <w:highlight w:val="none"/>
                <w:lang w:eastAsia="zh-CN"/>
              </w:rPr>
            </w:pPr>
            <w:r>
              <w:rPr>
                <w:rFonts w:hint="eastAsia" w:ascii="宋体" w:hAnsi="宋体"/>
                <w:bCs/>
                <w:color w:val="0000FF"/>
                <w:sz w:val="32"/>
                <w:szCs w:val="32"/>
                <w:highlight w:val="none"/>
                <w:lang w:eastAsia="zh-CN"/>
              </w:rPr>
              <w:t>深圳市宝安区人民医院口腔颌面锥形束计算机体层摄影设备(CBCT)采购</w:t>
            </w:r>
          </w:p>
        </w:tc>
      </w:tr>
      <w:tr w14:paraId="75A188FA">
        <w:tblPrEx>
          <w:tblCellMar>
            <w:top w:w="0" w:type="dxa"/>
            <w:left w:w="108" w:type="dxa"/>
            <w:bottom w:w="0" w:type="dxa"/>
            <w:right w:w="108" w:type="dxa"/>
          </w:tblCellMar>
        </w:tblPrEx>
        <w:trPr>
          <w:trHeight w:val="851" w:hRule="atLeast"/>
          <w:jc w:val="center"/>
        </w:trPr>
        <w:tc>
          <w:tcPr>
            <w:tcW w:w="1707" w:type="dxa"/>
            <w:vAlign w:val="center"/>
          </w:tcPr>
          <w:p w14:paraId="7A8CF888">
            <w:pPr>
              <w:spacing w:line="0" w:lineRule="atLeast"/>
              <w:jc w:val="center"/>
              <w:rPr>
                <w:rFonts w:ascii="宋体" w:hAnsi="宋体"/>
                <w:b/>
                <w:sz w:val="32"/>
                <w:szCs w:val="32"/>
                <w:highlight w:val="none"/>
              </w:rPr>
            </w:pPr>
            <w:r>
              <w:rPr>
                <w:rFonts w:hint="eastAsia" w:ascii="宋体" w:hAnsi="宋体"/>
                <w:b/>
                <w:sz w:val="32"/>
                <w:szCs w:val="32"/>
                <w:highlight w:val="none"/>
              </w:rPr>
              <w:t>项目</w:t>
            </w:r>
            <w:r>
              <w:rPr>
                <w:rFonts w:hint="eastAsia" w:ascii="宋体" w:hAnsi="宋体"/>
                <w:b/>
                <w:bCs/>
                <w:sz w:val="32"/>
                <w:szCs w:val="32"/>
                <w:highlight w:val="none"/>
              </w:rPr>
              <w:t>编号：</w:t>
            </w:r>
          </w:p>
        </w:tc>
        <w:tc>
          <w:tcPr>
            <w:tcW w:w="5103" w:type="dxa"/>
            <w:vAlign w:val="center"/>
          </w:tcPr>
          <w:p w14:paraId="55E867FE">
            <w:pPr>
              <w:spacing w:line="0" w:lineRule="atLeast"/>
              <w:jc w:val="both"/>
              <w:rPr>
                <w:rFonts w:hint="eastAsia" w:ascii="宋体" w:hAnsi="宋体" w:eastAsia="宋体"/>
                <w:color w:val="0000FF"/>
                <w:sz w:val="32"/>
                <w:szCs w:val="32"/>
                <w:highlight w:val="none"/>
                <w:lang w:eastAsia="zh-CN"/>
              </w:rPr>
            </w:pPr>
            <w:r>
              <w:rPr>
                <w:rFonts w:hint="eastAsia" w:ascii="宋体" w:hAnsi="宋体"/>
                <w:bCs/>
                <w:color w:val="0000FF"/>
                <w:sz w:val="32"/>
                <w:szCs w:val="32"/>
                <w:highlight w:val="none"/>
                <w:lang w:eastAsia="zh-CN"/>
              </w:rPr>
              <w:t>BAZXDL-2025-00371</w:t>
            </w:r>
          </w:p>
        </w:tc>
      </w:tr>
      <w:tr w14:paraId="4B8D6257">
        <w:tblPrEx>
          <w:tblCellMar>
            <w:top w:w="0" w:type="dxa"/>
            <w:left w:w="108" w:type="dxa"/>
            <w:bottom w:w="0" w:type="dxa"/>
            <w:right w:w="108" w:type="dxa"/>
          </w:tblCellMar>
        </w:tblPrEx>
        <w:trPr>
          <w:trHeight w:val="851" w:hRule="atLeast"/>
          <w:jc w:val="center"/>
        </w:trPr>
        <w:tc>
          <w:tcPr>
            <w:tcW w:w="1707" w:type="dxa"/>
            <w:vAlign w:val="center"/>
          </w:tcPr>
          <w:p w14:paraId="6D793D34">
            <w:pPr>
              <w:spacing w:line="0" w:lineRule="atLeast"/>
              <w:jc w:val="center"/>
              <w:rPr>
                <w:rFonts w:ascii="宋体" w:hAnsi="宋体"/>
                <w:b/>
                <w:sz w:val="32"/>
                <w:szCs w:val="32"/>
                <w:highlight w:val="none"/>
              </w:rPr>
            </w:pPr>
            <w:r>
              <w:rPr>
                <w:rFonts w:hint="eastAsia" w:ascii="宋体" w:hAnsi="宋体"/>
                <w:b/>
                <w:sz w:val="32"/>
                <w:szCs w:val="32"/>
                <w:highlight w:val="none"/>
              </w:rPr>
              <w:t>采购单位：</w:t>
            </w:r>
          </w:p>
        </w:tc>
        <w:tc>
          <w:tcPr>
            <w:tcW w:w="5103" w:type="dxa"/>
            <w:vAlign w:val="center"/>
          </w:tcPr>
          <w:p w14:paraId="18DCE24A">
            <w:pPr>
              <w:spacing w:line="0" w:lineRule="atLeast"/>
              <w:jc w:val="both"/>
              <w:rPr>
                <w:rFonts w:hint="eastAsia" w:ascii="宋体" w:hAnsi="宋体" w:eastAsia="宋体"/>
                <w:color w:val="0000FF"/>
                <w:sz w:val="32"/>
                <w:szCs w:val="32"/>
                <w:highlight w:val="none"/>
                <w:lang w:eastAsia="zh-CN"/>
              </w:rPr>
            </w:pPr>
            <w:r>
              <w:rPr>
                <w:rFonts w:hint="eastAsia" w:ascii="宋体" w:hAnsi="宋体"/>
                <w:color w:val="0000FF"/>
                <w:sz w:val="32"/>
                <w:szCs w:val="32"/>
                <w:highlight w:val="none"/>
                <w:lang w:eastAsia="zh-CN"/>
              </w:rPr>
              <w:t>深圳市宝安区人民医院</w:t>
            </w:r>
          </w:p>
        </w:tc>
      </w:tr>
      <w:tr w14:paraId="49A2057A">
        <w:tblPrEx>
          <w:tblCellMar>
            <w:top w:w="0" w:type="dxa"/>
            <w:left w:w="108" w:type="dxa"/>
            <w:bottom w:w="0" w:type="dxa"/>
            <w:right w:w="108" w:type="dxa"/>
          </w:tblCellMar>
        </w:tblPrEx>
        <w:trPr>
          <w:trHeight w:val="851" w:hRule="atLeast"/>
          <w:jc w:val="center"/>
        </w:trPr>
        <w:tc>
          <w:tcPr>
            <w:tcW w:w="1707" w:type="dxa"/>
            <w:vAlign w:val="center"/>
          </w:tcPr>
          <w:p w14:paraId="1C0FA941">
            <w:pPr>
              <w:spacing w:line="0" w:lineRule="atLeast"/>
              <w:jc w:val="center"/>
              <w:rPr>
                <w:rFonts w:ascii="宋体" w:hAnsi="宋体"/>
                <w:b/>
                <w:sz w:val="32"/>
                <w:szCs w:val="32"/>
                <w:highlight w:val="none"/>
              </w:rPr>
            </w:pPr>
            <w:r>
              <w:rPr>
                <w:rFonts w:hint="eastAsia" w:ascii="宋体" w:hAnsi="宋体"/>
                <w:b/>
                <w:sz w:val="32"/>
                <w:szCs w:val="32"/>
                <w:highlight w:val="none"/>
                <w:lang w:val="en-US" w:eastAsia="zh-CN"/>
              </w:rPr>
              <w:t>代理机构</w:t>
            </w:r>
            <w:r>
              <w:rPr>
                <w:rFonts w:hint="eastAsia" w:ascii="宋体" w:hAnsi="宋体"/>
                <w:b/>
                <w:sz w:val="32"/>
                <w:szCs w:val="32"/>
                <w:highlight w:val="none"/>
              </w:rPr>
              <w:t>：</w:t>
            </w:r>
          </w:p>
        </w:tc>
        <w:tc>
          <w:tcPr>
            <w:tcW w:w="5103" w:type="dxa"/>
            <w:vAlign w:val="center"/>
          </w:tcPr>
          <w:p w14:paraId="3317CFA7">
            <w:pPr>
              <w:spacing w:line="0" w:lineRule="atLeast"/>
              <w:jc w:val="both"/>
              <w:rPr>
                <w:rFonts w:ascii="宋体" w:hAnsi="宋体"/>
                <w:sz w:val="32"/>
                <w:szCs w:val="32"/>
                <w:highlight w:val="none"/>
              </w:rPr>
            </w:pPr>
            <w:r>
              <w:rPr>
                <w:rFonts w:hint="eastAsia" w:ascii="宋体" w:hAnsi="宋体"/>
                <w:sz w:val="32"/>
                <w:szCs w:val="32"/>
                <w:highlight w:val="none"/>
              </w:rPr>
              <w:t>深圳交易咨询集团有限公司</w:t>
            </w:r>
          </w:p>
        </w:tc>
      </w:tr>
    </w:tbl>
    <w:p w14:paraId="58645EC6">
      <w:pPr>
        <w:spacing w:line="700" w:lineRule="exact"/>
        <w:ind w:left="1273" w:leftChars="606"/>
        <w:rPr>
          <w:rFonts w:ascii="宋体" w:hAnsi="宋体"/>
          <w:b/>
          <w:sz w:val="32"/>
          <w:szCs w:val="32"/>
          <w:highlight w:val="none"/>
        </w:rPr>
      </w:pPr>
    </w:p>
    <w:p w14:paraId="6E37614F">
      <w:pPr>
        <w:spacing w:line="700" w:lineRule="exact"/>
        <w:ind w:left="1273" w:leftChars="606"/>
        <w:rPr>
          <w:rFonts w:ascii="宋体" w:hAnsi="宋体"/>
          <w:b/>
          <w:sz w:val="32"/>
          <w:szCs w:val="32"/>
          <w:highlight w:val="none"/>
        </w:rPr>
      </w:pPr>
    </w:p>
    <w:p w14:paraId="1718595E">
      <w:pPr>
        <w:spacing w:line="700" w:lineRule="exact"/>
        <w:ind w:left="1273" w:leftChars="606"/>
        <w:rPr>
          <w:rFonts w:ascii="宋体" w:hAnsi="宋体"/>
          <w:b/>
          <w:sz w:val="32"/>
          <w:szCs w:val="32"/>
          <w:highlight w:val="none"/>
        </w:rPr>
      </w:pPr>
    </w:p>
    <w:p w14:paraId="08DFD7D4">
      <w:pPr>
        <w:jc w:val="center"/>
        <w:rPr>
          <w:rFonts w:ascii="宋体" w:hAnsi="宋体"/>
          <w:b/>
          <w:sz w:val="32"/>
          <w:szCs w:val="32"/>
          <w:highlight w:val="none"/>
        </w:rPr>
      </w:pPr>
      <w:r>
        <w:rPr>
          <w:rFonts w:hint="eastAsia" w:ascii="宋体" w:hAnsi="宋体"/>
          <w:b/>
          <w:sz w:val="32"/>
          <w:szCs w:val="32"/>
          <w:highlight w:val="none"/>
        </w:rPr>
        <w:drawing>
          <wp:inline distT="0" distB="0" distL="114300" distR="114300">
            <wp:extent cx="1783080" cy="850900"/>
            <wp:effectExtent l="0" t="0" r="7620" b="6350"/>
            <wp:docPr id="2" name="图片 2" descr="深圳交易咨询集团-竖版透明底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深圳交易咨询集团-竖版透明底logo"/>
                    <pic:cNvPicPr>
                      <a:picLocks noChangeAspect="1"/>
                    </pic:cNvPicPr>
                  </pic:nvPicPr>
                  <pic:blipFill>
                    <a:blip r:embed="rId9"/>
                    <a:stretch>
                      <a:fillRect/>
                    </a:stretch>
                  </pic:blipFill>
                  <pic:spPr>
                    <a:xfrm>
                      <a:off x="0" y="0"/>
                      <a:ext cx="1783080" cy="850900"/>
                    </a:xfrm>
                    <a:prstGeom prst="rect">
                      <a:avLst/>
                    </a:prstGeom>
                  </pic:spPr>
                </pic:pic>
              </a:graphicData>
            </a:graphic>
          </wp:inline>
        </w:drawing>
      </w:r>
    </w:p>
    <w:p w14:paraId="2D24A0C3">
      <w:pPr>
        <w:keepNext w:val="0"/>
        <w:keepLines w:val="0"/>
        <w:pageBreakBefore w:val="0"/>
        <w:widowControl/>
        <w:kinsoku/>
        <w:wordWrap/>
        <w:overflowPunct/>
        <w:topLinePunct w:val="0"/>
        <w:autoSpaceDE/>
        <w:autoSpaceDN/>
        <w:bidi w:val="0"/>
        <w:adjustRightInd/>
        <w:snapToGrid/>
        <w:spacing w:beforeAutospacing="1" w:afterAutospacing="1"/>
        <w:jc w:val="center"/>
        <w:textAlignment w:val="auto"/>
        <w:outlineLvl w:val="9"/>
        <w:rPr>
          <w:rFonts w:hint="eastAsia" w:ascii="宋体" w:hAnsi="宋体"/>
          <w:sz w:val="32"/>
          <w:szCs w:val="32"/>
          <w:highlight w:val="none"/>
        </w:rPr>
      </w:pPr>
      <w:r>
        <w:rPr>
          <w:rFonts w:hint="eastAsia" w:ascii="宋体" w:hAnsi="宋体"/>
          <w:sz w:val="32"/>
          <w:szCs w:val="32"/>
          <w:highlight w:val="none"/>
        </w:rPr>
        <w:t>二○二</w:t>
      </w:r>
      <w:r>
        <w:rPr>
          <w:rFonts w:hint="eastAsia" w:ascii="宋体" w:hAnsi="宋体"/>
          <w:sz w:val="32"/>
          <w:szCs w:val="32"/>
          <w:highlight w:val="none"/>
          <w:lang w:val="en-US" w:eastAsia="zh-CN"/>
        </w:rPr>
        <w:t>五</w:t>
      </w:r>
      <w:r>
        <w:rPr>
          <w:rFonts w:hint="eastAsia" w:ascii="宋体" w:hAnsi="宋体"/>
          <w:sz w:val="32"/>
          <w:szCs w:val="32"/>
          <w:highlight w:val="none"/>
        </w:rPr>
        <w:t>年</w:t>
      </w:r>
      <w:r>
        <w:rPr>
          <w:rFonts w:hint="eastAsia" w:ascii="宋体" w:hAnsi="宋体"/>
          <w:sz w:val="32"/>
          <w:szCs w:val="32"/>
          <w:highlight w:val="none"/>
          <w:lang w:val="en-US" w:eastAsia="zh-CN"/>
        </w:rPr>
        <w:t>七</w:t>
      </w:r>
      <w:r>
        <w:rPr>
          <w:rFonts w:hint="eastAsia" w:ascii="宋体" w:hAnsi="宋体"/>
          <w:sz w:val="32"/>
          <w:szCs w:val="32"/>
          <w:highlight w:val="none"/>
        </w:rPr>
        <w:t>月</w:t>
      </w:r>
    </w:p>
    <w:p w14:paraId="2FF733B0">
      <w:pPr>
        <w:rPr>
          <w:rFonts w:hint="eastAsia" w:ascii="方正小标宋简体" w:hAnsi="方正小标宋简体" w:eastAsia="方正小标宋简体" w:cs="方正小标宋简体"/>
          <w:bCs/>
          <w:color w:val="000000"/>
          <w:sz w:val="44"/>
          <w:szCs w:val="44"/>
          <w:highlight w:val="none"/>
        </w:rPr>
      </w:pPr>
      <w:r>
        <w:rPr>
          <w:rFonts w:hint="eastAsia" w:ascii="方正小标宋简体" w:hAnsi="方正小标宋简体" w:eastAsia="方正小标宋简体" w:cs="方正小标宋简体"/>
          <w:bCs/>
          <w:color w:val="000000"/>
          <w:sz w:val="44"/>
          <w:szCs w:val="44"/>
          <w:highlight w:val="none"/>
        </w:rPr>
        <w:br w:type="page"/>
      </w:r>
    </w:p>
    <w:p w14:paraId="092D31E2">
      <w:pPr>
        <w:widowControl/>
        <w:spacing w:beforeAutospacing="1" w:afterAutospacing="1"/>
        <w:jc w:val="center"/>
        <w:outlineLvl w:val="1"/>
        <w:rPr>
          <w:rFonts w:hint="eastAsia" w:ascii="方正小标宋简体" w:hAnsi="方正小标宋简体" w:eastAsia="方正小标宋简体" w:cs="方正小标宋简体"/>
          <w:bCs/>
          <w:color w:val="000000"/>
          <w:sz w:val="44"/>
          <w:szCs w:val="44"/>
          <w:highlight w:val="none"/>
        </w:rPr>
      </w:pPr>
      <w:r>
        <w:rPr>
          <w:rFonts w:hint="eastAsia" w:ascii="方正小标宋简体" w:hAnsi="方正小标宋简体" w:eastAsia="方正小标宋简体" w:cs="方正小标宋简体"/>
          <w:bCs/>
          <w:color w:val="000000"/>
          <w:sz w:val="44"/>
          <w:szCs w:val="44"/>
          <w:highlight w:val="none"/>
        </w:rPr>
        <w:t>招标文件信息</w:t>
      </w:r>
    </w:p>
    <w:tbl>
      <w:tblPr>
        <w:tblStyle w:val="42"/>
        <w:tblW w:w="7943" w:type="dxa"/>
        <w:jc w:val="center"/>
        <w:tblCellSpacing w:w="0" w:type="dxa"/>
        <w:tblLayout w:type="fixed"/>
        <w:tblCellMar>
          <w:top w:w="45" w:type="dxa"/>
          <w:left w:w="45" w:type="dxa"/>
          <w:bottom w:w="45" w:type="dxa"/>
          <w:right w:w="45" w:type="dxa"/>
        </w:tblCellMar>
      </w:tblPr>
      <w:tblGrid>
        <w:gridCol w:w="1782"/>
        <w:gridCol w:w="6161"/>
      </w:tblGrid>
      <w:tr w14:paraId="7D39D54A">
        <w:tblPrEx>
          <w:tblCellMar>
            <w:top w:w="45" w:type="dxa"/>
            <w:left w:w="45" w:type="dxa"/>
            <w:bottom w:w="45" w:type="dxa"/>
            <w:right w:w="45" w:type="dxa"/>
          </w:tblCellMar>
        </w:tblPrEx>
        <w:trPr>
          <w:trHeight w:val="738" w:hRule="atLeast"/>
          <w:tblCellSpacing w:w="0" w:type="dxa"/>
          <w:jc w:val="center"/>
        </w:trPr>
        <w:tc>
          <w:tcPr>
            <w:tcW w:w="1782" w:type="dxa"/>
            <w:shd w:val="clear" w:color="auto" w:fill="auto"/>
            <w:vAlign w:val="center"/>
          </w:tcPr>
          <w:p w14:paraId="02B6DC3E">
            <w:pPr>
              <w:widowControl/>
              <w:jc w:val="right"/>
              <w:rPr>
                <w:sz w:val="30"/>
                <w:szCs w:val="30"/>
                <w:highlight w:val="none"/>
              </w:rPr>
            </w:pPr>
            <w:r>
              <w:rPr>
                <w:rFonts w:ascii="宋体" w:hAnsi="宋体" w:cs="宋体"/>
                <w:kern w:val="0"/>
                <w:sz w:val="30"/>
                <w:szCs w:val="30"/>
                <w:highlight w:val="none"/>
              </w:rPr>
              <w:t>项目编号：</w:t>
            </w:r>
          </w:p>
        </w:tc>
        <w:tc>
          <w:tcPr>
            <w:tcW w:w="6161" w:type="dxa"/>
            <w:shd w:val="clear" w:color="auto" w:fill="auto"/>
            <w:vAlign w:val="center"/>
          </w:tcPr>
          <w:p w14:paraId="57CCA218">
            <w:pPr>
              <w:widowControl/>
              <w:jc w:val="left"/>
              <w:rPr>
                <w:rFonts w:hint="eastAsia" w:eastAsia="宋体"/>
                <w:color w:val="0000FF"/>
                <w:sz w:val="30"/>
                <w:szCs w:val="30"/>
                <w:highlight w:val="none"/>
                <w:lang w:eastAsia="zh-CN"/>
              </w:rPr>
            </w:pPr>
            <w:r>
              <w:rPr>
                <w:rFonts w:hint="eastAsia"/>
                <w:color w:val="0000FF"/>
                <w:sz w:val="30"/>
                <w:szCs w:val="30"/>
                <w:highlight w:val="none"/>
                <w:lang w:eastAsia="zh-CN"/>
              </w:rPr>
              <w:t>BAZXDL-2025-00371</w:t>
            </w:r>
          </w:p>
        </w:tc>
      </w:tr>
      <w:tr w14:paraId="603D6728">
        <w:tblPrEx>
          <w:tblCellMar>
            <w:top w:w="45" w:type="dxa"/>
            <w:left w:w="45" w:type="dxa"/>
            <w:bottom w:w="45" w:type="dxa"/>
            <w:right w:w="45" w:type="dxa"/>
          </w:tblCellMar>
        </w:tblPrEx>
        <w:trPr>
          <w:trHeight w:val="738" w:hRule="atLeast"/>
          <w:tblCellSpacing w:w="0" w:type="dxa"/>
          <w:jc w:val="center"/>
        </w:trPr>
        <w:tc>
          <w:tcPr>
            <w:tcW w:w="1782" w:type="dxa"/>
            <w:shd w:val="clear" w:color="auto" w:fill="auto"/>
            <w:vAlign w:val="center"/>
          </w:tcPr>
          <w:p w14:paraId="43905C6F">
            <w:pPr>
              <w:widowControl/>
              <w:jc w:val="right"/>
              <w:rPr>
                <w:sz w:val="30"/>
                <w:szCs w:val="30"/>
                <w:highlight w:val="none"/>
              </w:rPr>
            </w:pPr>
            <w:r>
              <w:rPr>
                <w:rFonts w:ascii="宋体" w:hAnsi="宋体" w:cs="宋体"/>
                <w:kern w:val="0"/>
                <w:sz w:val="30"/>
                <w:szCs w:val="30"/>
                <w:highlight w:val="none"/>
              </w:rPr>
              <w:t>项目名称：</w:t>
            </w:r>
          </w:p>
        </w:tc>
        <w:tc>
          <w:tcPr>
            <w:tcW w:w="6161" w:type="dxa"/>
            <w:shd w:val="clear" w:color="auto" w:fill="auto"/>
            <w:vAlign w:val="center"/>
          </w:tcPr>
          <w:p w14:paraId="3221BD28">
            <w:pPr>
              <w:widowControl/>
              <w:jc w:val="left"/>
              <w:rPr>
                <w:rFonts w:hint="eastAsia" w:eastAsia="宋体"/>
                <w:color w:val="0000FF"/>
                <w:sz w:val="30"/>
                <w:szCs w:val="30"/>
                <w:highlight w:val="none"/>
                <w:lang w:eastAsia="zh-CN"/>
              </w:rPr>
            </w:pPr>
            <w:r>
              <w:rPr>
                <w:rFonts w:hint="eastAsia"/>
                <w:color w:val="0000FF"/>
                <w:sz w:val="30"/>
                <w:szCs w:val="30"/>
                <w:highlight w:val="none"/>
                <w:lang w:eastAsia="zh-CN"/>
              </w:rPr>
              <w:t>深圳市宝安区人民医院口腔颌面锥形束计算机体层摄影设备(CBCT)采购</w:t>
            </w:r>
          </w:p>
        </w:tc>
      </w:tr>
      <w:tr w14:paraId="062A7E6E">
        <w:tblPrEx>
          <w:tblCellMar>
            <w:top w:w="45" w:type="dxa"/>
            <w:left w:w="45" w:type="dxa"/>
            <w:bottom w:w="45" w:type="dxa"/>
            <w:right w:w="45" w:type="dxa"/>
          </w:tblCellMar>
        </w:tblPrEx>
        <w:trPr>
          <w:trHeight w:val="738" w:hRule="atLeast"/>
          <w:tblCellSpacing w:w="0" w:type="dxa"/>
          <w:jc w:val="center"/>
        </w:trPr>
        <w:tc>
          <w:tcPr>
            <w:tcW w:w="1782" w:type="dxa"/>
            <w:shd w:val="clear" w:color="auto" w:fill="auto"/>
            <w:vAlign w:val="center"/>
          </w:tcPr>
          <w:p w14:paraId="51A046E7">
            <w:pPr>
              <w:widowControl/>
              <w:jc w:val="right"/>
              <w:rPr>
                <w:sz w:val="30"/>
                <w:szCs w:val="30"/>
                <w:highlight w:val="none"/>
              </w:rPr>
            </w:pPr>
            <w:r>
              <w:rPr>
                <w:rFonts w:ascii="宋体" w:hAnsi="宋体" w:cs="宋体"/>
                <w:kern w:val="0"/>
                <w:sz w:val="30"/>
                <w:szCs w:val="30"/>
                <w:highlight w:val="none"/>
              </w:rPr>
              <w:t>包 号：</w:t>
            </w:r>
          </w:p>
        </w:tc>
        <w:tc>
          <w:tcPr>
            <w:tcW w:w="6161" w:type="dxa"/>
            <w:shd w:val="clear" w:color="auto" w:fill="auto"/>
            <w:vAlign w:val="center"/>
          </w:tcPr>
          <w:p w14:paraId="13C6C761">
            <w:pPr>
              <w:widowControl/>
              <w:jc w:val="left"/>
              <w:rPr>
                <w:color w:val="0000FF"/>
                <w:sz w:val="30"/>
                <w:szCs w:val="30"/>
                <w:highlight w:val="none"/>
              </w:rPr>
            </w:pPr>
            <w:r>
              <w:rPr>
                <w:rFonts w:ascii="宋体" w:hAnsi="宋体" w:cs="宋体"/>
                <w:color w:val="0000FF"/>
                <w:kern w:val="0"/>
                <w:sz w:val="30"/>
                <w:szCs w:val="30"/>
                <w:highlight w:val="none"/>
              </w:rPr>
              <w:t>A</w:t>
            </w:r>
          </w:p>
        </w:tc>
      </w:tr>
      <w:tr w14:paraId="4EF51C79">
        <w:tblPrEx>
          <w:tblCellMar>
            <w:top w:w="45" w:type="dxa"/>
            <w:left w:w="45" w:type="dxa"/>
            <w:bottom w:w="45" w:type="dxa"/>
            <w:right w:w="45" w:type="dxa"/>
          </w:tblCellMar>
        </w:tblPrEx>
        <w:trPr>
          <w:trHeight w:val="738" w:hRule="atLeast"/>
          <w:tblCellSpacing w:w="0" w:type="dxa"/>
          <w:jc w:val="center"/>
        </w:trPr>
        <w:tc>
          <w:tcPr>
            <w:tcW w:w="1782" w:type="dxa"/>
            <w:shd w:val="clear" w:color="auto" w:fill="auto"/>
            <w:vAlign w:val="center"/>
          </w:tcPr>
          <w:p w14:paraId="131C155A">
            <w:pPr>
              <w:widowControl/>
              <w:jc w:val="right"/>
              <w:rPr>
                <w:sz w:val="30"/>
                <w:szCs w:val="30"/>
                <w:highlight w:val="none"/>
              </w:rPr>
            </w:pPr>
            <w:r>
              <w:rPr>
                <w:rFonts w:ascii="宋体" w:hAnsi="宋体" w:cs="宋体"/>
                <w:kern w:val="0"/>
                <w:sz w:val="30"/>
                <w:szCs w:val="30"/>
                <w:highlight w:val="none"/>
              </w:rPr>
              <w:t>项目类型：</w:t>
            </w:r>
          </w:p>
        </w:tc>
        <w:tc>
          <w:tcPr>
            <w:tcW w:w="6161" w:type="dxa"/>
            <w:shd w:val="clear" w:color="auto" w:fill="auto"/>
            <w:vAlign w:val="center"/>
          </w:tcPr>
          <w:p w14:paraId="103DFE95">
            <w:pPr>
              <w:widowControl/>
              <w:jc w:val="left"/>
              <w:rPr>
                <w:color w:val="0000FF"/>
                <w:sz w:val="30"/>
                <w:szCs w:val="30"/>
                <w:highlight w:val="none"/>
              </w:rPr>
            </w:pPr>
            <w:r>
              <w:rPr>
                <w:rFonts w:ascii="宋体" w:hAnsi="宋体" w:cs="宋体"/>
                <w:color w:val="0000FF"/>
                <w:kern w:val="0"/>
                <w:sz w:val="30"/>
                <w:szCs w:val="30"/>
                <w:highlight w:val="none"/>
                <w:lang w:bidi="ar"/>
              </w:rPr>
              <w:t>货物类</w:t>
            </w:r>
          </w:p>
        </w:tc>
      </w:tr>
      <w:tr w14:paraId="6CBCA773">
        <w:tblPrEx>
          <w:tblCellMar>
            <w:top w:w="45" w:type="dxa"/>
            <w:left w:w="45" w:type="dxa"/>
            <w:bottom w:w="45" w:type="dxa"/>
            <w:right w:w="45" w:type="dxa"/>
          </w:tblCellMar>
        </w:tblPrEx>
        <w:trPr>
          <w:trHeight w:val="738" w:hRule="atLeast"/>
          <w:tblCellSpacing w:w="0" w:type="dxa"/>
          <w:jc w:val="center"/>
        </w:trPr>
        <w:tc>
          <w:tcPr>
            <w:tcW w:w="1782" w:type="dxa"/>
            <w:shd w:val="clear" w:color="auto" w:fill="auto"/>
            <w:vAlign w:val="center"/>
          </w:tcPr>
          <w:p w14:paraId="6B33CBA5">
            <w:pPr>
              <w:widowControl/>
              <w:jc w:val="right"/>
              <w:rPr>
                <w:sz w:val="30"/>
                <w:szCs w:val="30"/>
                <w:highlight w:val="none"/>
              </w:rPr>
            </w:pPr>
            <w:r>
              <w:rPr>
                <w:rFonts w:ascii="宋体" w:hAnsi="宋体" w:cs="宋体"/>
                <w:kern w:val="0"/>
                <w:sz w:val="30"/>
                <w:szCs w:val="30"/>
                <w:highlight w:val="none"/>
              </w:rPr>
              <w:t>采购方式：</w:t>
            </w:r>
          </w:p>
        </w:tc>
        <w:tc>
          <w:tcPr>
            <w:tcW w:w="6161" w:type="dxa"/>
            <w:shd w:val="clear" w:color="auto" w:fill="auto"/>
            <w:vAlign w:val="center"/>
          </w:tcPr>
          <w:p w14:paraId="54B46E29">
            <w:pPr>
              <w:widowControl/>
              <w:jc w:val="left"/>
              <w:rPr>
                <w:color w:val="0000FF"/>
                <w:sz w:val="30"/>
                <w:szCs w:val="30"/>
                <w:highlight w:val="none"/>
              </w:rPr>
            </w:pPr>
            <w:r>
              <w:rPr>
                <w:rFonts w:ascii="宋体" w:hAnsi="宋体" w:cs="宋体"/>
                <w:color w:val="0000FF"/>
                <w:kern w:val="0"/>
                <w:sz w:val="30"/>
                <w:szCs w:val="30"/>
                <w:highlight w:val="none"/>
              </w:rPr>
              <w:t>公开</w:t>
            </w:r>
            <w:r>
              <w:rPr>
                <w:rFonts w:hint="eastAsia" w:ascii="宋体" w:hAnsi="宋体" w:cs="宋体"/>
                <w:color w:val="0000FF"/>
                <w:kern w:val="0"/>
                <w:sz w:val="30"/>
                <w:szCs w:val="30"/>
                <w:highlight w:val="none"/>
              </w:rPr>
              <w:t>招标</w:t>
            </w:r>
          </w:p>
        </w:tc>
      </w:tr>
      <w:tr w14:paraId="15C8AB50">
        <w:tblPrEx>
          <w:tblCellMar>
            <w:top w:w="45" w:type="dxa"/>
            <w:left w:w="45" w:type="dxa"/>
            <w:bottom w:w="45" w:type="dxa"/>
            <w:right w:w="45" w:type="dxa"/>
          </w:tblCellMar>
        </w:tblPrEx>
        <w:trPr>
          <w:trHeight w:val="738" w:hRule="atLeast"/>
          <w:tblCellSpacing w:w="0" w:type="dxa"/>
          <w:jc w:val="center"/>
        </w:trPr>
        <w:tc>
          <w:tcPr>
            <w:tcW w:w="1782" w:type="dxa"/>
            <w:shd w:val="clear" w:color="auto" w:fill="auto"/>
            <w:vAlign w:val="center"/>
          </w:tcPr>
          <w:p w14:paraId="28F11424">
            <w:pPr>
              <w:widowControl/>
              <w:jc w:val="right"/>
              <w:rPr>
                <w:sz w:val="30"/>
                <w:szCs w:val="30"/>
                <w:highlight w:val="none"/>
              </w:rPr>
            </w:pPr>
            <w:r>
              <w:rPr>
                <w:rFonts w:ascii="宋体" w:hAnsi="宋体" w:cs="宋体"/>
                <w:kern w:val="0"/>
                <w:sz w:val="30"/>
                <w:szCs w:val="30"/>
                <w:highlight w:val="none"/>
              </w:rPr>
              <w:t>货币类型：</w:t>
            </w:r>
          </w:p>
        </w:tc>
        <w:tc>
          <w:tcPr>
            <w:tcW w:w="6161" w:type="dxa"/>
            <w:shd w:val="clear" w:color="auto" w:fill="auto"/>
            <w:vAlign w:val="center"/>
          </w:tcPr>
          <w:p w14:paraId="34C9F64A">
            <w:pPr>
              <w:widowControl/>
              <w:jc w:val="left"/>
              <w:rPr>
                <w:color w:val="0000FF"/>
                <w:sz w:val="30"/>
                <w:szCs w:val="30"/>
                <w:highlight w:val="none"/>
              </w:rPr>
            </w:pPr>
            <w:r>
              <w:rPr>
                <w:rFonts w:ascii="宋体" w:hAnsi="宋体" w:cs="宋体"/>
                <w:color w:val="0000FF"/>
                <w:kern w:val="0"/>
                <w:sz w:val="30"/>
                <w:szCs w:val="30"/>
                <w:highlight w:val="none"/>
              </w:rPr>
              <w:t>人民币</w:t>
            </w:r>
          </w:p>
        </w:tc>
      </w:tr>
      <w:tr w14:paraId="64636E79">
        <w:tblPrEx>
          <w:tblCellMar>
            <w:top w:w="45" w:type="dxa"/>
            <w:left w:w="45" w:type="dxa"/>
            <w:bottom w:w="45" w:type="dxa"/>
            <w:right w:w="45" w:type="dxa"/>
          </w:tblCellMar>
        </w:tblPrEx>
        <w:trPr>
          <w:trHeight w:val="738" w:hRule="atLeast"/>
          <w:tblCellSpacing w:w="0" w:type="dxa"/>
          <w:jc w:val="center"/>
        </w:trPr>
        <w:tc>
          <w:tcPr>
            <w:tcW w:w="1782" w:type="dxa"/>
            <w:shd w:val="clear" w:color="auto" w:fill="auto"/>
            <w:vAlign w:val="center"/>
          </w:tcPr>
          <w:p w14:paraId="6B84BE50">
            <w:pPr>
              <w:widowControl/>
              <w:jc w:val="right"/>
              <w:rPr>
                <w:sz w:val="30"/>
                <w:szCs w:val="30"/>
                <w:highlight w:val="none"/>
              </w:rPr>
            </w:pPr>
            <w:r>
              <w:rPr>
                <w:rFonts w:ascii="宋体" w:hAnsi="宋体" w:cs="宋体"/>
                <w:kern w:val="0"/>
                <w:sz w:val="30"/>
                <w:szCs w:val="30"/>
                <w:highlight w:val="none"/>
              </w:rPr>
              <w:t>评标方法：</w:t>
            </w:r>
          </w:p>
        </w:tc>
        <w:tc>
          <w:tcPr>
            <w:tcW w:w="6161" w:type="dxa"/>
            <w:shd w:val="clear" w:color="auto" w:fill="auto"/>
            <w:vAlign w:val="center"/>
          </w:tcPr>
          <w:p w14:paraId="3B415574">
            <w:pPr>
              <w:widowControl/>
              <w:jc w:val="left"/>
              <w:rPr>
                <w:color w:val="0000FF"/>
                <w:sz w:val="30"/>
                <w:szCs w:val="30"/>
                <w:highlight w:val="none"/>
              </w:rPr>
            </w:pPr>
            <w:r>
              <w:rPr>
                <w:rFonts w:ascii="宋体" w:hAnsi="宋体" w:cs="宋体"/>
                <w:color w:val="0000FF"/>
                <w:kern w:val="0"/>
                <w:sz w:val="30"/>
                <w:szCs w:val="30"/>
                <w:highlight w:val="none"/>
                <w:lang w:bidi="ar"/>
              </w:rPr>
              <w:t>综合评分法</w:t>
            </w:r>
          </w:p>
        </w:tc>
      </w:tr>
    </w:tbl>
    <w:p w14:paraId="31302BC8">
      <w:pPr>
        <w:rPr>
          <w:rFonts w:hint="eastAsia" w:ascii="黑体" w:hAnsi="黑体" w:eastAsia="黑体"/>
          <w:sz w:val="40"/>
          <w:szCs w:val="40"/>
          <w:highlight w:val="none"/>
        </w:rPr>
      </w:pPr>
      <w:r>
        <w:rPr>
          <w:rFonts w:hint="eastAsia" w:ascii="黑体" w:hAnsi="黑体" w:eastAsia="黑体"/>
          <w:sz w:val="40"/>
          <w:szCs w:val="40"/>
          <w:highlight w:val="none"/>
        </w:rPr>
        <w:br w:type="page"/>
      </w:r>
    </w:p>
    <w:p w14:paraId="4FD775C6">
      <w:pPr>
        <w:pStyle w:val="37"/>
        <w:jc w:val="center"/>
        <w:outlineLvl w:val="1"/>
        <w:rPr>
          <w:rFonts w:hint="eastAsia" w:ascii="黑体" w:hAnsi="黑体" w:eastAsia="黑体"/>
          <w:sz w:val="40"/>
          <w:szCs w:val="40"/>
          <w:highlight w:val="none"/>
        </w:rPr>
      </w:pPr>
      <w:r>
        <w:rPr>
          <w:rFonts w:hint="eastAsia" w:ascii="黑体" w:hAnsi="黑体" w:eastAsia="黑体"/>
          <w:sz w:val="40"/>
          <w:szCs w:val="40"/>
          <w:highlight w:val="none"/>
        </w:rPr>
        <w:t>资格性审查表</w:t>
      </w:r>
    </w:p>
    <w:tbl>
      <w:tblPr>
        <w:tblStyle w:val="42"/>
        <w:tblW w:w="852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1009"/>
        <w:gridCol w:w="7517"/>
      </w:tblGrid>
      <w:tr w14:paraId="3F46AE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4" w:hRule="atLeast"/>
          <w:jc w:val="center"/>
        </w:trPr>
        <w:tc>
          <w:tcPr>
            <w:tcW w:w="1009"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AC171A7">
            <w:pPr>
              <w:spacing w:line="360" w:lineRule="exact"/>
              <w:jc w:val="center"/>
              <w:rPr>
                <w:rFonts w:hint="eastAsia" w:ascii="宋体" w:hAnsi="宋体" w:cs="宋体"/>
                <w:sz w:val="28"/>
                <w:szCs w:val="28"/>
                <w:highlight w:val="none"/>
              </w:rPr>
            </w:pPr>
            <w:r>
              <w:rPr>
                <w:sz w:val="28"/>
                <w:szCs w:val="28"/>
                <w:highlight w:val="none"/>
              </w:rPr>
              <w:t>序号</w:t>
            </w:r>
          </w:p>
        </w:tc>
        <w:tc>
          <w:tcPr>
            <w:tcW w:w="7517"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185B5D1">
            <w:pPr>
              <w:spacing w:line="360" w:lineRule="exact"/>
              <w:jc w:val="center"/>
              <w:rPr>
                <w:rFonts w:hint="eastAsia" w:ascii="宋体" w:hAnsi="宋体" w:cs="宋体"/>
                <w:sz w:val="28"/>
                <w:szCs w:val="28"/>
                <w:highlight w:val="none"/>
              </w:rPr>
            </w:pPr>
            <w:r>
              <w:rPr>
                <w:sz w:val="28"/>
                <w:szCs w:val="28"/>
                <w:highlight w:val="none"/>
              </w:rPr>
              <w:t>内容</w:t>
            </w:r>
          </w:p>
        </w:tc>
      </w:tr>
      <w:tr w14:paraId="4EA5BA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0" w:hRule="atLeast"/>
          <w:jc w:val="center"/>
        </w:trPr>
        <w:tc>
          <w:tcPr>
            <w:tcW w:w="1009" w:type="dxa"/>
            <w:tcBorders>
              <w:top w:val="single" w:color="000000" w:sz="8" w:space="0"/>
              <w:left w:val="single" w:color="000000" w:sz="8" w:space="0"/>
              <w:bottom w:val="single" w:color="000000" w:sz="8" w:space="0"/>
              <w:right w:val="single" w:color="000000" w:sz="8" w:space="0"/>
            </w:tcBorders>
          </w:tcPr>
          <w:p w14:paraId="788512E0">
            <w:pPr>
              <w:jc w:val="center"/>
              <w:rPr>
                <w:rFonts w:hint="eastAsia" w:ascii="宋体" w:hAnsi="宋体" w:cs="宋体"/>
                <w:szCs w:val="21"/>
                <w:highlight w:val="none"/>
              </w:rPr>
            </w:pPr>
            <w:r>
              <w:rPr>
                <w:szCs w:val="21"/>
                <w:highlight w:val="none"/>
              </w:rPr>
              <w:t>1</w:t>
            </w:r>
          </w:p>
        </w:tc>
        <w:tc>
          <w:tcPr>
            <w:tcW w:w="7517" w:type="dxa"/>
            <w:tcBorders>
              <w:top w:val="single" w:color="000000" w:sz="8" w:space="0"/>
              <w:left w:val="single" w:color="000000" w:sz="8" w:space="0"/>
              <w:bottom w:val="single" w:color="000000" w:sz="8" w:space="0"/>
              <w:right w:val="single" w:color="000000" w:sz="8" w:space="0"/>
            </w:tcBorders>
          </w:tcPr>
          <w:p w14:paraId="43545FEF">
            <w:pPr>
              <w:rPr>
                <w:rFonts w:hint="eastAsia" w:ascii="宋体" w:hAnsi="宋体" w:cs="宋体"/>
                <w:szCs w:val="21"/>
                <w:highlight w:val="none"/>
              </w:rPr>
            </w:pPr>
            <w:r>
              <w:rPr>
                <w:rFonts w:ascii="宋体" w:hAnsi="宋体" w:cs="宋体"/>
                <w:kern w:val="0"/>
                <w:szCs w:val="21"/>
                <w:highlight w:val="none"/>
              </w:rPr>
              <w:t>投标人不</w:t>
            </w:r>
            <w:r>
              <w:rPr>
                <w:rFonts w:hint="eastAsia" w:ascii="宋体" w:hAnsi="宋体" w:cs="宋体"/>
                <w:kern w:val="0"/>
                <w:szCs w:val="21"/>
                <w:highlight w:val="none"/>
              </w:rPr>
              <w:t>符合</w:t>
            </w:r>
            <w:r>
              <w:rPr>
                <w:rFonts w:ascii="宋体" w:hAnsi="宋体" w:cs="宋体"/>
                <w:kern w:val="0"/>
                <w:szCs w:val="21"/>
                <w:highlight w:val="none"/>
              </w:rPr>
              <w:t>资格要求，或未提交相应的资格证明资料（详见</w:t>
            </w:r>
            <w:r>
              <w:rPr>
                <w:rFonts w:hint="eastAsia" w:ascii="宋体" w:hAnsi="宋体" w:cs="宋体"/>
                <w:kern w:val="0"/>
                <w:szCs w:val="21"/>
                <w:highlight w:val="none"/>
              </w:rPr>
              <w:t>招标</w:t>
            </w:r>
            <w:r>
              <w:rPr>
                <w:rFonts w:ascii="宋体" w:hAnsi="宋体" w:cs="宋体"/>
                <w:kern w:val="0"/>
                <w:szCs w:val="21"/>
                <w:highlight w:val="none"/>
              </w:rPr>
              <w:t>公告</w:t>
            </w:r>
            <w:r>
              <w:rPr>
                <w:rFonts w:hint="eastAsia" w:ascii="宋体" w:hAnsi="宋体"/>
                <w:szCs w:val="21"/>
                <w:highlight w:val="none"/>
              </w:rPr>
              <w:t>投标人资格要求</w:t>
            </w:r>
            <w:r>
              <w:rPr>
                <w:rFonts w:ascii="宋体" w:hAnsi="宋体" w:cs="宋体"/>
                <w:kern w:val="0"/>
                <w:szCs w:val="21"/>
                <w:highlight w:val="none"/>
              </w:rPr>
              <w:t>）</w:t>
            </w:r>
          </w:p>
        </w:tc>
      </w:tr>
    </w:tbl>
    <w:p w14:paraId="036AE196">
      <w:pPr>
        <w:pStyle w:val="37"/>
        <w:spacing w:before="280"/>
        <w:jc w:val="center"/>
        <w:outlineLvl w:val="1"/>
        <w:rPr>
          <w:rFonts w:hint="eastAsia" w:ascii="黑体" w:hAnsi="黑体" w:eastAsia="黑体"/>
          <w:sz w:val="40"/>
          <w:szCs w:val="40"/>
          <w:highlight w:val="none"/>
        </w:rPr>
      </w:pPr>
      <w:r>
        <w:rPr>
          <w:rFonts w:hint="eastAsia" w:ascii="黑体" w:hAnsi="黑体" w:eastAsia="黑体"/>
          <w:sz w:val="40"/>
          <w:szCs w:val="40"/>
          <w:highlight w:val="none"/>
        </w:rPr>
        <w:t>符合性审查表</w:t>
      </w:r>
    </w:p>
    <w:tbl>
      <w:tblPr>
        <w:tblStyle w:val="42"/>
        <w:tblW w:w="852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1035"/>
        <w:gridCol w:w="7492"/>
      </w:tblGrid>
      <w:tr w14:paraId="31D3F2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1035"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4F3742EC">
            <w:pPr>
              <w:widowControl/>
              <w:spacing w:line="360" w:lineRule="exact"/>
              <w:jc w:val="center"/>
              <w:rPr>
                <w:sz w:val="28"/>
                <w:szCs w:val="28"/>
                <w:highlight w:val="none"/>
              </w:rPr>
            </w:pPr>
            <w:r>
              <w:rPr>
                <w:rFonts w:ascii="宋体" w:hAnsi="宋体" w:cs="宋体"/>
                <w:kern w:val="0"/>
                <w:sz w:val="28"/>
                <w:szCs w:val="28"/>
                <w:highlight w:val="none"/>
              </w:rPr>
              <w:t>序号</w:t>
            </w:r>
          </w:p>
        </w:tc>
        <w:tc>
          <w:tcPr>
            <w:tcW w:w="7492"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BB110F1">
            <w:pPr>
              <w:widowControl/>
              <w:spacing w:line="360" w:lineRule="exact"/>
              <w:jc w:val="center"/>
              <w:rPr>
                <w:sz w:val="28"/>
                <w:szCs w:val="28"/>
                <w:highlight w:val="none"/>
              </w:rPr>
            </w:pPr>
            <w:r>
              <w:rPr>
                <w:rFonts w:ascii="宋体" w:hAnsi="宋体" w:cs="宋体"/>
                <w:kern w:val="0"/>
                <w:sz w:val="28"/>
                <w:szCs w:val="28"/>
                <w:highlight w:val="none"/>
              </w:rPr>
              <w:t>内容</w:t>
            </w:r>
          </w:p>
        </w:tc>
      </w:tr>
      <w:tr w14:paraId="768C7F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1035" w:type="dxa"/>
            <w:tcBorders>
              <w:top w:val="single" w:color="000000" w:sz="8" w:space="0"/>
              <w:left w:val="single" w:color="000000" w:sz="8" w:space="0"/>
              <w:bottom w:val="single" w:color="000000" w:sz="8" w:space="0"/>
              <w:right w:val="single" w:color="000000" w:sz="8" w:space="0"/>
            </w:tcBorders>
            <w:shd w:val="clear" w:color="auto" w:fill="auto"/>
          </w:tcPr>
          <w:p w14:paraId="4ECE9765">
            <w:pPr>
              <w:widowControl/>
              <w:jc w:val="center"/>
              <w:textAlignment w:val="top"/>
              <w:rPr>
                <w:szCs w:val="21"/>
                <w:highlight w:val="none"/>
              </w:rPr>
            </w:pPr>
            <w:r>
              <w:rPr>
                <w:rFonts w:ascii="宋体" w:hAnsi="宋体" w:cs="宋体"/>
                <w:kern w:val="0"/>
                <w:szCs w:val="21"/>
                <w:highlight w:val="none"/>
              </w:rPr>
              <w:t>1</w:t>
            </w:r>
          </w:p>
        </w:tc>
        <w:tc>
          <w:tcPr>
            <w:tcW w:w="7492" w:type="dxa"/>
            <w:tcBorders>
              <w:top w:val="single" w:color="000000" w:sz="8" w:space="0"/>
              <w:left w:val="single" w:color="000000" w:sz="8" w:space="0"/>
              <w:bottom w:val="single" w:color="000000" w:sz="8" w:space="0"/>
              <w:right w:val="single" w:color="000000" w:sz="8" w:space="0"/>
            </w:tcBorders>
            <w:shd w:val="clear" w:color="auto" w:fill="auto"/>
          </w:tcPr>
          <w:p w14:paraId="25EC1FFE">
            <w:pPr>
              <w:widowControl/>
              <w:textAlignment w:val="top"/>
              <w:rPr>
                <w:szCs w:val="21"/>
                <w:highlight w:val="none"/>
              </w:rPr>
            </w:pPr>
            <w:r>
              <w:rPr>
                <w:rFonts w:hint="eastAsia"/>
                <w:highlight w:val="none"/>
              </w:rPr>
              <w:t>不得将一个包内容拆开投标；</w:t>
            </w:r>
          </w:p>
        </w:tc>
      </w:tr>
      <w:tr w14:paraId="475DC6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1035" w:type="dxa"/>
            <w:tcBorders>
              <w:top w:val="single" w:color="000000" w:sz="8" w:space="0"/>
              <w:left w:val="single" w:color="000000" w:sz="8" w:space="0"/>
              <w:bottom w:val="single" w:color="000000" w:sz="8" w:space="0"/>
              <w:right w:val="single" w:color="000000" w:sz="8" w:space="0"/>
            </w:tcBorders>
            <w:shd w:val="clear" w:color="auto" w:fill="auto"/>
          </w:tcPr>
          <w:p w14:paraId="4BAC8CF3">
            <w:pPr>
              <w:widowControl/>
              <w:jc w:val="center"/>
              <w:textAlignment w:val="top"/>
              <w:rPr>
                <w:szCs w:val="21"/>
                <w:highlight w:val="none"/>
              </w:rPr>
            </w:pPr>
            <w:r>
              <w:rPr>
                <w:rFonts w:ascii="宋体" w:hAnsi="宋体" w:cs="宋体"/>
                <w:kern w:val="0"/>
                <w:szCs w:val="21"/>
                <w:highlight w:val="none"/>
              </w:rPr>
              <w:t>2</w:t>
            </w:r>
          </w:p>
        </w:tc>
        <w:tc>
          <w:tcPr>
            <w:tcW w:w="7492" w:type="dxa"/>
            <w:tcBorders>
              <w:top w:val="single" w:color="000000" w:sz="8" w:space="0"/>
              <w:left w:val="single" w:color="000000" w:sz="8" w:space="0"/>
              <w:bottom w:val="single" w:color="000000" w:sz="8" w:space="0"/>
              <w:right w:val="single" w:color="000000" w:sz="8" w:space="0"/>
            </w:tcBorders>
            <w:shd w:val="clear" w:color="auto" w:fill="auto"/>
          </w:tcPr>
          <w:p w14:paraId="0BC1E8AC">
            <w:pPr>
              <w:widowControl/>
              <w:textAlignment w:val="top"/>
              <w:rPr>
                <w:szCs w:val="21"/>
                <w:highlight w:val="none"/>
              </w:rPr>
            </w:pPr>
            <w:r>
              <w:rPr>
                <w:rFonts w:hint="eastAsia"/>
                <w:highlight w:val="none"/>
              </w:rPr>
              <w:t>对同一项目投标时，不得提供两套以上的投标方案（招标文件另有规定的除外）；</w:t>
            </w:r>
          </w:p>
        </w:tc>
      </w:tr>
      <w:tr w14:paraId="7D93E6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1035" w:type="dxa"/>
            <w:tcBorders>
              <w:top w:val="single" w:color="000000" w:sz="8" w:space="0"/>
              <w:left w:val="single" w:color="000000" w:sz="8" w:space="0"/>
              <w:bottom w:val="single" w:color="000000" w:sz="8" w:space="0"/>
              <w:right w:val="single" w:color="000000" w:sz="8" w:space="0"/>
            </w:tcBorders>
            <w:shd w:val="clear" w:color="auto" w:fill="auto"/>
          </w:tcPr>
          <w:p w14:paraId="4714F74A">
            <w:pPr>
              <w:widowControl/>
              <w:jc w:val="center"/>
              <w:textAlignment w:val="top"/>
              <w:rPr>
                <w:szCs w:val="21"/>
                <w:highlight w:val="none"/>
              </w:rPr>
            </w:pPr>
            <w:r>
              <w:rPr>
                <w:rFonts w:ascii="宋体" w:hAnsi="宋体" w:cs="宋体"/>
                <w:kern w:val="0"/>
                <w:szCs w:val="21"/>
                <w:highlight w:val="none"/>
              </w:rPr>
              <w:t>3</w:t>
            </w:r>
          </w:p>
        </w:tc>
        <w:tc>
          <w:tcPr>
            <w:tcW w:w="7492" w:type="dxa"/>
            <w:tcBorders>
              <w:top w:val="single" w:color="000000" w:sz="8" w:space="0"/>
              <w:left w:val="single" w:color="000000" w:sz="8" w:space="0"/>
              <w:bottom w:val="single" w:color="000000" w:sz="8" w:space="0"/>
              <w:right w:val="single" w:color="000000" w:sz="8" w:space="0"/>
            </w:tcBorders>
            <w:shd w:val="clear" w:color="auto" w:fill="auto"/>
          </w:tcPr>
          <w:p w14:paraId="4F81BE77">
            <w:pPr>
              <w:widowControl/>
              <w:textAlignment w:val="top"/>
              <w:rPr>
                <w:szCs w:val="21"/>
                <w:highlight w:val="none"/>
              </w:rPr>
            </w:pPr>
            <w:r>
              <w:rPr>
                <w:rFonts w:hint="eastAsia"/>
                <w:highlight w:val="none"/>
              </w:rPr>
              <w:t>分项报价或投标总价不得高于相应预算金额（或设定的预算金额下的最高限价）；</w:t>
            </w:r>
          </w:p>
        </w:tc>
      </w:tr>
      <w:tr w14:paraId="7C5145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1035" w:type="dxa"/>
            <w:tcBorders>
              <w:top w:val="single" w:color="000000" w:sz="8" w:space="0"/>
              <w:left w:val="single" w:color="000000" w:sz="8" w:space="0"/>
              <w:bottom w:val="single" w:color="000000" w:sz="8" w:space="0"/>
              <w:right w:val="single" w:color="000000" w:sz="8" w:space="0"/>
            </w:tcBorders>
            <w:shd w:val="clear" w:color="auto" w:fill="auto"/>
          </w:tcPr>
          <w:p w14:paraId="26AF9402">
            <w:pPr>
              <w:widowControl/>
              <w:jc w:val="center"/>
              <w:textAlignment w:val="top"/>
              <w:rPr>
                <w:szCs w:val="21"/>
                <w:highlight w:val="none"/>
              </w:rPr>
            </w:pPr>
            <w:r>
              <w:rPr>
                <w:rFonts w:ascii="宋体" w:hAnsi="宋体" w:cs="宋体"/>
                <w:kern w:val="0"/>
                <w:szCs w:val="21"/>
                <w:highlight w:val="none"/>
              </w:rPr>
              <w:t>4</w:t>
            </w:r>
          </w:p>
        </w:tc>
        <w:tc>
          <w:tcPr>
            <w:tcW w:w="7492" w:type="dxa"/>
            <w:tcBorders>
              <w:top w:val="single" w:color="000000" w:sz="8" w:space="0"/>
              <w:left w:val="single" w:color="000000" w:sz="8" w:space="0"/>
              <w:bottom w:val="single" w:color="000000" w:sz="8" w:space="0"/>
              <w:right w:val="single" w:color="000000" w:sz="8" w:space="0"/>
            </w:tcBorders>
            <w:shd w:val="clear" w:color="auto" w:fill="auto"/>
          </w:tcPr>
          <w:p w14:paraId="462DB9D5">
            <w:pPr>
              <w:widowControl/>
              <w:textAlignment w:val="top"/>
              <w:rPr>
                <w:szCs w:val="21"/>
                <w:highlight w:val="none"/>
              </w:rPr>
            </w:pPr>
            <w:r>
              <w:rPr>
                <w:rFonts w:hint="eastAsia"/>
                <w:highlight w:val="none"/>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4CD110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1035" w:type="dxa"/>
            <w:tcBorders>
              <w:top w:val="single" w:color="000000" w:sz="8" w:space="0"/>
              <w:left w:val="single" w:color="000000" w:sz="8" w:space="0"/>
              <w:bottom w:val="single" w:color="000000" w:sz="8" w:space="0"/>
              <w:right w:val="single" w:color="000000" w:sz="8" w:space="0"/>
            </w:tcBorders>
            <w:shd w:val="clear" w:color="auto" w:fill="auto"/>
          </w:tcPr>
          <w:p w14:paraId="49F38111">
            <w:pPr>
              <w:widowControl/>
              <w:jc w:val="center"/>
              <w:textAlignment w:val="top"/>
              <w:rPr>
                <w:szCs w:val="21"/>
                <w:highlight w:val="none"/>
              </w:rPr>
            </w:pPr>
            <w:r>
              <w:rPr>
                <w:rFonts w:ascii="宋体" w:hAnsi="宋体" w:cs="宋体"/>
                <w:kern w:val="0"/>
                <w:szCs w:val="21"/>
                <w:highlight w:val="none"/>
              </w:rPr>
              <w:t>5</w:t>
            </w:r>
          </w:p>
        </w:tc>
        <w:tc>
          <w:tcPr>
            <w:tcW w:w="7492" w:type="dxa"/>
            <w:tcBorders>
              <w:top w:val="single" w:color="000000" w:sz="8" w:space="0"/>
              <w:left w:val="single" w:color="000000" w:sz="8" w:space="0"/>
              <w:bottom w:val="single" w:color="000000" w:sz="8" w:space="0"/>
              <w:right w:val="single" w:color="000000" w:sz="8" w:space="0"/>
            </w:tcBorders>
            <w:shd w:val="clear" w:color="auto" w:fill="auto"/>
          </w:tcPr>
          <w:p w14:paraId="6616791E">
            <w:pPr>
              <w:widowControl/>
              <w:textAlignment w:val="top"/>
              <w:rPr>
                <w:szCs w:val="21"/>
                <w:highlight w:val="none"/>
              </w:rPr>
            </w:pPr>
            <w:r>
              <w:rPr>
                <w:rFonts w:hint="eastAsia"/>
                <w:highlight w:val="none"/>
              </w:rPr>
              <w:t>投标人响应的内容在技术、商务等方面没有实质性满足（</w:t>
            </w:r>
            <w:r>
              <w:rPr>
                <w:rFonts w:hint="eastAsia" w:ascii="Calibri" w:hAnsi="Calibri"/>
                <w:highlight w:val="none"/>
              </w:rPr>
              <w:t>或未响应招标文件中带★号条款或响应有负偏离）</w:t>
            </w:r>
            <w:r>
              <w:rPr>
                <w:rFonts w:hint="eastAsia"/>
                <w:highlight w:val="none"/>
              </w:rPr>
              <w:t>招标文件要求的（是否实质性满足招标文件要求，由评审委员会根据实质性条款响应情况作出评判，若招标文件未设置实质性条款，不得据此做投标无效处理）；</w:t>
            </w:r>
          </w:p>
        </w:tc>
      </w:tr>
      <w:tr w14:paraId="6D1251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1035" w:type="dxa"/>
            <w:tcBorders>
              <w:top w:val="single" w:color="000000" w:sz="8" w:space="0"/>
              <w:left w:val="single" w:color="000000" w:sz="8" w:space="0"/>
              <w:bottom w:val="single" w:color="000000" w:sz="8" w:space="0"/>
              <w:right w:val="single" w:color="000000" w:sz="8" w:space="0"/>
            </w:tcBorders>
            <w:shd w:val="clear" w:color="auto" w:fill="auto"/>
          </w:tcPr>
          <w:p w14:paraId="780D9324">
            <w:pPr>
              <w:widowControl/>
              <w:jc w:val="center"/>
              <w:textAlignment w:val="top"/>
              <w:rPr>
                <w:szCs w:val="21"/>
                <w:highlight w:val="none"/>
              </w:rPr>
            </w:pPr>
            <w:r>
              <w:rPr>
                <w:rFonts w:ascii="宋体" w:hAnsi="宋体" w:cs="宋体"/>
                <w:kern w:val="0"/>
                <w:szCs w:val="21"/>
                <w:highlight w:val="none"/>
              </w:rPr>
              <w:t>6</w:t>
            </w:r>
          </w:p>
        </w:tc>
        <w:tc>
          <w:tcPr>
            <w:tcW w:w="7492" w:type="dxa"/>
            <w:tcBorders>
              <w:top w:val="single" w:color="000000" w:sz="8" w:space="0"/>
              <w:left w:val="single" w:color="000000" w:sz="8" w:space="0"/>
              <w:bottom w:val="single" w:color="000000" w:sz="8" w:space="0"/>
              <w:right w:val="single" w:color="000000" w:sz="8" w:space="0"/>
            </w:tcBorders>
            <w:shd w:val="clear" w:color="auto" w:fill="auto"/>
          </w:tcPr>
          <w:p w14:paraId="170EAB34">
            <w:pPr>
              <w:widowControl/>
              <w:textAlignment w:val="top"/>
              <w:rPr>
                <w:szCs w:val="21"/>
                <w:highlight w:val="none"/>
              </w:rPr>
            </w:pPr>
            <w:r>
              <w:rPr>
                <w:rFonts w:hint="eastAsia"/>
                <w:highlight w:val="none"/>
              </w:rPr>
              <w:t>未按招标文件所提供的样式填写《投标函》；未按招标文件所提供的《采购投标及履约承诺函》进行承诺或不符合承诺的；未按招标文件对投标文件组成的要求提供投标文件；</w:t>
            </w:r>
          </w:p>
        </w:tc>
      </w:tr>
      <w:tr w14:paraId="644985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1035" w:type="dxa"/>
            <w:tcBorders>
              <w:top w:val="single" w:color="000000" w:sz="8" w:space="0"/>
              <w:left w:val="single" w:color="000000" w:sz="8" w:space="0"/>
              <w:bottom w:val="single" w:color="000000" w:sz="8" w:space="0"/>
              <w:right w:val="single" w:color="000000" w:sz="8" w:space="0"/>
            </w:tcBorders>
            <w:shd w:val="clear" w:color="auto" w:fill="auto"/>
          </w:tcPr>
          <w:p w14:paraId="2FEB2393">
            <w:pPr>
              <w:widowControl/>
              <w:jc w:val="center"/>
              <w:textAlignment w:val="top"/>
              <w:rPr>
                <w:szCs w:val="21"/>
                <w:highlight w:val="none"/>
              </w:rPr>
            </w:pPr>
            <w:r>
              <w:rPr>
                <w:rFonts w:ascii="宋体" w:hAnsi="宋体" w:cs="宋体"/>
                <w:kern w:val="0"/>
                <w:szCs w:val="21"/>
                <w:highlight w:val="none"/>
              </w:rPr>
              <w:t>7</w:t>
            </w:r>
          </w:p>
        </w:tc>
        <w:tc>
          <w:tcPr>
            <w:tcW w:w="7492" w:type="dxa"/>
            <w:tcBorders>
              <w:top w:val="single" w:color="000000" w:sz="8" w:space="0"/>
              <w:left w:val="single" w:color="000000" w:sz="8" w:space="0"/>
              <w:bottom w:val="single" w:color="000000" w:sz="8" w:space="0"/>
              <w:right w:val="single" w:color="000000" w:sz="8" w:space="0"/>
            </w:tcBorders>
            <w:shd w:val="clear" w:color="auto" w:fill="auto"/>
          </w:tcPr>
          <w:p w14:paraId="2D9CAA5B">
            <w:pPr>
              <w:widowControl/>
              <w:textAlignment w:val="top"/>
              <w:rPr>
                <w:szCs w:val="21"/>
                <w:highlight w:val="none"/>
              </w:rPr>
            </w:pPr>
            <w:r>
              <w:rPr>
                <w:rFonts w:hint="eastAsia"/>
                <w:highlight w:val="none"/>
              </w:rPr>
              <w:t>采购标的/所投产品/货物清单有缺漏项或响应不全或报价有缺漏或者对招标文件规定的项目需求内容或者需求数量进行修改，评审委员会判定投标响应不满足采购需求；</w:t>
            </w:r>
          </w:p>
        </w:tc>
      </w:tr>
      <w:tr w14:paraId="4C4433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1035" w:type="dxa"/>
            <w:tcBorders>
              <w:top w:val="single" w:color="000000" w:sz="8" w:space="0"/>
              <w:left w:val="single" w:color="000000" w:sz="8" w:space="0"/>
              <w:bottom w:val="single" w:color="000000" w:sz="8" w:space="0"/>
              <w:right w:val="single" w:color="000000" w:sz="8" w:space="0"/>
            </w:tcBorders>
            <w:shd w:val="clear" w:color="auto" w:fill="auto"/>
          </w:tcPr>
          <w:p w14:paraId="0E89F594">
            <w:pPr>
              <w:widowControl/>
              <w:jc w:val="center"/>
              <w:textAlignment w:val="top"/>
              <w:rPr>
                <w:szCs w:val="21"/>
                <w:highlight w:val="none"/>
              </w:rPr>
            </w:pPr>
            <w:r>
              <w:rPr>
                <w:rFonts w:hint="eastAsia" w:ascii="宋体" w:hAnsi="宋体" w:cs="宋体"/>
                <w:kern w:val="0"/>
                <w:szCs w:val="21"/>
                <w:highlight w:val="none"/>
              </w:rPr>
              <w:t>8</w:t>
            </w:r>
          </w:p>
        </w:tc>
        <w:tc>
          <w:tcPr>
            <w:tcW w:w="7492" w:type="dxa"/>
            <w:tcBorders>
              <w:top w:val="single" w:color="000000" w:sz="8" w:space="0"/>
              <w:left w:val="single" w:color="000000" w:sz="8" w:space="0"/>
              <w:bottom w:val="single" w:color="000000" w:sz="8" w:space="0"/>
              <w:right w:val="single" w:color="000000" w:sz="8" w:space="0"/>
            </w:tcBorders>
            <w:shd w:val="clear" w:color="auto" w:fill="auto"/>
          </w:tcPr>
          <w:p w14:paraId="6DA004A1">
            <w:pPr>
              <w:widowControl/>
              <w:textAlignment w:val="top"/>
              <w:rPr>
                <w:szCs w:val="21"/>
                <w:highlight w:val="none"/>
              </w:rPr>
            </w:pPr>
            <w:r>
              <w:rPr>
                <w:rFonts w:hint="eastAsia"/>
                <w:highlight w:val="none"/>
              </w:rPr>
              <w:t>投标文件电子文档不得带病毒；</w:t>
            </w:r>
          </w:p>
        </w:tc>
      </w:tr>
      <w:tr w14:paraId="0098BE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1035" w:type="dxa"/>
            <w:tcBorders>
              <w:top w:val="single" w:color="000000" w:sz="8" w:space="0"/>
              <w:left w:val="single" w:color="000000" w:sz="8" w:space="0"/>
              <w:bottom w:val="single" w:color="000000" w:sz="8" w:space="0"/>
              <w:right w:val="single" w:color="000000" w:sz="8" w:space="0"/>
            </w:tcBorders>
            <w:shd w:val="clear" w:color="auto" w:fill="auto"/>
          </w:tcPr>
          <w:p w14:paraId="5E73A158">
            <w:pPr>
              <w:widowControl/>
              <w:jc w:val="center"/>
              <w:textAlignment w:val="top"/>
              <w:rPr>
                <w:szCs w:val="21"/>
                <w:highlight w:val="none"/>
              </w:rPr>
            </w:pPr>
            <w:r>
              <w:rPr>
                <w:rFonts w:hint="eastAsia" w:ascii="宋体" w:hAnsi="宋体" w:cs="宋体"/>
                <w:kern w:val="0"/>
                <w:szCs w:val="21"/>
                <w:highlight w:val="none"/>
              </w:rPr>
              <w:t>9</w:t>
            </w:r>
          </w:p>
        </w:tc>
        <w:tc>
          <w:tcPr>
            <w:tcW w:w="7492" w:type="dxa"/>
            <w:tcBorders>
              <w:top w:val="single" w:color="000000" w:sz="8" w:space="0"/>
              <w:left w:val="single" w:color="000000" w:sz="8" w:space="0"/>
              <w:bottom w:val="single" w:color="000000" w:sz="8" w:space="0"/>
              <w:right w:val="single" w:color="000000" w:sz="8" w:space="0"/>
            </w:tcBorders>
            <w:shd w:val="clear" w:color="auto" w:fill="auto"/>
          </w:tcPr>
          <w:p w14:paraId="0A6EF972">
            <w:pPr>
              <w:widowControl/>
              <w:textAlignment w:val="top"/>
              <w:rPr>
                <w:szCs w:val="21"/>
                <w:highlight w:val="none"/>
              </w:rPr>
            </w:pPr>
            <w:r>
              <w:rPr>
                <w:rFonts w:hint="eastAsia"/>
                <w:highlight w:val="none"/>
              </w:rPr>
              <w:t>投标文件用不属于本公司的电子密钥进行加密或投标文件未按时解密的；</w:t>
            </w:r>
          </w:p>
        </w:tc>
      </w:tr>
      <w:tr w14:paraId="394CD7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1035" w:type="dxa"/>
            <w:tcBorders>
              <w:top w:val="single" w:color="000000" w:sz="8" w:space="0"/>
              <w:left w:val="single" w:color="000000" w:sz="8" w:space="0"/>
              <w:bottom w:val="single" w:color="000000" w:sz="8" w:space="0"/>
              <w:right w:val="single" w:color="000000" w:sz="8" w:space="0"/>
            </w:tcBorders>
            <w:shd w:val="clear" w:color="auto" w:fill="auto"/>
          </w:tcPr>
          <w:p w14:paraId="277B1EFB">
            <w:pPr>
              <w:widowControl/>
              <w:jc w:val="center"/>
              <w:textAlignment w:val="top"/>
              <w:rPr>
                <w:szCs w:val="21"/>
                <w:highlight w:val="none"/>
              </w:rPr>
            </w:pPr>
            <w:r>
              <w:rPr>
                <w:rFonts w:ascii="宋体" w:hAnsi="宋体" w:cs="宋体"/>
                <w:kern w:val="0"/>
                <w:szCs w:val="21"/>
                <w:highlight w:val="none"/>
              </w:rPr>
              <w:t>1</w:t>
            </w:r>
            <w:r>
              <w:rPr>
                <w:rFonts w:hint="eastAsia" w:ascii="宋体" w:hAnsi="宋体" w:cs="宋体"/>
                <w:kern w:val="0"/>
                <w:szCs w:val="21"/>
                <w:highlight w:val="none"/>
              </w:rPr>
              <w:t>0</w:t>
            </w:r>
          </w:p>
        </w:tc>
        <w:tc>
          <w:tcPr>
            <w:tcW w:w="7492" w:type="dxa"/>
            <w:tcBorders>
              <w:top w:val="single" w:color="000000" w:sz="8" w:space="0"/>
              <w:left w:val="single" w:color="000000" w:sz="8" w:space="0"/>
              <w:bottom w:val="single" w:color="000000" w:sz="8" w:space="0"/>
              <w:right w:val="single" w:color="000000" w:sz="8" w:space="0"/>
            </w:tcBorders>
            <w:shd w:val="clear" w:color="auto" w:fill="auto"/>
          </w:tcPr>
          <w:p w14:paraId="076C11B9">
            <w:pPr>
              <w:widowControl/>
              <w:textAlignment w:val="top"/>
              <w:rPr>
                <w:szCs w:val="21"/>
                <w:highlight w:val="none"/>
              </w:rPr>
            </w:pPr>
            <w:r>
              <w:rPr>
                <w:rFonts w:hint="eastAsia"/>
                <w:highlight w:val="none"/>
              </w:rPr>
              <w:t>法律、法规、规章、规范性文件规定的其他情形。</w:t>
            </w:r>
          </w:p>
        </w:tc>
      </w:tr>
    </w:tbl>
    <w:p w14:paraId="53AB3AE5">
      <w:pPr>
        <w:rPr>
          <w:rFonts w:hint="eastAsia" w:ascii="黑体" w:hAnsi="黑体" w:eastAsia="黑体"/>
          <w:sz w:val="40"/>
          <w:szCs w:val="40"/>
          <w:highlight w:val="none"/>
        </w:rPr>
      </w:pPr>
      <w:r>
        <w:rPr>
          <w:rFonts w:hint="eastAsia" w:ascii="黑体" w:hAnsi="黑体" w:eastAsia="黑体"/>
          <w:sz w:val="40"/>
          <w:szCs w:val="40"/>
          <w:highlight w:val="none"/>
        </w:rPr>
        <w:br w:type="page"/>
      </w:r>
    </w:p>
    <w:p w14:paraId="2E232AC5">
      <w:pPr>
        <w:pStyle w:val="37"/>
        <w:jc w:val="center"/>
        <w:outlineLvl w:val="1"/>
        <w:rPr>
          <w:rFonts w:hint="eastAsia" w:ascii="黑体" w:hAnsi="黑体" w:eastAsia="黑体"/>
          <w:sz w:val="40"/>
          <w:szCs w:val="40"/>
          <w:highlight w:val="none"/>
        </w:rPr>
      </w:pPr>
      <w:r>
        <w:rPr>
          <w:rFonts w:hint="eastAsia" w:ascii="黑体" w:hAnsi="黑体" w:eastAsia="黑体"/>
          <w:sz w:val="40"/>
          <w:szCs w:val="40"/>
          <w:highlight w:val="none"/>
        </w:rPr>
        <w:t>评标信息</w:t>
      </w:r>
    </w:p>
    <w:tbl>
      <w:tblPr>
        <w:tblStyle w:val="42"/>
        <w:tblW w:w="8423"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8423"/>
      </w:tblGrid>
      <w:tr w14:paraId="0BEB1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8423" w:type="dxa"/>
            <w:vAlign w:val="center"/>
          </w:tcPr>
          <w:p w14:paraId="566BCB34">
            <w:pPr>
              <w:jc w:val="left"/>
              <w:rPr>
                <w:rFonts w:hint="eastAsia" w:ascii="宋体" w:hAnsi="宋体" w:cs="宋体"/>
                <w:b/>
                <w:bCs/>
                <w:sz w:val="24"/>
                <w:highlight w:val="none"/>
              </w:rPr>
            </w:pPr>
            <w:r>
              <w:rPr>
                <w:b/>
                <w:bCs/>
                <w:highlight w:val="none"/>
              </w:rPr>
              <w:t>评标方法：综合评分法</w:t>
            </w:r>
          </w:p>
        </w:tc>
      </w:tr>
      <w:tr w14:paraId="231C0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8423" w:type="dxa"/>
            <w:vAlign w:val="center"/>
          </w:tcPr>
          <w:p w14:paraId="175F9CA9">
            <w:pPr>
              <w:pStyle w:val="37"/>
              <w:keepNext w:val="0"/>
              <w:keepLines w:val="0"/>
              <w:pageBreakBefore w:val="0"/>
              <w:widowControl w:val="0"/>
              <w:kinsoku/>
              <w:wordWrap/>
              <w:overflowPunct/>
              <w:topLinePunct w:val="0"/>
              <w:autoSpaceDE/>
              <w:autoSpaceDN/>
              <w:bidi w:val="0"/>
              <w:adjustRightInd/>
              <w:snapToGrid/>
              <w:ind w:left="0" w:firstLine="0"/>
              <w:textAlignment w:val="auto"/>
              <w:rPr>
                <w:sz w:val="21"/>
                <w:szCs w:val="21"/>
                <w:highlight w:val="none"/>
              </w:rPr>
            </w:pPr>
            <w:r>
              <w:rPr>
                <w:rFonts w:hint="eastAsia"/>
                <w:sz w:val="21"/>
                <w:szCs w:val="21"/>
                <w:highlight w:val="none"/>
              </w:rPr>
              <w:t>综合评分法。在最大限度地满足招标文件实质性要求的前提下，按照招标文件中规定的各项因素进行综合评审，评标总得分排名前列的投标人，作为推荐的候选中标供应商。（适用于中标候选人为多家的情形）</w:t>
            </w:r>
          </w:p>
          <w:p w14:paraId="76E1B4DB">
            <w:pPr>
              <w:pStyle w:val="37"/>
              <w:keepNext w:val="0"/>
              <w:keepLines w:val="0"/>
              <w:pageBreakBefore w:val="0"/>
              <w:widowControl w:val="0"/>
              <w:kinsoku/>
              <w:wordWrap/>
              <w:overflowPunct/>
              <w:topLinePunct w:val="0"/>
              <w:autoSpaceDE/>
              <w:autoSpaceDN/>
              <w:bidi w:val="0"/>
              <w:adjustRightInd/>
              <w:snapToGrid/>
              <w:ind w:left="0" w:firstLine="0"/>
              <w:textAlignment w:val="auto"/>
              <w:rPr>
                <w:sz w:val="21"/>
                <w:szCs w:val="21"/>
                <w:highlight w:val="none"/>
              </w:rPr>
            </w:pPr>
            <w:r>
              <w:rPr>
                <w:sz w:val="21"/>
                <w:szCs w:val="21"/>
                <w:highlight w:val="none"/>
              </w:rPr>
              <w:t>价格分计算方法：</w:t>
            </w:r>
          </w:p>
          <w:p w14:paraId="24741457">
            <w:pPr>
              <w:pStyle w:val="37"/>
              <w:keepNext w:val="0"/>
              <w:keepLines w:val="0"/>
              <w:pageBreakBefore w:val="0"/>
              <w:widowControl w:val="0"/>
              <w:kinsoku/>
              <w:wordWrap/>
              <w:overflowPunct/>
              <w:topLinePunct w:val="0"/>
              <w:autoSpaceDE/>
              <w:autoSpaceDN/>
              <w:bidi w:val="0"/>
              <w:adjustRightInd/>
              <w:snapToGrid/>
              <w:ind w:left="0" w:firstLine="0"/>
              <w:textAlignment w:val="auto"/>
              <w:rPr>
                <w:sz w:val="21"/>
                <w:szCs w:val="21"/>
                <w:highlight w:val="none"/>
              </w:rPr>
            </w:pPr>
            <w:r>
              <w:rPr>
                <w:sz w:val="21"/>
                <w:szCs w:val="21"/>
                <w:highlight w:val="none"/>
              </w:rPr>
              <w:t>采用低价优先法计算，即满足</w:t>
            </w:r>
            <w:r>
              <w:rPr>
                <w:rFonts w:hint="eastAsia"/>
                <w:sz w:val="21"/>
                <w:szCs w:val="21"/>
                <w:highlight w:val="none"/>
              </w:rPr>
              <w:t>招标</w:t>
            </w:r>
            <w:r>
              <w:rPr>
                <w:sz w:val="21"/>
                <w:szCs w:val="21"/>
                <w:highlight w:val="none"/>
              </w:rPr>
              <w:t xml:space="preserve">文件要求且投标价格最低的投标报价为评标基准价，其价格分为满分。其他投标人的价格分统一按照下列公式计算： </w:t>
            </w:r>
            <w:r>
              <w:rPr>
                <w:sz w:val="21"/>
                <w:szCs w:val="21"/>
                <w:highlight w:val="none"/>
              </w:rPr>
              <w:br w:type="textWrapping"/>
            </w:r>
            <w:r>
              <w:rPr>
                <w:sz w:val="21"/>
                <w:szCs w:val="21"/>
                <w:highlight w:val="none"/>
              </w:rPr>
              <w:t xml:space="preserve">投标报价得分=(评标基准价／投标报价)×100 </w:t>
            </w:r>
            <w:r>
              <w:rPr>
                <w:sz w:val="21"/>
                <w:szCs w:val="21"/>
                <w:highlight w:val="none"/>
              </w:rPr>
              <w:br w:type="textWrapping"/>
            </w:r>
            <w:r>
              <w:rPr>
                <w:sz w:val="21"/>
                <w:szCs w:val="21"/>
                <w:highlight w:val="none"/>
              </w:rPr>
              <w:t xml:space="preserve">评标总得分＝F1×A1＋F2×A2＋……＋Fn×An </w:t>
            </w:r>
            <w:r>
              <w:rPr>
                <w:sz w:val="21"/>
                <w:szCs w:val="21"/>
                <w:highlight w:val="none"/>
              </w:rPr>
              <w:br w:type="textWrapping"/>
            </w:r>
            <w:r>
              <w:rPr>
                <w:sz w:val="21"/>
                <w:szCs w:val="21"/>
                <w:highlight w:val="none"/>
              </w:rPr>
              <w:t xml:space="preserve">F1、F2……Fn分别为各项评审因素的得分； </w:t>
            </w:r>
            <w:r>
              <w:rPr>
                <w:sz w:val="21"/>
                <w:szCs w:val="21"/>
                <w:highlight w:val="none"/>
              </w:rPr>
              <w:br w:type="textWrapping"/>
            </w:r>
            <w:r>
              <w:rPr>
                <w:sz w:val="21"/>
                <w:szCs w:val="21"/>
                <w:highlight w:val="none"/>
              </w:rPr>
              <w:t xml:space="preserve">A1、A2、……An 分别为各项评审因素所占的权重(A1＋A2＋……＋An＝1)。 </w:t>
            </w:r>
            <w:r>
              <w:rPr>
                <w:sz w:val="21"/>
                <w:szCs w:val="21"/>
                <w:highlight w:val="none"/>
              </w:rPr>
              <w:br w:type="textWrapping"/>
            </w:r>
            <w:r>
              <w:rPr>
                <w:sz w:val="21"/>
                <w:szCs w:val="21"/>
                <w:highlight w:val="none"/>
              </w:rPr>
              <w:t>评标过程中，不得去掉报价中的最高报价和最低报价。</w:t>
            </w:r>
          </w:p>
          <w:p w14:paraId="71D5E133">
            <w:pPr>
              <w:pStyle w:val="37"/>
              <w:keepNext w:val="0"/>
              <w:keepLines w:val="0"/>
              <w:pageBreakBefore w:val="0"/>
              <w:widowControl w:val="0"/>
              <w:kinsoku/>
              <w:wordWrap/>
              <w:overflowPunct/>
              <w:topLinePunct w:val="0"/>
              <w:autoSpaceDE/>
              <w:autoSpaceDN/>
              <w:bidi w:val="0"/>
              <w:adjustRightInd/>
              <w:snapToGrid/>
              <w:ind w:left="0" w:firstLine="0"/>
              <w:textAlignment w:val="auto"/>
              <w:rPr>
                <w:rFonts w:hint="eastAsia"/>
                <w:sz w:val="21"/>
                <w:szCs w:val="21"/>
                <w:highlight w:val="none"/>
              </w:rPr>
            </w:pPr>
            <w:r>
              <w:rPr>
                <w:rFonts w:hint="eastAsia"/>
                <w:sz w:val="21"/>
                <w:szCs w:val="21"/>
                <w:highlight w:val="none"/>
              </w:rPr>
              <w:t>注：投标人的“投标技术响应”“偏离情况”等必须与客观实际保持一致，响应不实且情节严重的，经查实，将依法记入供应商诚信档案或受到行政处罚。</w:t>
            </w:r>
          </w:p>
          <w:tbl>
            <w:tblPr>
              <w:tblStyle w:val="42"/>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697"/>
              <w:gridCol w:w="1368"/>
              <w:gridCol w:w="810"/>
              <w:gridCol w:w="4653"/>
            </w:tblGrid>
            <w:tr w14:paraId="0E718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6E61E8A0">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序号</w:t>
                  </w:r>
                </w:p>
              </w:tc>
              <w:tc>
                <w:tcPr>
                  <w:tcW w:w="2875" w:type="dxa"/>
                  <w:gridSpan w:val="3"/>
                  <w:vAlign w:val="center"/>
                </w:tcPr>
                <w:p w14:paraId="1CA808A7">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评分项</w:t>
                  </w:r>
                </w:p>
              </w:tc>
              <w:tc>
                <w:tcPr>
                  <w:tcW w:w="4653" w:type="dxa"/>
                  <w:vAlign w:val="center"/>
                </w:tcPr>
                <w:p w14:paraId="6501B6B4">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权重</w:t>
                  </w:r>
                </w:p>
              </w:tc>
            </w:tr>
            <w:tr w14:paraId="30708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09787832">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1</w:t>
                  </w:r>
                </w:p>
              </w:tc>
              <w:tc>
                <w:tcPr>
                  <w:tcW w:w="2875" w:type="dxa"/>
                  <w:gridSpan w:val="3"/>
                  <w:vAlign w:val="center"/>
                </w:tcPr>
                <w:p w14:paraId="4D784559">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价格</w:t>
                  </w:r>
                </w:p>
              </w:tc>
              <w:tc>
                <w:tcPr>
                  <w:tcW w:w="4653" w:type="dxa"/>
                  <w:vAlign w:val="center"/>
                </w:tcPr>
                <w:p w14:paraId="28BA61DA">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30</w:t>
                  </w:r>
                </w:p>
              </w:tc>
            </w:tr>
            <w:tr w14:paraId="212C3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1D0B9B95">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p>
              </w:tc>
              <w:tc>
                <w:tcPr>
                  <w:tcW w:w="7528" w:type="dxa"/>
                  <w:gridSpan w:val="4"/>
                  <w:vAlign w:val="center"/>
                </w:tcPr>
                <w:p w14:paraId="22707FB7">
                  <w:pPr>
                    <w:keepNext w:val="0"/>
                    <w:keepLines w:val="0"/>
                    <w:pageBreakBefore w:val="0"/>
                    <w:kinsoku/>
                    <w:overflowPunct/>
                    <w:topLinePunct w:val="0"/>
                    <w:autoSpaceDE/>
                    <w:autoSpaceDN/>
                    <w:bidi w:val="0"/>
                    <w:adjustRightInd/>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投标报价价格分=（评标基准价/投标报价）×30</w:t>
                  </w:r>
                </w:p>
                <w:p w14:paraId="5FF3D356">
                  <w:pPr>
                    <w:keepNext w:val="0"/>
                    <w:keepLines w:val="0"/>
                    <w:pageBreakBefore w:val="0"/>
                    <w:kinsoku/>
                    <w:overflowPunct/>
                    <w:topLinePunct w:val="0"/>
                    <w:autoSpaceDE/>
                    <w:autoSpaceDN/>
                    <w:bidi w:val="0"/>
                    <w:adjustRightInd/>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评标基准价为满足招标文件要求且投标价格最低的投标报价。</w:t>
                  </w:r>
                </w:p>
              </w:tc>
            </w:tr>
            <w:tr w14:paraId="67183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7AFDD1B1">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2</w:t>
                  </w:r>
                </w:p>
              </w:tc>
              <w:tc>
                <w:tcPr>
                  <w:tcW w:w="2875" w:type="dxa"/>
                  <w:gridSpan w:val="3"/>
                  <w:vAlign w:val="center"/>
                </w:tcPr>
                <w:p w14:paraId="70A43DC3">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技术部分</w:t>
                  </w:r>
                </w:p>
              </w:tc>
              <w:tc>
                <w:tcPr>
                  <w:tcW w:w="4653" w:type="dxa"/>
                  <w:vAlign w:val="center"/>
                </w:tcPr>
                <w:p w14:paraId="20745120">
                  <w:pPr>
                    <w:keepNext w:val="0"/>
                    <w:keepLines w:val="0"/>
                    <w:pageBreakBefore w:val="0"/>
                    <w:kinsoku/>
                    <w:overflowPunct/>
                    <w:topLinePunct w:val="0"/>
                    <w:autoSpaceDE/>
                    <w:autoSpaceDN/>
                    <w:bidi w:val="0"/>
                    <w:adjustRightInd/>
                    <w:spacing w:line="240" w:lineRule="auto"/>
                    <w:ind w:firstLine="0" w:firstLineChars="0"/>
                    <w:jc w:val="center"/>
                    <w:rPr>
                      <w:rFonts w:hint="default" w:ascii="宋体" w:hAnsi="宋体" w:eastAsia="宋体" w:cs="宋体"/>
                      <w:b/>
                      <w:color w:val="0000FF"/>
                      <w:sz w:val="21"/>
                      <w:szCs w:val="21"/>
                      <w:highlight w:val="none"/>
                      <w:lang w:val="en-US" w:eastAsia="zh-CN"/>
                    </w:rPr>
                  </w:pPr>
                  <w:r>
                    <w:rPr>
                      <w:rFonts w:hint="eastAsia" w:ascii="宋体" w:hAnsi="宋体" w:eastAsia="宋体" w:cs="宋体"/>
                      <w:b/>
                      <w:color w:val="0000FF"/>
                      <w:sz w:val="21"/>
                      <w:szCs w:val="21"/>
                      <w:highlight w:val="none"/>
                      <w:lang w:val="en-US" w:eastAsia="zh-CN"/>
                    </w:rPr>
                    <w:t>6</w:t>
                  </w:r>
                  <w:r>
                    <w:rPr>
                      <w:rFonts w:hint="eastAsia" w:ascii="宋体" w:hAnsi="宋体" w:cs="宋体"/>
                      <w:b/>
                      <w:color w:val="0000FF"/>
                      <w:sz w:val="21"/>
                      <w:szCs w:val="21"/>
                      <w:highlight w:val="none"/>
                      <w:lang w:val="en-US" w:eastAsia="zh-CN"/>
                    </w:rPr>
                    <w:t>6</w:t>
                  </w:r>
                </w:p>
              </w:tc>
            </w:tr>
            <w:tr w14:paraId="0E518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restart"/>
                  <w:vAlign w:val="center"/>
                </w:tcPr>
                <w:p w14:paraId="5FE789AB">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p>
              </w:tc>
              <w:tc>
                <w:tcPr>
                  <w:tcW w:w="697" w:type="dxa"/>
                  <w:vAlign w:val="center"/>
                </w:tcPr>
                <w:p w14:paraId="2404E2BD">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序号</w:t>
                  </w:r>
                </w:p>
              </w:tc>
              <w:tc>
                <w:tcPr>
                  <w:tcW w:w="1368" w:type="dxa"/>
                  <w:vAlign w:val="center"/>
                </w:tcPr>
                <w:p w14:paraId="68934F7F">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评分因素</w:t>
                  </w:r>
                </w:p>
              </w:tc>
              <w:tc>
                <w:tcPr>
                  <w:tcW w:w="810" w:type="dxa"/>
                  <w:vAlign w:val="center"/>
                </w:tcPr>
                <w:p w14:paraId="3780FF67">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权重</w:t>
                  </w:r>
                </w:p>
              </w:tc>
              <w:tc>
                <w:tcPr>
                  <w:tcW w:w="4653" w:type="dxa"/>
                  <w:vAlign w:val="center"/>
                </w:tcPr>
                <w:p w14:paraId="3B50EB2C">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评分准则</w:t>
                  </w:r>
                </w:p>
              </w:tc>
            </w:tr>
            <w:tr w14:paraId="0FFE5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vAlign w:val="center"/>
                </w:tcPr>
                <w:p w14:paraId="7DADB204">
                  <w:pPr>
                    <w:keepNext w:val="0"/>
                    <w:keepLines w:val="0"/>
                    <w:pageBreakBefore w:val="0"/>
                    <w:kinsoku/>
                    <w:overflowPunct/>
                    <w:topLinePunct w:val="0"/>
                    <w:autoSpaceDE/>
                    <w:autoSpaceDN/>
                    <w:bidi w:val="0"/>
                    <w:adjustRightInd/>
                    <w:spacing w:line="240" w:lineRule="auto"/>
                    <w:ind w:firstLine="0" w:firstLineChars="0"/>
                    <w:jc w:val="center"/>
                    <w:outlineLvl w:val="0"/>
                    <w:rPr>
                      <w:rFonts w:hint="eastAsia" w:ascii="宋体" w:hAnsi="宋体" w:eastAsia="宋体" w:cs="宋体"/>
                      <w:color w:val="0000FF"/>
                      <w:sz w:val="21"/>
                      <w:szCs w:val="21"/>
                      <w:highlight w:val="none"/>
                    </w:rPr>
                  </w:pPr>
                </w:p>
              </w:tc>
              <w:tc>
                <w:tcPr>
                  <w:tcW w:w="697" w:type="dxa"/>
                  <w:vAlign w:val="center"/>
                </w:tcPr>
                <w:p w14:paraId="52B78AFB">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w:t>
                  </w:r>
                </w:p>
              </w:tc>
              <w:tc>
                <w:tcPr>
                  <w:tcW w:w="1368" w:type="dxa"/>
                  <w:vAlign w:val="center"/>
                </w:tcPr>
                <w:p w14:paraId="151EDEC7">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bCs/>
                      <w:color w:val="0000FF"/>
                      <w:sz w:val="21"/>
                      <w:szCs w:val="21"/>
                      <w:highlight w:val="none"/>
                    </w:rPr>
                    <w:t>▲参数响应情况评价</w:t>
                  </w:r>
                </w:p>
              </w:tc>
              <w:tc>
                <w:tcPr>
                  <w:tcW w:w="810" w:type="dxa"/>
                  <w:vAlign w:val="center"/>
                </w:tcPr>
                <w:p w14:paraId="71FF8976">
                  <w:pPr>
                    <w:keepNext w:val="0"/>
                    <w:keepLines w:val="0"/>
                    <w:pageBreakBefore w:val="0"/>
                    <w:widowControl/>
                    <w:kinsoku/>
                    <w:wordWrap w:val="0"/>
                    <w:overflowPunct/>
                    <w:topLinePunct w:val="0"/>
                    <w:autoSpaceDE/>
                    <w:autoSpaceDN/>
                    <w:bidi w:val="0"/>
                    <w:adjustRightInd/>
                    <w:spacing w:line="240" w:lineRule="auto"/>
                    <w:ind w:firstLine="0" w:firstLineChars="0"/>
                    <w:jc w:val="center"/>
                    <w:textAlignment w:val="top"/>
                    <w:rPr>
                      <w:rFonts w:hint="default" w:ascii="宋体" w:hAnsi="宋体" w:eastAsia="宋体" w:cs="宋体"/>
                      <w:color w:val="0000FF"/>
                      <w:sz w:val="21"/>
                      <w:szCs w:val="21"/>
                      <w:highlight w:val="none"/>
                      <w:lang w:val="en-US" w:eastAsia="zh-CN"/>
                    </w:rPr>
                  </w:pPr>
                  <w:r>
                    <w:rPr>
                      <w:rFonts w:hint="eastAsia" w:ascii="宋体" w:hAnsi="宋体" w:cs="宋体"/>
                      <w:color w:val="0000FF"/>
                      <w:sz w:val="21"/>
                      <w:szCs w:val="21"/>
                      <w:highlight w:val="none"/>
                      <w:lang w:val="en-US" w:eastAsia="zh-CN"/>
                    </w:rPr>
                    <w:t>40</w:t>
                  </w:r>
                </w:p>
              </w:tc>
              <w:tc>
                <w:tcPr>
                  <w:tcW w:w="4653" w:type="dxa"/>
                  <w:vAlign w:val="top"/>
                </w:tcPr>
                <w:p w14:paraId="5D7FF0F5">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lang w:eastAsia="zh-CN"/>
                    </w:rPr>
                    <w:t>一、</w:t>
                  </w:r>
                  <w:r>
                    <w:rPr>
                      <w:rFonts w:hint="eastAsia" w:ascii="宋体" w:hAnsi="宋体" w:eastAsia="宋体" w:cs="宋体"/>
                      <w:color w:val="0000FF"/>
                      <w:sz w:val="21"/>
                      <w:szCs w:val="21"/>
                      <w:highlight w:val="none"/>
                    </w:rPr>
                    <w:t>评审内容：</w:t>
                  </w:r>
                </w:p>
                <w:p w14:paraId="3CD1413B">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考察投标人对招标文件 第</w:t>
                  </w:r>
                  <w:r>
                    <w:rPr>
                      <w:rFonts w:hint="eastAsia" w:ascii="宋体" w:hAnsi="宋体" w:eastAsia="宋体" w:cs="宋体"/>
                      <w:color w:val="0000FF"/>
                      <w:sz w:val="21"/>
                      <w:szCs w:val="21"/>
                      <w:highlight w:val="none"/>
                      <w:lang w:val="en-US" w:eastAsia="zh-CN"/>
                    </w:rPr>
                    <w:t>四</w:t>
                  </w:r>
                  <w:r>
                    <w:rPr>
                      <w:rFonts w:hint="eastAsia" w:ascii="宋体" w:hAnsi="宋体" w:eastAsia="宋体" w:cs="宋体"/>
                      <w:color w:val="0000FF"/>
                      <w:sz w:val="21"/>
                      <w:szCs w:val="21"/>
                      <w:highlight w:val="none"/>
                    </w:rPr>
                    <w:t xml:space="preserve">章 </w:t>
                  </w:r>
                  <w:r>
                    <w:rPr>
                      <w:rFonts w:hint="eastAsia" w:ascii="宋体" w:hAnsi="宋体" w:eastAsia="宋体" w:cs="宋体"/>
                      <w:color w:val="0000FF"/>
                      <w:sz w:val="21"/>
                      <w:szCs w:val="21"/>
                      <w:highlight w:val="none"/>
                      <w:lang w:val="en-US" w:eastAsia="zh-CN"/>
                    </w:rPr>
                    <w:t xml:space="preserve">需求及技术规格 第三节 技术需求明细 </w:t>
                  </w:r>
                  <w:r>
                    <w:rPr>
                      <w:rFonts w:hint="eastAsia" w:ascii="宋体" w:hAnsi="宋体" w:cs="宋体"/>
                      <w:color w:val="0000FF"/>
                      <w:sz w:val="21"/>
                      <w:szCs w:val="21"/>
                      <w:highlight w:val="none"/>
                      <w:lang w:val="en-US" w:eastAsia="zh-CN"/>
                    </w:rPr>
                    <w:t>中</w:t>
                  </w:r>
                  <w:r>
                    <w:rPr>
                      <w:rFonts w:hint="eastAsia" w:ascii="宋体" w:hAnsi="宋体" w:eastAsia="宋体" w:cs="宋体"/>
                      <w:color w:val="0000FF"/>
                      <w:sz w:val="21"/>
                      <w:szCs w:val="21"/>
                      <w:highlight w:val="none"/>
                    </w:rPr>
                    <w:t>的“▲”参数响应情况。</w:t>
                  </w:r>
                </w:p>
                <w:p w14:paraId="4B6A3DF0">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lang w:eastAsia="zh-CN"/>
                    </w:rPr>
                    <w:t>二、</w:t>
                  </w:r>
                  <w:r>
                    <w:rPr>
                      <w:rFonts w:hint="eastAsia" w:ascii="宋体" w:hAnsi="宋体" w:eastAsia="宋体" w:cs="宋体"/>
                      <w:color w:val="0000FF"/>
                      <w:sz w:val="21"/>
                      <w:szCs w:val="21"/>
                      <w:highlight w:val="none"/>
                    </w:rPr>
                    <w:t>评审依据：</w:t>
                  </w:r>
                </w:p>
                <w:p w14:paraId="6726D338">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以投标文件《技术偏离表》为评审依据，完全符合招标要求的，得</w:t>
                  </w:r>
                  <w:r>
                    <w:rPr>
                      <w:rFonts w:hint="eastAsia" w:ascii="宋体" w:hAnsi="宋体" w:cs="宋体"/>
                      <w:color w:val="0000FF"/>
                      <w:sz w:val="21"/>
                      <w:szCs w:val="21"/>
                      <w:highlight w:val="none"/>
                      <w:lang w:val="en-US" w:eastAsia="zh-CN"/>
                    </w:rPr>
                    <w:t>满</w:t>
                  </w:r>
                  <w:r>
                    <w:rPr>
                      <w:rFonts w:hint="eastAsia" w:ascii="宋体" w:hAnsi="宋体" w:eastAsia="宋体" w:cs="宋体"/>
                      <w:color w:val="0000FF"/>
                      <w:sz w:val="21"/>
                      <w:szCs w:val="21"/>
                      <w:highlight w:val="none"/>
                    </w:rPr>
                    <w:t>分。有1项“▲”参数不符合招标要求（或缺漏）的扣</w:t>
                  </w:r>
                  <w:r>
                    <w:rPr>
                      <w:rFonts w:hint="eastAsia" w:ascii="宋体" w:hAnsi="宋体" w:cs="宋体"/>
                      <w:color w:val="0000FF"/>
                      <w:sz w:val="21"/>
                      <w:szCs w:val="21"/>
                      <w:highlight w:val="none"/>
                      <w:lang w:val="en-US" w:eastAsia="zh-CN"/>
                    </w:rPr>
                    <w:t>5</w:t>
                  </w:r>
                  <w:r>
                    <w:rPr>
                      <w:rFonts w:hint="eastAsia" w:ascii="宋体" w:hAnsi="宋体" w:eastAsia="宋体" w:cs="宋体"/>
                      <w:color w:val="0000FF"/>
                      <w:sz w:val="21"/>
                      <w:szCs w:val="21"/>
                      <w:highlight w:val="none"/>
                    </w:rPr>
                    <w:t>分，最低得0分。</w:t>
                  </w:r>
                </w:p>
              </w:tc>
            </w:tr>
            <w:tr w14:paraId="626CC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vAlign w:val="center"/>
                </w:tcPr>
                <w:p w14:paraId="58737596">
                  <w:pPr>
                    <w:keepNext w:val="0"/>
                    <w:keepLines w:val="0"/>
                    <w:pageBreakBefore w:val="0"/>
                    <w:kinsoku/>
                    <w:overflowPunct/>
                    <w:topLinePunct w:val="0"/>
                    <w:autoSpaceDE/>
                    <w:autoSpaceDN/>
                    <w:bidi w:val="0"/>
                    <w:adjustRightInd/>
                    <w:spacing w:line="240" w:lineRule="auto"/>
                    <w:ind w:firstLine="0" w:firstLineChars="0"/>
                    <w:jc w:val="center"/>
                    <w:outlineLvl w:val="2"/>
                    <w:rPr>
                      <w:rFonts w:hint="eastAsia" w:ascii="宋体" w:hAnsi="宋体" w:eastAsia="宋体" w:cs="宋体"/>
                      <w:color w:val="0000FF"/>
                      <w:sz w:val="21"/>
                      <w:szCs w:val="21"/>
                      <w:highlight w:val="none"/>
                    </w:rPr>
                  </w:pPr>
                </w:p>
              </w:tc>
              <w:tc>
                <w:tcPr>
                  <w:tcW w:w="697" w:type="dxa"/>
                  <w:vAlign w:val="center"/>
                </w:tcPr>
                <w:p w14:paraId="7C8D3F03">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2</w:t>
                  </w:r>
                </w:p>
              </w:tc>
              <w:tc>
                <w:tcPr>
                  <w:tcW w:w="1368" w:type="dxa"/>
                  <w:vAlign w:val="center"/>
                </w:tcPr>
                <w:p w14:paraId="3C247BF4">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bCs/>
                      <w:color w:val="0000FF"/>
                      <w:sz w:val="21"/>
                      <w:szCs w:val="21"/>
                      <w:highlight w:val="none"/>
                    </w:rPr>
                    <w:t>非▲参数响应情况评价</w:t>
                  </w:r>
                </w:p>
              </w:tc>
              <w:tc>
                <w:tcPr>
                  <w:tcW w:w="810" w:type="dxa"/>
                  <w:vAlign w:val="center"/>
                </w:tcPr>
                <w:p w14:paraId="26D783AD">
                  <w:pPr>
                    <w:keepNext w:val="0"/>
                    <w:keepLines w:val="0"/>
                    <w:pageBreakBefore w:val="0"/>
                    <w:widowControl/>
                    <w:kinsoku/>
                    <w:wordWrap w:val="0"/>
                    <w:overflowPunct/>
                    <w:topLinePunct w:val="0"/>
                    <w:autoSpaceDE/>
                    <w:autoSpaceDN/>
                    <w:bidi w:val="0"/>
                    <w:adjustRightInd/>
                    <w:spacing w:line="240" w:lineRule="auto"/>
                    <w:ind w:firstLine="0" w:firstLineChars="0"/>
                    <w:jc w:val="center"/>
                    <w:textAlignment w:val="top"/>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18</w:t>
                  </w:r>
                </w:p>
              </w:tc>
              <w:tc>
                <w:tcPr>
                  <w:tcW w:w="4653" w:type="dxa"/>
                  <w:vAlign w:val="top"/>
                </w:tcPr>
                <w:p w14:paraId="3AD427EA">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lang w:eastAsia="zh-CN"/>
                    </w:rPr>
                    <w:t>一、</w:t>
                  </w:r>
                  <w:r>
                    <w:rPr>
                      <w:rFonts w:hint="eastAsia" w:ascii="宋体" w:hAnsi="宋体" w:eastAsia="宋体" w:cs="宋体"/>
                      <w:color w:val="0000FF"/>
                      <w:sz w:val="21"/>
                      <w:szCs w:val="21"/>
                      <w:highlight w:val="none"/>
                    </w:rPr>
                    <w:t>评审内容：</w:t>
                  </w:r>
                </w:p>
                <w:p w14:paraId="4A27A0ED">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考察投标人对招标文件</w:t>
                  </w:r>
                  <w:r>
                    <w:rPr>
                      <w:rFonts w:hint="eastAsia" w:ascii="宋体" w:hAnsi="宋体" w:eastAsia="宋体" w:cs="宋体"/>
                      <w:color w:val="0000FF"/>
                      <w:sz w:val="21"/>
                      <w:szCs w:val="21"/>
                      <w:highlight w:val="none"/>
                      <w:lang w:val="en-US" w:eastAsia="zh-CN"/>
                    </w:rPr>
                    <w:t xml:space="preserve"> </w:t>
                  </w:r>
                  <w:r>
                    <w:rPr>
                      <w:rFonts w:hint="eastAsia" w:ascii="宋体" w:hAnsi="宋体" w:eastAsia="宋体" w:cs="宋体"/>
                      <w:color w:val="0000FF"/>
                      <w:sz w:val="21"/>
                      <w:szCs w:val="21"/>
                      <w:highlight w:val="none"/>
                    </w:rPr>
                    <w:t xml:space="preserve"> 第</w:t>
                  </w:r>
                  <w:r>
                    <w:rPr>
                      <w:rFonts w:hint="eastAsia" w:ascii="宋体" w:hAnsi="宋体" w:eastAsia="宋体" w:cs="宋体"/>
                      <w:color w:val="0000FF"/>
                      <w:sz w:val="21"/>
                      <w:szCs w:val="21"/>
                      <w:highlight w:val="none"/>
                      <w:lang w:val="en-US" w:eastAsia="zh-CN"/>
                    </w:rPr>
                    <w:t>四</w:t>
                  </w:r>
                  <w:r>
                    <w:rPr>
                      <w:rFonts w:hint="eastAsia" w:ascii="宋体" w:hAnsi="宋体" w:eastAsia="宋体" w:cs="宋体"/>
                      <w:color w:val="0000FF"/>
                      <w:sz w:val="21"/>
                      <w:szCs w:val="21"/>
                      <w:highlight w:val="none"/>
                    </w:rPr>
                    <w:t xml:space="preserve">章 </w:t>
                  </w:r>
                  <w:r>
                    <w:rPr>
                      <w:rFonts w:hint="eastAsia" w:ascii="宋体" w:hAnsi="宋体" w:eastAsia="宋体" w:cs="宋体"/>
                      <w:color w:val="0000FF"/>
                      <w:sz w:val="21"/>
                      <w:szCs w:val="21"/>
                      <w:highlight w:val="none"/>
                      <w:lang w:val="en-US" w:eastAsia="zh-CN"/>
                    </w:rPr>
                    <w:t>需求及技术规格 第三节 技术需求明细</w:t>
                  </w:r>
                  <w:r>
                    <w:rPr>
                      <w:rFonts w:hint="eastAsia" w:ascii="宋体" w:hAnsi="宋体" w:cs="宋体"/>
                      <w:color w:val="0000FF"/>
                      <w:sz w:val="21"/>
                      <w:szCs w:val="21"/>
                      <w:highlight w:val="none"/>
                      <w:lang w:val="en-US" w:eastAsia="zh-CN"/>
                    </w:rPr>
                    <w:t xml:space="preserve"> </w:t>
                  </w:r>
                  <w:r>
                    <w:rPr>
                      <w:rFonts w:hint="eastAsia" w:ascii="宋体" w:hAnsi="宋体" w:eastAsia="宋体" w:cs="宋体"/>
                      <w:color w:val="0000FF"/>
                      <w:sz w:val="21"/>
                      <w:szCs w:val="21"/>
                      <w:highlight w:val="none"/>
                    </w:rPr>
                    <w:t>中的非“▲”参数响应情况。</w:t>
                  </w:r>
                </w:p>
                <w:p w14:paraId="071E0BBE">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lang w:eastAsia="zh-CN"/>
                    </w:rPr>
                    <w:t>二、</w:t>
                  </w:r>
                  <w:r>
                    <w:rPr>
                      <w:rFonts w:hint="eastAsia" w:ascii="宋体" w:hAnsi="宋体" w:eastAsia="宋体" w:cs="宋体"/>
                      <w:color w:val="0000FF"/>
                      <w:sz w:val="21"/>
                      <w:szCs w:val="21"/>
                      <w:highlight w:val="none"/>
                    </w:rPr>
                    <w:t>评审依据：</w:t>
                  </w:r>
                </w:p>
                <w:p w14:paraId="33017896">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以投标文件《技术偏离表》为评审依据，完全符合招标要求的，得</w:t>
                  </w:r>
                  <w:r>
                    <w:rPr>
                      <w:rFonts w:hint="eastAsia" w:ascii="宋体" w:hAnsi="宋体" w:cs="宋体"/>
                      <w:color w:val="0000FF"/>
                      <w:sz w:val="21"/>
                      <w:szCs w:val="21"/>
                      <w:highlight w:val="none"/>
                      <w:lang w:val="en-US" w:eastAsia="zh-CN"/>
                    </w:rPr>
                    <w:t>满</w:t>
                  </w:r>
                  <w:r>
                    <w:rPr>
                      <w:rFonts w:hint="eastAsia" w:ascii="宋体" w:hAnsi="宋体" w:eastAsia="宋体" w:cs="宋体"/>
                      <w:color w:val="0000FF"/>
                      <w:sz w:val="21"/>
                      <w:szCs w:val="21"/>
                      <w:highlight w:val="none"/>
                    </w:rPr>
                    <w:t>分。有1项非“▲”参数不符合招标要求（或缺漏）的扣</w:t>
                  </w:r>
                  <w:r>
                    <w:rPr>
                      <w:rFonts w:hint="eastAsia" w:ascii="宋体" w:hAnsi="宋体" w:cs="宋体"/>
                      <w:color w:val="0000FF"/>
                      <w:sz w:val="21"/>
                      <w:szCs w:val="21"/>
                      <w:highlight w:val="none"/>
                      <w:lang w:val="en-US" w:eastAsia="zh-CN"/>
                    </w:rPr>
                    <w:t>0.36</w:t>
                  </w:r>
                  <w:r>
                    <w:rPr>
                      <w:rFonts w:hint="eastAsia" w:ascii="宋体" w:hAnsi="宋体" w:eastAsia="宋体" w:cs="宋体"/>
                      <w:color w:val="0000FF"/>
                      <w:sz w:val="21"/>
                      <w:szCs w:val="21"/>
                      <w:highlight w:val="none"/>
                    </w:rPr>
                    <w:t>分，最低得0分。</w:t>
                  </w:r>
                </w:p>
              </w:tc>
            </w:tr>
            <w:tr w14:paraId="2580D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vAlign w:val="center"/>
                </w:tcPr>
                <w:p w14:paraId="461FD1BD">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p>
              </w:tc>
              <w:tc>
                <w:tcPr>
                  <w:tcW w:w="697" w:type="dxa"/>
                  <w:vAlign w:val="center"/>
                </w:tcPr>
                <w:p w14:paraId="1FC5CEEB">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3</w:t>
                  </w:r>
                </w:p>
              </w:tc>
              <w:tc>
                <w:tcPr>
                  <w:tcW w:w="1368" w:type="dxa"/>
                  <w:vAlign w:val="center"/>
                </w:tcPr>
                <w:p w14:paraId="39C295B6">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投标人承诺的售后服务内容和工作方案</w:t>
                  </w:r>
                </w:p>
              </w:tc>
              <w:tc>
                <w:tcPr>
                  <w:tcW w:w="810" w:type="dxa"/>
                  <w:vAlign w:val="center"/>
                </w:tcPr>
                <w:p w14:paraId="38E78B0B">
                  <w:pPr>
                    <w:keepNext w:val="0"/>
                    <w:keepLines w:val="0"/>
                    <w:pageBreakBefore w:val="0"/>
                    <w:widowControl/>
                    <w:kinsoku/>
                    <w:wordWrap w:val="0"/>
                    <w:overflowPunct/>
                    <w:topLinePunct w:val="0"/>
                    <w:autoSpaceDE/>
                    <w:autoSpaceDN/>
                    <w:bidi w:val="0"/>
                    <w:adjustRightInd/>
                    <w:spacing w:line="240" w:lineRule="auto"/>
                    <w:ind w:firstLine="0" w:firstLineChars="0"/>
                    <w:jc w:val="center"/>
                    <w:textAlignment w:val="top"/>
                    <w:rPr>
                      <w:rFonts w:hint="eastAsia" w:ascii="宋体" w:hAnsi="宋体" w:eastAsia="宋体" w:cs="宋体"/>
                      <w:color w:val="0000FF"/>
                      <w:sz w:val="21"/>
                      <w:szCs w:val="21"/>
                      <w:highlight w:val="none"/>
                    </w:rPr>
                  </w:pPr>
                  <w:r>
                    <w:rPr>
                      <w:rFonts w:hint="eastAsia" w:ascii="宋体" w:hAnsi="宋体" w:cs="宋体"/>
                      <w:color w:val="0000FF"/>
                      <w:sz w:val="21"/>
                      <w:szCs w:val="21"/>
                      <w:highlight w:val="none"/>
                      <w:lang w:val="en-US" w:eastAsia="zh-CN"/>
                    </w:rPr>
                    <w:t>7</w:t>
                  </w:r>
                </w:p>
              </w:tc>
              <w:tc>
                <w:tcPr>
                  <w:tcW w:w="4653" w:type="dxa"/>
                  <w:vAlign w:val="center"/>
                </w:tcPr>
                <w:p w14:paraId="2B7E5879">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lang w:eastAsia="zh-CN"/>
                    </w:rPr>
                    <w:t>一、</w:t>
                  </w:r>
                  <w:r>
                    <w:rPr>
                      <w:rFonts w:hint="eastAsia" w:ascii="宋体" w:hAnsi="宋体" w:eastAsia="宋体" w:cs="宋体"/>
                      <w:color w:val="0000FF"/>
                      <w:sz w:val="21"/>
                      <w:szCs w:val="21"/>
                      <w:highlight w:val="none"/>
                    </w:rPr>
                    <w:t>评审内容：</w:t>
                  </w:r>
                </w:p>
                <w:p w14:paraId="3D41D380">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针对投标人的方案中的以下内容进行综合评价：</w:t>
                  </w:r>
                </w:p>
                <w:p w14:paraId="431A16B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eastAsia="宋体" w:cs="宋体"/>
                      <w:color w:val="0000FF"/>
                      <w:sz w:val="21"/>
                      <w:szCs w:val="21"/>
                      <w:highlight w:val="none"/>
                    </w:rPr>
                  </w:pPr>
                  <w:r>
                    <w:rPr>
                      <w:rFonts w:hint="eastAsia" w:ascii="宋体" w:hAnsi="宋体" w:cs="宋体"/>
                      <w:color w:val="0000FF"/>
                      <w:kern w:val="2"/>
                      <w:sz w:val="21"/>
                      <w:szCs w:val="21"/>
                      <w:highlight w:val="none"/>
                      <w:lang w:val="en-US" w:eastAsia="zh-CN" w:bidi="ar-SA"/>
                    </w:rPr>
                    <w:t>1.</w:t>
                  </w:r>
                  <w:r>
                    <w:rPr>
                      <w:rFonts w:hint="eastAsia" w:ascii="宋体" w:hAnsi="宋体" w:eastAsia="宋体" w:cs="宋体"/>
                      <w:color w:val="0000FF"/>
                      <w:sz w:val="21"/>
                      <w:szCs w:val="21"/>
                      <w:highlight w:val="none"/>
                    </w:rPr>
                    <w:t>售后人员配备情况；</w:t>
                  </w:r>
                </w:p>
                <w:p w14:paraId="4C5CD3E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eastAsia="宋体" w:cs="宋体"/>
                      <w:color w:val="0000FF"/>
                      <w:sz w:val="21"/>
                      <w:szCs w:val="21"/>
                      <w:highlight w:val="none"/>
                    </w:rPr>
                  </w:pPr>
                  <w:r>
                    <w:rPr>
                      <w:rFonts w:hint="eastAsia" w:ascii="宋体" w:hAnsi="宋体" w:cs="宋体"/>
                      <w:color w:val="0000FF"/>
                      <w:kern w:val="2"/>
                      <w:sz w:val="21"/>
                      <w:szCs w:val="21"/>
                      <w:highlight w:val="none"/>
                      <w:lang w:val="en-US" w:eastAsia="zh-CN" w:bidi="ar-SA"/>
                    </w:rPr>
                    <w:t>2.</w:t>
                  </w:r>
                  <w:r>
                    <w:rPr>
                      <w:rFonts w:hint="eastAsia" w:ascii="宋体" w:hAnsi="宋体" w:eastAsia="宋体" w:cs="宋体"/>
                      <w:color w:val="0000FF"/>
                      <w:sz w:val="21"/>
                      <w:szCs w:val="21"/>
                      <w:highlight w:val="none"/>
                    </w:rPr>
                    <w:t>产品维护服务及备品备件和产品配件价格优惠；</w:t>
                  </w:r>
                </w:p>
                <w:p w14:paraId="16C6A09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eastAsia="宋体" w:cs="宋体"/>
                      <w:color w:val="0000FF"/>
                      <w:sz w:val="21"/>
                      <w:szCs w:val="21"/>
                      <w:highlight w:val="none"/>
                    </w:rPr>
                  </w:pPr>
                  <w:r>
                    <w:rPr>
                      <w:rFonts w:hint="eastAsia" w:ascii="宋体" w:hAnsi="宋体" w:cs="宋体"/>
                      <w:color w:val="0000FF"/>
                      <w:kern w:val="2"/>
                      <w:sz w:val="21"/>
                      <w:szCs w:val="21"/>
                      <w:highlight w:val="none"/>
                      <w:lang w:val="en-US" w:eastAsia="zh-CN" w:bidi="ar-SA"/>
                    </w:rPr>
                    <w:t>3.</w:t>
                  </w:r>
                  <w:r>
                    <w:rPr>
                      <w:rFonts w:hint="eastAsia" w:ascii="宋体" w:hAnsi="宋体" w:eastAsia="宋体" w:cs="宋体"/>
                      <w:color w:val="0000FF"/>
                      <w:sz w:val="21"/>
                      <w:szCs w:val="21"/>
                      <w:highlight w:val="none"/>
                    </w:rPr>
                    <w:t>产品培训方案；</w:t>
                  </w:r>
                </w:p>
                <w:p w14:paraId="44246C49">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二</w:t>
                  </w:r>
                  <w:r>
                    <w:rPr>
                      <w:rFonts w:hint="eastAsia" w:ascii="宋体" w:hAnsi="宋体" w:cs="宋体"/>
                      <w:color w:val="0000FF"/>
                      <w:sz w:val="21"/>
                      <w:szCs w:val="21"/>
                      <w:highlight w:val="none"/>
                      <w:lang w:eastAsia="zh-CN"/>
                    </w:rPr>
                    <w:t>、</w:t>
                  </w:r>
                  <w:r>
                    <w:rPr>
                      <w:rFonts w:hint="eastAsia" w:ascii="宋体" w:hAnsi="宋体" w:eastAsia="宋体" w:cs="宋体"/>
                      <w:color w:val="0000FF"/>
                      <w:sz w:val="21"/>
                      <w:szCs w:val="21"/>
                      <w:highlight w:val="none"/>
                    </w:rPr>
                    <w:t>评分</w:t>
                  </w:r>
                  <w:r>
                    <w:rPr>
                      <w:rFonts w:hint="eastAsia" w:ascii="宋体" w:hAnsi="宋体" w:cs="宋体"/>
                      <w:color w:val="0000FF"/>
                      <w:sz w:val="21"/>
                      <w:szCs w:val="21"/>
                      <w:highlight w:val="none"/>
                      <w:lang w:val="en-US" w:eastAsia="zh-CN"/>
                    </w:rPr>
                    <w:t>标准</w:t>
                  </w:r>
                  <w:r>
                    <w:rPr>
                      <w:rFonts w:hint="eastAsia" w:ascii="宋体" w:hAnsi="宋体" w:eastAsia="宋体" w:cs="宋体"/>
                      <w:color w:val="0000FF"/>
                      <w:sz w:val="21"/>
                      <w:szCs w:val="21"/>
                      <w:highlight w:val="none"/>
                    </w:rPr>
                    <w:t>：</w:t>
                  </w:r>
                </w:p>
                <w:p w14:paraId="679A210D">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满足任意一项得</w:t>
                  </w:r>
                  <w:r>
                    <w:rPr>
                      <w:rFonts w:hint="eastAsia" w:ascii="宋体" w:hAnsi="宋体" w:cs="宋体"/>
                      <w:color w:val="0000FF"/>
                      <w:sz w:val="21"/>
                      <w:szCs w:val="21"/>
                      <w:highlight w:val="none"/>
                      <w:lang w:val="en-US" w:eastAsia="zh-CN"/>
                    </w:rPr>
                    <w:t>1.5</w:t>
                  </w:r>
                  <w:r>
                    <w:rPr>
                      <w:rFonts w:hint="eastAsia" w:ascii="宋体" w:hAnsi="宋体" w:eastAsia="宋体" w:cs="宋体"/>
                      <w:color w:val="0000FF"/>
                      <w:sz w:val="21"/>
                      <w:szCs w:val="21"/>
                      <w:highlight w:val="none"/>
                    </w:rPr>
                    <w:t>分</w:t>
                  </w:r>
                  <w:r>
                    <w:rPr>
                      <w:rFonts w:hint="eastAsia" w:ascii="宋体" w:hAnsi="宋体" w:eastAsia="宋体" w:cs="宋体"/>
                      <w:color w:val="0000FF"/>
                      <w:sz w:val="21"/>
                      <w:szCs w:val="21"/>
                      <w:highlight w:val="none"/>
                      <w:lang w:val="en-US" w:eastAsia="zh-CN"/>
                    </w:rPr>
                    <w:t>，最高</w:t>
                  </w:r>
                  <w:r>
                    <w:rPr>
                      <w:rFonts w:hint="eastAsia" w:ascii="宋体" w:hAnsi="宋体" w:eastAsia="宋体" w:cs="宋体"/>
                      <w:color w:val="0000FF"/>
                      <w:sz w:val="21"/>
                      <w:szCs w:val="21"/>
                      <w:highlight w:val="none"/>
                    </w:rPr>
                    <w:t>得</w:t>
                  </w:r>
                  <w:r>
                    <w:rPr>
                      <w:rFonts w:hint="eastAsia" w:ascii="宋体" w:hAnsi="宋体" w:cs="宋体"/>
                      <w:color w:val="0000FF"/>
                      <w:sz w:val="21"/>
                      <w:szCs w:val="21"/>
                      <w:highlight w:val="none"/>
                      <w:lang w:val="en-US" w:eastAsia="zh-CN"/>
                    </w:rPr>
                    <w:t>4.5</w:t>
                  </w:r>
                  <w:r>
                    <w:rPr>
                      <w:rFonts w:hint="eastAsia" w:ascii="宋体" w:hAnsi="宋体" w:eastAsia="宋体" w:cs="宋体"/>
                      <w:color w:val="0000FF"/>
                      <w:sz w:val="21"/>
                      <w:szCs w:val="21"/>
                      <w:highlight w:val="none"/>
                    </w:rPr>
                    <w:t>分</w:t>
                  </w:r>
                  <w:r>
                    <w:rPr>
                      <w:rFonts w:hint="eastAsia" w:ascii="宋体" w:hAnsi="宋体" w:eastAsia="宋体" w:cs="宋体"/>
                      <w:color w:val="0000FF"/>
                      <w:sz w:val="21"/>
                      <w:szCs w:val="21"/>
                      <w:highlight w:val="none"/>
                    </w:rPr>
                    <w:t>，其他情况不得分</w:t>
                  </w:r>
                  <w:r>
                    <w:rPr>
                      <w:rFonts w:hint="eastAsia" w:ascii="宋体" w:hAnsi="宋体" w:cs="宋体"/>
                      <w:color w:val="0000FF"/>
                      <w:sz w:val="21"/>
                      <w:szCs w:val="21"/>
                      <w:highlight w:val="none"/>
                      <w:lang w:eastAsia="zh-CN"/>
                    </w:rPr>
                    <w:t>；</w:t>
                  </w:r>
                  <w:r>
                    <w:rPr>
                      <w:rFonts w:hint="eastAsia" w:ascii="宋体" w:hAnsi="宋体" w:eastAsia="宋体" w:cs="宋体"/>
                      <w:color w:val="0000FF"/>
                      <w:sz w:val="21"/>
                      <w:szCs w:val="21"/>
                      <w:highlight w:val="none"/>
                    </w:rPr>
                    <w:t>在此基础上，由评审委员会根据方案响应情况进一步评审：</w:t>
                  </w:r>
                </w:p>
                <w:p w14:paraId="0E13F7C5">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cs="宋体"/>
                      <w:color w:val="0000FF"/>
                      <w:sz w:val="21"/>
                      <w:szCs w:val="21"/>
                      <w:highlight w:val="none"/>
                      <w:lang w:val="en-US" w:eastAsia="zh-CN"/>
                    </w:rPr>
                    <w:t>1.</w:t>
                  </w:r>
                  <w:r>
                    <w:rPr>
                      <w:rFonts w:hint="eastAsia" w:ascii="宋体" w:hAnsi="宋体" w:eastAsia="宋体" w:cs="宋体"/>
                      <w:color w:val="0000FF"/>
                      <w:sz w:val="21"/>
                      <w:szCs w:val="21"/>
                      <w:highlight w:val="none"/>
                    </w:rPr>
                    <w:t>方案极合理、条理极清晰、可操作性极强的得</w:t>
                  </w:r>
                  <w:r>
                    <w:rPr>
                      <w:rFonts w:hint="eastAsia" w:ascii="宋体" w:hAnsi="宋体" w:cs="宋体"/>
                      <w:color w:val="0000FF"/>
                      <w:sz w:val="21"/>
                      <w:szCs w:val="21"/>
                      <w:highlight w:val="none"/>
                      <w:lang w:val="en-US" w:eastAsia="zh-CN"/>
                    </w:rPr>
                    <w:t>2.5</w:t>
                  </w:r>
                  <w:r>
                    <w:rPr>
                      <w:rFonts w:hint="eastAsia" w:ascii="宋体" w:hAnsi="宋体" w:eastAsia="宋体" w:cs="宋体"/>
                      <w:color w:val="0000FF"/>
                      <w:sz w:val="21"/>
                      <w:szCs w:val="21"/>
                      <w:highlight w:val="none"/>
                    </w:rPr>
                    <w:t>分；</w:t>
                  </w:r>
                </w:p>
                <w:p w14:paraId="7ABDC1D4">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cs="宋体"/>
                      <w:color w:val="0000FF"/>
                      <w:sz w:val="21"/>
                      <w:szCs w:val="21"/>
                      <w:highlight w:val="none"/>
                      <w:lang w:val="en-US" w:eastAsia="zh-CN"/>
                    </w:rPr>
                    <w:t>2.</w:t>
                  </w:r>
                  <w:r>
                    <w:rPr>
                      <w:rFonts w:hint="eastAsia" w:ascii="宋体" w:hAnsi="宋体" w:eastAsia="宋体" w:cs="宋体"/>
                      <w:color w:val="0000FF"/>
                      <w:sz w:val="21"/>
                      <w:szCs w:val="21"/>
                      <w:highlight w:val="none"/>
                    </w:rPr>
                    <w:t>方案合理、条理清晰、可操作强的得</w:t>
                  </w:r>
                  <w:r>
                    <w:rPr>
                      <w:rFonts w:hint="eastAsia" w:ascii="宋体" w:hAnsi="宋体" w:cs="宋体"/>
                      <w:color w:val="0000FF"/>
                      <w:sz w:val="21"/>
                      <w:szCs w:val="21"/>
                      <w:highlight w:val="none"/>
                      <w:lang w:val="en-US" w:eastAsia="zh-CN"/>
                    </w:rPr>
                    <w:t>1.5</w:t>
                  </w:r>
                  <w:r>
                    <w:rPr>
                      <w:rFonts w:hint="eastAsia" w:ascii="宋体" w:hAnsi="宋体" w:eastAsia="宋体" w:cs="宋体"/>
                      <w:color w:val="0000FF"/>
                      <w:sz w:val="21"/>
                      <w:szCs w:val="21"/>
                      <w:highlight w:val="none"/>
                    </w:rPr>
                    <w:t>分；</w:t>
                  </w:r>
                </w:p>
                <w:p w14:paraId="17E8BA92">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cs="宋体"/>
                      <w:color w:val="0000FF"/>
                      <w:sz w:val="21"/>
                      <w:szCs w:val="21"/>
                      <w:highlight w:val="none"/>
                      <w:lang w:val="en-US" w:eastAsia="zh-CN"/>
                    </w:rPr>
                    <w:t>3.</w:t>
                  </w:r>
                  <w:r>
                    <w:rPr>
                      <w:rFonts w:hint="eastAsia" w:ascii="宋体" w:hAnsi="宋体" w:eastAsia="宋体" w:cs="宋体"/>
                      <w:color w:val="0000FF"/>
                      <w:sz w:val="21"/>
                      <w:szCs w:val="21"/>
                      <w:highlight w:val="none"/>
                    </w:rPr>
                    <w:t>方案较合理、条理较清晰、可操作较强的得</w:t>
                  </w:r>
                  <w:r>
                    <w:rPr>
                      <w:rFonts w:hint="eastAsia" w:ascii="宋体" w:hAnsi="宋体" w:cs="宋体"/>
                      <w:color w:val="0000FF"/>
                      <w:sz w:val="21"/>
                      <w:szCs w:val="21"/>
                      <w:highlight w:val="none"/>
                      <w:lang w:val="en-US" w:eastAsia="zh-CN"/>
                    </w:rPr>
                    <w:t>1</w:t>
                  </w:r>
                  <w:r>
                    <w:rPr>
                      <w:rFonts w:hint="eastAsia" w:ascii="宋体" w:hAnsi="宋体" w:eastAsia="宋体" w:cs="宋体"/>
                      <w:color w:val="0000FF"/>
                      <w:sz w:val="21"/>
                      <w:szCs w:val="21"/>
                      <w:highlight w:val="none"/>
                    </w:rPr>
                    <w:t>分；</w:t>
                  </w:r>
                </w:p>
                <w:p w14:paraId="0E0A68E1">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cs="宋体"/>
                      <w:color w:val="0000FF"/>
                      <w:sz w:val="21"/>
                      <w:szCs w:val="21"/>
                      <w:highlight w:val="none"/>
                      <w:lang w:val="en-US" w:eastAsia="zh-CN"/>
                    </w:rPr>
                    <w:t>4.</w:t>
                  </w:r>
                  <w:r>
                    <w:rPr>
                      <w:rFonts w:hint="eastAsia" w:ascii="宋体" w:hAnsi="宋体" w:eastAsia="宋体" w:cs="宋体"/>
                      <w:color w:val="0000FF"/>
                      <w:sz w:val="21"/>
                      <w:szCs w:val="21"/>
                      <w:highlight w:val="none"/>
                    </w:rPr>
                    <w:t>方案一般合理、条理一般、可操作一般的得</w:t>
                  </w:r>
                  <w:r>
                    <w:rPr>
                      <w:rFonts w:hint="eastAsia" w:ascii="宋体" w:hAnsi="宋体" w:cs="宋体"/>
                      <w:color w:val="0000FF"/>
                      <w:sz w:val="21"/>
                      <w:szCs w:val="21"/>
                      <w:highlight w:val="none"/>
                      <w:lang w:val="en-US" w:eastAsia="zh-CN"/>
                    </w:rPr>
                    <w:t>0.5</w:t>
                  </w:r>
                  <w:r>
                    <w:rPr>
                      <w:rFonts w:hint="eastAsia" w:ascii="宋体" w:hAnsi="宋体" w:eastAsia="宋体" w:cs="宋体"/>
                      <w:color w:val="0000FF"/>
                      <w:sz w:val="21"/>
                      <w:szCs w:val="21"/>
                      <w:highlight w:val="none"/>
                    </w:rPr>
                    <w:t>分；</w:t>
                  </w:r>
                </w:p>
                <w:p w14:paraId="10EFE2D5">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cs="宋体"/>
                      <w:color w:val="0000FF"/>
                      <w:sz w:val="21"/>
                      <w:szCs w:val="21"/>
                      <w:highlight w:val="none"/>
                      <w:lang w:val="en-US" w:eastAsia="zh-CN"/>
                    </w:rPr>
                    <w:t>5.</w:t>
                  </w:r>
                  <w:r>
                    <w:rPr>
                      <w:rFonts w:hint="eastAsia" w:ascii="宋体" w:hAnsi="宋体" w:eastAsia="宋体" w:cs="宋体"/>
                      <w:color w:val="0000FF"/>
                      <w:sz w:val="21"/>
                      <w:szCs w:val="21"/>
                      <w:highlight w:val="none"/>
                    </w:rPr>
                    <w:t>方案极不合理、条理极不清晰、可操作极差的不得分。</w:t>
                  </w:r>
                </w:p>
              </w:tc>
            </w:tr>
            <w:tr w14:paraId="064BC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vAlign w:val="center"/>
                </w:tcPr>
                <w:p w14:paraId="19017F93">
                  <w:pPr>
                    <w:keepNext w:val="0"/>
                    <w:keepLines w:val="0"/>
                    <w:pageBreakBefore w:val="0"/>
                    <w:kinsoku/>
                    <w:overflowPunct/>
                    <w:topLinePunct w:val="0"/>
                    <w:autoSpaceDE/>
                    <w:autoSpaceDN/>
                    <w:bidi w:val="0"/>
                    <w:adjustRightInd/>
                    <w:spacing w:line="240" w:lineRule="auto"/>
                    <w:ind w:firstLine="0" w:firstLineChars="0"/>
                    <w:jc w:val="center"/>
                    <w:outlineLvl w:val="2"/>
                    <w:rPr>
                      <w:rFonts w:hint="eastAsia" w:ascii="宋体" w:hAnsi="宋体" w:eastAsia="宋体" w:cs="宋体"/>
                      <w:color w:val="0000FF"/>
                      <w:sz w:val="21"/>
                      <w:szCs w:val="21"/>
                      <w:highlight w:val="none"/>
                    </w:rPr>
                  </w:pPr>
                </w:p>
              </w:tc>
              <w:tc>
                <w:tcPr>
                  <w:tcW w:w="697" w:type="dxa"/>
                  <w:vAlign w:val="center"/>
                </w:tcPr>
                <w:p w14:paraId="229DCF72">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4</w:t>
                  </w:r>
                </w:p>
              </w:tc>
              <w:tc>
                <w:tcPr>
                  <w:tcW w:w="1368" w:type="dxa"/>
                  <w:vAlign w:val="center"/>
                </w:tcPr>
                <w:p w14:paraId="2F27E79F">
                  <w:pPr>
                    <w:keepNext w:val="0"/>
                    <w:keepLines w:val="0"/>
                    <w:pageBreakBefore w:val="0"/>
                    <w:kinsoku/>
                    <w:overflowPunct/>
                    <w:topLinePunct w:val="0"/>
                    <w:autoSpaceDE/>
                    <w:autoSpaceDN/>
                    <w:bidi w:val="0"/>
                    <w:adjustRightInd/>
                    <w:snapToGrid w:val="0"/>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绿色采购情况</w:t>
                  </w:r>
                </w:p>
              </w:tc>
              <w:tc>
                <w:tcPr>
                  <w:tcW w:w="810" w:type="dxa"/>
                  <w:vAlign w:val="center"/>
                </w:tcPr>
                <w:p w14:paraId="5DD6B351">
                  <w:pPr>
                    <w:keepNext w:val="0"/>
                    <w:keepLines w:val="0"/>
                    <w:pageBreakBefore w:val="0"/>
                    <w:widowControl/>
                    <w:kinsoku/>
                    <w:wordWrap w:val="0"/>
                    <w:overflowPunct/>
                    <w:topLinePunct w:val="0"/>
                    <w:autoSpaceDE/>
                    <w:autoSpaceDN/>
                    <w:bidi w:val="0"/>
                    <w:adjustRightInd/>
                    <w:spacing w:line="240" w:lineRule="auto"/>
                    <w:ind w:firstLine="0" w:firstLineChars="0"/>
                    <w:jc w:val="center"/>
                    <w:textAlignment w:val="top"/>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w:t>
                  </w:r>
                </w:p>
              </w:tc>
              <w:tc>
                <w:tcPr>
                  <w:tcW w:w="4653" w:type="dxa"/>
                  <w:vAlign w:val="top"/>
                </w:tcPr>
                <w:p w14:paraId="4C6A41A1">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lang w:eastAsia="zh-CN"/>
                    </w:rPr>
                    <w:t>一、</w:t>
                  </w:r>
                  <w:r>
                    <w:rPr>
                      <w:rFonts w:hint="eastAsia" w:ascii="宋体" w:hAnsi="宋体" w:eastAsia="宋体" w:cs="宋体"/>
                      <w:color w:val="0000FF"/>
                      <w:sz w:val="21"/>
                      <w:szCs w:val="21"/>
                      <w:highlight w:val="none"/>
                    </w:rPr>
                    <w:t>评审内容：</w:t>
                  </w:r>
                </w:p>
                <w:p w14:paraId="05DC7797">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项目采购内容中包含需要对相关产品需要进行商品包装和快递包装的，投标人承诺所进行的商品包装和快递包装满足财政部《商品包装政府采购需求标准（试行）》《快递包装政府采购需求标准（试行）》（财办库〔2020〕123号）的要求，采用环保材料进行包装。</w:t>
                  </w:r>
                </w:p>
                <w:p w14:paraId="73B04114">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lang w:eastAsia="zh-CN"/>
                    </w:rPr>
                    <w:t>二、</w:t>
                  </w:r>
                  <w:r>
                    <w:rPr>
                      <w:rFonts w:hint="eastAsia" w:ascii="宋体" w:hAnsi="宋体" w:eastAsia="宋体" w:cs="宋体"/>
                      <w:color w:val="0000FF"/>
                      <w:sz w:val="21"/>
                      <w:szCs w:val="21"/>
                      <w:highlight w:val="none"/>
                    </w:rPr>
                    <w:t>评审依据：</w:t>
                  </w:r>
                </w:p>
                <w:p w14:paraId="62978C81">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投标人提供符合相关要求的承诺函得</w:t>
                  </w:r>
                  <w:r>
                    <w:rPr>
                      <w:rFonts w:hint="eastAsia" w:ascii="宋体" w:hAnsi="宋体" w:cs="宋体"/>
                      <w:color w:val="0000FF"/>
                      <w:sz w:val="21"/>
                      <w:szCs w:val="21"/>
                      <w:highlight w:val="none"/>
                      <w:lang w:val="en-US" w:eastAsia="zh-CN"/>
                    </w:rPr>
                    <w:t>满</w:t>
                  </w:r>
                  <w:r>
                    <w:rPr>
                      <w:rFonts w:hint="eastAsia" w:ascii="宋体" w:hAnsi="宋体" w:eastAsia="宋体" w:cs="宋体"/>
                      <w:color w:val="0000FF"/>
                      <w:sz w:val="21"/>
                      <w:szCs w:val="21"/>
                      <w:highlight w:val="none"/>
                    </w:rPr>
                    <w:t>分（格式自定，应在《</w:t>
                  </w:r>
                  <w:r>
                    <w:rPr>
                      <w:rFonts w:hint="eastAsia" w:ascii="宋体" w:hAnsi="宋体" w:eastAsia="宋体" w:cs="宋体"/>
                      <w:color w:val="0000FF"/>
                      <w:sz w:val="21"/>
                      <w:szCs w:val="21"/>
                      <w:highlight w:val="none"/>
                      <w:lang w:eastAsia="zh-CN"/>
                    </w:rPr>
                    <w:t>采购投标及履约承诺函</w:t>
                  </w:r>
                  <w:r>
                    <w:rPr>
                      <w:rFonts w:hint="eastAsia" w:ascii="宋体" w:hAnsi="宋体" w:eastAsia="宋体" w:cs="宋体"/>
                      <w:color w:val="0000FF"/>
                      <w:sz w:val="21"/>
                      <w:szCs w:val="21"/>
                      <w:highlight w:val="none"/>
                    </w:rPr>
                    <w:t>》外另起承诺函）可视为符合规定，无需提供检测报告、认证报告。未提供或不符合的不得分。</w:t>
                  </w:r>
                </w:p>
              </w:tc>
            </w:tr>
            <w:tr w14:paraId="36056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5613B422">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3</w:t>
                  </w:r>
                </w:p>
              </w:tc>
              <w:tc>
                <w:tcPr>
                  <w:tcW w:w="2875" w:type="dxa"/>
                  <w:gridSpan w:val="3"/>
                  <w:vAlign w:val="center"/>
                </w:tcPr>
                <w:p w14:paraId="40FC7DB5">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商务部分</w:t>
                  </w:r>
                </w:p>
              </w:tc>
              <w:tc>
                <w:tcPr>
                  <w:tcW w:w="4653" w:type="dxa"/>
                  <w:vAlign w:val="center"/>
                </w:tcPr>
                <w:p w14:paraId="7A65C8B9">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lang w:val="en-US" w:eastAsia="zh-CN"/>
                    </w:rPr>
                  </w:pPr>
                  <w:r>
                    <w:rPr>
                      <w:rFonts w:hint="eastAsia" w:ascii="宋体" w:hAnsi="宋体" w:cs="宋体"/>
                      <w:b/>
                      <w:color w:val="0000FF"/>
                      <w:sz w:val="21"/>
                      <w:szCs w:val="21"/>
                      <w:highlight w:val="none"/>
                      <w:lang w:val="en-US" w:eastAsia="zh-CN"/>
                    </w:rPr>
                    <w:t>3</w:t>
                  </w:r>
                </w:p>
              </w:tc>
            </w:tr>
            <w:tr w14:paraId="0B0D8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restart"/>
                  <w:vAlign w:val="center"/>
                </w:tcPr>
                <w:p w14:paraId="7E289082">
                  <w:pPr>
                    <w:keepNext w:val="0"/>
                    <w:keepLines w:val="0"/>
                    <w:pageBreakBefore w:val="0"/>
                    <w:kinsoku/>
                    <w:overflowPunct/>
                    <w:topLinePunct w:val="0"/>
                    <w:autoSpaceDE/>
                    <w:autoSpaceDN/>
                    <w:bidi w:val="0"/>
                    <w:adjustRightInd/>
                    <w:spacing w:line="240" w:lineRule="auto"/>
                    <w:ind w:firstLine="0" w:firstLineChars="0"/>
                    <w:jc w:val="center"/>
                    <w:outlineLvl w:val="0"/>
                    <w:rPr>
                      <w:rFonts w:hint="eastAsia" w:ascii="宋体" w:hAnsi="宋体" w:eastAsia="宋体" w:cs="宋体"/>
                      <w:color w:val="0000FF"/>
                      <w:sz w:val="21"/>
                      <w:szCs w:val="21"/>
                      <w:highlight w:val="none"/>
                    </w:rPr>
                  </w:pPr>
                </w:p>
              </w:tc>
              <w:tc>
                <w:tcPr>
                  <w:tcW w:w="697" w:type="dxa"/>
                  <w:vAlign w:val="center"/>
                </w:tcPr>
                <w:p w14:paraId="627F65EC">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序号</w:t>
                  </w:r>
                </w:p>
              </w:tc>
              <w:tc>
                <w:tcPr>
                  <w:tcW w:w="1368" w:type="dxa"/>
                  <w:vAlign w:val="center"/>
                </w:tcPr>
                <w:p w14:paraId="25DB6E3B">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评分因素</w:t>
                  </w:r>
                </w:p>
              </w:tc>
              <w:tc>
                <w:tcPr>
                  <w:tcW w:w="810" w:type="dxa"/>
                  <w:vAlign w:val="center"/>
                </w:tcPr>
                <w:p w14:paraId="3CA5EA92">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权重</w:t>
                  </w:r>
                </w:p>
              </w:tc>
              <w:tc>
                <w:tcPr>
                  <w:tcW w:w="4653" w:type="dxa"/>
                  <w:vAlign w:val="center"/>
                </w:tcPr>
                <w:p w14:paraId="08BDA9A5">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评分准则</w:t>
                  </w:r>
                </w:p>
              </w:tc>
            </w:tr>
            <w:tr w14:paraId="2960D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vAlign w:val="center"/>
                </w:tcPr>
                <w:p w14:paraId="3F60CB40">
                  <w:pPr>
                    <w:keepNext w:val="0"/>
                    <w:keepLines w:val="0"/>
                    <w:pageBreakBefore w:val="0"/>
                    <w:kinsoku/>
                    <w:overflowPunct/>
                    <w:topLinePunct w:val="0"/>
                    <w:autoSpaceDE/>
                    <w:autoSpaceDN/>
                    <w:bidi w:val="0"/>
                    <w:adjustRightInd/>
                    <w:spacing w:line="240" w:lineRule="auto"/>
                    <w:ind w:firstLine="0" w:firstLineChars="0"/>
                    <w:jc w:val="center"/>
                    <w:outlineLvl w:val="0"/>
                    <w:rPr>
                      <w:rFonts w:hint="eastAsia" w:ascii="宋体" w:hAnsi="宋体" w:eastAsia="宋体" w:cs="宋体"/>
                      <w:color w:val="0000FF"/>
                      <w:sz w:val="21"/>
                      <w:szCs w:val="21"/>
                      <w:highlight w:val="none"/>
                    </w:rPr>
                  </w:pPr>
                </w:p>
              </w:tc>
              <w:tc>
                <w:tcPr>
                  <w:tcW w:w="697" w:type="dxa"/>
                  <w:vAlign w:val="center"/>
                </w:tcPr>
                <w:p w14:paraId="4A702FAB">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w:t>
                  </w:r>
                </w:p>
              </w:tc>
              <w:tc>
                <w:tcPr>
                  <w:tcW w:w="1368" w:type="dxa"/>
                  <w:vAlign w:val="center"/>
                </w:tcPr>
                <w:p w14:paraId="3C8AEEA4">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体系认证情况评价</w:t>
                  </w:r>
                </w:p>
              </w:tc>
              <w:tc>
                <w:tcPr>
                  <w:tcW w:w="810" w:type="dxa"/>
                  <w:vAlign w:val="center"/>
                </w:tcPr>
                <w:p w14:paraId="14836B80">
                  <w:pPr>
                    <w:keepNext w:val="0"/>
                    <w:keepLines w:val="0"/>
                    <w:pageBreakBefore w:val="0"/>
                    <w:kinsoku/>
                    <w:overflowPunct/>
                    <w:topLinePunct w:val="0"/>
                    <w:autoSpaceDE/>
                    <w:autoSpaceDN/>
                    <w:bidi w:val="0"/>
                    <w:adjustRightInd/>
                    <w:snapToGrid w:val="0"/>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2</w:t>
                  </w:r>
                </w:p>
              </w:tc>
              <w:tc>
                <w:tcPr>
                  <w:tcW w:w="4653" w:type="dxa"/>
                  <w:vAlign w:val="top"/>
                </w:tcPr>
                <w:p w14:paraId="76675682">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lang w:eastAsia="zh-CN"/>
                    </w:rPr>
                    <w:t>一、</w:t>
                  </w:r>
                  <w:r>
                    <w:rPr>
                      <w:rFonts w:hint="eastAsia" w:ascii="宋体" w:hAnsi="宋体" w:eastAsia="宋体" w:cs="宋体"/>
                      <w:color w:val="0000FF"/>
                      <w:sz w:val="21"/>
                      <w:szCs w:val="21"/>
                      <w:highlight w:val="none"/>
                    </w:rPr>
                    <w:t>评审内容：</w:t>
                  </w:r>
                </w:p>
                <w:p w14:paraId="021E355C">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投标人</w:t>
                  </w:r>
                  <w:r>
                    <w:rPr>
                      <w:rFonts w:hint="eastAsia" w:ascii="宋体" w:hAnsi="宋体" w:cs="宋体"/>
                      <w:color w:val="0000FF"/>
                      <w:sz w:val="21"/>
                      <w:szCs w:val="21"/>
                      <w:highlight w:val="none"/>
                      <w:lang w:val="en-US" w:eastAsia="zh-CN"/>
                    </w:rPr>
                    <w:t>具有</w:t>
                  </w:r>
                  <w:r>
                    <w:rPr>
                      <w:rFonts w:hint="eastAsia" w:ascii="宋体" w:hAnsi="宋体" w:eastAsia="宋体" w:cs="宋体"/>
                      <w:color w:val="0000FF"/>
                      <w:sz w:val="21"/>
                      <w:szCs w:val="21"/>
                      <w:highlight w:val="none"/>
                    </w:rPr>
                    <w:t>ISO9001质量管理体系认证证书得</w:t>
                  </w:r>
                  <w:r>
                    <w:rPr>
                      <w:rFonts w:hint="eastAsia" w:ascii="宋体" w:hAnsi="宋体" w:cs="宋体"/>
                      <w:color w:val="0000FF"/>
                      <w:sz w:val="21"/>
                      <w:szCs w:val="21"/>
                      <w:highlight w:val="none"/>
                      <w:lang w:val="en-US" w:eastAsia="zh-CN"/>
                    </w:rPr>
                    <w:t>满</w:t>
                  </w:r>
                  <w:r>
                    <w:rPr>
                      <w:rFonts w:hint="eastAsia" w:ascii="宋体" w:hAnsi="宋体" w:eastAsia="宋体" w:cs="宋体"/>
                      <w:color w:val="0000FF"/>
                      <w:sz w:val="21"/>
                      <w:szCs w:val="21"/>
                      <w:highlight w:val="none"/>
                    </w:rPr>
                    <w:t>分</w:t>
                  </w:r>
                  <w:r>
                    <w:rPr>
                      <w:rFonts w:hint="eastAsia" w:ascii="宋体" w:hAnsi="宋体" w:cs="宋体"/>
                      <w:color w:val="0000FF"/>
                      <w:sz w:val="21"/>
                      <w:szCs w:val="21"/>
                      <w:highlight w:val="none"/>
                      <w:lang w:eastAsia="zh-CN"/>
                    </w:rPr>
                    <w:t>，</w:t>
                  </w:r>
                  <w:r>
                    <w:rPr>
                      <w:rFonts w:hint="eastAsia" w:ascii="宋体" w:hAnsi="宋体" w:cs="宋体"/>
                      <w:color w:val="0000FF"/>
                      <w:sz w:val="21"/>
                      <w:szCs w:val="21"/>
                      <w:highlight w:val="none"/>
                      <w:lang w:val="en-US" w:eastAsia="zh-CN"/>
                    </w:rPr>
                    <w:t>否则不得分</w:t>
                  </w:r>
                  <w:r>
                    <w:rPr>
                      <w:rFonts w:hint="eastAsia" w:ascii="宋体" w:hAnsi="宋体" w:eastAsia="宋体" w:cs="宋体"/>
                      <w:color w:val="0000FF"/>
                      <w:sz w:val="21"/>
                      <w:szCs w:val="21"/>
                      <w:highlight w:val="none"/>
                    </w:rPr>
                    <w:t>。</w:t>
                  </w:r>
                </w:p>
                <w:p w14:paraId="0CC6B005">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lang w:eastAsia="zh-CN"/>
                    </w:rPr>
                    <w:t>二、</w:t>
                  </w:r>
                  <w:r>
                    <w:rPr>
                      <w:rFonts w:hint="eastAsia" w:ascii="宋体" w:hAnsi="宋体" w:eastAsia="宋体" w:cs="宋体"/>
                      <w:color w:val="0000FF"/>
                      <w:sz w:val="21"/>
                      <w:szCs w:val="21"/>
                      <w:highlight w:val="none"/>
                    </w:rPr>
                    <w:t>评审依据：</w:t>
                  </w:r>
                </w:p>
                <w:p w14:paraId="719EC5FF">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w:t>
                  </w:r>
                  <w:r>
                    <w:rPr>
                      <w:rFonts w:hint="eastAsia" w:ascii="宋体" w:hAnsi="宋体" w:cs="宋体"/>
                      <w:color w:val="0000FF"/>
                      <w:sz w:val="21"/>
                      <w:szCs w:val="21"/>
                      <w:highlight w:val="none"/>
                      <w:lang w:val="en-US" w:eastAsia="zh-CN"/>
                    </w:rPr>
                    <w:t>.</w:t>
                  </w:r>
                  <w:r>
                    <w:rPr>
                      <w:rFonts w:hint="eastAsia" w:ascii="宋体" w:hAnsi="宋体" w:eastAsia="宋体" w:cs="宋体"/>
                      <w:color w:val="0000FF"/>
                      <w:sz w:val="21"/>
                      <w:szCs w:val="21"/>
                      <w:highlight w:val="none"/>
                    </w:rPr>
                    <w:t>提供相关认证机构颁发的有效期内的认证证书扫描件及认证信息查询截图（截图需显示证书状态为有效）。说明：①证书与查询信息截图必须同时提供，缺一不可。未同时提供的不得分，后果由投标人自行承担。②投标人应确保认证证书在开标当天仍处于有效状态，并对所提供的证书及查询截图的真实性负责，如出现与事实不符的情形，视同隐瞒真实情况，提供虚假资料，将依法承担相应的法律责任。③质疑投诉处理中对证书是否有效的认定，以国家认监委网站【全国认证认可信息公共服务平台（//cx.cnca.cn）】查询结果为准；</w:t>
                  </w:r>
                </w:p>
                <w:p w14:paraId="33536A97">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2</w:t>
                  </w:r>
                  <w:r>
                    <w:rPr>
                      <w:rFonts w:hint="eastAsia" w:ascii="宋体" w:hAnsi="宋体" w:cs="宋体"/>
                      <w:color w:val="0000FF"/>
                      <w:sz w:val="21"/>
                      <w:szCs w:val="21"/>
                      <w:highlight w:val="none"/>
                      <w:lang w:val="en-US" w:eastAsia="zh-CN"/>
                    </w:rPr>
                    <w:t>.</w:t>
                  </w:r>
                  <w:r>
                    <w:rPr>
                      <w:rFonts w:hint="eastAsia" w:ascii="宋体" w:hAnsi="宋体" w:eastAsia="宋体" w:cs="宋体"/>
                      <w:color w:val="0000FF"/>
                      <w:sz w:val="21"/>
                      <w:szCs w:val="21"/>
                      <w:highlight w:val="none"/>
                    </w:rPr>
                    <w:t>未按要求提供证明材料（或证明材料无法判断是否符合评分要求）的不得分，原件备查。</w:t>
                  </w:r>
                </w:p>
              </w:tc>
            </w:tr>
            <w:tr w14:paraId="2E9F9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vAlign w:val="center"/>
                </w:tcPr>
                <w:p w14:paraId="4CD396CD">
                  <w:pPr>
                    <w:keepNext w:val="0"/>
                    <w:keepLines w:val="0"/>
                    <w:pageBreakBefore w:val="0"/>
                    <w:kinsoku/>
                    <w:overflowPunct/>
                    <w:topLinePunct w:val="0"/>
                    <w:autoSpaceDE/>
                    <w:autoSpaceDN/>
                    <w:bidi w:val="0"/>
                    <w:adjustRightInd/>
                    <w:spacing w:line="240" w:lineRule="auto"/>
                    <w:ind w:firstLine="0" w:firstLineChars="0"/>
                    <w:jc w:val="center"/>
                    <w:outlineLvl w:val="2"/>
                    <w:rPr>
                      <w:rFonts w:hint="eastAsia" w:ascii="宋体" w:hAnsi="宋体" w:eastAsia="宋体" w:cs="宋体"/>
                      <w:color w:val="0000FF"/>
                      <w:sz w:val="21"/>
                      <w:szCs w:val="21"/>
                      <w:highlight w:val="none"/>
                    </w:rPr>
                  </w:pPr>
                </w:p>
              </w:tc>
              <w:tc>
                <w:tcPr>
                  <w:tcW w:w="697" w:type="dxa"/>
                  <w:vAlign w:val="center"/>
                </w:tcPr>
                <w:p w14:paraId="7F22ECC3">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2</w:t>
                  </w:r>
                </w:p>
              </w:tc>
              <w:tc>
                <w:tcPr>
                  <w:tcW w:w="1368" w:type="dxa"/>
                  <w:vAlign w:val="center"/>
                </w:tcPr>
                <w:p w14:paraId="41E3D16C">
                  <w:pPr>
                    <w:keepNext w:val="0"/>
                    <w:keepLines w:val="0"/>
                    <w:pageBreakBefore w:val="0"/>
                    <w:kinsoku/>
                    <w:overflowPunct/>
                    <w:topLinePunct w:val="0"/>
                    <w:autoSpaceDE/>
                    <w:autoSpaceDN/>
                    <w:bidi w:val="0"/>
                    <w:adjustRightInd/>
                    <w:snapToGrid w:val="0"/>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项目经验评价</w:t>
                  </w:r>
                </w:p>
              </w:tc>
              <w:tc>
                <w:tcPr>
                  <w:tcW w:w="810" w:type="dxa"/>
                  <w:vAlign w:val="center"/>
                </w:tcPr>
                <w:p w14:paraId="2010131D">
                  <w:pPr>
                    <w:keepNext w:val="0"/>
                    <w:keepLines w:val="0"/>
                    <w:pageBreakBefore w:val="0"/>
                    <w:kinsoku/>
                    <w:overflowPunct/>
                    <w:topLinePunct w:val="0"/>
                    <w:autoSpaceDE/>
                    <w:autoSpaceDN/>
                    <w:bidi w:val="0"/>
                    <w:adjustRightInd/>
                    <w:snapToGrid w:val="0"/>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cs="宋体"/>
                      <w:color w:val="0000FF"/>
                      <w:sz w:val="21"/>
                      <w:szCs w:val="21"/>
                      <w:highlight w:val="none"/>
                      <w:lang w:val="en-US" w:eastAsia="zh-CN"/>
                    </w:rPr>
                    <w:t>1</w:t>
                  </w:r>
                </w:p>
              </w:tc>
              <w:tc>
                <w:tcPr>
                  <w:tcW w:w="4653" w:type="dxa"/>
                  <w:vAlign w:val="top"/>
                </w:tcPr>
                <w:p w14:paraId="78FE13F1">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一、评审内容：</w:t>
                  </w:r>
                </w:p>
                <w:p w14:paraId="3D891708">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自202</w:t>
                  </w:r>
                  <w:r>
                    <w:rPr>
                      <w:rFonts w:hint="eastAsia" w:ascii="宋体" w:hAnsi="宋体" w:cs="宋体"/>
                      <w:color w:val="0000FF"/>
                      <w:sz w:val="21"/>
                      <w:szCs w:val="21"/>
                      <w:highlight w:val="none"/>
                      <w:lang w:val="en-US" w:eastAsia="zh-CN"/>
                    </w:rPr>
                    <w:t>2</w:t>
                  </w:r>
                  <w:r>
                    <w:rPr>
                      <w:rFonts w:hint="eastAsia" w:ascii="宋体" w:hAnsi="宋体" w:eastAsia="宋体" w:cs="宋体"/>
                      <w:color w:val="0000FF"/>
                      <w:sz w:val="21"/>
                      <w:szCs w:val="21"/>
                      <w:highlight w:val="none"/>
                    </w:rPr>
                    <w:t>年</w:t>
                  </w:r>
                  <w:r>
                    <w:rPr>
                      <w:rFonts w:hint="eastAsia" w:ascii="宋体" w:hAnsi="宋体" w:cs="宋体"/>
                      <w:color w:val="0000FF"/>
                      <w:sz w:val="21"/>
                      <w:szCs w:val="21"/>
                      <w:highlight w:val="none"/>
                      <w:lang w:val="en-US" w:eastAsia="zh-CN"/>
                    </w:rPr>
                    <w:t>7</w:t>
                  </w:r>
                  <w:r>
                    <w:rPr>
                      <w:rFonts w:hint="eastAsia" w:ascii="宋体" w:hAnsi="宋体" w:eastAsia="宋体" w:cs="宋体"/>
                      <w:color w:val="0000FF"/>
                      <w:sz w:val="21"/>
                      <w:szCs w:val="21"/>
                      <w:highlight w:val="none"/>
                    </w:rPr>
                    <w:t>月1日以来（以合同签署日期为准），投标人具有同类</w:t>
                  </w:r>
                  <w:r>
                    <w:rPr>
                      <w:rFonts w:hint="eastAsia" w:ascii="宋体" w:hAnsi="宋体" w:eastAsia="宋体" w:cs="宋体"/>
                      <w:b/>
                      <w:bCs/>
                      <w:color w:val="0000FF"/>
                      <w:sz w:val="21"/>
                      <w:szCs w:val="21"/>
                      <w:highlight w:val="none"/>
                    </w:rPr>
                    <w:t>（</w:t>
                  </w:r>
                  <w:r>
                    <w:rPr>
                      <w:rFonts w:hint="eastAsia" w:ascii="宋体" w:hAnsi="宋体" w:cs="宋体"/>
                      <w:b/>
                      <w:bCs/>
                      <w:color w:val="0000FF"/>
                      <w:sz w:val="21"/>
                      <w:szCs w:val="21"/>
                      <w:highlight w:val="none"/>
                      <w:lang w:eastAsia="zh-CN"/>
                    </w:rPr>
                    <w:t>口腔颌面锥形束计算机体层摄影设备(CBCT)</w:t>
                  </w:r>
                  <w:r>
                    <w:rPr>
                      <w:rFonts w:hint="eastAsia" w:ascii="宋体" w:hAnsi="宋体" w:eastAsia="宋体" w:cs="宋体"/>
                      <w:b/>
                      <w:bCs/>
                      <w:color w:val="0000FF"/>
                      <w:sz w:val="21"/>
                      <w:szCs w:val="21"/>
                      <w:highlight w:val="none"/>
                    </w:rPr>
                    <w:t>）</w:t>
                  </w:r>
                  <w:r>
                    <w:rPr>
                      <w:rFonts w:hint="eastAsia" w:ascii="宋体" w:hAnsi="宋体" w:eastAsia="宋体" w:cs="宋体"/>
                      <w:color w:val="0000FF"/>
                      <w:sz w:val="21"/>
                      <w:szCs w:val="21"/>
                      <w:highlight w:val="none"/>
                    </w:rPr>
                    <w:t>项目销售或供货经验的，每提供一项得</w:t>
                  </w:r>
                  <w:r>
                    <w:rPr>
                      <w:rFonts w:hint="eastAsia" w:ascii="宋体" w:hAnsi="宋体" w:cs="宋体"/>
                      <w:color w:val="0000FF"/>
                      <w:sz w:val="21"/>
                      <w:szCs w:val="21"/>
                      <w:highlight w:val="none"/>
                      <w:lang w:val="en-US" w:eastAsia="zh-CN"/>
                    </w:rPr>
                    <w:t>0.2</w:t>
                  </w:r>
                  <w:r>
                    <w:rPr>
                      <w:rFonts w:hint="eastAsia" w:ascii="宋体" w:hAnsi="宋体" w:eastAsia="宋体" w:cs="宋体"/>
                      <w:color w:val="0000FF"/>
                      <w:sz w:val="21"/>
                      <w:szCs w:val="21"/>
                      <w:highlight w:val="none"/>
                    </w:rPr>
                    <w:t>分，本项最高得</w:t>
                  </w:r>
                  <w:r>
                    <w:rPr>
                      <w:rFonts w:hint="eastAsia" w:ascii="宋体" w:hAnsi="宋体" w:cs="宋体"/>
                      <w:color w:val="0000FF"/>
                      <w:sz w:val="21"/>
                      <w:szCs w:val="21"/>
                      <w:highlight w:val="none"/>
                      <w:lang w:val="en-US" w:eastAsia="zh-CN"/>
                    </w:rPr>
                    <w:t>1</w:t>
                  </w:r>
                  <w:r>
                    <w:rPr>
                      <w:rFonts w:hint="eastAsia" w:ascii="宋体" w:hAnsi="宋体" w:eastAsia="宋体" w:cs="宋体"/>
                      <w:color w:val="0000FF"/>
                      <w:sz w:val="21"/>
                      <w:szCs w:val="21"/>
                      <w:highlight w:val="none"/>
                    </w:rPr>
                    <w:t>分。</w:t>
                  </w:r>
                </w:p>
                <w:p w14:paraId="63A960B8">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二、评审依据：</w:t>
                  </w:r>
                </w:p>
                <w:p w14:paraId="7743228C">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w:t>
                  </w:r>
                  <w:r>
                    <w:rPr>
                      <w:rFonts w:hint="eastAsia" w:ascii="宋体" w:hAnsi="宋体" w:cs="宋体"/>
                      <w:color w:val="0000FF"/>
                      <w:sz w:val="21"/>
                      <w:szCs w:val="21"/>
                      <w:highlight w:val="none"/>
                      <w:lang w:val="en-US" w:eastAsia="zh-CN"/>
                    </w:rPr>
                    <w:t>.</w:t>
                  </w:r>
                  <w:r>
                    <w:rPr>
                      <w:rFonts w:hint="eastAsia" w:ascii="宋体" w:hAnsi="宋体" w:eastAsia="宋体" w:cs="宋体"/>
                      <w:color w:val="0000FF"/>
                      <w:sz w:val="21"/>
                      <w:szCs w:val="21"/>
                      <w:highlight w:val="none"/>
                    </w:rPr>
                    <w:t>同时提供：1）①中标通知书，②合同关键页（包括但不限于合同首页、内容页、签章页）或以上证明材料【中标通知书的中标人名称需与合同乙方（投标人）名称一致。若合同乙方（投标人）有名称变更的，投标人需提供说明】。2）配置清单；3）甲方出具的验收报告（加盖合同甲方公章（或甲方业务章））；</w:t>
                  </w:r>
                </w:p>
                <w:p w14:paraId="625B979A">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2</w:t>
                  </w:r>
                  <w:r>
                    <w:rPr>
                      <w:rFonts w:hint="eastAsia" w:ascii="宋体" w:hAnsi="宋体" w:cs="宋体"/>
                      <w:color w:val="0000FF"/>
                      <w:sz w:val="21"/>
                      <w:szCs w:val="21"/>
                      <w:highlight w:val="none"/>
                      <w:lang w:val="en-US" w:eastAsia="zh-CN"/>
                    </w:rPr>
                    <w:t>.</w:t>
                  </w:r>
                  <w:r>
                    <w:rPr>
                      <w:rFonts w:hint="eastAsia" w:ascii="宋体" w:hAnsi="宋体" w:eastAsia="宋体" w:cs="宋体"/>
                      <w:color w:val="0000FF"/>
                      <w:sz w:val="21"/>
                      <w:szCs w:val="21"/>
                      <w:highlight w:val="none"/>
                    </w:rPr>
                    <w:t>未按要求提供证明材料（或证明材料无法判断是否符合评分要求）的不得分，原件备查</w:t>
                  </w:r>
                  <w:r>
                    <w:rPr>
                      <w:rFonts w:hint="eastAsia" w:ascii="宋体" w:hAnsi="宋体" w:eastAsia="宋体" w:cs="宋体"/>
                      <w:color w:val="0000FF"/>
                      <w:sz w:val="21"/>
                      <w:szCs w:val="21"/>
                      <w:highlight w:val="none"/>
                      <w:lang w:val="zh-CN"/>
                    </w:rPr>
                    <w:t>。</w:t>
                  </w:r>
                </w:p>
              </w:tc>
            </w:tr>
            <w:tr w14:paraId="778B7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7B862763">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4</w:t>
                  </w:r>
                </w:p>
              </w:tc>
              <w:tc>
                <w:tcPr>
                  <w:tcW w:w="2875" w:type="dxa"/>
                  <w:gridSpan w:val="3"/>
                  <w:vAlign w:val="center"/>
                </w:tcPr>
                <w:p w14:paraId="7B93DF70">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诚信情况</w:t>
                  </w:r>
                </w:p>
              </w:tc>
              <w:tc>
                <w:tcPr>
                  <w:tcW w:w="4653" w:type="dxa"/>
                  <w:vAlign w:val="center"/>
                </w:tcPr>
                <w:p w14:paraId="68080D82">
                  <w:pPr>
                    <w:pStyle w:val="28"/>
                    <w:keepNext w:val="0"/>
                    <w:keepLines w:val="0"/>
                    <w:pageBreakBefore w:val="0"/>
                    <w:numPr>
                      <w:ilvl w:val="12"/>
                      <w:numId w:val="0"/>
                    </w:numPr>
                    <w:pBdr>
                      <w:bottom w:val="none" w:color="auto" w:sz="0" w:space="0"/>
                    </w:pBdr>
                    <w:tabs>
                      <w:tab w:val="clear" w:pos="4153"/>
                      <w:tab w:val="clear" w:pos="8306"/>
                    </w:tabs>
                    <w:kinsoku/>
                    <w:overflowPunct/>
                    <w:topLinePunct w:val="0"/>
                    <w:autoSpaceDE/>
                    <w:autoSpaceDN/>
                    <w:bidi w:val="0"/>
                    <w:adjustRightInd/>
                    <w:spacing w:line="240" w:lineRule="auto"/>
                    <w:ind w:firstLine="0" w:firstLineChars="0"/>
                    <w:rPr>
                      <w:rFonts w:hint="eastAsia" w:ascii="宋体" w:hAnsi="宋体" w:eastAsia="宋体" w:cs="宋体"/>
                      <w:b/>
                      <w:color w:val="0000FF"/>
                      <w:sz w:val="21"/>
                      <w:szCs w:val="21"/>
                      <w:highlight w:val="none"/>
                    </w:rPr>
                  </w:pPr>
                  <w:r>
                    <w:rPr>
                      <w:rFonts w:hint="eastAsia" w:ascii="宋体" w:hAnsi="宋体" w:eastAsia="宋体" w:cs="宋体"/>
                      <w:b/>
                      <w:bCs/>
                      <w:color w:val="0000FF"/>
                      <w:sz w:val="21"/>
                      <w:szCs w:val="21"/>
                      <w:highlight w:val="none"/>
                      <w:lang w:val="en-US" w:eastAsia="zh-CN"/>
                    </w:rPr>
                    <w:t>1</w:t>
                  </w:r>
                </w:p>
              </w:tc>
            </w:tr>
            <w:tr w14:paraId="230E9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restart"/>
                  <w:vAlign w:val="center"/>
                </w:tcPr>
                <w:p w14:paraId="56ABEBFC">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p>
              </w:tc>
              <w:tc>
                <w:tcPr>
                  <w:tcW w:w="697" w:type="dxa"/>
                  <w:vAlign w:val="center"/>
                </w:tcPr>
                <w:p w14:paraId="272FB3C8">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序号</w:t>
                  </w:r>
                </w:p>
              </w:tc>
              <w:tc>
                <w:tcPr>
                  <w:tcW w:w="1368" w:type="dxa"/>
                  <w:vAlign w:val="center"/>
                </w:tcPr>
                <w:p w14:paraId="62D4C03F">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评分因素</w:t>
                  </w:r>
                </w:p>
              </w:tc>
              <w:tc>
                <w:tcPr>
                  <w:tcW w:w="810" w:type="dxa"/>
                  <w:vAlign w:val="center"/>
                </w:tcPr>
                <w:p w14:paraId="47A41459">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权重</w:t>
                  </w:r>
                </w:p>
              </w:tc>
              <w:tc>
                <w:tcPr>
                  <w:tcW w:w="4653" w:type="dxa"/>
                  <w:vAlign w:val="center"/>
                </w:tcPr>
                <w:p w14:paraId="0F7D82F6">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评分准则</w:t>
                  </w:r>
                </w:p>
              </w:tc>
            </w:tr>
            <w:tr w14:paraId="5A246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vAlign w:val="center"/>
                </w:tcPr>
                <w:p w14:paraId="2BD1EA7B">
                  <w:pPr>
                    <w:keepNext w:val="0"/>
                    <w:keepLines w:val="0"/>
                    <w:pageBreakBefore w:val="0"/>
                    <w:kinsoku/>
                    <w:overflowPunct/>
                    <w:topLinePunct w:val="0"/>
                    <w:autoSpaceDE/>
                    <w:autoSpaceDN/>
                    <w:bidi w:val="0"/>
                    <w:adjustRightInd/>
                    <w:spacing w:line="240" w:lineRule="auto"/>
                    <w:ind w:firstLine="0" w:firstLineChars="0"/>
                    <w:jc w:val="center"/>
                    <w:outlineLvl w:val="0"/>
                    <w:rPr>
                      <w:rFonts w:hint="eastAsia" w:ascii="宋体" w:hAnsi="宋体" w:eastAsia="宋体" w:cs="宋体"/>
                      <w:color w:val="0000FF"/>
                      <w:sz w:val="21"/>
                      <w:szCs w:val="21"/>
                      <w:highlight w:val="none"/>
                    </w:rPr>
                  </w:pPr>
                  <w:bookmarkStart w:id="113" w:name="_GoBack" w:colFirst="4" w:colLast="4"/>
                </w:p>
              </w:tc>
              <w:tc>
                <w:tcPr>
                  <w:tcW w:w="697" w:type="dxa"/>
                  <w:vAlign w:val="center"/>
                </w:tcPr>
                <w:p w14:paraId="7F9EF533">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w:t>
                  </w:r>
                </w:p>
              </w:tc>
              <w:tc>
                <w:tcPr>
                  <w:tcW w:w="1368" w:type="dxa"/>
                  <w:vAlign w:val="center"/>
                </w:tcPr>
                <w:p w14:paraId="2D41509F">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诚信</w:t>
                  </w:r>
                </w:p>
              </w:tc>
              <w:tc>
                <w:tcPr>
                  <w:tcW w:w="810" w:type="dxa"/>
                  <w:vAlign w:val="center"/>
                </w:tcPr>
                <w:p w14:paraId="13BA0715">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lang w:eastAsia="zh-CN"/>
                    </w:rPr>
                  </w:pPr>
                  <w:r>
                    <w:rPr>
                      <w:rFonts w:hint="eastAsia" w:ascii="宋体" w:hAnsi="宋体" w:eastAsia="宋体" w:cs="宋体"/>
                      <w:color w:val="0000FF"/>
                      <w:sz w:val="21"/>
                      <w:szCs w:val="21"/>
                      <w:highlight w:val="none"/>
                      <w:lang w:val="en-US" w:eastAsia="zh-CN"/>
                    </w:rPr>
                    <w:t>1</w:t>
                  </w:r>
                </w:p>
              </w:tc>
              <w:tc>
                <w:tcPr>
                  <w:tcW w:w="4653" w:type="dxa"/>
                </w:tcPr>
                <w:p w14:paraId="19D62ED9">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投标人存在《深圳市财政局政府采购供应商信用信息管理办法》（深财规〔2023〕3号）列明的一般行政处罚信息、一般违法失信行为记录信息的，本项不得分，不存在上述情形的本项得</w:t>
                  </w:r>
                  <w:r>
                    <w:rPr>
                      <w:rFonts w:hint="eastAsia" w:ascii="宋体" w:hAnsi="宋体" w:cs="宋体"/>
                      <w:color w:val="0000FF"/>
                      <w:sz w:val="21"/>
                      <w:szCs w:val="21"/>
                      <w:highlight w:val="none"/>
                      <w:lang w:val="en-US" w:eastAsia="zh-CN"/>
                    </w:rPr>
                    <w:t>满</w:t>
                  </w:r>
                  <w:r>
                    <w:rPr>
                      <w:rFonts w:hint="eastAsia" w:ascii="宋体" w:hAnsi="宋体" w:eastAsia="宋体" w:cs="宋体"/>
                      <w:color w:val="0000FF"/>
                      <w:sz w:val="21"/>
                      <w:szCs w:val="21"/>
                      <w:highlight w:val="none"/>
                    </w:rPr>
                    <w:t>分。投标人无需提供任何证明材料，评标过程中由工作人员向评审委员会提供有关供应商诚信查询结果。</w:t>
                  </w:r>
                </w:p>
                <w:p w14:paraId="183D95CC">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查询渠道：通过“信用中国”（www.creditchina.gov.cn，下载信用信息报告）、“中国政府采购网”（www.ccgp.gov.cn）以及“深圳市政府采购监管网”（http://zfcg.sz.gov.cn）查询供应商信用信息，信用信息以开标当日的查询结果为准。</w:t>
                  </w:r>
                </w:p>
              </w:tc>
            </w:tr>
            <w:bookmarkEnd w:id="113"/>
          </w:tbl>
          <w:p w14:paraId="6067A209">
            <w:pPr>
              <w:pStyle w:val="37"/>
              <w:keepNext w:val="0"/>
              <w:keepLines w:val="0"/>
              <w:pageBreakBefore w:val="0"/>
              <w:widowControl w:val="0"/>
              <w:kinsoku/>
              <w:wordWrap/>
              <w:overflowPunct/>
              <w:topLinePunct w:val="0"/>
              <w:autoSpaceDE/>
              <w:autoSpaceDN/>
              <w:bidi w:val="0"/>
              <w:adjustRightInd/>
              <w:snapToGrid/>
              <w:ind w:left="0" w:firstLine="0"/>
              <w:textAlignment w:val="auto"/>
              <w:rPr>
                <w:rFonts w:hint="eastAsia"/>
                <w:sz w:val="21"/>
                <w:szCs w:val="21"/>
                <w:highlight w:val="none"/>
              </w:rPr>
            </w:pPr>
          </w:p>
        </w:tc>
      </w:tr>
    </w:tbl>
    <w:p w14:paraId="32620CDC">
      <w:pPr>
        <w:rPr>
          <w:highlight w:val="none"/>
        </w:rPr>
      </w:pPr>
      <w:r>
        <w:rPr>
          <w:rFonts w:hint="eastAsia"/>
          <w:highlight w:val="none"/>
        </w:rPr>
        <w:br w:type="page"/>
      </w:r>
    </w:p>
    <w:p w14:paraId="574E40B9">
      <w:pPr>
        <w:jc w:val="center"/>
        <w:rPr>
          <w:rFonts w:hint="eastAsia" w:ascii="宋体" w:hAnsi="宋体"/>
          <w:color w:val="FF0000"/>
          <w:szCs w:val="21"/>
          <w:highlight w:val="none"/>
        </w:rPr>
      </w:pPr>
      <w:bookmarkStart w:id="0" w:name="_Hlk137453387"/>
      <w:r>
        <w:rPr>
          <w:rFonts w:hint="eastAsia" w:ascii="宋体" w:hAnsi="宋体" w:eastAsia="黑体"/>
          <w:b/>
          <w:bCs/>
          <w:color w:val="FF0000"/>
          <w:kern w:val="44"/>
          <w:sz w:val="28"/>
          <w:szCs w:val="44"/>
          <w:highlight w:val="none"/>
        </w:rPr>
        <w:t>警示条款</w:t>
      </w:r>
    </w:p>
    <w:p w14:paraId="50518EB2">
      <w:pPr>
        <w:spacing w:line="240" w:lineRule="exact"/>
        <w:ind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本项目为自行采购项目，参照《深圳经济特区政府采购条例》、《深圳经济特区政府采购条例实施细则》及政府采购其他法律法规，按照采购人内控制度，通过公开招标方式确定中标供应商。</w:t>
      </w:r>
    </w:p>
    <w:p w14:paraId="5A097657">
      <w:pPr>
        <w:spacing w:line="240" w:lineRule="exact"/>
        <w:ind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一、</w:t>
      </w:r>
      <w:r>
        <w:rPr>
          <w:rFonts w:hint="eastAsia" w:ascii="宋体" w:hAnsi="宋体"/>
          <w:b/>
          <w:bCs/>
          <w:color w:val="FF0000"/>
          <w:sz w:val="20"/>
          <w:szCs w:val="20"/>
          <w:highlight w:val="none"/>
        </w:rPr>
        <w:t>《深圳经济特区政府采购条例》第五十七条</w:t>
      </w:r>
      <w:r>
        <w:rPr>
          <w:rFonts w:hint="eastAsia" w:ascii="宋体" w:hAnsi="宋体"/>
          <w:color w:val="FF0000"/>
          <w:sz w:val="20"/>
          <w:szCs w:val="20"/>
          <w:highlight w:val="none"/>
        </w:rPr>
        <w:t xml:space="preserve">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14:paraId="3352397A">
      <w:pPr>
        <w:spacing w:line="240" w:lineRule="exact"/>
        <w:ind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（一）在采购活动中应当回避而未回避的；</w:t>
      </w:r>
    </w:p>
    <w:p w14:paraId="58B8B1D0">
      <w:pPr>
        <w:spacing w:line="240" w:lineRule="exact"/>
        <w:ind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（二）未按本条例规定签订、履行采购合同，造成严重后果的；</w:t>
      </w:r>
    </w:p>
    <w:p w14:paraId="2691C86B">
      <w:pPr>
        <w:spacing w:line="240" w:lineRule="exact"/>
        <w:ind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（三）隐瞒真实情况，提供虚假资料的；</w:t>
      </w:r>
    </w:p>
    <w:p w14:paraId="76A7D665">
      <w:pPr>
        <w:spacing w:line="240" w:lineRule="exact"/>
        <w:ind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（四）以非法手段排斥其他供应商参与竞争的；</w:t>
      </w:r>
    </w:p>
    <w:p w14:paraId="3359787F">
      <w:pPr>
        <w:spacing w:line="240" w:lineRule="exact"/>
        <w:ind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（五）与其他采购参加人串通投标的；</w:t>
      </w:r>
    </w:p>
    <w:p w14:paraId="3E62FFAE">
      <w:pPr>
        <w:spacing w:line="240" w:lineRule="exact"/>
        <w:ind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（六）恶意投诉的；</w:t>
      </w:r>
    </w:p>
    <w:p w14:paraId="6E43FFAF">
      <w:pPr>
        <w:spacing w:line="240" w:lineRule="exact"/>
        <w:ind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（七）向采购项目相关人行贿或者提供其他不当利益的；</w:t>
      </w:r>
    </w:p>
    <w:p w14:paraId="216576EC">
      <w:pPr>
        <w:spacing w:line="240" w:lineRule="exact"/>
        <w:ind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（八）阻碍、抗拒主管部门监督检查的；</w:t>
      </w:r>
    </w:p>
    <w:p w14:paraId="25431BFB">
      <w:pPr>
        <w:spacing w:line="240" w:lineRule="exact"/>
        <w:ind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（九）其他违反本条例规定的行为。</w:t>
      </w:r>
    </w:p>
    <w:p w14:paraId="41F38703">
      <w:pPr>
        <w:spacing w:line="240" w:lineRule="exact"/>
        <w:ind w:firstLine="402" w:firstLineChars="200"/>
        <w:rPr>
          <w:rFonts w:hint="eastAsia" w:ascii="宋体" w:hAnsi="宋体"/>
          <w:color w:val="FF0000"/>
          <w:sz w:val="20"/>
          <w:szCs w:val="20"/>
          <w:highlight w:val="none"/>
        </w:rPr>
      </w:pPr>
      <w:r>
        <w:rPr>
          <w:rFonts w:hint="eastAsia" w:ascii="宋体" w:hAnsi="宋体"/>
          <w:b/>
          <w:bCs/>
          <w:color w:val="FF0000"/>
          <w:sz w:val="20"/>
          <w:szCs w:val="20"/>
          <w:highlight w:val="none"/>
        </w:rPr>
        <w:t>二、《深圳经济特区政府采购条例实施细则》第七十五条 </w:t>
      </w:r>
      <w:r>
        <w:rPr>
          <w:rFonts w:hint="eastAsia" w:ascii="宋体" w:hAnsi="宋体"/>
          <w:color w:val="FF0000"/>
          <w:sz w:val="20"/>
          <w:szCs w:val="20"/>
          <w:highlight w:val="none"/>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7AE5248D">
      <w:pPr>
        <w:spacing w:line="240" w:lineRule="exact"/>
        <w:ind w:firstLine="402" w:firstLineChars="200"/>
        <w:rPr>
          <w:rFonts w:hint="eastAsia" w:ascii="宋体" w:hAnsi="宋体"/>
          <w:color w:val="FF0000"/>
          <w:sz w:val="20"/>
          <w:szCs w:val="20"/>
          <w:highlight w:val="none"/>
        </w:rPr>
      </w:pPr>
      <w:r>
        <w:rPr>
          <w:rFonts w:hint="eastAsia" w:ascii="宋体" w:hAnsi="宋体"/>
          <w:b/>
          <w:bCs/>
          <w:color w:val="FF0000"/>
          <w:sz w:val="20"/>
          <w:szCs w:val="20"/>
          <w:highlight w:val="none"/>
        </w:rPr>
        <w:t>三、《深圳经济特区政府采购条例实施细则》第七十七条 </w:t>
      </w:r>
      <w:r>
        <w:rPr>
          <w:rFonts w:hint="eastAsia" w:ascii="宋体" w:hAnsi="宋体"/>
          <w:color w:val="FF0000"/>
          <w:sz w:val="20"/>
          <w:szCs w:val="20"/>
          <w:highlight w:val="none"/>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5B5D096A">
      <w:pPr>
        <w:spacing w:line="240" w:lineRule="exact"/>
        <w:ind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投标供应商不能提供项目负责人或者主要技术人员的劳动合同、社会保险等劳动关系证明材料的，视为存在前款第（三）项规定的情形。</w:t>
      </w:r>
    </w:p>
    <w:p w14:paraId="5257B0EB">
      <w:pPr>
        <w:spacing w:line="240" w:lineRule="exact"/>
        <w:ind w:firstLine="422" w:firstLineChars="200"/>
        <w:rPr>
          <w:b/>
          <w:color w:val="FF0000"/>
          <w:highlight w:val="none"/>
        </w:rPr>
      </w:pPr>
      <w:r>
        <w:rPr>
          <w:rFonts w:hint="eastAsia"/>
          <w:b/>
          <w:color w:val="FF0000"/>
          <w:highlight w:val="none"/>
        </w:rPr>
        <w:t>四、请投标供应商阅读《采购违法行为风险知悉确认书》（内容详见“第四章 投标文件组成要求及格式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14:paraId="62BE537C">
      <w:pPr>
        <w:spacing w:line="240" w:lineRule="exact"/>
        <w:ind w:firstLine="400" w:firstLineChars="200"/>
        <w:rPr>
          <w:highlight w:val="none"/>
        </w:rPr>
      </w:pPr>
      <w:r>
        <w:rPr>
          <w:rFonts w:hint="eastAsia" w:ascii="宋体" w:hAnsi="宋体"/>
          <w:color w:val="FF0000"/>
          <w:sz w:val="20"/>
          <w:szCs w:val="20"/>
          <w:highlight w:val="none"/>
        </w:rPr>
        <w:t>五、</w:t>
      </w:r>
      <w:r>
        <w:rPr>
          <w:rFonts w:ascii="宋体" w:hAnsi="宋体"/>
          <w:color w:val="FF0000"/>
          <w:sz w:val="20"/>
          <w:szCs w:val="20"/>
          <w:highlight w:val="none"/>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bookmarkEnd w:id="0"/>
    </w:p>
    <w:p w14:paraId="39C6B5C4">
      <w:pPr>
        <w:pStyle w:val="18"/>
        <w:rPr>
          <w:highlight w:val="none"/>
        </w:rPr>
      </w:pPr>
      <w:r>
        <w:rPr>
          <w:highlight w:val="none"/>
        </w:rPr>
        <w:br w:type="page"/>
      </w:r>
    </w:p>
    <w:p w14:paraId="2ED8C6B0">
      <w:pPr>
        <w:spacing w:line="300" w:lineRule="exact"/>
        <w:ind w:firstLine="420" w:firstLineChars="200"/>
        <w:rPr>
          <w:highlight w:val="none"/>
        </w:rPr>
      </w:pPr>
    </w:p>
    <w:p w14:paraId="53718540">
      <w:pPr>
        <w:pStyle w:val="2"/>
        <w:rPr>
          <w:rFonts w:hint="eastAsia"/>
          <w:highlight w:val="none"/>
        </w:rPr>
      </w:pPr>
      <w:r>
        <w:rPr>
          <w:rFonts w:hint="eastAsia"/>
          <w:highlight w:val="none"/>
        </w:rPr>
        <w:t>目   录</w:t>
      </w:r>
    </w:p>
    <w:p w14:paraId="366AA70B">
      <w:pPr>
        <w:outlineLvl w:val="0"/>
        <w:rPr>
          <w:b/>
          <w:sz w:val="24"/>
          <w:highlight w:val="none"/>
        </w:rPr>
      </w:pPr>
      <w:r>
        <w:rPr>
          <w:rFonts w:hint="eastAsia"/>
          <w:b/>
          <w:sz w:val="24"/>
          <w:highlight w:val="none"/>
        </w:rPr>
        <w:t>第一册  专用条款</w:t>
      </w:r>
    </w:p>
    <w:p w14:paraId="4A46112D">
      <w:pPr>
        <w:rPr>
          <w:sz w:val="24"/>
          <w:highlight w:val="none"/>
        </w:rPr>
      </w:pPr>
      <w:r>
        <w:rPr>
          <w:rFonts w:hint="eastAsia"/>
          <w:sz w:val="24"/>
          <w:highlight w:val="none"/>
        </w:rPr>
        <w:t xml:space="preserve">          关键信息</w:t>
      </w:r>
    </w:p>
    <w:p w14:paraId="5FAD6A9A">
      <w:pPr>
        <w:ind w:left="630" w:leftChars="300" w:firstLine="630" w:firstLineChars="300"/>
        <w:rPr>
          <w:rFonts w:hint="eastAsia" w:ascii="宋体" w:hAnsi="宋体"/>
          <w:szCs w:val="21"/>
          <w:highlight w:val="none"/>
        </w:rPr>
      </w:pPr>
      <w:r>
        <w:rPr>
          <w:rFonts w:hint="eastAsia" w:ascii="宋体" w:hAnsi="宋体"/>
          <w:szCs w:val="21"/>
          <w:highlight w:val="none"/>
        </w:rPr>
        <w:t>第一章  招标公告</w:t>
      </w:r>
    </w:p>
    <w:p w14:paraId="58CBF308">
      <w:pPr>
        <w:ind w:left="630" w:leftChars="300" w:firstLine="630" w:firstLineChars="300"/>
        <w:rPr>
          <w:rFonts w:hint="eastAsia" w:ascii="宋体" w:hAnsi="宋体"/>
          <w:szCs w:val="21"/>
          <w:highlight w:val="none"/>
        </w:rPr>
      </w:pPr>
      <w:r>
        <w:rPr>
          <w:rFonts w:hint="eastAsia" w:ascii="宋体" w:hAnsi="宋体"/>
          <w:szCs w:val="21"/>
          <w:highlight w:val="none"/>
        </w:rPr>
        <w:t xml:space="preserve">第二章  </w:t>
      </w:r>
      <w:bookmarkStart w:id="1" w:name="_Hlk71994379"/>
      <w:r>
        <w:rPr>
          <w:rFonts w:hint="eastAsia" w:ascii="宋体" w:hAnsi="宋体"/>
          <w:szCs w:val="21"/>
          <w:highlight w:val="none"/>
        </w:rPr>
        <w:t>对通用条款的补充内容及其他关键信息</w:t>
      </w:r>
      <w:bookmarkEnd w:id="1"/>
    </w:p>
    <w:p w14:paraId="37258746">
      <w:pPr>
        <w:ind w:left="630" w:leftChars="300" w:firstLine="630" w:firstLineChars="300"/>
        <w:rPr>
          <w:rFonts w:hint="eastAsia" w:ascii="宋体" w:hAnsi="宋体"/>
          <w:szCs w:val="21"/>
          <w:highlight w:val="none"/>
        </w:rPr>
      </w:pPr>
      <w:r>
        <w:rPr>
          <w:rFonts w:hint="eastAsia" w:ascii="宋体" w:hAnsi="宋体"/>
          <w:szCs w:val="21"/>
          <w:highlight w:val="none"/>
        </w:rPr>
        <w:t xml:space="preserve">第三章 </w:t>
      </w:r>
      <w:r>
        <w:rPr>
          <w:rFonts w:ascii="宋体" w:hAnsi="宋体"/>
          <w:szCs w:val="21"/>
          <w:highlight w:val="none"/>
        </w:rPr>
        <w:t xml:space="preserve"> </w:t>
      </w:r>
      <w:r>
        <w:rPr>
          <w:rFonts w:hint="eastAsia" w:ascii="宋体" w:hAnsi="宋体"/>
          <w:szCs w:val="21"/>
          <w:highlight w:val="none"/>
        </w:rPr>
        <w:t>用户需求书</w:t>
      </w:r>
    </w:p>
    <w:p w14:paraId="5E5F4D48">
      <w:pPr>
        <w:ind w:left="630" w:leftChars="300" w:firstLine="630" w:firstLineChars="300"/>
        <w:rPr>
          <w:rFonts w:hint="eastAsia" w:ascii="宋体" w:hAnsi="宋体"/>
          <w:szCs w:val="21"/>
          <w:highlight w:val="none"/>
        </w:rPr>
      </w:pPr>
      <w:r>
        <w:rPr>
          <w:rFonts w:hint="eastAsia" w:ascii="宋体" w:hAnsi="宋体"/>
          <w:szCs w:val="21"/>
          <w:highlight w:val="none"/>
        </w:rPr>
        <w:t xml:space="preserve">第四章 </w:t>
      </w:r>
      <w:r>
        <w:rPr>
          <w:rFonts w:ascii="宋体" w:hAnsi="宋体"/>
          <w:szCs w:val="21"/>
          <w:highlight w:val="none"/>
        </w:rPr>
        <w:t xml:space="preserve"> </w:t>
      </w:r>
      <w:r>
        <w:rPr>
          <w:rFonts w:hint="eastAsia" w:ascii="宋体" w:hAnsi="宋体"/>
          <w:szCs w:val="21"/>
          <w:highlight w:val="none"/>
        </w:rPr>
        <w:t>投标文件组成要求及格式</w:t>
      </w:r>
    </w:p>
    <w:p w14:paraId="2369CD6D">
      <w:pPr>
        <w:ind w:left="630" w:leftChars="300" w:firstLine="630" w:firstLineChars="300"/>
        <w:rPr>
          <w:rFonts w:hint="eastAsia" w:ascii="宋体" w:hAnsi="宋体"/>
          <w:szCs w:val="21"/>
          <w:highlight w:val="none"/>
        </w:rPr>
      </w:pPr>
      <w:r>
        <w:rPr>
          <w:rFonts w:hint="eastAsia" w:ascii="宋体" w:hAnsi="宋体"/>
          <w:szCs w:val="21"/>
          <w:highlight w:val="none"/>
        </w:rPr>
        <w:t>第五章  合同条款及格式</w:t>
      </w:r>
    </w:p>
    <w:p w14:paraId="1899DCC6">
      <w:pPr>
        <w:rPr>
          <w:b/>
          <w:sz w:val="24"/>
          <w:highlight w:val="none"/>
        </w:rPr>
      </w:pPr>
    </w:p>
    <w:p w14:paraId="2C0F18EF">
      <w:pPr>
        <w:outlineLvl w:val="0"/>
        <w:rPr>
          <w:b/>
          <w:sz w:val="24"/>
          <w:highlight w:val="none"/>
        </w:rPr>
      </w:pPr>
      <w:r>
        <w:rPr>
          <w:rFonts w:hint="eastAsia"/>
          <w:b/>
          <w:sz w:val="24"/>
          <w:highlight w:val="none"/>
        </w:rPr>
        <w:t>第二册  通用条款</w:t>
      </w:r>
    </w:p>
    <w:p w14:paraId="372045B2">
      <w:pPr>
        <w:ind w:left="630" w:leftChars="300" w:firstLine="630" w:firstLineChars="300"/>
        <w:rPr>
          <w:rFonts w:hint="eastAsia" w:ascii="宋体" w:hAnsi="宋体"/>
          <w:szCs w:val="21"/>
          <w:highlight w:val="none"/>
        </w:rPr>
      </w:pPr>
      <w:r>
        <w:rPr>
          <w:rFonts w:hint="eastAsia" w:ascii="宋体" w:hAnsi="宋体"/>
          <w:szCs w:val="21"/>
          <w:highlight w:val="none"/>
        </w:rPr>
        <w:t>第一章  总则</w:t>
      </w:r>
    </w:p>
    <w:p w14:paraId="61C0EDBD">
      <w:pPr>
        <w:ind w:left="630" w:leftChars="300" w:firstLine="630" w:firstLineChars="300"/>
        <w:rPr>
          <w:rFonts w:hint="eastAsia" w:ascii="宋体" w:hAnsi="宋体"/>
          <w:szCs w:val="21"/>
          <w:highlight w:val="none"/>
        </w:rPr>
      </w:pPr>
      <w:r>
        <w:rPr>
          <w:rFonts w:hint="eastAsia" w:ascii="宋体" w:hAnsi="宋体"/>
          <w:szCs w:val="21"/>
          <w:highlight w:val="none"/>
        </w:rPr>
        <w:t>第二章  招标文件</w:t>
      </w:r>
    </w:p>
    <w:p w14:paraId="46253BBF">
      <w:pPr>
        <w:ind w:left="630" w:leftChars="300" w:firstLine="630" w:firstLineChars="300"/>
        <w:rPr>
          <w:rFonts w:hint="eastAsia" w:ascii="宋体" w:hAnsi="宋体"/>
          <w:szCs w:val="21"/>
          <w:highlight w:val="none"/>
        </w:rPr>
      </w:pPr>
      <w:r>
        <w:rPr>
          <w:rFonts w:hint="eastAsia" w:ascii="宋体" w:hAnsi="宋体"/>
          <w:szCs w:val="21"/>
          <w:highlight w:val="none"/>
        </w:rPr>
        <w:t>第三章  投标文件的编制</w:t>
      </w:r>
    </w:p>
    <w:p w14:paraId="29524E98">
      <w:pPr>
        <w:ind w:left="630" w:leftChars="300" w:firstLine="630" w:firstLineChars="300"/>
        <w:rPr>
          <w:rFonts w:hint="eastAsia" w:ascii="宋体" w:hAnsi="宋体"/>
          <w:szCs w:val="21"/>
          <w:highlight w:val="none"/>
        </w:rPr>
      </w:pPr>
      <w:r>
        <w:rPr>
          <w:rFonts w:hint="eastAsia" w:ascii="宋体" w:hAnsi="宋体"/>
          <w:szCs w:val="21"/>
          <w:highlight w:val="none"/>
        </w:rPr>
        <w:t>第四章  投标文件的递交</w:t>
      </w:r>
    </w:p>
    <w:p w14:paraId="24B0994A">
      <w:pPr>
        <w:ind w:left="630" w:leftChars="300" w:firstLine="630" w:firstLineChars="300"/>
        <w:rPr>
          <w:rFonts w:hint="eastAsia" w:ascii="宋体" w:hAnsi="宋体"/>
          <w:szCs w:val="21"/>
          <w:highlight w:val="none"/>
        </w:rPr>
      </w:pPr>
      <w:r>
        <w:rPr>
          <w:rFonts w:hint="eastAsia" w:ascii="宋体" w:hAnsi="宋体"/>
          <w:szCs w:val="21"/>
          <w:highlight w:val="none"/>
        </w:rPr>
        <w:t>第五章  开标</w:t>
      </w:r>
    </w:p>
    <w:p w14:paraId="08B1CF2A">
      <w:pPr>
        <w:ind w:left="630" w:leftChars="300" w:firstLine="630" w:firstLineChars="300"/>
        <w:rPr>
          <w:rFonts w:hint="eastAsia" w:ascii="宋体" w:hAnsi="宋体"/>
          <w:szCs w:val="21"/>
          <w:highlight w:val="none"/>
        </w:rPr>
      </w:pPr>
      <w:r>
        <w:rPr>
          <w:rFonts w:hint="eastAsia" w:ascii="宋体" w:hAnsi="宋体"/>
          <w:szCs w:val="21"/>
          <w:highlight w:val="none"/>
        </w:rPr>
        <w:t>第六章  评审要求</w:t>
      </w:r>
    </w:p>
    <w:p w14:paraId="04B40ACF">
      <w:pPr>
        <w:ind w:left="630" w:leftChars="300" w:firstLine="630" w:firstLineChars="300"/>
        <w:rPr>
          <w:rFonts w:hint="eastAsia" w:ascii="宋体" w:hAnsi="宋体"/>
          <w:szCs w:val="21"/>
          <w:highlight w:val="none"/>
        </w:rPr>
      </w:pPr>
      <w:r>
        <w:rPr>
          <w:rFonts w:hint="eastAsia" w:ascii="宋体" w:hAnsi="宋体"/>
          <w:szCs w:val="21"/>
          <w:highlight w:val="none"/>
        </w:rPr>
        <w:t>第七章  评审程序及评审方法</w:t>
      </w:r>
    </w:p>
    <w:p w14:paraId="070F4B1C">
      <w:pPr>
        <w:ind w:left="630" w:leftChars="300" w:firstLine="630" w:firstLineChars="300"/>
        <w:rPr>
          <w:rFonts w:hint="eastAsia" w:ascii="宋体" w:hAnsi="宋体"/>
          <w:szCs w:val="21"/>
          <w:highlight w:val="none"/>
        </w:rPr>
      </w:pPr>
      <w:r>
        <w:rPr>
          <w:rFonts w:hint="eastAsia" w:ascii="宋体" w:hAnsi="宋体"/>
          <w:szCs w:val="21"/>
          <w:highlight w:val="none"/>
        </w:rPr>
        <w:t>第八章  定标及公示</w:t>
      </w:r>
    </w:p>
    <w:p w14:paraId="610A36A0">
      <w:pPr>
        <w:ind w:left="630" w:leftChars="300" w:firstLine="630" w:firstLineChars="300"/>
        <w:rPr>
          <w:rFonts w:hint="eastAsia" w:ascii="宋体" w:hAnsi="宋体"/>
          <w:szCs w:val="21"/>
          <w:highlight w:val="none"/>
        </w:rPr>
      </w:pPr>
      <w:r>
        <w:rPr>
          <w:rFonts w:hint="eastAsia" w:ascii="宋体" w:hAnsi="宋体"/>
          <w:szCs w:val="21"/>
          <w:highlight w:val="none"/>
        </w:rPr>
        <w:t>第九章  公开招标失败的后续处理</w:t>
      </w:r>
    </w:p>
    <w:p w14:paraId="278901E5">
      <w:pPr>
        <w:ind w:left="630" w:leftChars="300" w:firstLine="630" w:firstLineChars="300"/>
        <w:rPr>
          <w:rFonts w:hint="eastAsia" w:ascii="宋体" w:hAnsi="宋体"/>
          <w:szCs w:val="21"/>
          <w:highlight w:val="none"/>
        </w:rPr>
      </w:pPr>
      <w:r>
        <w:rPr>
          <w:rFonts w:hint="eastAsia" w:ascii="宋体" w:hAnsi="宋体"/>
          <w:szCs w:val="21"/>
          <w:highlight w:val="none"/>
        </w:rPr>
        <w:t>第十章  合同的授予与备案</w:t>
      </w:r>
    </w:p>
    <w:p w14:paraId="382BC150">
      <w:pPr>
        <w:ind w:left="630" w:leftChars="300" w:firstLine="630" w:firstLineChars="300"/>
        <w:rPr>
          <w:rFonts w:hint="eastAsia" w:ascii="宋体" w:hAnsi="宋体"/>
          <w:szCs w:val="21"/>
          <w:highlight w:val="none"/>
        </w:rPr>
      </w:pPr>
      <w:r>
        <w:rPr>
          <w:rFonts w:hint="eastAsia" w:ascii="宋体" w:hAnsi="宋体"/>
          <w:szCs w:val="21"/>
          <w:highlight w:val="none"/>
        </w:rPr>
        <w:t>第十一章  质疑处理</w:t>
      </w:r>
    </w:p>
    <w:p w14:paraId="3F1C782F">
      <w:pPr>
        <w:spacing w:line="360" w:lineRule="auto"/>
        <w:ind w:firstLine="420" w:firstLineChars="200"/>
        <w:jc w:val="left"/>
        <w:rPr>
          <w:rFonts w:hint="eastAsia" w:ascii="宋体" w:hAnsi="宋体"/>
          <w:szCs w:val="21"/>
          <w:highlight w:val="none"/>
        </w:rPr>
      </w:pPr>
    </w:p>
    <w:p w14:paraId="15E50AE6">
      <w:pPr>
        <w:pStyle w:val="2"/>
        <w:rPr>
          <w:rFonts w:hint="eastAsia"/>
          <w:sz w:val="24"/>
          <w:highlight w:val="none"/>
        </w:rPr>
      </w:pPr>
      <w:r>
        <w:rPr>
          <w:highlight w:val="none"/>
        </w:rPr>
        <w:br w:type="page"/>
      </w:r>
      <w:bookmarkStart w:id="2" w:name="bt投标人须知"/>
      <w:bookmarkEnd w:id="2"/>
      <w:bookmarkStart w:id="3" w:name="bt技术标投标文件格式"/>
      <w:bookmarkEnd w:id="3"/>
      <w:bookmarkStart w:id="4" w:name="bt投标人情况介绍"/>
      <w:bookmarkEnd w:id="4"/>
      <w:bookmarkStart w:id="5" w:name="bt说明"/>
      <w:bookmarkEnd w:id="5"/>
      <w:bookmarkStart w:id="6" w:name="bt投标文件签署授权委托书"/>
      <w:bookmarkEnd w:id="6"/>
      <w:bookmarkStart w:id="7" w:name="bt项目管理班子配备情况"/>
      <w:bookmarkEnd w:id="7"/>
      <w:bookmarkStart w:id="8" w:name="bt其他资料由投标人自定"/>
      <w:bookmarkEnd w:id="8"/>
      <w:bookmarkStart w:id="9" w:name="bt其他资料2"/>
      <w:bookmarkEnd w:id="9"/>
      <w:bookmarkStart w:id="10" w:name="bt商务标投标文件格式"/>
      <w:bookmarkEnd w:id="10"/>
      <w:bookmarkStart w:id="11" w:name="bt投标报价汇总表"/>
      <w:bookmarkEnd w:id="11"/>
      <w:bookmarkStart w:id="12" w:name="bt合同格式"/>
      <w:bookmarkEnd w:id="12"/>
      <w:bookmarkStart w:id="13" w:name="bt开标一览表"/>
      <w:bookmarkEnd w:id="13"/>
      <w:bookmarkStart w:id="14" w:name="合同格式"/>
      <w:bookmarkEnd w:id="14"/>
      <w:bookmarkStart w:id="15" w:name="bt投标函"/>
      <w:bookmarkEnd w:id="15"/>
      <w:bookmarkStart w:id="16" w:name="bt本工程承诺书"/>
      <w:bookmarkEnd w:id="16"/>
      <w:bookmarkStart w:id="17" w:name="bt合同条款"/>
      <w:bookmarkEnd w:id="17"/>
      <w:bookmarkStart w:id="18" w:name="bt合同条款及格式"/>
      <w:bookmarkEnd w:id="18"/>
      <w:r>
        <w:rPr>
          <w:rFonts w:hint="eastAsia"/>
          <w:highlight w:val="none"/>
        </w:rPr>
        <w:t>第一册专用条款</w:t>
      </w:r>
    </w:p>
    <w:p w14:paraId="12E1A4DB">
      <w:pPr>
        <w:pStyle w:val="5"/>
        <w:rPr>
          <w:rFonts w:hint="eastAsia"/>
          <w:sz w:val="28"/>
          <w:szCs w:val="28"/>
          <w:highlight w:val="none"/>
        </w:rPr>
      </w:pPr>
      <w:r>
        <w:rPr>
          <w:rFonts w:hint="eastAsia"/>
          <w:sz w:val="28"/>
          <w:szCs w:val="28"/>
          <w:highlight w:val="none"/>
        </w:rPr>
        <w:t>第一章  招标公告</w:t>
      </w:r>
    </w:p>
    <w:p w14:paraId="73D216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exact"/>
        <w:ind w:left="0" w:right="0" w:firstLine="422" w:firstLineChars="200"/>
        <w:jc w:val="both"/>
        <w:textAlignment w:val="baseline"/>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i w:val="0"/>
          <w:iCs w:val="0"/>
          <w:caps w:val="0"/>
          <w:color w:val="auto"/>
          <w:spacing w:val="0"/>
          <w:kern w:val="2"/>
          <w:sz w:val="21"/>
          <w:szCs w:val="21"/>
          <w:highlight w:val="none"/>
          <w:shd w:val="clear" w:fill="FFFFFF"/>
          <w:vertAlign w:val="baseline"/>
          <w:lang w:val="en-US" w:eastAsia="zh-CN" w:bidi="ar-SA"/>
        </w:rPr>
        <w:t>一、项目基本情况</w:t>
      </w:r>
    </w:p>
    <w:p w14:paraId="76FDCC68">
      <w:pPr>
        <w:keepNext w:val="0"/>
        <w:keepLines w:val="0"/>
        <w:pageBreakBefore w:val="0"/>
        <w:kinsoku/>
        <w:overflowPunct/>
        <w:autoSpaceDE/>
        <w:autoSpaceDN/>
        <w:bidi w:val="0"/>
        <w:adjustRightInd/>
        <w:snapToGrid/>
        <w:spacing w:line="360" w:lineRule="exact"/>
        <w:ind w:firstLine="420" w:firstLineChars="200"/>
        <w:rPr>
          <w:rFonts w:hint="eastAsia" w:asciiTheme="minorEastAsia" w:hAnsiTheme="minorEastAsia" w:eastAsia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1</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Cs w:val="21"/>
          <w:highlight w:val="none"/>
          <w14:textFill>
            <w14:solidFill>
              <w14:schemeClr w14:val="tx1"/>
            </w14:solidFill>
          </w14:textFill>
        </w:rPr>
        <w:t>项目编号：</w:t>
      </w:r>
      <w:r>
        <w:rPr>
          <w:rFonts w:hint="eastAsia" w:asciiTheme="minorEastAsia" w:hAnsiTheme="minorEastAsia" w:eastAsiaTheme="minorEastAsia"/>
          <w:color w:val="0000FF"/>
          <w:szCs w:val="21"/>
          <w:highlight w:val="none"/>
          <w:lang w:eastAsia="zh-CN"/>
        </w:rPr>
        <w:t>BAZXDL-2025-00371</w:t>
      </w:r>
    </w:p>
    <w:p w14:paraId="6934DD57">
      <w:pPr>
        <w:keepNext w:val="0"/>
        <w:keepLines w:val="0"/>
        <w:pageBreakBefore w:val="0"/>
        <w:kinsoku/>
        <w:overflowPunct/>
        <w:autoSpaceDE/>
        <w:autoSpaceDN/>
        <w:bidi w:val="0"/>
        <w:adjustRightInd/>
        <w:snapToGrid/>
        <w:spacing w:line="360" w:lineRule="exact"/>
        <w:ind w:firstLine="420" w:firstLineChars="200"/>
        <w:rPr>
          <w:rFonts w:hint="eastAsia" w:asciiTheme="minorEastAsia" w:hAnsiTheme="minorEastAsia" w:eastAsiaTheme="minorEastAsia"/>
          <w:color w:val="000000" w:themeColor="text1"/>
          <w:szCs w:val="21"/>
          <w:highlight w:val="none"/>
          <w:lang w:eastAsia="zh-CN"/>
          <w14:textFill>
            <w14:solidFill>
              <w14:schemeClr w14:val="tx1"/>
            </w14:solidFill>
          </w14:textFill>
        </w:rPr>
      </w:pPr>
      <w:r>
        <w:rPr>
          <w:rFonts w:asciiTheme="minorEastAsia" w:hAnsiTheme="minorEastAsia" w:eastAsiaTheme="minorEastAsia"/>
          <w:color w:val="000000" w:themeColor="text1"/>
          <w:szCs w:val="21"/>
          <w:highlight w:val="none"/>
          <w14:textFill>
            <w14:solidFill>
              <w14:schemeClr w14:val="tx1"/>
            </w14:solidFill>
          </w14:textFill>
        </w:rPr>
        <w:t>2</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Cs w:val="21"/>
          <w:highlight w:val="none"/>
          <w14:textFill>
            <w14:solidFill>
              <w14:schemeClr w14:val="tx1"/>
            </w14:solidFill>
          </w14:textFill>
        </w:rPr>
        <w:t>项目名称：</w:t>
      </w:r>
      <w:r>
        <w:rPr>
          <w:rFonts w:hint="eastAsia" w:asciiTheme="minorEastAsia" w:hAnsiTheme="minorEastAsia" w:eastAsiaTheme="minorEastAsia"/>
          <w:color w:val="0000FF"/>
          <w:szCs w:val="21"/>
          <w:highlight w:val="none"/>
          <w:lang w:eastAsia="zh-CN"/>
        </w:rPr>
        <w:t>深圳市宝安区人民医院口腔颌面锥形束计算机体层摄影设备(CBCT)采购</w:t>
      </w:r>
    </w:p>
    <w:p w14:paraId="2092DFF6">
      <w:pPr>
        <w:keepNext w:val="0"/>
        <w:keepLines w:val="0"/>
        <w:pageBreakBefore w:val="0"/>
        <w:kinsoku/>
        <w:overflowPunct/>
        <w:autoSpaceDE/>
        <w:autoSpaceDN/>
        <w:bidi w:val="0"/>
        <w:adjustRightInd/>
        <w:snapToGrid/>
        <w:spacing w:line="360" w:lineRule="exact"/>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3</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Cs w:val="21"/>
          <w:highlight w:val="none"/>
          <w14:textFill>
            <w14:solidFill>
              <w14:schemeClr w14:val="tx1"/>
            </w14:solidFill>
          </w14:textFill>
        </w:rPr>
        <w:t>预算金额：</w:t>
      </w:r>
      <w:r>
        <w:rPr>
          <w:rFonts w:hint="eastAsia" w:asciiTheme="minorEastAsia" w:hAnsiTheme="minorEastAsia" w:eastAsiaTheme="minorEastAsia"/>
          <w:color w:val="0000FF"/>
          <w:szCs w:val="21"/>
          <w:highlight w:val="none"/>
        </w:rPr>
        <w:t>人民币</w:t>
      </w:r>
      <w:r>
        <w:rPr>
          <w:rFonts w:hint="eastAsia" w:asciiTheme="minorEastAsia" w:hAnsiTheme="minorEastAsia" w:eastAsiaTheme="minorEastAsia"/>
          <w:color w:val="0000FF"/>
          <w:szCs w:val="21"/>
          <w:highlight w:val="none"/>
          <w:lang w:val="en-US" w:eastAsia="zh-CN"/>
        </w:rPr>
        <w:t>50万</w:t>
      </w:r>
      <w:r>
        <w:rPr>
          <w:rFonts w:hint="eastAsia" w:asciiTheme="minorEastAsia" w:hAnsiTheme="minorEastAsia" w:eastAsiaTheme="minorEastAsia"/>
          <w:color w:val="0000FF"/>
          <w:szCs w:val="21"/>
          <w:highlight w:val="none"/>
        </w:rPr>
        <w:t>元</w:t>
      </w:r>
    </w:p>
    <w:p w14:paraId="00E9302B">
      <w:pPr>
        <w:keepNext w:val="0"/>
        <w:keepLines w:val="0"/>
        <w:pageBreakBefore w:val="0"/>
        <w:kinsoku/>
        <w:overflowPunct/>
        <w:autoSpaceDE/>
        <w:autoSpaceDN/>
        <w:bidi w:val="0"/>
        <w:adjustRightInd/>
        <w:snapToGrid/>
        <w:spacing w:line="360" w:lineRule="exact"/>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asciiTheme="minorEastAsia" w:hAnsiTheme="minorEastAsia" w:eastAsiaTheme="minorEastAsia"/>
          <w:color w:val="000000" w:themeColor="text1"/>
          <w:szCs w:val="21"/>
          <w:highlight w:val="none"/>
          <w14:textFill>
            <w14:solidFill>
              <w14:schemeClr w14:val="tx1"/>
            </w14:solidFill>
          </w14:textFill>
        </w:rPr>
        <w:t>4</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Cs w:val="21"/>
          <w:highlight w:val="none"/>
          <w14:textFill>
            <w14:solidFill>
              <w14:schemeClr w14:val="tx1"/>
            </w14:solidFill>
          </w14:textFill>
        </w:rPr>
        <w:t>最高限价：</w:t>
      </w:r>
      <w:r>
        <w:rPr>
          <w:rFonts w:hint="eastAsia" w:asciiTheme="minorEastAsia" w:hAnsiTheme="minorEastAsia" w:eastAsiaTheme="minorEastAsia"/>
          <w:color w:val="0000FF"/>
          <w:szCs w:val="21"/>
          <w:highlight w:val="none"/>
        </w:rPr>
        <w:t>人民币</w:t>
      </w:r>
      <w:r>
        <w:rPr>
          <w:rFonts w:hint="eastAsia" w:asciiTheme="minorEastAsia" w:hAnsiTheme="minorEastAsia" w:eastAsiaTheme="minorEastAsia"/>
          <w:color w:val="0000FF"/>
          <w:szCs w:val="21"/>
          <w:highlight w:val="none"/>
          <w:lang w:val="en-US" w:eastAsia="zh-CN"/>
        </w:rPr>
        <w:t>49万</w:t>
      </w:r>
      <w:r>
        <w:rPr>
          <w:rFonts w:hint="eastAsia" w:asciiTheme="minorEastAsia" w:hAnsiTheme="minorEastAsia" w:eastAsiaTheme="minorEastAsia"/>
          <w:color w:val="0000FF"/>
          <w:szCs w:val="21"/>
          <w:highlight w:val="none"/>
        </w:rPr>
        <w:t>元</w:t>
      </w:r>
    </w:p>
    <w:p w14:paraId="6D11DE87">
      <w:pPr>
        <w:keepNext w:val="0"/>
        <w:keepLines w:val="0"/>
        <w:pageBreakBefore w:val="0"/>
        <w:kinsoku/>
        <w:overflowPunct/>
        <w:autoSpaceDE/>
        <w:autoSpaceDN/>
        <w:bidi w:val="0"/>
        <w:adjustRightInd/>
        <w:snapToGrid/>
        <w:spacing w:line="360" w:lineRule="exact"/>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5</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Cs w:val="21"/>
          <w:highlight w:val="none"/>
          <w14:textFill>
            <w14:solidFill>
              <w14:schemeClr w14:val="tx1"/>
            </w14:solidFill>
          </w14:textFill>
        </w:rPr>
        <w:t>采购需求：详见招标文件相关内容</w:t>
      </w:r>
    </w:p>
    <w:p w14:paraId="46AA60E5">
      <w:pPr>
        <w:keepNext w:val="0"/>
        <w:keepLines w:val="0"/>
        <w:pageBreakBefore w:val="0"/>
        <w:kinsoku/>
        <w:overflowPunct/>
        <w:autoSpaceDE/>
        <w:autoSpaceDN/>
        <w:bidi w:val="0"/>
        <w:adjustRightInd/>
        <w:snapToGrid/>
        <w:spacing w:line="360" w:lineRule="exact"/>
        <w:ind w:firstLine="420" w:firstLineChars="200"/>
        <w:rPr>
          <w:rFonts w:hint="eastAsia"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6</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Cs w:val="21"/>
          <w:highlight w:val="none"/>
          <w14:textFill>
            <w14:solidFill>
              <w14:schemeClr w14:val="tx1"/>
            </w14:solidFill>
          </w14:textFill>
        </w:rPr>
        <w:t>合同履行期限：详见招标文件相关内容</w:t>
      </w:r>
    </w:p>
    <w:p w14:paraId="600FC8D6">
      <w:pPr>
        <w:keepNext w:val="0"/>
        <w:keepLines w:val="0"/>
        <w:pageBreakBefore w:val="0"/>
        <w:kinsoku/>
        <w:overflowPunct/>
        <w:autoSpaceDE/>
        <w:autoSpaceDN/>
        <w:bidi w:val="0"/>
        <w:adjustRightInd/>
        <w:snapToGrid/>
        <w:spacing w:line="360" w:lineRule="exact"/>
        <w:ind w:firstLine="420" w:firstLineChars="200"/>
        <w:rPr>
          <w:rFonts w:hint="default" w:asciiTheme="minorEastAsia" w:hAnsiTheme="minorEastAsia" w:eastAsia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7</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采购方式</w:t>
      </w:r>
      <w:r>
        <w:rPr>
          <w:rFonts w:hint="eastAsia" w:asciiTheme="minorEastAsia" w:hAnsiTheme="minorEastAsia" w:eastAsiaTheme="minorEastAsia"/>
          <w:color w:val="000000" w:themeColor="text1"/>
          <w:szCs w:val="21"/>
          <w:highlight w:val="none"/>
          <w14:textFill>
            <w14:solidFill>
              <w14:schemeClr w14:val="tx1"/>
            </w14:solidFill>
          </w14:textFill>
        </w:rPr>
        <w:t>：</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公开招标</w:t>
      </w:r>
    </w:p>
    <w:p w14:paraId="51E2270D">
      <w:pPr>
        <w:keepNext w:val="0"/>
        <w:keepLines w:val="0"/>
        <w:pageBreakBefore w:val="0"/>
        <w:kinsoku/>
        <w:overflowPunct/>
        <w:autoSpaceDE/>
        <w:autoSpaceDN/>
        <w:bidi w:val="0"/>
        <w:adjustRightInd/>
        <w:snapToGrid/>
        <w:spacing w:line="360" w:lineRule="exact"/>
        <w:ind w:firstLine="420" w:firstLineChars="200"/>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8.现场踏勘：本项目不组织现场踏勘。</w:t>
      </w:r>
    </w:p>
    <w:p w14:paraId="2EC5D5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exact"/>
        <w:ind w:left="0" w:right="0" w:firstLine="422" w:firstLineChars="200"/>
        <w:jc w:val="both"/>
        <w:textAlignment w:val="baseline"/>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i w:val="0"/>
          <w:iCs w:val="0"/>
          <w:caps w:val="0"/>
          <w:color w:val="auto"/>
          <w:spacing w:val="0"/>
          <w:kern w:val="2"/>
          <w:sz w:val="21"/>
          <w:szCs w:val="21"/>
          <w:highlight w:val="none"/>
          <w:shd w:val="clear" w:fill="FFFFFF"/>
          <w:vertAlign w:val="baseline"/>
          <w:lang w:val="en-US" w:eastAsia="zh-CN" w:bidi="ar-SA"/>
        </w:rPr>
        <w:t>二、投标人</w:t>
      </w:r>
      <w:r>
        <w:rPr>
          <w:rFonts w:hint="eastAsia" w:ascii="宋体" w:hAnsi="宋体" w:cs="宋体"/>
          <w:b/>
          <w:bCs/>
          <w:i w:val="0"/>
          <w:iCs w:val="0"/>
          <w:caps w:val="0"/>
          <w:color w:val="auto"/>
          <w:spacing w:val="0"/>
          <w:kern w:val="2"/>
          <w:sz w:val="21"/>
          <w:szCs w:val="21"/>
          <w:highlight w:val="none"/>
          <w:shd w:val="clear" w:fill="FFFFFF"/>
          <w:vertAlign w:val="baseline"/>
          <w:lang w:val="en-US" w:eastAsia="zh-CN" w:bidi="ar-SA"/>
        </w:rPr>
        <w:t>的</w:t>
      </w:r>
      <w:r>
        <w:rPr>
          <w:rFonts w:hint="eastAsia" w:ascii="宋体" w:hAnsi="宋体" w:eastAsia="宋体" w:cs="宋体"/>
          <w:b/>
          <w:bCs/>
          <w:i w:val="0"/>
          <w:iCs w:val="0"/>
          <w:caps w:val="0"/>
          <w:color w:val="auto"/>
          <w:spacing w:val="0"/>
          <w:kern w:val="2"/>
          <w:sz w:val="21"/>
          <w:szCs w:val="21"/>
          <w:highlight w:val="none"/>
          <w:shd w:val="clear" w:fill="FFFFFF"/>
          <w:vertAlign w:val="baseline"/>
          <w:lang w:val="en-US" w:eastAsia="zh-CN" w:bidi="ar-SA"/>
        </w:rPr>
        <w:t>资格要求</w:t>
      </w:r>
    </w:p>
    <w:p w14:paraId="5AAC6E73">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FF"/>
          <w:kern w:val="0"/>
          <w:szCs w:val="21"/>
          <w:highlight w:val="none"/>
          <w:lang w:eastAsia="zh-CN"/>
        </w:rPr>
      </w:pPr>
      <w:r>
        <w:rPr>
          <w:rFonts w:hint="eastAsia" w:ascii="宋体" w:hAnsi="宋体" w:cs="宋体"/>
          <w:color w:val="0000FF"/>
          <w:kern w:val="0"/>
          <w:szCs w:val="21"/>
          <w:highlight w:val="none"/>
        </w:rPr>
        <w:t>1</w:t>
      </w:r>
      <w:r>
        <w:rPr>
          <w:rFonts w:ascii="宋体" w:hAnsi="宋体" w:cs="宋体"/>
          <w:color w:val="0000FF"/>
          <w:kern w:val="0"/>
          <w:szCs w:val="21"/>
          <w:highlight w:val="none"/>
        </w:rPr>
        <w:t>.</w:t>
      </w:r>
      <w:bookmarkStart w:id="19" w:name="_Hlk72162904"/>
      <w:r>
        <w:rPr>
          <w:rFonts w:hint="eastAsia" w:ascii="宋体" w:hAnsi="宋体" w:cs="宋体"/>
          <w:color w:val="0000FF"/>
          <w:kern w:val="0"/>
          <w:szCs w:val="21"/>
          <w:highlight w:val="none"/>
        </w:rPr>
        <w:t>具有独立承担民事责任的能力（提供营业执照或事业单位法人证书等证明资料扫描件，原件备查，分支机构参与投标的，须同时提供总公司授权文件且授权书载明其民事责任由总公司承担）</w:t>
      </w:r>
      <w:bookmarkEnd w:id="19"/>
      <w:r>
        <w:rPr>
          <w:rFonts w:hint="eastAsia"/>
          <w:color w:val="0000FF"/>
          <w:highlight w:val="none"/>
          <w:lang w:eastAsia="zh-CN"/>
        </w:rPr>
        <w:t>；</w:t>
      </w:r>
    </w:p>
    <w:p w14:paraId="3F2C4E1F">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ascii="宋体" w:hAnsi="宋体" w:cs="宋体"/>
          <w:color w:val="0000FF"/>
          <w:kern w:val="0"/>
          <w:szCs w:val="21"/>
          <w:highlight w:val="none"/>
        </w:rPr>
      </w:pPr>
      <w:r>
        <w:rPr>
          <w:rFonts w:hint="eastAsia" w:ascii="宋体" w:hAnsi="宋体" w:cs="宋体"/>
          <w:color w:val="0000FF"/>
          <w:kern w:val="0"/>
          <w:szCs w:val="21"/>
          <w:highlight w:val="none"/>
        </w:rPr>
        <w:t>2.本项目不接受联合体投标</w:t>
      </w:r>
      <w:r>
        <w:rPr>
          <w:rFonts w:hint="eastAsia" w:ascii="宋体" w:hAnsi="宋体" w:cs="宋体"/>
          <w:color w:val="0000FF"/>
          <w:kern w:val="0"/>
          <w:szCs w:val="21"/>
          <w:highlight w:val="none"/>
          <w:lang w:val="en-US" w:eastAsia="zh-CN"/>
        </w:rPr>
        <w:t>，</w:t>
      </w:r>
      <w:r>
        <w:rPr>
          <w:rFonts w:hint="eastAsia" w:ascii="宋体" w:hAnsi="宋体" w:cs="宋体"/>
          <w:b/>
          <w:bCs/>
          <w:color w:val="0000FF"/>
          <w:kern w:val="0"/>
          <w:szCs w:val="21"/>
          <w:highlight w:val="none"/>
          <w:lang w:val="en-US" w:eastAsia="zh-CN"/>
        </w:rPr>
        <w:t>不</w:t>
      </w:r>
      <w:r>
        <w:rPr>
          <w:rFonts w:hint="eastAsia" w:ascii="宋体" w:hAnsi="宋体" w:cs="宋体"/>
          <w:b/>
          <w:bCs/>
          <w:color w:val="0000FF"/>
          <w:kern w:val="0"/>
          <w:szCs w:val="21"/>
          <w:highlight w:val="none"/>
        </w:rPr>
        <w:t>接受投标人选用进口产品参与投标</w:t>
      </w:r>
      <w:r>
        <w:rPr>
          <w:rFonts w:hint="eastAsia" w:ascii="宋体" w:hAnsi="宋体" w:cs="宋体"/>
          <w:color w:val="0000FF"/>
          <w:kern w:val="0"/>
          <w:szCs w:val="21"/>
          <w:highlight w:val="none"/>
        </w:rPr>
        <w:t>；</w:t>
      </w:r>
    </w:p>
    <w:p w14:paraId="1F557C4E">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ascii="宋体" w:hAnsi="宋体" w:cs="宋体"/>
          <w:color w:val="0000FF"/>
          <w:kern w:val="0"/>
          <w:szCs w:val="21"/>
          <w:highlight w:val="none"/>
        </w:rPr>
      </w:pPr>
      <w:r>
        <w:rPr>
          <w:rFonts w:hint="eastAsia" w:ascii="宋体" w:hAnsi="宋体" w:cs="宋体"/>
          <w:color w:val="0000FF"/>
          <w:kern w:val="0"/>
          <w:szCs w:val="21"/>
          <w:highlight w:val="none"/>
        </w:rPr>
        <w:t>3</w:t>
      </w:r>
      <w:r>
        <w:rPr>
          <w:rFonts w:ascii="宋体" w:hAnsi="宋体" w:cs="宋体"/>
          <w:color w:val="0000FF"/>
          <w:kern w:val="0"/>
          <w:szCs w:val="21"/>
          <w:highlight w:val="none"/>
        </w:rPr>
        <w:t>.</w:t>
      </w:r>
      <w:r>
        <w:rPr>
          <w:rFonts w:hint="eastAsia" w:ascii="宋体" w:hAnsi="宋体" w:cs="宋体"/>
          <w:color w:val="0000FF"/>
          <w:kern w:val="0"/>
          <w:szCs w:val="21"/>
          <w:highlight w:val="none"/>
        </w:rPr>
        <w:t>参与本项目投标前三年内，在经营活动中没有重大违法记录</w:t>
      </w:r>
      <w:r>
        <w:rPr>
          <w:rFonts w:hint="eastAsia" w:ascii="宋体" w:hAnsi="宋体" w:cs="宋体"/>
          <w:color w:val="0000FF"/>
          <w:kern w:val="0"/>
          <w:szCs w:val="21"/>
          <w:highlight w:val="none"/>
          <w:lang w:eastAsia="zh-CN"/>
        </w:rPr>
        <w:t>，</w:t>
      </w:r>
      <w:r>
        <w:rPr>
          <w:rFonts w:hint="eastAsia" w:ascii="宋体" w:hAnsi="宋体" w:cs="宋体"/>
          <w:color w:val="0000FF"/>
          <w:kern w:val="0"/>
          <w:szCs w:val="21"/>
          <w:highlight w:val="none"/>
        </w:rPr>
        <w:t>参与本项目政府采购活动时不存在被有关部门禁止参与政府采购活动且在有效期内的情况（由供应商在《</w:t>
      </w:r>
      <w:r>
        <w:rPr>
          <w:rFonts w:hint="eastAsia" w:ascii="宋体" w:hAnsi="宋体" w:cs="宋体"/>
          <w:color w:val="0000FF"/>
          <w:kern w:val="0"/>
          <w:szCs w:val="21"/>
          <w:highlight w:val="none"/>
          <w:lang w:eastAsia="zh-CN"/>
        </w:rPr>
        <w:t>采购投标及履约承诺函</w:t>
      </w:r>
      <w:r>
        <w:rPr>
          <w:rFonts w:hint="eastAsia" w:ascii="宋体" w:hAnsi="宋体" w:cs="宋体"/>
          <w:color w:val="0000FF"/>
          <w:kern w:val="0"/>
          <w:szCs w:val="21"/>
          <w:highlight w:val="none"/>
        </w:rPr>
        <w:t>》中作出声明）；</w:t>
      </w:r>
    </w:p>
    <w:p w14:paraId="1A0006C2">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ascii="宋体" w:hAnsi="宋体" w:cs="宋体"/>
          <w:color w:val="0000FF"/>
          <w:kern w:val="0"/>
          <w:szCs w:val="21"/>
          <w:highlight w:val="none"/>
        </w:rPr>
      </w:pPr>
      <w:r>
        <w:rPr>
          <w:rFonts w:hint="eastAsia" w:ascii="宋体" w:hAnsi="宋体" w:cs="宋体"/>
          <w:color w:val="0000FF"/>
          <w:kern w:val="0"/>
          <w:szCs w:val="21"/>
          <w:highlight w:val="none"/>
          <w:lang w:val="en-US" w:eastAsia="zh-CN"/>
        </w:rPr>
        <w:t>4</w:t>
      </w:r>
      <w:r>
        <w:rPr>
          <w:rFonts w:ascii="宋体" w:hAnsi="宋体" w:cs="宋体"/>
          <w:color w:val="0000FF"/>
          <w:kern w:val="0"/>
          <w:szCs w:val="21"/>
          <w:highlight w:val="none"/>
        </w:rPr>
        <w:t>.</w:t>
      </w:r>
      <w:r>
        <w:rPr>
          <w:rFonts w:hint="eastAsia" w:ascii="宋体" w:hAnsi="宋体" w:cs="宋体"/>
          <w:color w:val="0000FF"/>
          <w:kern w:val="0"/>
          <w:szCs w:val="21"/>
          <w:highlight w:val="none"/>
        </w:rPr>
        <w:t>具备《中华人民共和国政府采购法》第二十二条第一款的条件（由供应商在《</w:t>
      </w:r>
      <w:r>
        <w:rPr>
          <w:rFonts w:hint="eastAsia" w:ascii="宋体" w:hAnsi="宋体" w:cs="宋体"/>
          <w:color w:val="0000FF"/>
          <w:kern w:val="0"/>
          <w:szCs w:val="21"/>
          <w:highlight w:val="none"/>
          <w:lang w:eastAsia="zh-CN"/>
        </w:rPr>
        <w:t>采购投标及履约承诺函</w:t>
      </w:r>
      <w:r>
        <w:rPr>
          <w:rFonts w:hint="eastAsia" w:ascii="宋体" w:hAnsi="宋体" w:cs="宋体"/>
          <w:color w:val="0000FF"/>
          <w:kern w:val="0"/>
          <w:szCs w:val="21"/>
          <w:highlight w:val="none"/>
        </w:rPr>
        <w:t>》中作出声明）；</w:t>
      </w:r>
    </w:p>
    <w:p w14:paraId="67D5C309">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宋体" w:hAnsi="宋体" w:cs="宋体"/>
          <w:color w:val="0000FF"/>
          <w:kern w:val="0"/>
          <w:szCs w:val="21"/>
          <w:highlight w:val="none"/>
          <w:lang w:val="en-US" w:eastAsia="zh-CN"/>
        </w:rPr>
      </w:pPr>
      <w:r>
        <w:rPr>
          <w:rFonts w:hint="eastAsia" w:ascii="宋体" w:hAnsi="宋体" w:cs="宋体"/>
          <w:color w:val="0000FF"/>
          <w:kern w:val="0"/>
          <w:szCs w:val="21"/>
          <w:highlight w:val="none"/>
          <w:lang w:val="en-US" w:eastAsia="zh-CN"/>
        </w:rPr>
        <w:t>5</w:t>
      </w:r>
      <w:r>
        <w:rPr>
          <w:rFonts w:ascii="宋体" w:hAnsi="宋体" w:cs="宋体"/>
          <w:color w:val="0000FF"/>
          <w:kern w:val="0"/>
          <w:szCs w:val="21"/>
          <w:highlight w:val="none"/>
        </w:rPr>
        <w:t>.</w:t>
      </w:r>
      <w:r>
        <w:rPr>
          <w:rFonts w:hint="eastAsia" w:ascii="宋体" w:hAnsi="宋体" w:cs="宋体"/>
          <w:color w:val="0000FF"/>
          <w:kern w:val="0"/>
          <w:szCs w:val="21"/>
          <w:highlight w:val="none"/>
        </w:rPr>
        <w:t>未被列入失信被执行人、重大税收违法案件当事人名单</w:t>
      </w:r>
      <w:r>
        <w:rPr>
          <w:rFonts w:hint="eastAsia" w:ascii="宋体" w:hAnsi="宋体" w:cs="宋体"/>
          <w:color w:val="0000FF"/>
          <w:kern w:val="0"/>
          <w:szCs w:val="21"/>
          <w:highlight w:val="none"/>
          <w:lang w:eastAsia="zh-CN"/>
        </w:rPr>
        <w:t>（重大税收违法失信主体）</w:t>
      </w:r>
      <w:r>
        <w:rPr>
          <w:rFonts w:hint="eastAsia" w:ascii="宋体" w:hAnsi="宋体" w:cs="宋体"/>
          <w:color w:val="0000FF"/>
          <w:kern w:val="0"/>
          <w:szCs w:val="21"/>
          <w:highlight w:val="none"/>
        </w:rPr>
        <w:t>、政府采购严重违法失信行为记录名单（由供应商在《</w:t>
      </w:r>
      <w:r>
        <w:rPr>
          <w:rFonts w:hint="eastAsia" w:ascii="宋体" w:hAnsi="宋体" w:cs="宋体"/>
          <w:color w:val="0000FF"/>
          <w:kern w:val="0"/>
          <w:szCs w:val="21"/>
          <w:highlight w:val="none"/>
          <w:lang w:eastAsia="zh-CN"/>
        </w:rPr>
        <w:t>采购投标及履约承诺函</w:t>
      </w:r>
      <w:r>
        <w:rPr>
          <w:rFonts w:hint="eastAsia" w:ascii="宋体" w:hAnsi="宋体" w:cs="宋体"/>
          <w:color w:val="0000FF"/>
          <w:kern w:val="0"/>
          <w:szCs w:val="21"/>
          <w:highlight w:val="none"/>
        </w:rPr>
        <w:t>》中作出声明）</w:t>
      </w:r>
      <w:r>
        <w:rPr>
          <w:rFonts w:hint="eastAsia" w:ascii="宋体" w:hAnsi="宋体" w:cs="宋体"/>
          <w:color w:val="0000FF"/>
          <w:kern w:val="0"/>
          <w:szCs w:val="21"/>
          <w:highlight w:val="none"/>
          <w:lang w:val="en-US" w:eastAsia="zh-CN"/>
        </w:rPr>
        <w:t>；</w:t>
      </w:r>
    </w:p>
    <w:p w14:paraId="45C94ECC">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default" w:ascii="宋体" w:hAnsi="宋体" w:cs="宋体"/>
          <w:color w:val="0000FF"/>
          <w:kern w:val="0"/>
          <w:szCs w:val="21"/>
          <w:highlight w:val="none"/>
          <w:lang w:val="en-US" w:eastAsia="zh-CN"/>
        </w:rPr>
      </w:pPr>
      <w:r>
        <w:rPr>
          <w:rFonts w:hint="eastAsia" w:ascii="宋体" w:hAnsi="宋体" w:cs="宋体"/>
          <w:color w:val="0000FF"/>
          <w:kern w:val="0"/>
          <w:szCs w:val="21"/>
          <w:highlight w:val="none"/>
          <w:lang w:val="en-US" w:eastAsia="zh-CN"/>
        </w:rPr>
        <w:t>6.不存在《深圳市财政局政府采购供应商信用信息管理办法》（深财规〔2023〕3号）列明的严重违法失信行为</w:t>
      </w:r>
      <w:r>
        <w:rPr>
          <w:rFonts w:hint="eastAsia" w:ascii="宋体" w:hAnsi="宋体" w:cs="宋体"/>
          <w:color w:val="0000FF"/>
          <w:kern w:val="0"/>
          <w:szCs w:val="21"/>
          <w:highlight w:val="none"/>
        </w:rPr>
        <w:t>（由供应商在《</w:t>
      </w:r>
      <w:r>
        <w:rPr>
          <w:rFonts w:hint="eastAsia" w:ascii="宋体" w:hAnsi="宋体" w:cs="宋体"/>
          <w:color w:val="0000FF"/>
          <w:kern w:val="0"/>
          <w:szCs w:val="21"/>
          <w:highlight w:val="none"/>
          <w:lang w:eastAsia="zh-CN"/>
        </w:rPr>
        <w:t>采购投标及履约承诺函</w:t>
      </w:r>
      <w:r>
        <w:rPr>
          <w:rFonts w:hint="eastAsia" w:ascii="宋体" w:hAnsi="宋体" w:cs="宋体"/>
          <w:color w:val="0000FF"/>
          <w:kern w:val="0"/>
          <w:szCs w:val="21"/>
          <w:highlight w:val="none"/>
        </w:rPr>
        <w:t>》中作出声明）</w:t>
      </w:r>
      <w:r>
        <w:rPr>
          <w:rFonts w:hint="eastAsia" w:ascii="宋体" w:hAnsi="宋体" w:cs="宋体"/>
          <w:color w:val="0000FF"/>
          <w:kern w:val="0"/>
          <w:szCs w:val="21"/>
          <w:highlight w:val="none"/>
          <w:lang w:val="en-US" w:eastAsia="zh-CN"/>
        </w:rPr>
        <w:t>；</w:t>
      </w:r>
    </w:p>
    <w:p w14:paraId="7BE2C5CC">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FF"/>
          <w:kern w:val="0"/>
          <w:szCs w:val="21"/>
          <w:highlight w:val="none"/>
          <w:lang w:eastAsia="zh-CN"/>
        </w:rPr>
      </w:pPr>
      <w:r>
        <w:rPr>
          <w:rFonts w:hint="eastAsia" w:ascii="宋体" w:hAnsi="宋体" w:cs="宋体"/>
          <w:color w:val="0000FF"/>
          <w:kern w:val="0"/>
          <w:szCs w:val="21"/>
          <w:highlight w:val="none"/>
          <w:lang w:val="en-US" w:eastAsia="zh-CN"/>
        </w:rPr>
        <w:t>7</w:t>
      </w:r>
      <w:r>
        <w:rPr>
          <w:rFonts w:hint="eastAsia" w:ascii="宋体" w:hAnsi="宋体" w:cs="宋体"/>
          <w:color w:val="0000FF"/>
          <w:kern w:val="0"/>
          <w:szCs w:val="21"/>
          <w:highlight w:val="none"/>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w:t>
      </w:r>
      <w:r>
        <w:rPr>
          <w:rFonts w:hint="eastAsia" w:ascii="宋体" w:hAnsi="宋体" w:cs="宋体"/>
          <w:color w:val="0000FF"/>
          <w:kern w:val="0"/>
          <w:szCs w:val="21"/>
          <w:highlight w:val="none"/>
          <w:lang w:eastAsia="zh-CN"/>
        </w:rPr>
        <w:t>采购投标及履约承诺函</w:t>
      </w:r>
      <w:r>
        <w:rPr>
          <w:rFonts w:hint="eastAsia" w:ascii="宋体" w:hAnsi="宋体" w:cs="宋体"/>
          <w:color w:val="0000FF"/>
          <w:kern w:val="0"/>
          <w:szCs w:val="21"/>
          <w:highlight w:val="none"/>
        </w:rPr>
        <w:t>》中作出声明）</w:t>
      </w:r>
      <w:r>
        <w:rPr>
          <w:rFonts w:hint="eastAsia" w:ascii="宋体" w:hAnsi="宋体" w:cs="宋体"/>
          <w:color w:val="0000FF"/>
          <w:kern w:val="0"/>
          <w:szCs w:val="21"/>
          <w:highlight w:val="none"/>
          <w:lang w:val="en-US" w:eastAsia="zh-CN"/>
        </w:rPr>
        <w:t>；</w:t>
      </w:r>
    </w:p>
    <w:p w14:paraId="5027CA9C">
      <w:pPr>
        <w:keepNext w:val="0"/>
        <w:keepLines w:val="0"/>
        <w:pageBreakBefore w:val="0"/>
        <w:widowControl w:val="0"/>
        <w:kinsoku/>
        <w:overflowPunct/>
        <w:topLinePunct w:val="0"/>
        <w:autoSpaceDE/>
        <w:autoSpaceDN/>
        <w:bidi w:val="0"/>
        <w:adjustRightInd/>
        <w:snapToGrid/>
        <w:spacing w:line="360" w:lineRule="exact"/>
        <w:ind w:firstLine="422" w:firstLineChars="200"/>
        <w:textAlignment w:val="auto"/>
        <w:rPr>
          <w:rFonts w:hint="eastAsia" w:ascii="宋体" w:hAnsi="宋体" w:cs="宋体"/>
          <w:b/>
          <w:bCs/>
          <w:color w:val="0000FF"/>
          <w:kern w:val="0"/>
          <w:szCs w:val="21"/>
          <w:highlight w:val="none"/>
          <w:lang w:eastAsia="zh-CN"/>
        </w:rPr>
      </w:pPr>
      <w:r>
        <w:rPr>
          <w:rFonts w:hint="eastAsia" w:ascii="宋体" w:hAnsi="宋体" w:cs="宋体"/>
          <w:b/>
          <w:bCs/>
          <w:color w:val="0000FF"/>
          <w:kern w:val="0"/>
          <w:szCs w:val="21"/>
          <w:highlight w:val="none"/>
          <w:lang w:val="en-US" w:eastAsia="zh-CN"/>
        </w:rPr>
        <w:t>8</w:t>
      </w:r>
      <w:r>
        <w:rPr>
          <w:rFonts w:hint="eastAsia" w:ascii="宋体" w:hAnsi="宋体" w:cs="宋体"/>
          <w:b/>
          <w:bCs/>
          <w:color w:val="0000FF"/>
          <w:kern w:val="0"/>
          <w:szCs w:val="21"/>
          <w:highlight w:val="none"/>
        </w:rPr>
        <w:t>.本项目是（否）专门面向中小企业采购：否</w:t>
      </w:r>
      <w:r>
        <w:rPr>
          <w:rFonts w:hint="eastAsia" w:ascii="宋体" w:hAnsi="宋体" w:cs="宋体"/>
          <w:b/>
          <w:bCs/>
          <w:color w:val="0000FF"/>
          <w:kern w:val="0"/>
          <w:szCs w:val="21"/>
          <w:highlight w:val="none"/>
          <w:lang w:eastAsia="zh-CN"/>
        </w:rPr>
        <w:t>。</w:t>
      </w:r>
    </w:p>
    <w:p w14:paraId="5ACB8E31">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0000FF"/>
          <w:kern w:val="0"/>
          <w:szCs w:val="21"/>
          <w:highlight w:val="none"/>
          <w:lang w:eastAsia="zh-CN"/>
        </w:rPr>
      </w:pPr>
      <w:r>
        <w:rPr>
          <w:rFonts w:hint="eastAsia" w:ascii="宋体" w:hAnsi="宋体" w:cs="宋体"/>
          <w:b w:val="0"/>
          <w:bCs w:val="0"/>
          <w:color w:val="0000FF"/>
          <w:kern w:val="0"/>
          <w:szCs w:val="21"/>
          <w:highlight w:val="none"/>
        </w:rPr>
        <w:t>9.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并加盖供应商公章，如供应商存在未提供《供应商基本情况表》或所提供《供应商基本情况表》不符合采购文件要求的情形，按资格审查不通过处理）</w:t>
      </w:r>
      <w:r>
        <w:rPr>
          <w:rFonts w:hint="eastAsia" w:ascii="宋体" w:hAnsi="宋体" w:cs="宋体"/>
          <w:b w:val="0"/>
          <w:bCs w:val="0"/>
          <w:color w:val="0000FF"/>
          <w:kern w:val="0"/>
          <w:szCs w:val="21"/>
          <w:highlight w:val="none"/>
          <w:lang w:eastAsia="zh-CN"/>
        </w:rPr>
        <w:t>。</w:t>
      </w:r>
    </w:p>
    <w:p w14:paraId="146BD090">
      <w:pPr>
        <w:keepNext w:val="0"/>
        <w:keepLines w:val="0"/>
        <w:pageBreakBefore w:val="0"/>
        <w:widowControl w:val="0"/>
        <w:kinsoku/>
        <w:overflowPunct/>
        <w:topLinePunct w:val="0"/>
        <w:autoSpaceDE/>
        <w:autoSpaceDN/>
        <w:bidi w:val="0"/>
        <w:adjustRightInd/>
        <w:snapToGrid/>
        <w:spacing w:line="360" w:lineRule="exact"/>
        <w:ind w:firstLine="422" w:firstLineChars="200"/>
        <w:textAlignment w:val="auto"/>
        <w:rPr>
          <w:rFonts w:ascii="宋体" w:hAnsi="宋体" w:cs="宋体"/>
          <w:b/>
          <w:bCs/>
          <w:color w:val="0000FF"/>
          <w:kern w:val="0"/>
          <w:szCs w:val="21"/>
          <w:highlight w:val="none"/>
        </w:rPr>
      </w:pPr>
      <w:r>
        <w:rPr>
          <w:rFonts w:hint="eastAsia" w:ascii="宋体" w:hAnsi="宋体" w:cs="宋体"/>
          <w:b/>
          <w:bCs/>
          <w:color w:val="0000FF"/>
          <w:kern w:val="0"/>
          <w:szCs w:val="21"/>
          <w:highlight w:val="none"/>
          <w:lang w:val="en-US" w:eastAsia="zh-CN"/>
        </w:rPr>
        <w:t>10.①投标人若为生产企业：所投产品为第二、三类医疗器械的，提供监督管理部门签发的涵盖所投报医疗器械的《医疗器械生产许可证》(有效期内)扫描件，原件备查；②投标人若为经营企业：所投产品为第二类医疗器械的，提供监督管理部门签发的涵盖所投报医疗器械的《医疗器械经营备案凭证》(有效期内)扫描件，原件备查；所投产品为第三类医疗器械的，提供监督管理部门签发的涵盖所投报医疗器械的《医疗器械经营许可证》(有效期内)扫描件，原件备查。</w:t>
      </w:r>
    </w:p>
    <w:p w14:paraId="6CB338E0">
      <w:pPr>
        <w:keepNext w:val="0"/>
        <w:keepLines w:val="0"/>
        <w:pageBreakBefore w:val="0"/>
        <w:kinsoku/>
        <w:overflowPunct/>
        <w:autoSpaceDE/>
        <w:autoSpaceDN/>
        <w:bidi w:val="0"/>
        <w:adjustRightInd/>
        <w:snapToGrid/>
        <w:spacing w:line="36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0DE20025">
      <w:pPr>
        <w:keepNext w:val="0"/>
        <w:keepLines w:val="0"/>
        <w:pageBreakBefore w:val="0"/>
        <w:kinsoku/>
        <w:overflowPunct/>
        <w:autoSpaceDE/>
        <w:autoSpaceDN/>
        <w:bidi w:val="0"/>
        <w:adjustRightInd/>
        <w:snapToGrid/>
        <w:spacing w:line="360" w:lineRule="exact"/>
        <w:ind w:firstLine="420" w:firstLineChars="200"/>
        <w:rPr>
          <w:rFonts w:hint="eastAsia" w:ascii="宋体" w:hAnsi="宋体" w:cs="宋体"/>
          <w:kern w:val="0"/>
          <w:szCs w:val="21"/>
          <w:highlight w:val="none"/>
        </w:rPr>
      </w:pPr>
      <w:r>
        <w:rPr>
          <w:rFonts w:hint="eastAsia" w:ascii="宋体" w:hAnsi="宋体"/>
          <w:szCs w:val="21"/>
          <w:highlight w:val="none"/>
        </w:rPr>
        <w:t>（2）供应商投标（上传投标文件）必须先行办理注册手续，具体操作指引请按照深圳公共资源交易网/交易服务指南/资料下载/深圳政府采购自行采购系统用户操作指引（供应商）相关内容指引办理。</w:t>
      </w:r>
    </w:p>
    <w:p w14:paraId="16104281">
      <w:pPr>
        <w:keepNext w:val="0"/>
        <w:keepLines w:val="0"/>
        <w:pageBreakBefore w:val="0"/>
        <w:widowControl w:val="0"/>
        <w:kinsoku/>
        <w:wordWrap w:val="0"/>
        <w:overflowPunct/>
        <w:topLinePunct/>
        <w:autoSpaceDE/>
        <w:autoSpaceDN/>
        <w:bidi w:val="0"/>
        <w:adjustRightInd/>
        <w:snapToGrid/>
        <w:spacing w:line="36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i w:val="0"/>
          <w:iCs w:val="0"/>
          <w:caps w:val="0"/>
          <w:color w:val="auto"/>
          <w:spacing w:val="0"/>
          <w:kern w:val="2"/>
          <w:sz w:val="21"/>
          <w:szCs w:val="21"/>
          <w:highlight w:val="none"/>
          <w:shd w:val="clear" w:fill="FFFFFF"/>
          <w:vertAlign w:val="baseline"/>
          <w:lang w:val="en-US" w:eastAsia="zh-CN" w:bidi="ar-SA"/>
        </w:rPr>
        <w:t>三、</w:t>
      </w:r>
      <w:r>
        <w:rPr>
          <w:rFonts w:hint="eastAsia" w:ascii="宋体" w:hAnsi="宋体" w:eastAsia="宋体" w:cs="宋体"/>
          <w:b/>
          <w:bCs/>
          <w:color w:val="auto"/>
          <w:sz w:val="21"/>
          <w:szCs w:val="21"/>
          <w:highlight w:val="none"/>
        </w:rPr>
        <w:t>对本次招标提出询问，请按以下方式联系。</w:t>
      </w:r>
    </w:p>
    <w:p w14:paraId="1F086B47">
      <w:pPr>
        <w:keepNext w:val="0"/>
        <w:keepLines w:val="0"/>
        <w:pageBreakBefore w:val="0"/>
        <w:kinsoku/>
        <w:overflowPunct/>
        <w:autoSpaceDE/>
        <w:autoSpaceDN/>
        <w:bidi w:val="0"/>
        <w:adjustRightInd/>
        <w:snapToGrid/>
        <w:spacing w:line="360" w:lineRule="exact"/>
        <w:ind w:firstLine="420" w:firstLineChars="200"/>
        <w:jc w:val="left"/>
        <w:rPr>
          <w:rFonts w:hint="eastAsia" w:asciiTheme="minorEastAsia" w:hAnsiTheme="minorEastAsia" w:eastAsiaTheme="minorEastAsia"/>
          <w:color w:val="0000FF"/>
          <w:szCs w:val="21"/>
          <w:highlight w:val="none"/>
        </w:rPr>
      </w:pPr>
      <w:r>
        <w:rPr>
          <w:rFonts w:hint="eastAsia" w:asciiTheme="minorEastAsia" w:hAnsiTheme="minorEastAsia" w:eastAsiaTheme="minorEastAsia"/>
          <w:color w:val="0000FF"/>
          <w:szCs w:val="21"/>
          <w:highlight w:val="none"/>
        </w:rPr>
        <w:t>1</w:t>
      </w:r>
      <w:r>
        <w:rPr>
          <w:rFonts w:hint="eastAsia" w:asciiTheme="minorEastAsia" w:hAnsiTheme="minorEastAsia" w:eastAsiaTheme="minorEastAsia"/>
          <w:color w:val="0000FF"/>
          <w:szCs w:val="21"/>
          <w:highlight w:val="none"/>
          <w:lang w:val="en-US" w:eastAsia="zh-CN"/>
        </w:rPr>
        <w:t>.</w:t>
      </w:r>
      <w:r>
        <w:rPr>
          <w:rFonts w:hint="eastAsia" w:asciiTheme="minorEastAsia" w:hAnsiTheme="minorEastAsia" w:eastAsiaTheme="minorEastAsia"/>
          <w:color w:val="0000FF"/>
          <w:szCs w:val="21"/>
          <w:highlight w:val="none"/>
        </w:rPr>
        <w:t>采购人信息</w:t>
      </w:r>
    </w:p>
    <w:p w14:paraId="0178DC96">
      <w:pPr>
        <w:keepNext w:val="0"/>
        <w:keepLines w:val="0"/>
        <w:pageBreakBefore w:val="0"/>
        <w:kinsoku/>
        <w:overflowPunct/>
        <w:autoSpaceDE/>
        <w:autoSpaceDN/>
        <w:bidi w:val="0"/>
        <w:adjustRightInd/>
        <w:snapToGrid/>
        <w:spacing w:line="360" w:lineRule="exact"/>
        <w:ind w:firstLine="420" w:firstLineChars="200"/>
        <w:jc w:val="left"/>
        <w:rPr>
          <w:rFonts w:hint="eastAsia" w:asciiTheme="minorEastAsia" w:hAnsiTheme="minorEastAsia" w:eastAsiaTheme="minorEastAsia"/>
          <w:color w:val="0000FF"/>
          <w:szCs w:val="21"/>
          <w:highlight w:val="none"/>
          <w:lang w:eastAsia="zh-CN"/>
        </w:rPr>
      </w:pPr>
      <w:r>
        <w:rPr>
          <w:rFonts w:hint="eastAsia" w:asciiTheme="minorEastAsia" w:hAnsiTheme="minorEastAsia" w:eastAsiaTheme="minorEastAsia"/>
          <w:color w:val="0000FF"/>
          <w:szCs w:val="21"/>
          <w:highlight w:val="none"/>
        </w:rPr>
        <w:t>名　称：</w:t>
      </w:r>
      <w:r>
        <w:rPr>
          <w:rFonts w:hint="eastAsia" w:asciiTheme="minorEastAsia" w:hAnsiTheme="minorEastAsia" w:eastAsiaTheme="minorEastAsia"/>
          <w:color w:val="0000FF"/>
          <w:szCs w:val="21"/>
          <w:highlight w:val="none"/>
          <w:lang w:eastAsia="zh-CN"/>
        </w:rPr>
        <w:t>深圳市宝安区人民医院</w:t>
      </w:r>
    </w:p>
    <w:p w14:paraId="5F6A5375">
      <w:pPr>
        <w:keepNext w:val="0"/>
        <w:keepLines w:val="0"/>
        <w:pageBreakBefore w:val="0"/>
        <w:kinsoku/>
        <w:overflowPunct/>
        <w:autoSpaceDE/>
        <w:autoSpaceDN/>
        <w:bidi w:val="0"/>
        <w:adjustRightInd/>
        <w:snapToGrid/>
        <w:spacing w:line="360" w:lineRule="exact"/>
        <w:ind w:firstLine="420" w:firstLineChars="200"/>
        <w:jc w:val="left"/>
        <w:rPr>
          <w:rFonts w:hint="eastAsia" w:asciiTheme="minorEastAsia" w:hAnsiTheme="minorEastAsia" w:eastAsiaTheme="minorEastAsia"/>
          <w:color w:val="0000FF"/>
          <w:szCs w:val="21"/>
          <w:highlight w:val="none"/>
        </w:rPr>
      </w:pPr>
      <w:r>
        <w:rPr>
          <w:rFonts w:hint="eastAsia" w:asciiTheme="minorEastAsia" w:hAnsiTheme="minorEastAsia" w:eastAsiaTheme="minorEastAsia"/>
          <w:color w:val="0000FF"/>
          <w:szCs w:val="21"/>
          <w:highlight w:val="none"/>
        </w:rPr>
        <w:t>地　址：深圳市宝安区新安街道16区龙井二路118号</w:t>
      </w:r>
    </w:p>
    <w:p w14:paraId="510386AA">
      <w:pPr>
        <w:keepNext w:val="0"/>
        <w:keepLines w:val="0"/>
        <w:pageBreakBefore w:val="0"/>
        <w:kinsoku/>
        <w:overflowPunct/>
        <w:autoSpaceDE/>
        <w:autoSpaceDN/>
        <w:bidi w:val="0"/>
        <w:adjustRightInd/>
        <w:snapToGrid/>
        <w:spacing w:line="360" w:lineRule="exact"/>
        <w:ind w:firstLine="420" w:firstLineChars="200"/>
        <w:jc w:val="left"/>
        <w:rPr>
          <w:rFonts w:hint="eastAsia" w:asciiTheme="minorEastAsia" w:hAnsiTheme="minorEastAsia" w:eastAsiaTheme="minorEastAsia"/>
          <w:color w:val="0000FF"/>
          <w:szCs w:val="21"/>
          <w:highlight w:val="none"/>
        </w:rPr>
      </w:pPr>
      <w:r>
        <w:rPr>
          <w:rFonts w:hint="eastAsia" w:asciiTheme="minorEastAsia" w:hAnsiTheme="minorEastAsia" w:eastAsiaTheme="minorEastAsia"/>
          <w:color w:val="0000FF"/>
          <w:szCs w:val="21"/>
          <w:highlight w:val="none"/>
        </w:rPr>
        <w:t>联系</w:t>
      </w:r>
      <w:r>
        <w:rPr>
          <w:rFonts w:hint="eastAsia" w:asciiTheme="minorEastAsia" w:hAnsiTheme="minorEastAsia" w:eastAsiaTheme="minorEastAsia"/>
          <w:color w:val="0000FF"/>
          <w:szCs w:val="21"/>
          <w:highlight w:val="none"/>
          <w:lang w:eastAsia="zh-CN"/>
        </w:rPr>
        <w:t>人</w:t>
      </w:r>
      <w:r>
        <w:rPr>
          <w:rFonts w:hint="eastAsia" w:asciiTheme="minorEastAsia" w:hAnsiTheme="minorEastAsia" w:eastAsiaTheme="minorEastAsia"/>
          <w:color w:val="0000FF"/>
          <w:szCs w:val="21"/>
          <w:highlight w:val="none"/>
        </w:rPr>
        <w:t>：豆科</w:t>
      </w:r>
    </w:p>
    <w:p w14:paraId="04BFFAA8">
      <w:pPr>
        <w:keepNext w:val="0"/>
        <w:keepLines w:val="0"/>
        <w:pageBreakBefore w:val="0"/>
        <w:kinsoku/>
        <w:overflowPunct/>
        <w:autoSpaceDE/>
        <w:autoSpaceDN/>
        <w:bidi w:val="0"/>
        <w:adjustRightInd/>
        <w:snapToGrid/>
        <w:spacing w:line="360" w:lineRule="exact"/>
        <w:ind w:firstLine="420" w:firstLineChars="200"/>
        <w:jc w:val="left"/>
        <w:rPr>
          <w:rFonts w:hint="eastAsia" w:asciiTheme="minorEastAsia" w:hAnsiTheme="minorEastAsia" w:eastAsiaTheme="minorEastAsia"/>
          <w:color w:val="0000FF"/>
          <w:szCs w:val="21"/>
          <w:highlight w:val="none"/>
        </w:rPr>
      </w:pPr>
      <w:r>
        <w:rPr>
          <w:rFonts w:hint="eastAsia" w:asciiTheme="minorEastAsia" w:hAnsiTheme="minorEastAsia" w:eastAsiaTheme="minorEastAsia"/>
          <w:color w:val="0000FF"/>
          <w:szCs w:val="21"/>
          <w:highlight w:val="none"/>
          <w:lang w:val="en-US" w:eastAsia="zh-CN"/>
        </w:rPr>
        <w:t>联系电话：0755</w:t>
      </w:r>
      <w:r>
        <w:rPr>
          <w:rFonts w:hint="eastAsia" w:asciiTheme="minorEastAsia" w:hAnsiTheme="minorEastAsia" w:eastAsiaTheme="minorEastAsia"/>
          <w:color w:val="0000FF"/>
          <w:szCs w:val="21"/>
          <w:highlight w:val="none"/>
        </w:rPr>
        <w:t>-</w:t>
      </w:r>
      <w:r>
        <w:rPr>
          <w:rFonts w:hint="eastAsia" w:asciiTheme="minorEastAsia" w:hAnsiTheme="minorEastAsia" w:eastAsiaTheme="minorEastAsia"/>
          <w:color w:val="0000FF"/>
          <w:szCs w:val="21"/>
          <w:highlight w:val="none"/>
          <w:lang w:val="en-US" w:eastAsia="zh-CN"/>
        </w:rPr>
        <w:t>27788311</w:t>
      </w:r>
    </w:p>
    <w:p w14:paraId="67B6959F">
      <w:pPr>
        <w:keepNext w:val="0"/>
        <w:keepLines w:val="0"/>
        <w:pageBreakBefore w:val="0"/>
        <w:kinsoku/>
        <w:overflowPunct/>
        <w:autoSpaceDE/>
        <w:autoSpaceDN/>
        <w:bidi w:val="0"/>
        <w:adjustRightInd/>
        <w:snapToGrid/>
        <w:spacing w:line="360" w:lineRule="exact"/>
        <w:ind w:firstLine="420" w:firstLineChars="200"/>
        <w:jc w:val="left"/>
        <w:rPr>
          <w:rFonts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2</w:t>
      </w: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w:t>
      </w:r>
      <w:r>
        <w:rPr>
          <w:rFonts w:hint="eastAsia" w:cs="宋体" w:asciiTheme="minorEastAsia" w:hAnsiTheme="minorEastAsia" w:eastAsiaTheme="minorEastAsia"/>
          <w:color w:val="000000" w:themeColor="text1"/>
          <w:szCs w:val="21"/>
          <w:highlight w:val="none"/>
          <w14:textFill>
            <w14:solidFill>
              <w14:schemeClr w14:val="tx1"/>
            </w14:solidFill>
          </w14:textFill>
        </w:rPr>
        <w:t>采购代理机构信息</w:t>
      </w:r>
    </w:p>
    <w:p w14:paraId="68CFACD9">
      <w:pPr>
        <w:keepNext w:val="0"/>
        <w:keepLines w:val="0"/>
        <w:pageBreakBefore w:val="0"/>
        <w:kinsoku/>
        <w:overflowPunct/>
        <w:autoSpaceDE/>
        <w:autoSpaceDN/>
        <w:bidi w:val="0"/>
        <w:adjustRightInd/>
        <w:snapToGrid/>
        <w:spacing w:line="360" w:lineRule="exact"/>
        <w:ind w:firstLine="420" w:firstLineChars="200"/>
        <w:rPr>
          <w:rFonts w:hint="eastAsia" w:asciiTheme="minorEastAsia" w:hAnsiTheme="minorEastAsia" w:eastAsia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名　称：深圳交易咨询集团有限公司</w:t>
      </w:r>
    </w:p>
    <w:p w14:paraId="4CC5CA9C">
      <w:pPr>
        <w:keepNext w:val="0"/>
        <w:keepLines w:val="0"/>
        <w:pageBreakBefore w:val="0"/>
        <w:kinsoku/>
        <w:overflowPunct/>
        <w:autoSpaceDE/>
        <w:autoSpaceDN/>
        <w:bidi w:val="0"/>
        <w:adjustRightInd/>
        <w:snapToGrid/>
        <w:spacing w:line="360" w:lineRule="exact"/>
        <w:ind w:firstLine="420" w:firstLineChars="200"/>
        <w:rPr>
          <w:rFonts w:hint="eastAsia" w:asciiTheme="minorEastAsia" w:hAnsiTheme="minorEastAsia" w:eastAsia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地　址：</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深圳市南山区南山智谷产业园A座21/25楼</w:t>
      </w:r>
    </w:p>
    <w:p w14:paraId="6833154E">
      <w:pPr>
        <w:keepNext w:val="0"/>
        <w:keepLines w:val="0"/>
        <w:pageBreakBefore w:val="0"/>
        <w:kinsoku/>
        <w:overflowPunct/>
        <w:autoSpaceDE/>
        <w:autoSpaceDN/>
        <w:bidi w:val="0"/>
        <w:adjustRightInd/>
        <w:snapToGrid/>
        <w:spacing w:line="360" w:lineRule="exact"/>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监督举报电话：0755-22965602</w:t>
      </w:r>
    </w:p>
    <w:p w14:paraId="71A41266">
      <w:pPr>
        <w:keepNext w:val="0"/>
        <w:keepLines w:val="0"/>
        <w:pageBreakBefore w:val="0"/>
        <w:kinsoku/>
        <w:overflowPunct/>
        <w:autoSpaceDE/>
        <w:autoSpaceDN/>
        <w:bidi w:val="0"/>
        <w:adjustRightInd/>
        <w:snapToGrid/>
        <w:spacing w:line="360" w:lineRule="exact"/>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3</w:t>
      </w: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w:t>
      </w:r>
      <w:r>
        <w:rPr>
          <w:rFonts w:hint="eastAsia" w:cs="宋体" w:asciiTheme="minorEastAsia" w:hAnsiTheme="minorEastAsia" w:eastAsiaTheme="minorEastAsia"/>
          <w:color w:val="000000" w:themeColor="text1"/>
          <w:szCs w:val="21"/>
          <w:highlight w:val="none"/>
          <w14:textFill>
            <w14:solidFill>
              <w14:schemeClr w14:val="tx1"/>
            </w14:solidFill>
          </w14:textFill>
        </w:rPr>
        <w:t>项目</w:t>
      </w:r>
      <w:r>
        <w:rPr>
          <w:rFonts w:cs="宋体" w:asciiTheme="minorEastAsia" w:hAnsiTheme="minorEastAsia" w:eastAsiaTheme="minorEastAsia"/>
          <w:color w:val="000000" w:themeColor="text1"/>
          <w:szCs w:val="21"/>
          <w:highlight w:val="none"/>
          <w14:textFill>
            <w14:solidFill>
              <w14:schemeClr w14:val="tx1"/>
            </w14:solidFill>
          </w14:textFill>
        </w:rPr>
        <w:t>联系方式</w:t>
      </w:r>
    </w:p>
    <w:p w14:paraId="6F02014F">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Theme="majorEastAsia" w:hAnsiTheme="majorEastAsia" w:eastAsiaTheme="majorEastAsia" w:cstheme="majorEastAsia"/>
          <w:szCs w:val="21"/>
          <w:highlight w:val="none"/>
          <w:lang w:eastAsia="zh-CN"/>
        </w:rPr>
      </w:pPr>
      <w:r>
        <w:rPr>
          <w:rFonts w:hint="eastAsia" w:ascii="宋体" w:hAnsi="宋体" w:eastAsia="宋体" w:cs="Times New Roman"/>
          <w:szCs w:val="21"/>
          <w:highlight w:val="none"/>
        </w:rPr>
        <w:t>项目联系人：</w:t>
      </w:r>
      <w:r>
        <w:rPr>
          <w:rFonts w:hint="eastAsia" w:asciiTheme="majorEastAsia" w:hAnsiTheme="majorEastAsia" w:eastAsiaTheme="majorEastAsia" w:cstheme="majorEastAsia"/>
          <w:szCs w:val="21"/>
          <w:highlight w:val="none"/>
          <w:lang w:eastAsia="zh-CN"/>
        </w:rPr>
        <w:t>王文乐、黎子帅</w:t>
      </w:r>
    </w:p>
    <w:p w14:paraId="046D2CB2">
      <w:pPr>
        <w:keepNext w:val="0"/>
        <w:keepLines w:val="0"/>
        <w:pageBreakBefore w:val="0"/>
        <w:kinsoku/>
        <w:overflowPunct/>
        <w:autoSpaceDE/>
        <w:autoSpaceDN/>
        <w:bidi w:val="0"/>
        <w:adjustRightInd/>
        <w:snapToGrid/>
        <w:spacing w:line="360" w:lineRule="exact"/>
        <w:ind w:firstLine="420" w:firstLineChars="200"/>
        <w:rPr>
          <w:rFonts w:hint="eastAsia" w:ascii="宋体" w:hAnsi="宋体" w:eastAsia="宋体" w:cs="Times New Roman"/>
          <w:szCs w:val="21"/>
          <w:highlight w:val="none"/>
          <w:lang w:eastAsia="zh-CN"/>
        </w:rPr>
      </w:pPr>
      <w:r>
        <w:rPr>
          <w:rFonts w:hint="eastAsia" w:asciiTheme="majorEastAsia" w:hAnsiTheme="majorEastAsia" w:eastAsiaTheme="majorEastAsia" w:cstheme="majorEastAsia"/>
          <w:szCs w:val="21"/>
          <w:highlight w:val="none"/>
          <w:lang w:eastAsia="zh-CN"/>
        </w:rPr>
        <w:t>联系电话：0755-83521951、13682515285；18598091126</w:t>
      </w:r>
    </w:p>
    <w:p w14:paraId="3E4046BE">
      <w:pPr>
        <w:keepNext w:val="0"/>
        <w:keepLines w:val="0"/>
        <w:pageBreakBefore w:val="0"/>
        <w:widowControl w:val="0"/>
        <w:numPr>
          <w:ilvl w:val="0"/>
          <w:numId w:val="0"/>
        </w:numPr>
        <w:kinsoku/>
        <w:wordWrap w:val="0"/>
        <w:overflowPunct/>
        <w:topLinePunct/>
        <w:autoSpaceDE/>
        <w:autoSpaceDN/>
        <w:bidi w:val="0"/>
        <w:adjustRightInd/>
        <w:snapToGrid/>
        <w:spacing w:line="360" w:lineRule="exact"/>
        <w:ind w:firstLine="420" w:firstLineChars="200"/>
        <w:textAlignment w:val="auto"/>
        <w:rPr>
          <w:rFonts w:hint="eastAsia" w:ascii="宋体" w:hAnsi="宋体" w:cs="宋体"/>
          <w:color w:val="0000FF"/>
          <w:sz w:val="21"/>
          <w:szCs w:val="21"/>
          <w:highlight w:val="none"/>
          <w:lang w:val="en-US" w:eastAsia="zh-CN"/>
        </w:rPr>
      </w:pPr>
      <w:r>
        <w:rPr>
          <w:rFonts w:hint="eastAsia" w:ascii="宋体" w:hAnsi="宋体" w:eastAsia="宋体" w:cs="宋体"/>
          <w:color w:val="0000FF"/>
          <w:kern w:val="2"/>
          <w:sz w:val="21"/>
          <w:szCs w:val="21"/>
          <w:highlight w:val="none"/>
          <w:lang w:val="en-US" w:eastAsia="zh-CN" w:bidi="ar-SA"/>
        </w:rPr>
        <w:t>4.</w:t>
      </w:r>
      <w:r>
        <w:rPr>
          <w:rFonts w:hint="eastAsia" w:ascii="宋体" w:hAnsi="宋体" w:cs="宋体"/>
          <w:b/>
          <w:bCs/>
          <w:color w:val="0000FF"/>
          <w:sz w:val="21"/>
          <w:szCs w:val="21"/>
          <w:highlight w:val="none"/>
          <w:lang w:val="en-US" w:eastAsia="zh-CN"/>
        </w:rPr>
        <w:t>深圳政府采购自行采购系统技术支持:</w:t>
      </w:r>
      <w:r>
        <w:rPr>
          <w:rFonts w:hint="eastAsia" w:ascii="宋体" w:hAnsi="宋体" w:cs="宋体"/>
          <w:color w:val="0000FF"/>
          <w:sz w:val="21"/>
          <w:szCs w:val="21"/>
          <w:highlight w:val="none"/>
          <w:lang w:val="en-US" w:eastAsia="zh-CN"/>
        </w:rPr>
        <w:t>0755-36568999 1转7</w:t>
      </w:r>
    </w:p>
    <w:p w14:paraId="344F7D99">
      <w:pPr>
        <w:keepNext w:val="0"/>
        <w:keepLines w:val="0"/>
        <w:pageBreakBefore w:val="0"/>
        <w:widowControl w:val="0"/>
        <w:numPr>
          <w:ilvl w:val="0"/>
          <w:numId w:val="0"/>
        </w:numPr>
        <w:kinsoku/>
        <w:wordWrap w:val="0"/>
        <w:overflowPunct/>
        <w:topLinePunct/>
        <w:autoSpaceDE/>
        <w:autoSpaceDN/>
        <w:bidi w:val="0"/>
        <w:adjustRightInd/>
        <w:snapToGrid/>
        <w:spacing w:line="240" w:lineRule="auto"/>
        <w:jc w:val="both"/>
        <w:textAlignment w:val="auto"/>
        <w:rPr>
          <w:rFonts w:hint="eastAsia" w:ascii="宋体" w:hAnsi="宋体" w:cs="宋体"/>
          <w:color w:val="0000FF"/>
          <w:sz w:val="21"/>
          <w:szCs w:val="21"/>
          <w:highlight w:val="none"/>
          <w:lang w:val="en-US" w:eastAsia="zh-CN"/>
        </w:rPr>
      </w:pPr>
    </w:p>
    <w:p w14:paraId="3551BDBF">
      <w:pPr>
        <w:keepNext w:val="0"/>
        <w:keepLines w:val="0"/>
        <w:pageBreakBefore w:val="0"/>
        <w:widowControl w:val="0"/>
        <w:numPr>
          <w:ilvl w:val="0"/>
          <w:numId w:val="0"/>
        </w:numPr>
        <w:kinsoku/>
        <w:wordWrap w:val="0"/>
        <w:overflowPunct/>
        <w:topLinePunct/>
        <w:autoSpaceDE/>
        <w:autoSpaceDN/>
        <w:bidi w:val="0"/>
        <w:adjustRightInd/>
        <w:snapToGrid/>
        <w:spacing w:line="240" w:lineRule="auto"/>
        <w:jc w:val="both"/>
        <w:textAlignment w:val="auto"/>
        <w:rPr>
          <w:rFonts w:hint="eastAsia" w:ascii="宋体" w:hAnsi="宋体" w:cs="宋体"/>
          <w:color w:val="0000FF"/>
          <w:sz w:val="21"/>
          <w:szCs w:val="21"/>
          <w:highlight w:val="none"/>
          <w:lang w:val="en-US" w:eastAsia="zh-CN"/>
        </w:rPr>
      </w:pPr>
    </w:p>
    <w:p w14:paraId="449964C6">
      <w:pPr>
        <w:keepNext w:val="0"/>
        <w:keepLines w:val="0"/>
        <w:pageBreakBefore w:val="0"/>
        <w:widowControl w:val="0"/>
        <w:numPr>
          <w:ilvl w:val="0"/>
          <w:numId w:val="0"/>
        </w:numPr>
        <w:kinsoku/>
        <w:wordWrap w:val="0"/>
        <w:overflowPunct/>
        <w:topLinePunct/>
        <w:autoSpaceDE/>
        <w:autoSpaceDN/>
        <w:bidi w:val="0"/>
        <w:adjustRightInd/>
        <w:snapToGrid/>
        <w:spacing w:line="240" w:lineRule="auto"/>
        <w:jc w:val="both"/>
        <w:textAlignment w:val="auto"/>
        <w:rPr>
          <w:rFonts w:hint="eastAsia" w:ascii="宋体" w:hAnsi="宋体" w:cs="宋体"/>
          <w:color w:val="0000FF"/>
          <w:sz w:val="21"/>
          <w:szCs w:val="21"/>
          <w:highlight w:val="none"/>
          <w:lang w:val="en-US" w:eastAsia="zh-CN"/>
        </w:rPr>
      </w:pPr>
    </w:p>
    <w:p w14:paraId="7173A2DA">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2" w:firstLineChars="200"/>
        <w:jc w:val="both"/>
        <w:textAlignment w:val="baseline"/>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完整公告内容详见：深圳交易集团（深圳公共资源交易中心）官网https://www.szexgrp.com/jyfw/zfcg-view.html?id=zfcg</w:t>
      </w:r>
    </w:p>
    <w:p w14:paraId="10C8A1FB">
      <w:pPr>
        <w:rPr>
          <w:rFonts w:hint="eastAsia"/>
          <w:b/>
          <w:bCs/>
          <w:sz w:val="28"/>
          <w:szCs w:val="28"/>
          <w:highlight w:val="none"/>
        </w:rPr>
      </w:pPr>
    </w:p>
    <w:p w14:paraId="03CA76A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　</w:t>
      </w:r>
    </w:p>
    <w:p w14:paraId="32898E04">
      <w:pPr>
        <w:keepNext w:val="0"/>
        <w:keepLines w:val="0"/>
        <w:pageBreakBefore w:val="0"/>
        <w:kinsoku/>
        <w:wordWrap w:val="0"/>
        <w:overflowPunct/>
        <w:topLinePunct/>
        <w:autoSpaceDE/>
        <w:autoSpaceDN/>
        <w:bidi w:val="0"/>
        <w:adjustRightInd/>
        <w:snapToGrid/>
        <w:spacing w:line="360" w:lineRule="auto"/>
        <w:ind w:firstLine="420" w:firstLineChars="200"/>
        <w:rPr>
          <w:highlight w:val="none"/>
        </w:rPr>
      </w:pPr>
    </w:p>
    <w:p w14:paraId="6DB54131">
      <w:pPr>
        <w:rPr>
          <w:highlight w:val="none"/>
        </w:rPr>
      </w:pPr>
      <w:r>
        <w:rPr>
          <w:rFonts w:hint="eastAsia"/>
          <w:highlight w:val="none"/>
        </w:rPr>
        <w:br w:type="page"/>
      </w:r>
    </w:p>
    <w:p w14:paraId="42E8B54C">
      <w:pPr>
        <w:pStyle w:val="5"/>
        <w:rPr>
          <w:rFonts w:hint="eastAsia"/>
          <w:sz w:val="28"/>
          <w:szCs w:val="28"/>
          <w:highlight w:val="none"/>
        </w:rPr>
      </w:pPr>
      <w:r>
        <w:rPr>
          <w:rFonts w:hint="eastAsia"/>
          <w:sz w:val="28"/>
          <w:szCs w:val="28"/>
          <w:highlight w:val="none"/>
        </w:rPr>
        <w:t>第二章 对通用条款的补充内容及其他关键信息</w:t>
      </w:r>
    </w:p>
    <w:p w14:paraId="1EF53E1D">
      <w:pPr>
        <w:pStyle w:val="3"/>
        <w:keepNext/>
        <w:keepLines/>
        <w:pageBreakBefore w:val="0"/>
        <w:widowControl w:val="0"/>
        <w:kinsoku/>
        <w:wordWrap/>
        <w:overflowPunct/>
        <w:topLinePunct w:val="0"/>
        <w:autoSpaceDE/>
        <w:autoSpaceDN/>
        <w:bidi w:val="0"/>
        <w:adjustRightInd/>
        <w:snapToGrid/>
        <w:spacing w:before="0" w:after="0"/>
        <w:jc w:val="center"/>
        <w:textAlignment w:val="auto"/>
        <w:rPr>
          <w:rFonts w:hint="eastAsia"/>
          <w:sz w:val="24"/>
          <w:szCs w:val="28"/>
          <w:highlight w:val="none"/>
        </w:rPr>
      </w:pPr>
      <w:bookmarkStart w:id="20" w:name="_Toc73521635"/>
      <w:bookmarkStart w:id="21" w:name="_Toc60631620"/>
      <w:bookmarkStart w:id="22" w:name="_Toc73518117"/>
      <w:bookmarkStart w:id="23" w:name="_Toc73517639"/>
      <w:bookmarkStart w:id="24" w:name="_Toc60560625"/>
      <w:bookmarkStart w:id="25" w:name="_Toc101074876"/>
      <w:bookmarkStart w:id="26" w:name="_Toc100052364"/>
      <w:bookmarkStart w:id="27" w:name="_Toc73521547"/>
      <w:r>
        <w:rPr>
          <w:rFonts w:hint="eastAsia"/>
          <w:sz w:val="24"/>
          <w:szCs w:val="28"/>
          <w:highlight w:val="none"/>
        </w:rPr>
        <w:t>一、对通用条款的补充内容</w:t>
      </w:r>
    </w:p>
    <w:bookmarkEnd w:id="20"/>
    <w:bookmarkEnd w:id="21"/>
    <w:bookmarkEnd w:id="22"/>
    <w:bookmarkEnd w:id="23"/>
    <w:bookmarkEnd w:id="24"/>
    <w:bookmarkEnd w:id="25"/>
    <w:bookmarkEnd w:id="26"/>
    <w:bookmarkEnd w:id="27"/>
    <w:tbl>
      <w:tblPr>
        <w:tblStyle w:val="42"/>
        <w:tblpPr w:leftFromText="180" w:rightFromText="180" w:vertAnchor="text" w:tblpXSpec="center" w:tblpY="1"/>
        <w:tblOverlap w:val="never"/>
        <w:tblW w:w="8367"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0"/>
        <w:gridCol w:w="2526"/>
        <w:gridCol w:w="4871"/>
      </w:tblGrid>
      <w:tr w14:paraId="0EC86E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304556A1">
            <w:pPr>
              <w:jc w:val="center"/>
              <w:rPr>
                <w:rFonts w:hint="eastAsia" w:ascii="宋体" w:hAnsi="宋体"/>
                <w:b/>
                <w:bCs/>
                <w:highlight w:val="none"/>
              </w:rPr>
            </w:pPr>
            <w:r>
              <w:rPr>
                <w:rFonts w:hint="eastAsia" w:ascii="宋体" w:hAnsi="宋体"/>
                <w:b/>
                <w:bCs/>
                <w:highlight w:val="none"/>
              </w:rPr>
              <w:t>通用条款序号</w:t>
            </w:r>
          </w:p>
        </w:tc>
        <w:tc>
          <w:tcPr>
            <w:tcW w:w="2526" w:type="dxa"/>
            <w:vAlign w:val="center"/>
          </w:tcPr>
          <w:p w14:paraId="1569B6AC">
            <w:pPr>
              <w:jc w:val="center"/>
              <w:rPr>
                <w:rFonts w:hint="eastAsia" w:ascii="宋体" w:hAnsi="宋体"/>
                <w:b/>
                <w:bCs/>
                <w:highlight w:val="none"/>
              </w:rPr>
            </w:pPr>
            <w:r>
              <w:rPr>
                <w:rFonts w:hint="eastAsia" w:ascii="宋体" w:hAnsi="宋体"/>
                <w:b/>
                <w:bCs/>
                <w:highlight w:val="none"/>
              </w:rPr>
              <w:t>涉及事项</w:t>
            </w:r>
          </w:p>
        </w:tc>
        <w:tc>
          <w:tcPr>
            <w:tcW w:w="4871" w:type="dxa"/>
            <w:vAlign w:val="center"/>
          </w:tcPr>
          <w:p w14:paraId="71133E3A">
            <w:pPr>
              <w:jc w:val="center"/>
              <w:rPr>
                <w:rFonts w:hint="eastAsia" w:ascii="宋体" w:hAnsi="宋体"/>
                <w:b/>
                <w:bCs/>
                <w:highlight w:val="none"/>
              </w:rPr>
            </w:pPr>
            <w:r>
              <w:rPr>
                <w:rFonts w:hint="eastAsia" w:ascii="宋体" w:hAnsi="宋体"/>
                <w:b/>
                <w:bCs/>
                <w:highlight w:val="none"/>
              </w:rPr>
              <w:t xml:space="preserve">具 </w:t>
            </w:r>
            <w:r>
              <w:rPr>
                <w:rFonts w:ascii="宋体" w:hAnsi="宋体"/>
                <w:b/>
                <w:bCs/>
                <w:highlight w:val="none"/>
              </w:rPr>
              <w:t xml:space="preserve"> </w:t>
            </w:r>
            <w:r>
              <w:rPr>
                <w:rFonts w:hint="eastAsia" w:ascii="宋体" w:hAnsi="宋体"/>
                <w:b/>
                <w:bCs/>
                <w:highlight w:val="none"/>
              </w:rPr>
              <w:t xml:space="preserve">体 </w:t>
            </w:r>
            <w:r>
              <w:rPr>
                <w:rFonts w:ascii="宋体" w:hAnsi="宋体"/>
                <w:b/>
                <w:bCs/>
                <w:highlight w:val="none"/>
              </w:rPr>
              <w:t xml:space="preserve"> </w:t>
            </w:r>
            <w:r>
              <w:rPr>
                <w:rFonts w:hint="eastAsia" w:ascii="宋体" w:hAnsi="宋体"/>
                <w:b/>
                <w:bCs/>
                <w:highlight w:val="none"/>
              </w:rPr>
              <w:t xml:space="preserve">补 </w:t>
            </w:r>
            <w:r>
              <w:rPr>
                <w:rFonts w:ascii="宋体" w:hAnsi="宋体"/>
                <w:b/>
                <w:bCs/>
                <w:highlight w:val="none"/>
              </w:rPr>
              <w:t xml:space="preserve"> </w:t>
            </w:r>
            <w:r>
              <w:rPr>
                <w:rFonts w:hint="eastAsia" w:ascii="宋体" w:hAnsi="宋体"/>
                <w:b/>
                <w:bCs/>
                <w:highlight w:val="none"/>
              </w:rPr>
              <w:t xml:space="preserve">充 </w:t>
            </w:r>
            <w:r>
              <w:rPr>
                <w:rFonts w:ascii="宋体" w:hAnsi="宋体"/>
                <w:b/>
                <w:bCs/>
                <w:highlight w:val="none"/>
              </w:rPr>
              <w:t xml:space="preserve"> </w:t>
            </w:r>
            <w:r>
              <w:rPr>
                <w:rFonts w:hint="eastAsia" w:ascii="宋体" w:hAnsi="宋体"/>
                <w:b/>
                <w:bCs/>
                <w:highlight w:val="none"/>
              </w:rPr>
              <w:t xml:space="preserve">内 </w:t>
            </w:r>
            <w:r>
              <w:rPr>
                <w:rFonts w:ascii="宋体" w:hAnsi="宋体"/>
                <w:b/>
                <w:bCs/>
                <w:highlight w:val="none"/>
              </w:rPr>
              <w:t xml:space="preserve"> </w:t>
            </w:r>
            <w:r>
              <w:rPr>
                <w:rFonts w:hint="eastAsia" w:ascii="宋体" w:hAnsi="宋体"/>
                <w:b/>
                <w:bCs/>
                <w:highlight w:val="none"/>
              </w:rPr>
              <w:t>容</w:t>
            </w:r>
          </w:p>
        </w:tc>
      </w:tr>
      <w:tr w14:paraId="2503D1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8367" w:type="dxa"/>
            <w:gridSpan w:val="3"/>
            <w:vAlign w:val="center"/>
          </w:tcPr>
          <w:p w14:paraId="3079F698">
            <w:pPr>
              <w:rPr>
                <w:rFonts w:hint="eastAsia" w:ascii="宋体" w:hAnsi="宋体"/>
                <w:b/>
                <w:bCs/>
                <w:highlight w:val="none"/>
              </w:rPr>
            </w:pPr>
            <w:r>
              <w:rPr>
                <w:rFonts w:hint="eastAsia"/>
                <w:highlight w:val="none"/>
              </w:rPr>
              <w:t>本项目为自行采购项目，相关事宜按照招标文件要求及采购单位内控制度执行。</w:t>
            </w:r>
          </w:p>
        </w:tc>
      </w:tr>
      <w:tr w14:paraId="2BFEC7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06A58D45">
            <w:pPr>
              <w:jc w:val="center"/>
              <w:rPr>
                <w:rFonts w:hint="eastAsia" w:ascii="宋体" w:hAnsi="宋体"/>
                <w:highlight w:val="none"/>
              </w:rPr>
            </w:pPr>
            <w:r>
              <w:rPr>
                <w:rFonts w:hint="eastAsia" w:ascii="宋体" w:hAnsi="宋体"/>
                <w:highlight w:val="none"/>
              </w:rPr>
              <w:t>3</w:t>
            </w:r>
            <w:r>
              <w:rPr>
                <w:rFonts w:ascii="宋体" w:hAnsi="宋体"/>
                <w:highlight w:val="none"/>
              </w:rPr>
              <w:t>.1</w:t>
            </w:r>
          </w:p>
        </w:tc>
        <w:tc>
          <w:tcPr>
            <w:tcW w:w="2526" w:type="dxa"/>
            <w:vAlign w:val="center"/>
          </w:tcPr>
          <w:p w14:paraId="04C2F4CF">
            <w:pPr>
              <w:jc w:val="center"/>
              <w:rPr>
                <w:highlight w:val="none"/>
              </w:rPr>
            </w:pPr>
            <w:r>
              <w:rPr>
                <w:rFonts w:hint="eastAsia"/>
                <w:highlight w:val="none"/>
              </w:rPr>
              <w:t>采购人</w:t>
            </w:r>
          </w:p>
        </w:tc>
        <w:tc>
          <w:tcPr>
            <w:tcW w:w="4871" w:type="dxa"/>
            <w:vAlign w:val="center"/>
          </w:tcPr>
          <w:p w14:paraId="611B6341">
            <w:pPr>
              <w:jc w:val="center"/>
              <w:rPr>
                <w:rFonts w:hint="eastAsia" w:ascii="宋体" w:hAnsi="宋体"/>
                <w:highlight w:val="none"/>
              </w:rPr>
            </w:pPr>
            <w:r>
              <w:rPr>
                <w:rFonts w:hint="eastAsia" w:ascii="宋体" w:hAnsi="宋体" w:cs="宋体"/>
                <w:color w:val="0000FF"/>
                <w:sz w:val="21"/>
                <w:szCs w:val="21"/>
                <w:highlight w:val="none"/>
                <w:lang w:eastAsia="zh-CN"/>
              </w:rPr>
              <w:t>深圳市宝安区人民医院</w:t>
            </w:r>
          </w:p>
        </w:tc>
      </w:tr>
      <w:tr w14:paraId="7C797B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3A29352B">
            <w:pPr>
              <w:jc w:val="center"/>
              <w:rPr>
                <w:rFonts w:hint="eastAsia" w:ascii="宋体" w:hAnsi="宋体"/>
                <w:highlight w:val="none"/>
              </w:rPr>
            </w:pPr>
            <w:r>
              <w:rPr>
                <w:rFonts w:hint="eastAsia" w:ascii="宋体" w:hAnsi="宋体"/>
                <w:highlight w:val="none"/>
              </w:rPr>
              <w:t>3</w:t>
            </w:r>
            <w:r>
              <w:rPr>
                <w:rFonts w:ascii="宋体" w:hAnsi="宋体"/>
                <w:highlight w:val="none"/>
              </w:rPr>
              <w:t>.2</w:t>
            </w:r>
          </w:p>
        </w:tc>
        <w:tc>
          <w:tcPr>
            <w:tcW w:w="2526" w:type="dxa"/>
            <w:vAlign w:val="center"/>
          </w:tcPr>
          <w:p w14:paraId="78A77F7C">
            <w:pPr>
              <w:jc w:val="center"/>
              <w:rPr>
                <w:rFonts w:hint="eastAsia" w:ascii="宋体" w:hAnsi="宋体" w:eastAsia="宋体"/>
                <w:highlight w:val="none"/>
                <w:lang w:eastAsia="zh-CN"/>
              </w:rPr>
            </w:pPr>
            <w:r>
              <w:rPr>
                <w:rFonts w:hint="eastAsia" w:ascii="宋体" w:hAnsi="宋体"/>
                <w:highlight w:val="none"/>
                <w:lang w:eastAsia="zh-CN"/>
              </w:rPr>
              <w:t>代理机构</w:t>
            </w:r>
          </w:p>
        </w:tc>
        <w:tc>
          <w:tcPr>
            <w:tcW w:w="4871" w:type="dxa"/>
            <w:vAlign w:val="center"/>
          </w:tcPr>
          <w:p w14:paraId="4C261441">
            <w:pPr>
              <w:jc w:val="center"/>
              <w:rPr>
                <w:rFonts w:hint="eastAsia" w:ascii="宋体" w:hAnsi="宋体" w:eastAsia="宋体"/>
                <w:highlight w:val="none"/>
                <w:lang w:eastAsia="zh-CN"/>
              </w:rPr>
            </w:pPr>
            <w:r>
              <w:rPr>
                <w:rFonts w:hint="eastAsia" w:ascii="宋体" w:hAnsi="宋体"/>
                <w:highlight w:val="none"/>
                <w:lang w:eastAsia="zh-CN"/>
              </w:rPr>
              <w:t>深圳交易咨询集团有限公司</w:t>
            </w:r>
          </w:p>
        </w:tc>
      </w:tr>
      <w:tr w14:paraId="6C990A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412BC84C">
            <w:pPr>
              <w:jc w:val="center"/>
              <w:rPr>
                <w:rFonts w:hint="eastAsia" w:ascii="宋体" w:hAnsi="宋体"/>
                <w:highlight w:val="none"/>
              </w:rPr>
            </w:pPr>
            <w:r>
              <w:rPr>
                <w:rFonts w:hint="eastAsia" w:ascii="宋体" w:hAnsi="宋体"/>
                <w:highlight w:val="none"/>
              </w:rPr>
              <w:t>9</w:t>
            </w:r>
          </w:p>
        </w:tc>
        <w:tc>
          <w:tcPr>
            <w:tcW w:w="2526" w:type="dxa"/>
            <w:vAlign w:val="center"/>
          </w:tcPr>
          <w:p w14:paraId="5073F982">
            <w:pPr>
              <w:jc w:val="center"/>
              <w:rPr>
                <w:rFonts w:hint="eastAsia" w:ascii="宋体" w:hAnsi="宋体"/>
                <w:highlight w:val="none"/>
              </w:rPr>
            </w:pPr>
            <w:r>
              <w:rPr>
                <w:rFonts w:hint="eastAsia" w:ascii="宋体" w:hAnsi="宋体"/>
                <w:highlight w:val="none"/>
              </w:rPr>
              <w:t>踏勘现场</w:t>
            </w:r>
          </w:p>
        </w:tc>
        <w:tc>
          <w:tcPr>
            <w:tcW w:w="4871" w:type="dxa"/>
            <w:vAlign w:val="center"/>
          </w:tcPr>
          <w:p w14:paraId="0D381491">
            <w:pPr>
              <w:jc w:val="center"/>
              <w:rPr>
                <w:rFonts w:hint="eastAsia" w:ascii="宋体" w:hAnsi="宋体"/>
                <w:highlight w:val="none"/>
              </w:rPr>
            </w:pPr>
            <w:r>
              <w:rPr>
                <w:rFonts w:hint="eastAsia" w:ascii="宋体" w:hAnsi="宋体"/>
                <w:highlight w:val="none"/>
              </w:rPr>
              <w:t>不组织</w:t>
            </w:r>
          </w:p>
        </w:tc>
      </w:tr>
      <w:tr w14:paraId="68895B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7FEF8CD8">
            <w:pPr>
              <w:jc w:val="center"/>
              <w:rPr>
                <w:rFonts w:hint="eastAsia" w:ascii="宋体" w:hAnsi="宋体"/>
                <w:highlight w:val="none"/>
              </w:rPr>
            </w:pPr>
            <w:r>
              <w:rPr>
                <w:rFonts w:hint="eastAsia" w:ascii="宋体" w:hAnsi="宋体"/>
                <w:highlight w:val="none"/>
              </w:rPr>
              <w:t>1</w:t>
            </w:r>
            <w:r>
              <w:rPr>
                <w:rFonts w:ascii="宋体" w:hAnsi="宋体"/>
                <w:highlight w:val="none"/>
              </w:rPr>
              <w:t>0</w:t>
            </w:r>
          </w:p>
        </w:tc>
        <w:tc>
          <w:tcPr>
            <w:tcW w:w="2526" w:type="dxa"/>
            <w:vAlign w:val="center"/>
          </w:tcPr>
          <w:p w14:paraId="72F7DB4A">
            <w:pPr>
              <w:jc w:val="center"/>
              <w:rPr>
                <w:rFonts w:hint="eastAsia" w:ascii="宋体" w:hAnsi="宋体"/>
                <w:highlight w:val="none"/>
              </w:rPr>
            </w:pPr>
            <w:r>
              <w:rPr>
                <w:rFonts w:hint="eastAsia" w:ascii="宋体" w:hAnsi="宋体"/>
                <w:highlight w:val="none"/>
              </w:rPr>
              <w:t>标前会议</w:t>
            </w:r>
          </w:p>
        </w:tc>
        <w:tc>
          <w:tcPr>
            <w:tcW w:w="4871" w:type="dxa"/>
            <w:vAlign w:val="center"/>
          </w:tcPr>
          <w:p w14:paraId="471F0F7D">
            <w:pPr>
              <w:jc w:val="center"/>
              <w:rPr>
                <w:rFonts w:hint="eastAsia" w:ascii="宋体" w:hAnsi="宋体"/>
                <w:highlight w:val="none"/>
              </w:rPr>
            </w:pPr>
            <w:r>
              <w:rPr>
                <w:rFonts w:hint="eastAsia" w:ascii="宋体" w:hAnsi="宋体"/>
                <w:highlight w:val="none"/>
              </w:rPr>
              <w:t>不组织</w:t>
            </w:r>
          </w:p>
        </w:tc>
      </w:tr>
      <w:tr w14:paraId="3AED24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6A1B59CE">
            <w:pPr>
              <w:jc w:val="center"/>
              <w:rPr>
                <w:rFonts w:hint="eastAsia" w:ascii="宋体" w:hAnsi="宋体"/>
                <w:highlight w:val="none"/>
              </w:rPr>
            </w:pPr>
            <w:r>
              <w:rPr>
                <w:rFonts w:hint="eastAsia" w:ascii="宋体" w:hAnsi="宋体"/>
                <w:highlight w:val="none"/>
              </w:rPr>
              <w:t>1</w:t>
            </w:r>
            <w:r>
              <w:rPr>
                <w:rFonts w:ascii="宋体" w:hAnsi="宋体"/>
                <w:highlight w:val="none"/>
              </w:rPr>
              <w:t>2</w:t>
            </w:r>
            <w:r>
              <w:rPr>
                <w:rFonts w:hint="eastAsia" w:ascii="宋体" w:hAnsi="宋体"/>
                <w:highlight w:val="none"/>
              </w:rPr>
              <w:t>/1</w:t>
            </w:r>
            <w:r>
              <w:rPr>
                <w:rFonts w:ascii="宋体" w:hAnsi="宋体"/>
                <w:highlight w:val="none"/>
              </w:rPr>
              <w:t>3</w:t>
            </w:r>
          </w:p>
        </w:tc>
        <w:tc>
          <w:tcPr>
            <w:tcW w:w="2526" w:type="dxa"/>
            <w:vAlign w:val="center"/>
          </w:tcPr>
          <w:p w14:paraId="08488F93">
            <w:pPr>
              <w:jc w:val="center"/>
              <w:rPr>
                <w:rFonts w:hint="eastAsia" w:ascii="宋体" w:hAnsi="宋体"/>
                <w:highlight w:val="none"/>
              </w:rPr>
            </w:pPr>
            <w:r>
              <w:rPr>
                <w:rFonts w:hint="eastAsia" w:ascii="宋体" w:hAnsi="宋体"/>
                <w:highlight w:val="none"/>
              </w:rPr>
              <w:t>招标文件的澄清和修改</w:t>
            </w:r>
          </w:p>
        </w:tc>
        <w:tc>
          <w:tcPr>
            <w:tcW w:w="4871" w:type="dxa"/>
            <w:vAlign w:val="center"/>
          </w:tcPr>
          <w:p w14:paraId="1790CA04">
            <w:pPr>
              <w:jc w:val="left"/>
              <w:rPr>
                <w:rFonts w:hint="eastAsia" w:ascii="宋体" w:hAnsi="宋体"/>
                <w:highlight w:val="none"/>
              </w:rPr>
            </w:pPr>
            <w:r>
              <w:rPr>
                <w:rFonts w:hint="eastAsia" w:ascii="宋体" w:hAnsi="宋体"/>
                <w:highlight w:val="none"/>
              </w:rPr>
              <w:t>投标截止日三日前，投标人有义务在招标期间在</w:t>
            </w:r>
            <w:r>
              <w:rPr>
                <w:rFonts w:hint="eastAsia" w:ascii="宋体" w:hAnsi="宋体"/>
                <w:highlight w:val="none"/>
                <w:lang w:eastAsia="zh-CN"/>
              </w:rPr>
              <w:t>代理机构</w:t>
            </w:r>
            <w:r>
              <w:rPr>
                <w:rFonts w:hint="eastAsia" w:ascii="宋体" w:hAnsi="宋体"/>
                <w:highlight w:val="none"/>
              </w:rPr>
              <w:t>网站浏览与本项目有关的澄清和修改信息</w:t>
            </w:r>
          </w:p>
        </w:tc>
      </w:tr>
      <w:tr w14:paraId="0C6407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580A57CB">
            <w:pPr>
              <w:jc w:val="center"/>
              <w:rPr>
                <w:rFonts w:hint="eastAsia" w:ascii="宋体" w:hAnsi="宋体"/>
                <w:highlight w:val="none"/>
              </w:rPr>
            </w:pPr>
            <w:r>
              <w:rPr>
                <w:rFonts w:hint="eastAsia" w:ascii="宋体" w:hAnsi="宋体"/>
                <w:highlight w:val="none"/>
              </w:rPr>
              <w:t>2</w:t>
            </w:r>
            <w:r>
              <w:rPr>
                <w:rFonts w:ascii="宋体" w:hAnsi="宋体"/>
                <w:highlight w:val="none"/>
              </w:rPr>
              <w:t>0</w:t>
            </w:r>
          </w:p>
        </w:tc>
        <w:tc>
          <w:tcPr>
            <w:tcW w:w="2526" w:type="dxa"/>
            <w:vAlign w:val="center"/>
          </w:tcPr>
          <w:p w14:paraId="188B2B52">
            <w:pPr>
              <w:jc w:val="center"/>
              <w:rPr>
                <w:rFonts w:hint="eastAsia" w:ascii="宋体" w:hAnsi="宋体"/>
                <w:highlight w:val="none"/>
              </w:rPr>
            </w:pPr>
            <w:r>
              <w:rPr>
                <w:rFonts w:hint="eastAsia" w:ascii="宋体" w:hAnsi="宋体"/>
                <w:highlight w:val="none"/>
              </w:rPr>
              <w:t>投标有效期</w:t>
            </w:r>
          </w:p>
        </w:tc>
        <w:tc>
          <w:tcPr>
            <w:tcW w:w="4871" w:type="dxa"/>
            <w:vAlign w:val="center"/>
          </w:tcPr>
          <w:p w14:paraId="40E431BF">
            <w:pPr>
              <w:jc w:val="center"/>
              <w:rPr>
                <w:rFonts w:hint="eastAsia" w:ascii="宋体" w:hAnsi="宋体"/>
                <w:highlight w:val="none"/>
              </w:rPr>
            </w:pPr>
            <w:r>
              <w:rPr>
                <w:rFonts w:hint="eastAsia" w:ascii="宋体" w:hAnsi="宋体"/>
                <w:highlight w:val="none"/>
              </w:rPr>
              <w:t>120个日历日</w:t>
            </w:r>
          </w:p>
        </w:tc>
      </w:tr>
      <w:tr w14:paraId="4E29AE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47868E55">
            <w:pPr>
              <w:jc w:val="center"/>
              <w:rPr>
                <w:rFonts w:hint="eastAsia" w:ascii="宋体" w:hAnsi="宋体"/>
                <w:highlight w:val="none"/>
              </w:rPr>
            </w:pPr>
            <w:r>
              <w:rPr>
                <w:rFonts w:hint="eastAsia" w:ascii="宋体" w:hAnsi="宋体"/>
                <w:highlight w:val="none"/>
              </w:rPr>
              <w:t>2</w:t>
            </w:r>
            <w:r>
              <w:rPr>
                <w:rFonts w:ascii="宋体" w:hAnsi="宋体"/>
                <w:highlight w:val="none"/>
              </w:rPr>
              <w:t>2</w:t>
            </w:r>
          </w:p>
        </w:tc>
        <w:tc>
          <w:tcPr>
            <w:tcW w:w="2526" w:type="dxa"/>
            <w:vAlign w:val="center"/>
          </w:tcPr>
          <w:p w14:paraId="6674317E">
            <w:pPr>
              <w:jc w:val="center"/>
              <w:rPr>
                <w:rFonts w:hint="eastAsia" w:ascii="宋体" w:hAnsi="宋体"/>
                <w:highlight w:val="none"/>
              </w:rPr>
            </w:pPr>
            <w:r>
              <w:rPr>
                <w:rFonts w:hint="eastAsia" w:ascii="宋体" w:hAnsi="宋体"/>
                <w:highlight w:val="none"/>
              </w:rPr>
              <w:t>投标人的替代方案</w:t>
            </w:r>
          </w:p>
        </w:tc>
        <w:tc>
          <w:tcPr>
            <w:tcW w:w="4871" w:type="dxa"/>
            <w:vAlign w:val="center"/>
          </w:tcPr>
          <w:p w14:paraId="23C80012">
            <w:pPr>
              <w:jc w:val="center"/>
              <w:rPr>
                <w:rFonts w:hint="eastAsia" w:ascii="宋体" w:hAnsi="宋体"/>
                <w:highlight w:val="none"/>
              </w:rPr>
            </w:pPr>
            <w:r>
              <w:rPr>
                <w:rFonts w:hint="eastAsia" w:ascii="宋体" w:hAnsi="宋体"/>
                <w:highlight w:val="none"/>
              </w:rPr>
              <w:t>不接受</w:t>
            </w:r>
          </w:p>
        </w:tc>
      </w:tr>
      <w:tr w14:paraId="34D998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2766F2A7">
            <w:pPr>
              <w:jc w:val="center"/>
              <w:rPr>
                <w:rFonts w:hint="eastAsia" w:ascii="宋体" w:hAnsi="宋体"/>
                <w:highlight w:val="none"/>
              </w:rPr>
            </w:pPr>
            <w:r>
              <w:rPr>
                <w:rFonts w:hint="eastAsia" w:ascii="宋体" w:hAnsi="宋体"/>
                <w:highlight w:val="none"/>
              </w:rPr>
              <w:t>2</w:t>
            </w:r>
            <w:r>
              <w:rPr>
                <w:rFonts w:ascii="宋体" w:hAnsi="宋体"/>
                <w:highlight w:val="none"/>
              </w:rPr>
              <w:t>5</w:t>
            </w:r>
          </w:p>
        </w:tc>
        <w:tc>
          <w:tcPr>
            <w:tcW w:w="2526" w:type="dxa"/>
            <w:vAlign w:val="center"/>
          </w:tcPr>
          <w:p w14:paraId="4BD0A59E">
            <w:pPr>
              <w:jc w:val="center"/>
              <w:rPr>
                <w:rFonts w:hint="eastAsia" w:ascii="宋体" w:hAnsi="宋体"/>
                <w:highlight w:val="none"/>
              </w:rPr>
            </w:pPr>
            <w:r>
              <w:rPr>
                <w:rFonts w:hint="eastAsia" w:ascii="宋体" w:hAnsi="宋体"/>
                <w:highlight w:val="none"/>
              </w:rPr>
              <w:t>投标文件的大小</w:t>
            </w:r>
          </w:p>
        </w:tc>
        <w:tc>
          <w:tcPr>
            <w:tcW w:w="4871" w:type="dxa"/>
            <w:vAlign w:val="center"/>
          </w:tcPr>
          <w:p w14:paraId="013F89A8">
            <w:pPr>
              <w:jc w:val="center"/>
              <w:rPr>
                <w:rFonts w:hint="eastAsia" w:ascii="宋体" w:hAnsi="宋体"/>
                <w:highlight w:val="none"/>
              </w:rPr>
            </w:pPr>
            <w:r>
              <w:rPr>
                <w:rFonts w:hint="eastAsia" w:ascii="宋体" w:hAnsi="宋体"/>
                <w:highlight w:val="none"/>
              </w:rPr>
              <w:t>投标文件大小不得超过</w:t>
            </w:r>
            <w:r>
              <w:rPr>
                <w:rFonts w:ascii="宋体" w:hAnsi="宋体"/>
                <w:highlight w:val="none"/>
              </w:rPr>
              <w:t>1</w:t>
            </w:r>
            <w:r>
              <w:rPr>
                <w:rFonts w:hint="eastAsia" w:ascii="宋体" w:hAnsi="宋体"/>
                <w:highlight w:val="none"/>
              </w:rPr>
              <w:t>00MB</w:t>
            </w:r>
          </w:p>
        </w:tc>
      </w:tr>
      <w:tr w14:paraId="0E4C19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440C2FD9">
            <w:pPr>
              <w:jc w:val="center"/>
              <w:rPr>
                <w:rFonts w:hint="eastAsia" w:ascii="宋体" w:hAnsi="宋体"/>
                <w:highlight w:val="none"/>
              </w:rPr>
            </w:pPr>
            <w:r>
              <w:rPr>
                <w:rFonts w:hint="eastAsia" w:ascii="宋体" w:hAnsi="宋体"/>
                <w:highlight w:val="none"/>
              </w:rPr>
              <w:t>2</w:t>
            </w:r>
            <w:r>
              <w:rPr>
                <w:rFonts w:ascii="宋体" w:hAnsi="宋体"/>
                <w:highlight w:val="none"/>
              </w:rPr>
              <w:t>6</w:t>
            </w:r>
          </w:p>
        </w:tc>
        <w:tc>
          <w:tcPr>
            <w:tcW w:w="2526" w:type="dxa"/>
            <w:vAlign w:val="center"/>
          </w:tcPr>
          <w:p w14:paraId="616B85CC">
            <w:pPr>
              <w:jc w:val="center"/>
              <w:rPr>
                <w:rFonts w:hint="eastAsia" w:ascii="宋体" w:hAnsi="宋体"/>
                <w:highlight w:val="none"/>
              </w:rPr>
            </w:pPr>
            <w:bookmarkStart w:id="28" w:name="_Hlk71664860"/>
            <w:r>
              <w:rPr>
                <w:rFonts w:hint="eastAsia" w:ascii="宋体" w:hAnsi="宋体"/>
                <w:highlight w:val="none"/>
              </w:rPr>
              <w:t>样品、演示、方案讲解</w:t>
            </w:r>
            <w:bookmarkEnd w:id="28"/>
          </w:p>
        </w:tc>
        <w:tc>
          <w:tcPr>
            <w:tcW w:w="4871" w:type="dxa"/>
            <w:vAlign w:val="center"/>
          </w:tcPr>
          <w:p w14:paraId="1401C271">
            <w:pPr>
              <w:rPr>
                <w:rFonts w:hint="eastAsia" w:ascii="宋体" w:hAnsi="宋体"/>
                <w:highlight w:val="none"/>
              </w:rPr>
            </w:pPr>
            <w:r>
              <w:rPr>
                <w:rFonts w:hint="eastAsia" w:ascii="宋体" w:hAnsi="宋体"/>
                <w:highlight w:val="none"/>
              </w:rPr>
              <w:t>如有样品、演示、方案讲解，具体安排见第三章 用户需求书相关要求</w:t>
            </w:r>
          </w:p>
        </w:tc>
      </w:tr>
      <w:tr w14:paraId="2CF0E2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1424AF52">
            <w:pPr>
              <w:jc w:val="center"/>
              <w:rPr>
                <w:rFonts w:hint="eastAsia" w:ascii="宋体" w:hAnsi="宋体"/>
                <w:highlight w:val="none"/>
              </w:rPr>
            </w:pPr>
            <w:r>
              <w:rPr>
                <w:rFonts w:hint="eastAsia" w:ascii="宋体" w:hAnsi="宋体"/>
                <w:highlight w:val="none"/>
              </w:rPr>
              <w:t>3</w:t>
            </w:r>
            <w:r>
              <w:rPr>
                <w:rFonts w:ascii="宋体" w:hAnsi="宋体"/>
                <w:highlight w:val="none"/>
              </w:rPr>
              <w:t>7</w:t>
            </w:r>
          </w:p>
        </w:tc>
        <w:tc>
          <w:tcPr>
            <w:tcW w:w="2526" w:type="dxa"/>
            <w:vAlign w:val="center"/>
          </w:tcPr>
          <w:p w14:paraId="247934B1">
            <w:pPr>
              <w:jc w:val="center"/>
              <w:rPr>
                <w:rFonts w:hint="eastAsia" w:ascii="宋体" w:hAnsi="宋体"/>
                <w:highlight w:val="none"/>
              </w:rPr>
            </w:pPr>
            <w:r>
              <w:rPr>
                <w:rFonts w:hint="eastAsia" w:ascii="宋体" w:hAnsi="宋体"/>
                <w:highlight w:val="none"/>
              </w:rPr>
              <w:t>评审方法</w:t>
            </w:r>
          </w:p>
        </w:tc>
        <w:tc>
          <w:tcPr>
            <w:tcW w:w="4871" w:type="dxa"/>
            <w:vAlign w:val="center"/>
          </w:tcPr>
          <w:p w14:paraId="01061035">
            <w:pPr>
              <w:jc w:val="left"/>
              <w:rPr>
                <w:rFonts w:hint="eastAsia" w:ascii="宋体" w:hAnsi="宋体"/>
                <w:highlight w:val="none"/>
              </w:rPr>
            </w:pPr>
            <w:r>
              <w:rPr>
                <w:rFonts w:hint="eastAsia" w:ascii="宋体" w:hAnsi="宋体"/>
                <w:highlight w:val="none"/>
              </w:rPr>
              <w:t>综合评分法</w:t>
            </w:r>
          </w:p>
        </w:tc>
      </w:tr>
      <w:tr w14:paraId="7DD5AA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 w:hRule="atLeast"/>
        </w:trPr>
        <w:tc>
          <w:tcPr>
            <w:tcW w:w="970" w:type="dxa"/>
            <w:vAlign w:val="center"/>
          </w:tcPr>
          <w:p w14:paraId="76399FD8">
            <w:pPr>
              <w:jc w:val="center"/>
              <w:rPr>
                <w:rFonts w:hint="eastAsia" w:ascii="宋体" w:hAnsi="宋体"/>
                <w:highlight w:val="none"/>
              </w:rPr>
            </w:pPr>
            <w:r>
              <w:rPr>
                <w:rFonts w:hint="eastAsia" w:ascii="宋体" w:hAnsi="宋体"/>
                <w:highlight w:val="none"/>
              </w:rPr>
              <w:t>3</w:t>
            </w:r>
            <w:r>
              <w:rPr>
                <w:rFonts w:ascii="宋体" w:hAnsi="宋体"/>
                <w:highlight w:val="none"/>
              </w:rPr>
              <w:t>8</w:t>
            </w:r>
          </w:p>
        </w:tc>
        <w:tc>
          <w:tcPr>
            <w:tcW w:w="2526" w:type="dxa"/>
            <w:vAlign w:val="center"/>
          </w:tcPr>
          <w:p w14:paraId="110F67C2">
            <w:pPr>
              <w:jc w:val="center"/>
              <w:rPr>
                <w:rFonts w:hint="eastAsia" w:ascii="宋体" w:hAnsi="宋体"/>
                <w:highlight w:val="none"/>
              </w:rPr>
            </w:pPr>
            <w:r>
              <w:rPr>
                <w:rFonts w:hint="eastAsia" w:ascii="宋体" w:hAnsi="宋体"/>
                <w:highlight w:val="none"/>
              </w:rPr>
              <w:t>定标方法</w:t>
            </w:r>
          </w:p>
        </w:tc>
        <w:tc>
          <w:tcPr>
            <w:tcW w:w="4871" w:type="dxa"/>
            <w:vAlign w:val="center"/>
          </w:tcPr>
          <w:p w14:paraId="795FE412">
            <w:pPr>
              <w:jc w:val="left"/>
              <w:rPr>
                <w:rFonts w:hint="eastAsia" w:ascii="宋体" w:hAnsi="宋体"/>
                <w:highlight w:val="none"/>
              </w:rPr>
            </w:pPr>
            <w:r>
              <w:rPr>
                <w:rFonts w:hint="eastAsia" w:ascii="宋体" w:hAnsi="宋体"/>
                <w:highlight w:val="none"/>
              </w:rPr>
              <w:t>非评定分离</w:t>
            </w:r>
          </w:p>
        </w:tc>
      </w:tr>
      <w:tr w14:paraId="2BBD4C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52" w:hRule="atLeast"/>
        </w:trPr>
        <w:tc>
          <w:tcPr>
            <w:tcW w:w="970" w:type="dxa"/>
            <w:vAlign w:val="center"/>
          </w:tcPr>
          <w:p w14:paraId="28A8329A">
            <w:pPr>
              <w:jc w:val="center"/>
              <w:rPr>
                <w:rFonts w:hint="eastAsia" w:ascii="宋体" w:hAnsi="宋体"/>
                <w:highlight w:val="none"/>
              </w:rPr>
            </w:pPr>
            <w:r>
              <w:rPr>
                <w:rFonts w:hint="eastAsia" w:ascii="宋体" w:hAnsi="宋体"/>
                <w:highlight w:val="none"/>
              </w:rPr>
              <w:t>4</w:t>
            </w:r>
            <w:r>
              <w:rPr>
                <w:rFonts w:ascii="宋体" w:hAnsi="宋体"/>
                <w:highlight w:val="none"/>
              </w:rPr>
              <w:t>6</w:t>
            </w:r>
          </w:p>
        </w:tc>
        <w:tc>
          <w:tcPr>
            <w:tcW w:w="2526" w:type="dxa"/>
            <w:vAlign w:val="center"/>
          </w:tcPr>
          <w:p w14:paraId="60797F97">
            <w:pPr>
              <w:jc w:val="center"/>
              <w:rPr>
                <w:rFonts w:hint="eastAsia" w:ascii="宋体" w:hAnsi="宋体"/>
                <w:highlight w:val="none"/>
              </w:rPr>
            </w:pPr>
            <w:r>
              <w:rPr>
                <w:rFonts w:hint="eastAsia" w:ascii="宋体" w:hAnsi="宋体"/>
                <w:highlight w:val="none"/>
              </w:rPr>
              <w:t>履约担保</w:t>
            </w:r>
          </w:p>
        </w:tc>
        <w:tc>
          <w:tcPr>
            <w:tcW w:w="4871" w:type="dxa"/>
            <w:vAlign w:val="center"/>
          </w:tcPr>
          <w:p w14:paraId="547D7E49">
            <w:pPr>
              <w:jc w:val="left"/>
              <w:rPr>
                <w:rFonts w:hint="eastAsia" w:ascii="宋体" w:hAnsi="宋体"/>
                <w:highlight w:val="none"/>
              </w:rPr>
            </w:pPr>
            <w:r>
              <w:rPr>
                <w:rFonts w:hint="eastAsia" w:ascii="宋体" w:hAnsi="宋体"/>
                <w:highlight w:val="none"/>
              </w:rPr>
              <w:t>不需要</w:t>
            </w:r>
          </w:p>
        </w:tc>
      </w:tr>
      <w:tr w14:paraId="5F2EA9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553FF445">
            <w:pPr>
              <w:jc w:val="center"/>
              <w:rPr>
                <w:rFonts w:hint="eastAsia" w:ascii="宋体" w:hAnsi="宋体"/>
                <w:highlight w:val="none"/>
              </w:rPr>
            </w:pPr>
            <w:r>
              <w:rPr>
                <w:rFonts w:hint="eastAsia" w:ascii="宋体" w:hAnsi="宋体"/>
                <w:highlight w:val="none"/>
              </w:rPr>
              <w:t>52.8</w:t>
            </w:r>
          </w:p>
        </w:tc>
        <w:tc>
          <w:tcPr>
            <w:tcW w:w="2526" w:type="dxa"/>
            <w:vAlign w:val="center"/>
          </w:tcPr>
          <w:p w14:paraId="38426CB0">
            <w:pPr>
              <w:jc w:val="center"/>
              <w:rPr>
                <w:rFonts w:hint="eastAsia" w:ascii="宋体" w:hAnsi="宋体"/>
                <w:highlight w:val="none"/>
              </w:rPr>
            </w:pPr>
            <w:r>
              <w:rPr>
                <w:rFonts w:hint="eastAsia" w:ascii="宋体" w:hAnsi="宋体"/>
                <w:highlight w:val="none"/>
              </w:rPr>
              <w:t>争议（投诉）</w:t>
            </w:r>
          </w:p>
        </w:tc>
        <w:tc>
          <w:tcPr>
            <w:tcW w:w="4871" w:type="dxa"/>
            <w:vAlign w:val="center"/>
          </w:tcPr>
          <w:p w14:paraId="24FC1F2A">
            <w:pPr>
              <w:jc w:val="left"/>
              <w:rPr>
                <w:rFonts w:hint="eastAsia" w:ascii="宋体" w:hAnsi="宋体"/>
                <w:b/>
                <w:highlight w:val="none"/>
              </w:rPr>
            </w:pPr>
            <w:r>
              <w:rPr>
                <w:rFonts w:hint="eastAsia" w:ascii="宋体" w:hAnsi="宋体"/>
                <w:highlight w:val="none"/>
              </w:rPr>
              <w:t>对被质疑人的答复不满意或者被质疑人未在规定时间内答复的，提出质疑的供应商可以在答复期满后十五个工作日内向本项目预算主管单位投诉。供应商投诉的事项应当是经过质疑的事项。</w:t>
            </w:r>
          </w:p>
        </w:tc>
      </w:tr>
    </w:tbl>
    <w:p w14:paraId="2EA07BB0">
      <w:pPr>
        <w:rPr>
          <w:b/>
          <w:highlight w:val="none"/>
        </w:rPr>
      </w:pPr>
      <w:r>
        <w:rPr>
          <w:rFonts w:hint="eastAsia"/>
          <w:szCs w:val="21"/>
          <w:highlight w:val="none"/>
        </w:rPr>
        <w:t>备注：本表是通用条款相关条款的补充和明确，如与通用条款内容相冲突的，以本表为准。</w:t>
      </w:r>
    </w:p>
    <w:p w14:paraId="718802C1">
      <w:pPr>
        <w:pStyle w:val="3"/>
        <w:keepNext/>
        <w:keepLines/>
        <w:pageBreakBefore w:val="0"/>
        <w:widowControl w:val="0"/>
        <w:kinsoku/>
        <w:wordWrap/>
        <w:overflowPunct/>
        <w:topLinePunct w:val="0"/>
        <w:autoSpaceDE/>
        <w:autoSpaceDN/>
        <w:bidi w:val="0"/>
        <w:adjustRightInd/>
        <w:snapToGrid/>
        <w:spacing w:before="0" w:after="0"/>
        <w:jc w:val="center"/>
        <w:textAlignment w:val="auto"/>
        <w:rPr>
          <w:rFonts w:hint="eastAsia"/>
          <w:sz w:val="24"/>
          <w:szCs w:val="28"/>
          <w:highlight w:val="none"/>
        </w:rPr>
      </w:pPr>
      <w:r>
        <w:rPr>
          <w:rFonts w:hint="eastAsia"/>
          <w:sz w:val="24"/>
          <w:szCs w:val="28"/>
          <w:highlight w:val="none"/>
        </w:rPr>
        <w:t>二、其他关键信息</w:t>
      </w:r>
    </w:p>
    <w:p w14:paraId="529DBF6B">
      <w:pPr>
        <w:ind w:firstLine="422" w:firstLineChars="200"/>
        <w:rPr>
          <w:b/>
          <w:bCs/>
          <w:highlight w:val="none"/>
        </w:rPr>
      </w:pPr>
      <w:r>
        <w:rPr>
          <w:rFonts w:hint="eastAsia"/>
          <w:b/>
          <w:bCs/>
          <w:highlight w:val="none"/>
        </w:rPr>
        <w:t>（一）与“对通用条款的补充内容”章节相关的事项</w:t>
      </w:r>
    </w:p>
    <w:p w14:paraId="64908405">
      <w:pPr>
        <w:spacing w:line="276" w:lineRule="auto"/>
        <w:ind w:firstLine="422" w:firstLineChars="200"/>
        <w:jc w:val="left"/>
        <w:rPr>
          <w:rFonts w:hint="eastAsia" w:asciiTheme="minorEastAsia" w:hAnsiTheme="minorEastAsia" w:eastAsiaTheme="minorEastAsia"/>
          <w:b/>
          <w:kern w:val="0"/>
          <w:szCs w:val="20"/>
          <w:highlight w:val="none"/>
        </w:rPr>
      </w:pPr>
      <w:bookmarkStart w:id="29" w:name="_Hlk72579465"/>
      <w:r>
        <w:rPr>
          <w:rFonts w:hint="eastAsia" w:asciiTheme="minorEastAsia" w:hAnsiTheme="minorEastAsia" w:eastAsiaTheme="minorEastAsia"/>
          <w:b/>
          <w:kern w:val="0"/>
          <w:szCs w:val="20"/>
          <w:highlight w:val="none"/>
        </w:rPr>
        <w:t>1、评标定标信息</w:t>
      </w:r>
    </w:p>
    <w:p w14:paraId="52E8B849">
      <w:pPr>
        <w:jc w:val="center"/>
        <w:rPr>
          <w:color w:val="0000FF"/>
          <w:highlight w:val="none"/>
        </w:rPr>
      </w:pPr>
      <w:r>
        <w:rPr>
          <w:rFonts w:hint="eastAsia"/>
          <w:b/>
          <w:color w:val="0000FF"/>
          <w:highlight w:val="none"/>
        </w:rPr>
        <w:t>非评定分离项目</w:t>
      </w:r>
    </w:p>
    <w:tbl>
      <w:tblPr>
        <w:tblStyle w:val="43"/>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1"/>
        <w:gridCol w:w="4246"/>
      </w:tblGrid>
      <w:tr w14:paraId="4166C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1" w:type="dxa"/>
          </w:tcPr>
          <w:p w14:paraId="05EC270A">
            <w:pPr>
              <w:jc w:val="center"/>
              <w:rPr>
                <w:b/>
                <w:bCs/>
                <w:color w:val="0000FF"/>
                <w:highlight w:val="none"/>
              </w:rPr>
            </w:pPr>
            <w:r>
              <w:rPr>
                <w:rFonts w:hint="eastAsia"/>
                <w:b/>
                <w:bCs/>
                <w:color w:val="0000FF"/>
                <w:highlight w:val="none"/>
              </w:rPr>
              <w:t>评标方法</w:t>
            </w:r>
          </w:p>
        </w:tc>
        <w:tc>
          <w:tcPr>
            <w:tcW w:w="4246" w:type="dxa"/>
          </w:tcPr>
          <w:p w14:paraId="5D9D799E">
            <w:pPr>
              <w:jc w:val="center"/>
              <w:rPr>
                <w:b/>
                <w:bCs/>
                <w:color w:val="0000FF"/>
                <w:highlight w:val="none"/>
              </w:rPr>
            </w:pPr>
            <w:r>
              <w:rPr>
                <w:rFonts w:hint="eastAsia"/>
                <w:b/>
                <w:bCs/>
                <w:color w:val="0000FF"/>
                <w:highlight w:val="none"/>
              </w:rPr>
              <w:t>综合评分法</w:t>
            </w:r>
          </w:p>
        </w:tc>
      </w:tr>
      <w:tr w14:paraId="2BAFB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1" w:type="dxa"/>
          </w:tcPr>
          <w:p w14:paraId="7A20C0F0">
            <w:pPr>
              <w:jc w:val="center"/>
              <w:rPr>
                <w:b/>
                <w:bCs/>
                <w:color w:val="0000FF"/>
                <w:highlight w:val="none"/>
              </w:rPr>
            </w:pPr>
            <w:r>
              <w:rPr>
                <w:rFonts w:hint="eastAsia"/>
                <w:b/>
                <w:bCs/>
                <w:color w:val="0000FF"/>
                <w:highlight w:val="none"/>
              </w:rPr>
              <w:t>候选中标供应商家数</w:t>
            </w:r>
          </w:p>
        </w:tc>
        <w:tc>
          <w:tcPr>
            <w:tcW w:w="4246" w:type="dxa"/>
          </w:tcPr>
          <w:p w14:paraId="16CC120C">
            <w:pPr>
              <w:jc w:val="center"/>
              <w:rPr>
                <w:b/>
                <w:bCs/>
                <w:color w:val="0000FF"/>
                <w:highlight w:val="none"/>
              </w:rPr>
            </w:pPr>
            <w:r>
              <w:rPr>
                <w:rFonts w:hint="eastAsia"/>
                <w:b/>
                <w:bCs/>
                <w:color w:val="0000FF"/>
                <w:highlight w:val="none"/>
              </w:rPr>
              <w:t>3</w:t>
            </w:r>
          </w:p>
        </w:tc>
      </w:tr>
      <w:tr w14:paraId="150F1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1" w:type="dxa"/>
          </w:tcPr>
          <w:p w14:paraId="11E4A7DD">
            <w:pPr>
              <w:jc w:val="center"/>
              <w:rPr>
                <w:b/>
                <w:bCs/>
                <w:color w:val="0000FF"/>
                <w:highlight w:val="none"/>
              </w:rPr>
            </w:pPr>
            <w:r>
              <w:rPr>
                <w:rFonts w:hint="eastAsia"/>
                <w:b/>
                <w:bCs/>
                <w:color w:val="0000FF"/>
                <w:highlight w:val="none"/>
              </w:rPr>
              <w:t>中标供应商家数</w:t>
            </w:r>
          </w:p>
        </w:tc>
        <w:tc>
          <w:tcPr>
            <w:tcW w:w="4246" w:type="dxa"/>
          </w:tcPr>
          <w:p w14:paraId="344E6DB1">
            <w:pPr>
              <w:jc w:val="center"/>
              <w:rPr>
                <w:b/>
                <w:bCs/>
                <w:color w:val="0000FF"/>
                <w:highlight w:val="none"/>
              </w:rPr>
            </w:pPr>
            <w:r>
              <w:rPr>
                <w:rFonts w:hint="eastAsia"/>
                <w:b/>
                <w:bCs/>
                <w:color w:val="0000FF"/>
                <w:highlight w:val="none"/>
              </w:rPr>
              <w:t>1</w:t>
            </w:r>
          </w:p>
        </w:tc>
      </w:tr>
      <w:bookmarkEnd w:id="29"/>
    </w:tbl>
    <w:p w14:paraId="6C4700FF">
      <w:pPr>
        <w:ind w:firstLine="422" w:firstLineChars="200"/>
        <w:rPr>
          <w:b/>
          <w:highlight w:val="none"/>
        </w:rPr>
      </w:pPr>
      <w:r>
        <w:rPr>
          <w:rFonts w:hint="eastAsia"/>
          <w:b/>
          <w:highlight w:val="none"/>
        </w:rPr>
        <w:t>（二）其他事项</w:t>
      </w:r>
    </w:p>
    <w:p w14:paraId="5474DCA4">
      <w:pPr>
        <w:ind w:firstLine="422" w:firstLineChars="200"/>
        <w:rPr>
          <w:rFonts w:hint="eastAsia" w:ascii="宋体" w:hAnsi="宋体" w:cs="宋体"/>
          <w:b/>
          <w:bCs/>
          <w:highlight w:val="none"/>
        </w:rPr>
      </w:pPr>
      <w:r>
        <w:rPr>
          <w:rFonts w:ascii="宋体" w:hAnsi="宋体" w:cs="宋体"/>
          <w:b/>
          <w:bCs/>
          <w:highlight w:val="none"/>
        </w:rPr>
        <w:t>1</w:t>
      </w:r>
      <w:r>
        <w:rPr>
          <w:rFonts w:hint="eastAsia" w:ascii="宋体" w:hAnsi="宋体" w:cs="宋体"/>
          <w:b/>
          <w:bCs/>
          <w:highlight w:val="none"/>
        </w:rPr>
        <w:t>、关于享受优惠政策的主体及价格扣除比例</w:t>
      </w:r>
    </w:p>
    <w:p w14:paraId="3F10D54C">
      <w:pPr>
        <w:ind w:firstLine="420" w:firstLineChars="200"/>
        <w:rPr>
          <w:highlight w:val="none"/>
        </w:rPr>
      </w:pPr>
      <w:r>
        <w:rPr>
          <w:rFonts w:hint="eastAsia"/>
          <w:highlight w:val="none"/>
        </w:rPr>
        <w:t>（1）专门面向中小企业采购的项目，不再执行价格扣除比例。</w:t>
      </w:r>
    </w:p>
    <w:p w14:paraId="7F9BEF56">
      <w:pPr>
        <w:ind w:firstLine="420" w:firstLineChars="200"/>
        <w:rPr>
          <w:highlight w:val="none"/>
        </w:rPr>
      </w:pPr>
      <w:r>
        <w:rPr>
          <w:rFonts w:hint="eastAsia"/>
          <w:highlight w:val="none"/>
        </w:rPr>
        <w:t>（2）非专门面向中小企业采购的项目，应执行价格扣除比例：投标人提供的货物（以招标文件用户需求书“货物清单明细”的“货物名称”一栏为准）全部均由优惠主体制造，则对其投标总价给予</w:t>
      </w:r>
      <w:r>
        <w:rPr>
          <w:rFonts w:hint="eastAsia"/>
          <w:b/>
          <w:bCs/>
          <w:color w:val="0000FF"/>
          <w:sz w:val="32"/>
          <w:szCs w:val="40"/>
          <w:highlight w:val="none"/>
          <w:u w:val="single"/>
          <w:lang w:val="en-US" w:eastAsia="zh-CN"/>
        </w:rPr>
        <w:t>10</w:t>
      </w:r>
      <w:r>
        <w:rPr>
          <w:b/>
          <w:bCs/>
          <w:color w:val="0000FF"/>
          <w:sz w:val="32"/>
          <w:szCs w:val="40"/>
          <w:highlight w:val="none"/>
          <w:u w:val="single"/>
        </w:rPr>
        <w:t>%</w:t>
      </w:r>
      <w:r>
        <w:rPr>
          <w:rFonts w:hint="eastAsia"/>
          <w:highlight w:val="none"/>
        </w:rPr>
        <w:t>的扣除，用扣除后的价格参与评审。满足多项优惠政策的供应商，不重复享受多项价格扣除政策。</w:t>
      </w:r>
    </w:p>
    <w:p w14:paraId="3EAC741C">
      <w:pPr>
        <w:ind w:firstLine="420" w:firstLineChars="200"/>
        <w:rPr>
          <w:highlight w:val="none"/>
        </w:rPr>
      </w:pPr>
      <w:r>
        <w:rPr>
          <w:rFonts w:hint="eastAsia"/>
          <w:highlight w:val="none"/>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自行采购活动中视同中小企业；(</w:t>
      </w:r>
      <w:r>
        <w:rPr>
          <w:highlight w:val="none"/>
        </w:rPr>
        <w:t>b)</w:t>
      </w:r>
      <w:r>
        <w:rPr>
          <w:rFonts w:hint="eastAsia"/>
          <w:highlight w:val="none"/>
        </w:rPr>
        <w:t>优惠主体制造是指货物由优惠主体生产且使用该优惠主体商号或者注册商标；投标人提供的货物既有优惠主体制造货物，又有非优惠主体制造货物的，不给予价格扣除。</w:t>
      </w:r>
    </w:p>
    <w:p w14:paraId="62A4C76A">
      <w:pPr>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w:t>
      </w:r>
      <w:bookmarkStart w:id="30" w:name="_Hlk71970739"/>
      <w:r>
        <w:rPr>
          <w:rFonts w:hint="eastAsia" w:asciiTheme="minorEastAsia" w:hAnsiTheme="minorEastAsia" w:eastAsiaTheme="minorEastAsia" w:cstheme="minorEastAsia"/>
          <w:szCs w:val="21"/>
          <w:highlight w:val="none"/>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hint="eastAsia" w:asciiTheme="minorEastAsia" w:hAnsiTheme="minorEastAsia" w:eastAsiaTheme="minorEastAsia" w:cstheme="minorEastAsia"/>
          <w:b/>
          <w:bCs/>
          <w:color w:val="FF0000"/>
          <w:szCs w:val="21"/>
          <w:highlight w:val="none"/>
        </w:rPr>
        <w:t>《中小企业声明函》中相关企业所属行业应当与采购标的所属行业相一致。</w:t>
      </w:r>
      <w:r>
        <w:rPr>
          <w:rFonts w:hint="eastAsia" w:asciiTheme="minorEastAsia" w:hAnsiTheme="minorEastAsia" w:eastAsiaTheme="minorEastAsia" w:cstheme="minorEastAsia"/>
          <w:szCs w:val="21"/>
          <w:highlight w:val="none"/>
        </w:rPr>
        <w:t>本项目采购标的（货物）对应的中小企业划分标准所属行业为</w:t>
      </w:r>
      <w:r>
        <w:rPr>
          <w:rFonts w:hint="eastAsia" w:asciiTheme="minorEastAsia" w:hAnsiTheme="minorEastAsia" w:eastAsiaTheme="minorEastAsia" w:cstheme="minorEastAsia"/>
          <w:b/>
          <w:bCs/>
          <w:color w:val="0000FF"/>
          <w:sz w:val="36"/>
          <w:szCs w:val="36"/>
          <w:highlight w:val="none"/>
          <w:u w:val="single"/>
          <w:lang w:val="en-US" w:eastAsia="zh-CN"/>
        </w:rPr>
        <w:t>工</w:t>
      </w:r>
      <w:r>
        <w:rPr>
          <w:rFonts w:hint="eastAsia" w:asciiTheme="minorEastAsia" w:hAnsiTheme="minorEastAsia" w:eastAsiaTheme="minorEastAsia" w:cstheme="minorEastAsia"/>
          <w:b/>
          <w:bCs/>
          <w:color w:val="0000FF"/>
          <w:sz w:val="36"/>
          <w:szCs w:val="36"/>
          <w:highlight w:val="none"/>
          <w:u w:val="single"/>
        </w:rPr>
        <w:t>业</w:t>
      </w:r>
      <w:r>
        <w:rPr>
          <w:rFonts w:hint="eastAsia" w:asciiTheme="minorEastAsia" w:hAnsiTheme="minorEastAsia" w:eastAsiaTheme="minorEastAsia" w:cstheme="minorEastAsia"/>
          <w:szCs w:val="21"/>
          <w:highlight w:val="none"/>
        </w:rPr>
        <w:t>。</w:t>
      </w:r>
      <w:bookmarkEnd w:id="30"/>
    </w:p>
    <w:p w14:paraId="238EBD6B">
      <w:pPr>
        <w:numPr>
          <w:ilvl w:val="0"/>
          <w:numId w:val="7"/>
        </w:numPr>
        <w:ind w:firstLine="420" w:firstLineChars="200"/>
        <w:rPr>
          <w:highlight w:val="none"/>
        </w:rPr>
      </w:pPr>
      <w:r>
        <w:rPr>
          <w:rFonts w:hint="eastAsia"/>
          <w:szCs w:val="21"/>
          <w:highlight w:val="none"/>
        </w:rPr>
        <w:t>小型企业、微</w:t>
      </w:r>
      <w:r>
        <w:rPr>
          <w:rFonts w:hint="eastAsia"/>
          <w:highlight w:val="none"/>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介绍及资格证明文件”章节提供的格式）。</w:t>
      </w:r>
    </w:p>
    <w:p w14:paraId="50BD42F9">
      <w:pPr>
        <w:ind w:firstLine="420" w:firstLineChars="200"/>
        <w:rPr>
          <w:highlight w:val="none"/>
        </w:rPr>
      </w:pPr>
      <w:r>
        <w:rPr>
          <w:rFonts w:hint="eastAsia"/>
          <w:highlight w:val="none"/>
        </w:rPr>
        <w:t>（5）享受价格扣除获得采购合同的，小微企业不得将合同分包给大中型企业。</w:t>
      </w:r>
    </w:p>
    <w:p w14:paraId="10A38EEA">
      <w:pPr>
        <w:ind w:firstLine="422" w:firstLineChars="200"/>
        <w:rPr>
          <w:rFonts w:hint="eastAsia" w:ascii="宋体" w:hAnsi="宋体" w:cs="宋体"/>
          <w:b/>
          <w:bCs/>
          <w:highlight w:val="none"/>
        </w:rPr>
      </w:pPr>
    </w:p>
    <w:p w14:paraId="6E0BCDD6">
      <w:pPr>
        <w:ind w:firstLine="422" w:firstLineChars="200"/>
        <w:rPr>
          <w:rFonts w:hint="eastAsia" w:ascii="宋体" w:hAnsi="宋体" w:cs="宋体"/>
          <w:b/>
          <w:bCs/>
          <w:highlight w:val="none"/>
        </w:rPr>
      </w:pPr>
      <w:r>
        <w:rPr>
          <w:rFonts w:hint="eastAsia" w:ascii="宋体" w:hAnsi="宋体" w:cs="宋体"/>
          <w:b/>
          <w:bCs/>
          <w:highlight w:val="none"/>
        </w:rPr>
        <w:t>2、关于采购订单融资政策</w:t>
      </w:r>
    </w:p>
    <w:p w14:paraId="7348A279">
      <w:pPr>
        <w:wordWrap w:val="0"/>
        <w:ind w:firstLine="420" w:firstLineChars="200"/>
        <w:rPr>
          <w:rFonts w:hint="eastAsia" w:ascii="宋体" w:hAnsi="宋体"/>
          <w:b/>
          <w:highlight w:val="none"/>
        </w:rPr>
      </w:pPr>
      <w:r>
        <w:rPr>
          <w:rFonts w:hint="eastAsia"/>
          <w:color w:val="FF0000"/>
          <w:highlight w:val="none"/>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57231D0D">
      <w:pPr>
        <w:ind w:firstLine="422" w:firstLineChars="200"/>
        <w:rPr>
          <w:highlight w:val="none"/>
        </w:rPr>
      </w:pPr>
      <w:r>
        <w:rPr>
          <w:rFonts w:hint="eastAsia" w:ascii="宋体" w:hAnsi="宋体" w:cs="宋体"/>
          <w:b/>
          <w:bCs/>
          <w:highlight w:val="none"/>
        </w:rPr>
        <w:t>3、</w:t>
      </w:r>
      <w:r>
        <w:rPr>
          <w:rFonts w:hint="eastAsia"/>
          <w:highlight w:val="none"/>
        </w:rPr>
        <w:t>中标（成交）供应商在领取《中标（成交）通知书》之前须向</w:t>
      </w:r>
      <w:r>
        <w:rPr>
          <w:rFonts w:hint="eastAsia"/>
          <w:highlight w:val="none"/>
          <w:lang w:eastAsia="zh-CN"/>
        </w:rPr>
        <w:t>深圳交易咨询集团有限公司</w:t>
      </w:r>
      <w:r>
        <w:rPr>
          <w:rFonts w:hint="eastAsia"/>
          <w:highlight w:val="none"/>
        </w:rPr>
        <w:t>交纳代理服务费。若因中标（成交）供应商交纳代理服务费所产生的时间影响到合同签订的，由中标（成交）供应商自行承担责任。代理服务费标准参照下列标准</w:t>
      </w:r>
      <w:r>
        <w:rPr>
          <w:rFonts w:hint="eastAsia"/>
          <w:b/>
          <w:bCs/>
          <w:color w:val="0000FF"/>
          <w:sz w:val="28"/>
          <w:szCs w:val="36"/>
          <w:highlight w:val="none"/>
          <w:lang w:val="en-US" w:eastAsia="zh-CN"/>
        </w:rPr>
        <w:t>下浮20%</w:t>
      </w:r>
      <w:r>
        <w:rPr>
          <w:rFonts w:hint="eastAsia"/>
          <w:highlight w:val="none"/>
        </w:rPr>
        <w:t>收取。</w:t>
      </w:r>
      <w:r>
        <w:rPr>
          <w:rFonts w:hint="eastAsia"/>
          <w:b/>
          <w:color w:val="FF0000"/>
          <w:highlight w:val="none"/>
        </w:rPr>
        <w:t>本项目类型为</w:t>
      </w:r>
      <w:r>
        <w:rPr>
          <w:rFonts w:hint="eastAsia"/>
          <w:b/>
          <w:color w:val="FF0000"/>
          <w:highlight w:val="none"/>
          <w:u w:val="single"/>
        </w:rPr>
        <w:t>货物采购</w:t>
      </w:r>
      <w:r>
        <w:rPr>
          <w:rFonts w:hint="eastAsia"/>
          <w:b/>
          <w:color w:val="FF0000"/>
          <w:highlight w:val="none"/>
        </w:rPr>
        <w:t>：</w:t>
      </w:r>
    </w:p>
    <w:p w14:paraId="1E3940FA">
      <w:pPr>
        <w:ind w:firstLine="420" w:firstLineChars="200"/>
        <w:rPr>
          <w:highlight w:val="none"/>
        </w:rPr>
      </w:pPr>
      <w:r>
        <w:rPr>
          <w:rFonts w:hint="eastAsia"/>
          <w:highlight w:val="none"/>
        </w:rPr>
        <w:t>（1）代理服务费以《中标（成交）通知书》确定的中标（成交）金额作为计算基数，按差额定率累进法计算。</w:t>
      </w:r>
    </w:p>
    <w:p w14:paraId="2AE651A2">
      <w:pPr>
        <w:ind w:firstLine="420" w:firstLineChars="200"/>
        <w:rPr>
          <w:highlight w:val="none"/>
        </w:rPr>
      </w:pPr>
      <w:r>
        <w:rPr>
          <w:rFonts w:hint="eastAsia"/>
          <w:highlight w:val="none"/>
        </w:rPr>
        <w:t>（2）中标（成交）金额的各部分费率如下表：</w:t>
      </w:r>
    </w:p>
    <w:tbl>
      <w:tblPr>
        <w:tblStyle w:val="4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1F1DA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323D5F10">
            <w:pPr>
              <w:widowControl/>
              <w:spacing w:line="360" w:lineRule="auto"/>
              <w:jc w:val="center"/>
              <w:rPr>
                <w:highlight w:val="none"/>
              </w:rPr>
            </w:pPr>
            <w:r>
              <w:rPr>
                <w:rFonts w:hint="eastAsia"/>
                <w:highlight w:val="none"/>
              </w:rPr>
              <w:t>中标（成交）金额</w:t>
            </w:r>
          </w:p>
        </w:tc>
        <w:tc>
          <w:tcPr>
            <w:tcW w:w="1799" w:type="dxa"/>
            <w:vAlign w:val="center"/>
          </w:tcPr>
          <w:p w14:paraId="6FB68151">
            <w:pPr>
              <w:widowControl/>
              <w:spacing w:line="360" w:lineRule="auto"/>
              <w:jc w:val="center"/>
              <w:rPr>
                <w:highlight w:val="none"/>
              </w:rPr>
            </w:pPr>
            <w:r>
              <w:rPr>
                <w:rFonts w:hint="eastAsia"/>
                <w:highlight w:val="none"/>
              </w:rPr>
              <w:t>货物采购</w:t>
            </w:r>
          </w:p>
        </w:tc>
        <w:tc>
          <w:tcPr>
            <w:tcW w:w="1799" w:type="dxa"/>
            <w:vAlign w:val="center"/>
          </w:tcPr>
          <w:p w14:paraId="1EFB6E8A">
            <w:pPr>
              <w:widowControl/>
              <w:spacing w:line="360" w:lineRule="auto"/>
              <w:jc w:val="center"/>
              <w:rPr>
                <w:highlight w:val="none"/>
              </w:rPr>
            </w:pPr>
            <w:r>
              <w:rPr>
                <w:rFonts w:hint="eastAsia"/>
                <w:highlight w:val="none"/>
              </w:rPr>
              <w:t>服务采购</w:t>
            </w:r>
          </w:p>
        </w:tc>
        <w:tc>
          <w:tcPr>
            <w:tcW w:w="1799" w:type="dxa"/>
            <w:vAlign w:val="center"/>
          </w:tcPr>
          <w:p w14:paraId="0D4994BC">
            <w:pPr>
              <w:widowControl/>
              <w:spacing w:line="360" w:lineRule="auto"/>
              <w:jc w:val="center"/>
              <w:rPr>
                <w:highlight w:val="none"/>
              </w:rPr>
            </w:pPr>
            <w:r>
              <w:rPr>
                <w:rFonts w:hint="eastAsia"/>
                <w:highlight w:val="none"/>
              </w:rPr>
              <w:t>工程采购</w:t>
            </w:r>
          </w:p>
        </w:tc>
      </w:tr>
      <w:tr w14:paraId="29CA4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A225949">
            <w:pPr>
              <w:widowControl/>
              <w:spacing w:line="360" w:lineRule="auto"/>
              <w:jc w:val="center"/>
              <w:rPr>
                <w:highlight w:val="none"/>
              </w:rPr>
            </w:pPr>
            <w:r>
              <w:rPr>
                <w:rFonts w:hint="eastAsia"/>
                <w:highlight w:val="none"/>
              </w:rPr>
              <w:t>100万元以下</w:t>
            </w:r>
          </w:p>
        </w:tc>
        <w:tc>
          <w:tcPr>
            <w:tcW w:w="1799" w:type="dxa"/>
            <w:vAlign w:val="center"/>
          </w:tcPr>
          <w:p w14:paraId="6913F7EE">
            <w:pPr>
              <w:widowControl/>
              <w:spacing w:line="360" w:lineRule="auto"/>
              <w:jc w:val="center"/>
              <w:rPr>
                <w:highlight w:val="none"/>
              </w:rPr>
            </w:pPr>
            <w:r>
              <w:rPr>
                <w:rFonts w:hint="eastAsia"/>
                <w:highlight w:val="none"/>
              </w:rPr>
              <w:t>1.5%</w:t>
            </w:r>
          </w:p>
        </w:tc>
        <w:tc>
          <w:tcPr>
            <w:tcW w:w="1799" w:type="dxa"/>
            <w:vAlign w:val="center"/>
          </w:tcPr>
          <w:p w14:paraId="2427D682">
            <w:pPr>
              <w:widowControl/>
              <w:spacing w:line="360" w:lineRule="auto"/>
              <w:jc w:val="center"/>
              <w:rPr>
                <w:highlight w:val="none"/>
              </w:rPr>
            </w:pPr>
            <w:r>
              <w:rPr>
                <w:rFonts w:hint="eastAsia"/>
                <w:highlight w:val="none"/>
              </w:rPr>
              <w:t>1.5%</w:t>
            </w:r>
          </w:p>
        </w:tc>
        <w:tc>
          <w:tcPr>
            <w:tcW w:w="1799" w:type="dxa"/>
            <w:vAlign w:val="center"/>
          </w:tcPr>
          <w:p w14:paraId="56CC5183">
            <w:pPr>
              <w:widowControl/>
              <w:spacing w:line="360" w:lineRule="auto"/>
              <w:jc w:val="center"/>
              <w:rPr>
                <w:highlight w:val="none"/>
              </w:rPr>
            </w:pPr>
            <w:r>
              <w:rPr>
                <w:rFonts w:hint="eastAsia"/>
                <w:highlight w:val="none"/>
              </w:rPr>
              <w:t>1.0%</w:t>
            </w:r>
          </w:p>
        </w:tc>
      </w:tr>
      <w:tr w14:paraId="4C2AC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E8F7259">
            <w:pPr>
              <w:widowControl/>
              <w:spacing w:line="360" w:lineRule="auto"/>
              <w:jc w:val="center"/>
              <w:rPr>
                <w:highlight w:val="none"/>
              </w:rPr>
            </w:pPr>
            <w:r>
              <w:rPr>
                <w:rFonts w:hint="eastAsia"/>
                <w:highlight w:val="none"/>
              </w:rPr>
              <w:t>100万元（含）-500万元</w:t>
            </w:r>
          </w:p>
        </w:tc>
        <w:tc>
          <w:tcPr>
            <w:tcW w:w="1799" w:type="dxa"/>
            <w:vAlign w:val="center"/>
          </w:tcPr>
          <w:p w14:paraId="31AA37C4">
            <w:pPr>
              <w:widowControl/>
              <w:spacing w:line="360" w:lineRule="auto"/>
              <w:jc w:val="center"/>
              <w:rPr>
                <w:highlight w:val="none"/>
              </w:rPr>
            </w:pPr>
            <w:r>
              <w:rPr>
                <w:rFonts w:hint="eastAsia"/>
                <w:highlight w:val="none"/>
              </w:rPr>
              <w:t>1.1%</w:t>
            </w:r>
          </w:p>
        </w:tc>
        <w:tc>
          <w:tcPr>
            <w:tcW w:w="1799" w:type="dxa"/>
            <w:vAlign w:val="center"/>
          </w:tcPr>
          <w:p w14:paraId="00CB9052">
            <w:pPr>
              <w:widowControl/>
              <w:spacing w:line="360" w:lineRule="auto"/>
              <w:jc w:val="center"/>
              <w:rPr>
                <w:highlight w:val="none"/>
              </w:rPr>
            </w:pPr>
            <w:r>
              <w:rPr>
                <w:rFonts w:hint="eastAsia"/>
                <w:highlight w:val="none"/>
              </w:rPr>
              <w:t>0.8%</w:t>
            </w:r>
          </w:p>
        </w:tc>
        <w:tc>
          <w:tcPr>
            <w:tcW w:w="1799" w:type="dxa"/>
            <w:vAlign w:val="center"/>
          </w:tcPr>
          <w:p w14:paraId="4F84EC1D">
            <w:pPr>
              <w:widowControl/>
              <w:spacing w:line="360" w:lineRule="auto"/>
              <w:jc w:val="center"/>
              <w:rPr>
                <w:highlight w:val="none"/>
              </w:rPr>
            </w:pPr>
            <w:r>
              <w:rPr>
                <w:rFonts w:hint="eastAsia"/>
                <w:highlight w:val="none"/>
              </w:rPr>
              <w:t>0.7%</w:t>
            </w:r>
          </w:p>
        </w:tc>
      </w:tr>
      <w:tr w14:paraId="25888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FF2C525">
            <w:pPr>
              <w:widowControl/>
              <w:spacing w:line="360" w:lineRule="auto"/>
              <w:jc w:val="center"/>
              <w:rPr>
                <w:highlight w:val="none"/>
              </w:rPr>
            </w:pPr>
            <w:r>
              <w:rPr>
                <w:rFonts w:hint="eastAsia"/>
                <w:highlight w:val="none"/>
              </w:rPr>
              <w:t>500万元（含）-1000万元</w:t>
            </w:r>
          </w:p>
        </w:tc>
        <w:tc>
          <w:tcPr>
            <w:tcW w:w="1799" w:type="dxa"/>
            <w:vAlign w:val="center"/>
          </w:tcPr>
          <w:p w14:paraId="6923B000">
            <w:pPr>
              <w:widowControl/>
              <w:spacing w:line="360" w:lineRule="auto"/>
              <w:jc w:val="center"/>
              <w:rPr>
                <w:highlight w:val="none"/>
              </w:rPr>
            </w:pPr>
            <w:r>
              <w:rPr>
                <w:rFonts w:hint="eastAsia"/>
                <w:highlight w:val="none"/>
              </w:rPr>
              <w:t>0.8%</w:t>
            </w:r>
          </w:p>
        </w:tc>
        <w:tc>
          <w:tcPr>
            <w:tcW w:w="1799" w:type="dxa"/>
            <w:vAlign w:val="center"/>
          </w:tcPr>
          <w:p w14:paraId="256F862F">
            <w:pPr>
              <w:widowControl/>
              <w:spacing w:line="360" w:lineRule="auto"/>
              <w:jc w:val="center"/>
              <w:rPr>
                <w:highlight w:val="none"/>
              </w:rPr>
            </w:pPr>
            <w:r>
              <w:rPr>
                <w:rFonts w:hint="eastAsia"/>
                <w:highlight w:val="none"/>
              </w:rPr>
              <w:t>0.45%</w:t>
            </w:r>
          </w:p>
        </w:tc>
        <w:tc>
          <w:tcPr>
            <w:tcW w:w="1799" w:type="dxa"/>
            <w:vAlign w:val="center"/>
          </w:tcPr>
          <w:p w14:paraId="00295D32">
            <w:pPr>
              <w:widowControl/>
              <w:spacing w:line="360" w:lineRule="auto"/>
              <w:jc w:val="center"/>
              <w:rPr>
                <w:highlight w:val="none"/>
              </w:rPr>
            </w:pPr>
            <w:r>
              <w:rPr>
                <w:rFonts w:hint="eastAsia"/>
                <w:highlight w:val="none"/>
              </w:rPr>
              <w:t>0.55%</w:t>
            </w:r>
          </w:p>
        </w:tc>
      </w:tr>
      <w:tr w14:paraId="43E0B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6492EF0">
            <w:pPr>
              <w:widowControl/>
              <w:spacing w:line="360" w:lineRule="auto"/>
              <w:jc w:val="center"/>
              <w:rPr>
                <w:highlight w:val="none"/>
              </w:rPr>
            </w:pPr>
            <w:r>
              <w:rPr>
                <w:rFonts w:hint="eastAsia"/>
                <w:highlight w:val="none"/>
              </w:rPr>
              <w:t>1000万元（含）-5000万元</w:t>
            </w:r>
          </w:p>
        </w:tc>
        <w:tc>
          <w:tcPr>
            <w:tcW w:w="1799" w:type="dxa"/>
            <w:vAlign w:val="center"/>
          </w:tcPr>
          <w:p w14:paraId="03DEEAB6">
            <w:pPr>
              <w:widowControl/>
              <w:spacing w:line="360" w:lineRule="auto"/>
              <w:jc w:val="center"/>
              <w:rPr>
                <w:highlight w:val="none"/>
              </w:rPr>
            </w:pPr>
            <w:r>
              <w:rPr>
                <w:rFonts w:hint="eastAsia"/>
                <w:highlight w:val="none"/>
              </w:rPr>
              <w:t>0.5%</w:t>
            </w:r>
          </w:p>
        </w:tc>
        <w:tc>
          <w:tcPr>
            <w:tcW w:w="1799" w:type="dxa"/>
            <w:vAlign w:val="center"/>
          </w:tcPr>
          <w:p w14:paraId="32388E99">
            <w:pPr>
              <w:widowControl/>
              <w:spacing w:line="360" w:lineRule="auto"/>
              <w:jc w:val="center"/>
              <w:rPr>
                <w:highlight w:val="none"/>
              </w:rPr>
            </w:pPr>
            <w:r>
              <w:rPr>
                <w:rFonts w:hint="eastAsia"/>
                <w:highlight w:val="none"/>
              </w:rPr>
              <w:t>0.25%</w:t>
            </w:r>
          </w:p>
        </w:tc>
        <w:tc>
          <w:tcPr>
            <w:tcW w:w="1799" w:type="dxa"/>
            <w:vAlign w:val="center"/>
          </w:tcPr>
          <w:p w14:paraId="444C5F01">
            <w:pPr>
              <w:widowControl/>
              <w:spacing w:line="360" w:lineRule="auto"/>
              <w:jc w:val="center"/>
              <w:rPr>
                <w:highlight w:val="none"/>
              </w:rPr>
            </w:pPr>
            <w:r>
              <w:rPr>
                <w:rFonts w:hint="eastAsia"/>
                <w:highlight w:val="none"/>
              </w:rPr>
              <w:t>0.35%</w:t>
            </w:r>
          </w:p>
        </w:tc>
      </w:tr>
      <w:tr w14:paraId="205FA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96B44BD">
            <w:pPr>
              <w:widowControl/>
              <w:spacing w:line="360" w:lineRule="auto"/>
              <w:jc w:val="center"/>
              <w:rPr>
                <w:highlight w:val="none"/>
              </w:rPr>
            </w:pPr>
            <w:r>
              <w:rPr>
                <w:rFonts w:hint="eastAsia"/>
                <w:highlight w:val="none"/>
              </w:rPr>
              <w:t>5000万元（含）-1亿元</w:t>
            </w:r>
          </w:p>
        </w:tc>
        <w:tc>
          <w:tcPr>
            <w:tcW w:w="1799" w:type="dxa"/>
            <w:vAlign w:val="center"/>
          </w:tcPr>
          <w:p w14:paraId="3D838458">
            <w:pPr>
              <w:widowControl/>
              <w:spacing w:line="360" w:lineRule="auto"/>
              <w:jc w:val="center"/>
              <w:rPr>
                <w:highlight w:val="none"/>
              </w:rPr>
            </w:pPr>
            <w:r>
              <w:rPr>
                <w:rFonts w:hint="eastAsia"/>
                <w:highlight w:val="none"/>
              </w:rPr>
              <w:t>0.25%</w:t>
            </w:r>
          </w:p>
        </w:tc>
        <w:tc>
          <w:tcPr>
            <w:tcW w:w="1799" w:type="dxa"/>
            <w:vAlign w:val="center"/>
          </w:tcPr>
          <w:p w14:paraId="22B2C4D0">
            <w:pPr>
              <w:widowControl/>
              <w:spacing w:line="360" w:lineRule="auto"/>
              <w:jc w:val="center"/>
              <w:rPr>
                <w:highlight w:val="none"/>
              </w:rPr>
            </w:pPr>
            <w:r>
              <w:rPr>
                <w:rFonts w:hint="eastAsia"/>
                <w:highlight w:val="none"/>
              </w:rPr>
              <w:t>0.1%</w:t>
            </w:r>
          </w:p>
        </w:tc>
        <w:tc>
          <w:tcPr>
            <w:tcW w:w="1799" w:type="dxa"/>
            <w:vAlign w:val="center"/>
          </w:tcPr>
          <w:p w14:paraId="48CEEFB8">
            <w:pPr>
              <w:widowControl/>
              <w:spacing w:line="360" w:lineRule="auto"/>
              <w:jc w:val="center"/>
              <w:rPr>
                <w:highlight w:val="none"/>
              </w:rPr>
            </w:pPr>
            <w:r>
              <w:rPr>
                <w:rFonts w:hint="eastAsia"/>
                <w:highlight w:val="none"/>
              </w:rPr>
              <w:t>0.2%</w:t>
            </w:r>
          </w:p>
        </w:tc>
      </w:tr>
      <w:tr w14:paraId="3D84C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A3D503F">
            <w:pPr>
              <w:widowControl/>
              <w:spacing w:line="360" w:lineRule="auto"/>
              <w:jc w:val="center"/>
              <w:rPr>
                <w:highlight w:val="none"/>
              </w:rPr>
            </w:pPr>
            <w:r>
              <w:rPr>
                <w:rFonts w:hint="eastAsia"/>
                <w:highlight w:val="none"/>
              </w:rPr>
              <w:t>1亿元（含）-5亿元</w:t>
            </w:r>
          </w:p>
        </w:tc>
        <w:tc>
          <w:tcPr>
            <w:tcW w:w="1799" w:type="dxa"/>
            <w:vAlign w:val="center"/>
          </w:tcPr>
          <w:p w14:paraId="22AD5C56">
            <w:pPr>
              <w:widowControl/>
              <w:spacing w:line="360" w:lineRule="auto"/>
              <w:jc w:val="center"/>
              <w:rPr>
                <w:highlight w:val="none"/>
              </w:rPr>
            </w:pPr>
            <w:r>
              <w:rPr>
                <w:rFonts w:hint="eastAsia"/>
                <w:highlight w:val="none"/>
              </w:rPr>
              <w:t>0.05%</w:t>
            </w:r>
          </w:p>
        </w:tc>
        <w:tc>
          <w:tcPr>
            <w:tcW w:w="1799" w:type="dxa"/>
            <w:vAlign w:val="center"/>
          </w:tcPr>
          <w:p w14:paraId="22BE678E">
            <w:pPr>
              <w:widowControl/>
              <w:spacing w:line="360" w:lineRule="auto"/>
              <w:jc w:val="center"/>
              <w:rPr>
                <w:highlight w:val="none"/>
              </w:rPr>
            </w:pPr>
            <w:r>
              <w:rPr>
                <w:rFonts w:hint="eastAsia"/>
                <w:highlight w:val="none"/>
              </w:rPr>
              <w:t>0.05%</w:t>
            </w:r>
          </w:p>
        </w:tc>
        <w:tc>
          <w:tcPr>
            <w:tcW w:w="1799" w:type="dxa"/>
            <w:vAlign w:val="center"/>
          </w:tcPr>
          <w:p w14:paraId="27387068">
            <w:pPr>
              <w:widowControl/>
              <w:spacing w:line="360" w:lineRule="auto"/>
              <w:jc w:val="center"/>
              <w:rPr>
                <w:highlight w:val="none"/>
              </w:rPr>
            </w:pPr>
            <w:r>
              <w:rPr>
                <w:rFonts w:hint="eastAsia"/>
                <w:highlight w:val="none"/>
              </w:rPr>
              <w:t>0.05%</w:t>
            </w:r>
          </w:p>
        </w:tc>
      </w:tr>
      <w:tr w14:paraId="5D51A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EE602D0">
            <w:pPr>
              <w:widowControl/>
              <w:spacing w:line="360" w:lineRule="auto"/>
              <w:jc w:val="center"/>
              <w:rPr>
                <w:highlight w:val="none"/>
              </w:rPr>
            </w:pPr>
            <w:r>
              <w:rPr>
                <w:rFonts w:hint="eastAsia"/>
                <w:highlight w:val="none"/>
              </w:rPr>
              <w:t>5亿元（含）-10亿元</w:t>
            </w:r>
          </w:p>
        </w:tc>
        <w:tc>
          <w:tcPr>
            <w:tcW w:w="1799" w:type="dxa"/>
            <w:vAlign w:val="center"/>
          </w:tcPr>
          <w:p w14:paraId="09DEDC2D">
            <w:pPr>
              <w:widowControl/>
              <w:spacing w:line="360" w:lineRule="auto"/>
              <w:jc w:val="center"/>
              <w:rPr>
                <w:highlight w:val="none"/>
              </w:rPr>
            </w:pPr>
            <w:r>
              <w:rPr>
                <w:rFonts w:hint="eastAsia"/>
                <w:highlight w:val="none"/>
              </w:rPr>
              <w:t>0.035%</w:t>
            </w:r>
          </w:p>
        </w:tc>
        <w:tc>
          <w:tcPr>
            <w:tcW w:w="1799" w:type="dxa"/>
            <w:vAlign w:val="center"/>
          </w:tcPr>
          <w:p w14:paraId="67D058F2">
            <w:pPr>
              <w:widowControl/>
              <w:spacing w:line="360" w:lineRule="auto"/>
              <w:jc w:val="center"/>
              <w:rPr>
                <w:highlight w:val="none"/>
              </w:rPr>
            </w:pPr>
            <w:r>
              <w:rPr>
                <w:rFonts w:hint="eastAsia"/>
                <w:highlight w:val="none"/>
              </w:rPr>
              <w:t>0.035%</w:t>
            </w:r>
          </w:p>
        </w:tc>
        <w:tc>
          <w:tcPr>
            <w:tcW w:w="1799" w:type="dxa"/>
            <w:vAlign w:val="center"/>
          </w:tcPr>
          <w:p w14:paraId="4DB2B1DE">
            <w:pPr>
              <w:widowControl/>
              <w:spacing w:line="360" w:lineRule="auto"/>
              <w:jc w:val="center"/>
              <w:rPr>
                <w:highlight w:val="none"/>
              </w:rPr>
            </w:pPr>
            <w:r>
              <w:rPr>
                <w:rFonts w:hint="eastAsia"/>
                <w:highlight w:val="none"/>
              </w:rPr>
              <w:t>0.035%</w:t>
            </w:r>
          </w:p>
        </w:tc>
      </w:tr>
      <w:tr w14:paraId="4AE1D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030C84FC">
            <w:pPr>
              <w:widowControl/>
              <w:spacing w:line="360" w:lineRule="auto"/>
              <w:jc w:val="center"/>
              <w:rPr>
                <w:highlight w:val="none"/>
              </w:rPr>
            </w:pPr>
            <w:r>
              <w:rPr>
                <w:rFonts w:hint="eastAsia"/>
                <w:highlight w:val="none"/>
              </w:rPr>
              <w:t>10亿元（含）-50亿元</w:t>
            </w:r>
          </w:p>
        </w:tc>
        <w:tc>
          <w:tcPr>
            <w:tcW w:w="1799" w:type="dxa"/>
            <w:vAlign w:val="center"/>
          </w:tcPr>
          <w:p w14:paraId="5B7F1E97">
            <w:pPr>
              <w:widowControl/>
              <w:spacing w:line="360" w:lineRule="auto"/>
              <w:jc w:val="center"/>
              <w:rPr>
                <w:highlight w:val="none"/>
              </w:rPr>
            </w:pPr>
            <w:r>
              <w:rPr>
                <w:rFonts w:hint="eastAsia"/>
                <w:highlight w:val="none"/>
              </w:rPr>
              <w:t>0.008%</w:t>
            </w:r>
          </w:p>
        </w:tc>
        <w:tc>
          <w:tcPr>
            <w:tcW w:w="1799" w:type="dxa"/>
            <w:vAlign w:val="center"/>
          </w:tcPr>
          <w:p w14:paraId="10F7D36C">
            <w:pPr>
              <w:widowControl/>
              <w:spacing w:line="360" w:lineRule="auto"/>
              <w:jc w:val="center"/>
              <w:rPr>
                <w:highlight w:val="none"/>
              </w:rPr>
            </w:pPr>
            <w:r>
              <w:rPr>
                <w:rFonts w:hint="eastAsia"/>
                <w:highlight w:val="none"/>
              </w:rPr>
              <w:t>0.008%</w:t>
            </w:r>
          </w:p>
        </w:tc>
        <w:tc>
          <w:tcPr>
            <w:tcW w:w="1799" w:type="dxa"/>
            <w:vAlign w:val="center"/>
          </w:tcPr>
          <w:p w14:paraId="70D8B142">
            <w:pPr>
              <w:widowControl/>
              <w:spacing w:line="360" w:lineRule="auto"/>
              <w:jc w:val="center"/>
              <w:rPr>
                <w:highlight w:val="none"/>
              </w:rPr>
            </w:pPr>
            <w:r>
              <w:rPr>
                <w:rFonts w:hint="eastAsia"/>
                <w:highlight w:val="none"/>
              </w:rPr>
              <w:t>0.008%</w:t>
            </w:r>
          </w:p>
        </w:tc>
      </w:tr>
      <w:tr w14:paraId="4EB50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60E39A9">
            <w:pPr>
              <w:widowControl/>
              <w:spacing w:line="360" w:lineRule="auto"/>
              <w:jc w:val="center"/>
              <w:rPr>
                <w:highlight w:val="none"/>
              </w:rPr>
            </w:pPr>
            <w:r>
              <w:rPr>
                <w:rFonts w:hint="eastAsia"/>
                <w:highlight w:val="none"/>
              </w:rPr>
              <w:t>50亿元（含）-100亿元</w:t>
            </w:r>
          </w:p>
        </w:tc>
        <w:tc>
          <w:tcPr>
            <w:tcW w:w="1799" w:type="dxa"/>
            <w:vAlign w:val="center"/>
          </w:tcPr>
          <w:p w14:paraId="6F44A40E">
            <w:pPr>
              <w:widowControl/>
              <w:spacing w:line="360" w:lineRule="auto"/>
              <w:jc w:val="center"/>
              <w:rPr>
                <w:highlight w:val="none"/>
              </w:rPr>
            </w:pPr>
            <w:r>
              <w:rPr>
                <w:rFonts w:hint="eastAsia"/>
                <w:highlight w:val="none"/>
              </w:rPr>
              <w:t>0.006%</w:t>
            </w:r>
          </w:p>
        </w:tc>
        <w:tc>
          <w:tcPr>
            <w:tcW w:w="1799" w:type="dxa"/>
            <w:vAlign w:val="center"/>
          </w:tcPr>
          <w:p w14:paraId="0EEA5A13">
            <w:pPr>
              <w:widowControl/>
              <w:spacing w:line="360" w:lineRule="auto"/>
              <w:jc w:val="center"/>
              <w:rPr>
                <w:highlight w:val="none"/>
              </w:rPr>
            </w:pPr>
            <w:r>
              <w:rPr>
                <w:rFonts w:hint="eastAsia"/>
                <w:highlight w:val="none"/>
              </w:rPr>
              <w:t>0.006%</w:t>
            </w:r>
          </w:p>
        </w:tc>
        <w:tc>
          <w:tcPr>
            <w:tcW w:w="1799" w:type="dxa"/>
            <w:vAlign w:val="center"/>
          </w:tcPr>
          <w:p w14:paraId="30E81F41">
            <w:pPr>
              <w:widowControl/>
              <w:spacing w:line="360" w:lineRule="auto"/>
              <w:jc w:val="center"/>
              <w:rPr>
                <w:highlight w:val="none"/>
              </w:rPr>
            </w:pPr>
            <w:r>
              <w:rPr>
                <w:rFonts w:hint="eastAsia"/>
                <w:highlight w:val="none"/>
              </w:rPr>
              <w:t>0.006%</w:t>
            </w:r>
          </w:p>
        </w:tc>
      </w:tr>
      <w:tr w14:paraId="11D81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0A1082E">
            <w:pPr>
              <w:widowControl/>
              <w:spacing w:line="360" w:lineRule="auto"/>
              <w:jc w:val="center"/>
              <w:rPr>
                <w:highlight w:val="none"/>
              </w:rPr>
            </w:pPr>
            <w:r>
              <w:rPr>
                <w:rFonts w:hint="eastAsia"/>
                <w:highlight w:val="none"/>
              </w:rPr>
              <w:t>100亿元（含）以上</w:t>
            </w:r>
          </w:p>
        </w:tc>
        <w:tc>
          <w:tcPr>
            <w:tcW w:w="1799" w:type="dxa"/>
            <w:vAlign w:val="center"/>
          </w:tcPr>
          <w:p w14:paraId="0BBE9E98">
            <w:pPr>
              <w:widowControl/>
              <w:spacing w:line="360" w:lineRule="auto"/>
              <w:jc w:val="center"/>
              <w:rPr>
                <w:highlight w:val="none"/>
              </w:rPr>
            </w:pPr>
            <w:r>
              <w:rPr>
                <w:rFonts w:hint="eastAsia"/>
                <w:highlight w:val="none"/>
              </w:rPr>
              <w:t>0.004%</w:t>
            </w:r>
          </w:p>
        </w:tc>
        <w:tc>
          <w:tcPr>
            <w:tcW w:w="1799" w:type="dxa"/>
            <w:vAlign w:val="center"/>
          </w:tcPr>
          <w:p w14:paraId="2D86DA6C">
            <w:pPr>
              <w:widowControl/>
              <w:spacing w:line="360" w:lineRule="auto"/>
              <w:jc w:val="center"/>
              <w:rPr>
                <w:highlight w:val="none"/>
              </w:rPr>
            </w:pPr>
            <w:r>
              <w:rPr>
                <w:rFonts w:hint="eastAsia"/>
                <w:highlight w:val="none"/>
              </w:rPr>
              <w:t>0.004%</w:t>
            </w:r>
          </w:p>
        </w:tc>
        <w:tc>
          <w:tcPr>
            <w:tcW w:w="1799" w:type="dxa"/>
            <w:vAlign w:val="center"/>
          </w:tcPr>
          <w:p w14:paraId="086A5614">
            <w:pPr>
              <w:widowControl/>
              <w:spacing w:line="360" w:lineRule="auto"/>
              <w:jc w:val="center"/>
              <w:rPr>
                <w:highlight w:val="none"/>
              </w:rPr>
            </w:pPr>
            <w:r>
              <w:rPr>
                <w:rFonts w:hint="eastAsia"/>
                <w:highlight w:val="none"/>
              </w:rPr>
              <w:t>0.004%</w:t>
            </w:r>
          </w:p>
        </w:tc>
      </w:tr>
    </w:tbl>
    <w:p w14:paraId="38FDB35E">
      <w:pPr>
        <w:ind w:firstLine="420" w:firstLineChars="200"/>
        <w:rPr>
          <w:highlight w:val="none"/>
        </w:rPr>
      </w:pPr>
      <w:r>
        <w:rPr>
          <w:rFonts w:hint="eastAsia"/>
          <w:highlight w:val="none"/>
        </w:rPr>
        <w:t>备注：如某货物采购项目，中标（成交）金额为600万元，总共交纳的代理服务费的具体计算过程如下：标准代理服务费＝（100万以下部分的代理服务费）+（100万～500万部分的代理服务费）+（500万～600万部分的代理服务费）＝100万元×1.5%+（500-100）万元×1.1%+（600-500）万元×0.8%=1.5万元+4.4万元+0.8万元＝6.7万元</w:t>
      </w:r>
    </w:p>
    <w:p w14:paraId="221158DD">
      <w:pPr>
        <w:ind w:firstLine="420" w:firstLineChars="200"/>
        <w:jc w:val="left"/>
        <w:rPr>
          <w:highlight w:val="none"/>
        </w:rPr>
      </w:pPr>
      <w:r>
        <w:rPr>
          <w:rFonts w:hint="eastAsia"/>
          <w:highlight w:val="none"/>
        </w:rPr>
        <w:t>（3）中标（成交）供应商中标（成交）后，必须按规定采用银行对公转账方式向</w:t>
      </w:r>
      <w:r>
        <w:rPr>
          <w:rFonts w:hint="eastAsia"/>
          <w:highlight w:val="none"/>
          <w:lang w:eastAsia="zh-CN"/>
        </w:rPr>
        <w:t>深圳交易咨询集团有限公司</w:t>
      </w:r>
      <w:r>
        <w:rPr>
          <w:rFonts w:hint="eastAsia"/>
          <w:highlight w:val="none"/>
        </w:rPr>
        <w:t>直接交纳代理服务费，具体交纳信息以《付款（缴款）通知书》内容为准。</w:t>
      </w:r>
    </w:p>
    <w:p w14:paraId="601F1CE8">
      <w:pPr>
        <w:rPr>
          <w:rFonts w:hint="eastAsia" w:ascii="宋体" w:hAnsi="宋体"/>
          <w:b/>
          <w:bCs/>
          <w:kern w:val="0"/>
          <w:sz w:val="28"/>
          <w:szCs w:val="28"/>
          <w:highlight w:val="none"/>
        </w:rPr>
      </w:pPr>
      <w:bookmarkStart w:id="31" w:name="_Toc128884461"/>
      <w:r>
        <w:rPr>
          <w:sz w:val="28"/>
          <w:szCs w:val="28"/>
          <w:highlight w:val="none"/>
        </w:rPr>
        <w:br w:type="page"/>
      </w:r>
    </w:p>
    <w:p w14:paraId="7720442B">
      <w:pPr>
        <w:pStyle w:val="5"/>
        <w:rPr>
          <w:rFonts w:hint="eastAsia"/>
          <w:sz w:val="28"/>
          <w:szCs w:val="28"/>
          <w:highlight w:val="none"/>
        </w:rPr>
      </w:pPr>
      <w:r>
        <w:rPr>
          <w:rFonts w:hint="eastAsia"/>
          <w:sz w:val="28"/>
          <w:szCs w:val="28"/>
          <w:highlight w:val="none"/>
        </w:rPr>
        <w:t>第三章 用户需求书</w:t>
      </w:r>
    </w:p>
    <w:p w14:paraId="396E4973">
      <w:pPr>
        <w:pStyle w:val="3"/>
        <w:bidi w:val="0"/>
        <w:jc w:val="center"/>
        <w:rPr>
          <w:rFonts w:hint="eastAsia"/>
          <w:sz w:val="24"/>
          <w:szCs w:val="28"/>
          <w:highlight w:val="none"/>
        </w:rPr>
      </w:pPr>
      <w:r>
        <w:rPr>
          <w:rFonts w:hint="eastAsia"/>
          <w:sz w:val="24"/>
          <w:szCs w:val="28"/>
          <w:highlight w:val="none"/>
        </w:rPr>
        <w:t>一、项目基本信息</w:t>
      </w:r>
    </w:p>
    <w:tbl>
      <w:tblPr>
        <w:tblStyle w:val="42"/>
        <w:tblW w:w="8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3087"/>
        <w:gridCol w:w="2740"/>
        <w:gridCol w:w="1923"/>
      </w:tblGrid>
      <w:tr w14:paraId="280AE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76" w:type="dxa"/>
            <w:vAlign w:val="center"/>
          </w:tcPr>
          <w:p w14:paraId="5470B6DA">
            <w:pPr>
              <w:jc w:val="center"/>
              <w:rPr>
                <w:rFonts w:hint="eastAsia" w:ascii="Times New Roman" w:hAnsi="Times New Roman" w:cs="Times New Roman"/>
                <w:bCs/>
                <w:szCs w:val="21"/>
                <w:highlight w:val="none"/>
              </w:rPr>
            </w:pPr>
            <w:r>
              <w:rPr>
                <w:rFonts w:hint="eastAsia" w:ascii="Times New Roman" w:hAnsi="Times New Roman" w:cs="Times New Roman"/>
                <w:bCs/>
                <w:szCs w:val="21"/>
                <w:highlight w:val="none"/>
              </w:rPr>
              <w:t>序号</w:t>
            </w:r>
          </w:p>
        </w:tc>
        <w:tc>
          <w:tcPr>
            <w:tcW w:w="3087" w:type="dxa"/>
            <w:vAlign w:val="center"/>
          </w:tcPr>
          <w:p w14:paraId="22643D53">
            <w:pPr>
              <w:jc w:val="center"/>
              <w:rPr>
                <w:rFonts w:hint="eastAsia" w:ascii="Times New Roman" w:hAnsi="Times New Roman" w:cs="Times New Roman"/>
                <w:bCs/>
                <w:szCs w:val="21"/>
                <w:highlight w:val="none"/>
              </w:rPr>
            </w:pPr>
            <w:r>
              <w:rPr>
                <w:rFonts w:hint="eastAsia" w:ascii="Times New Roman" w:hAnsi="Times New Roman" w:cs="Times New Roman"/>
                <w:bCs/>
                <w:szCs w:val="21"/>
                <w:highlight w:val="none"/>
              </w:rPr>
              <w:t>采购项目名称</w:t>
            </w:r>
          </w:p>
        </w:tc>
        <w:tc>
          <w:tcPr>
            <w:tcW w:w="2740" w:type="dxa"/>
            <w:vAlign w:val="center"/>
          </w:tcPr>
          <w:p w14:paraId="2706729D">
            <w:pPr>
              <w:jc w:val="center"/>
              <w:rPr>
                <w:rFonts w:hint="eastAsia" w:ascii="Times New Roman" w:hAnsi="Times New Roman" w:cs="Times New Roman"/>
                <w:bCs/>
                <w:szCs w:val="21"/>
                <w:highlight w:val="none"/>
              </w:rPr>
            </w:pPr>
            <w:r>
              <w:rPr>
                <w:rFonts w:hint="eastAsia" w:ascii="Times New Roman" w:hAnsi="Times New Roman" w:cs="Times New Roman"/>
                <w:bCs/>
                <w:szCs w:val="21"/>
                <w:highlight w:val="none"/>
              </w:rPr>
              <w:t>预算金额（元）</w:t>
            </w:r>
          </w:p>
        </w:tc>
        <w:tc>
          <w:tcPr>
            <w:tcW w:w="1923" w:type="dxa"/>
            <w:vAlign w:val="center"/>
          </w:tcPr>
          <w:p w14:paraId="3B3C1E6B">
            <w:pPr>
              <w:jc w:val="center"/>
              <w:rPr>
                <w:rFonts w:hint="eastAsia" w:ascii="Times New Roman" w:hAnsi="Times New Roman" w:cs="Times New Roman"/>
                <w:bCs/>
                <w:szCs w:val="21"/>
                <w:highlight w:val="none"/>
              </w:rPr>
            </w:pPr>
            <w:r>
              <w:rPr>
                <w:rFonts w:hint="eastAsia" w:ascii="Times New Roman" w:hAnsi="Times New Roman" w:cs="Times New Roman"/>
                <w:bCs/>
                <w:szCs w:val="21"/>
                <w:highlight w:val="none"/>
              </w:rPr>
              <w:t>最高限价（元）</w:t>
            </w:r>
          </w:p>
        </w:tc>
      </w:tr>
      <w:tr w14:paraId="3148A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76" w:type="dxa"/>
            <w:vAlign w:val="center"/>
          </w:tcPr>
          <w:p w14:paraId="78D67EC0">
            <w:pPr>
              <w:jc w:val="center"/>
              <w:rPr>
                <w:bCs/>
                <w:color w:val="0000FF"/>
                <w:szCs w:val="21"/>
                <w:highlight w:val="none"/>
              </w:rPr>
            </w:pPr>
            <w:r>
              <w:rPr>
                <w:rFonts w:hint="eastAsia"/>
                <w:bCs/>
                <w:color w:val="0000FF"/>
                <w:szCs w:val="21"/>
                <w:highlight w:val="none"/>
              </w:rPr>
              <w:t>1</w:t>
            </w:r>
          </w:p>
        </w:tc>
        <w:tc>
          <w:tcPr>
            <w:tcW w:w="3087" w:type="dxa"/>
            <w:vAlign w:val="center"/>
          </w:tcPr>
          <w:p w14:paraId="54A2679F">
            <w:pPr>
              <w:jc w:val="center"/>
              <w:rPr>
                <w:rFonts w:hint="eastAsia" w:eastAsia="宋体"/>
                <w:b w:val="0"/>
                <w:bCs w:val="0"/>
                <w:color w:val="0000FF"/>
                <w:szCs w:val="21"/>
                <w:highlight w:val="none"/>
                <w:lang w:eastAsia="zh-CN"/>
              </w:rPr>
            </w:pPr>
            <w:r>
              <w:rPr>
                <w:rFonts w:hint="eastAsia"/>
                <w:b w:val="0"/>
                <w:bCs w:val="0"/>
                <w:color w:val="0000FF"/>
                <w:szCs w:val="21"/>
                <w:highlight w:val="none"/>
                <w:lang w:eastAsia="zh-CN"/>
              </w:rPr>
              <w:t>深圳市宝安区人民医院口腔颌面锥形束计算机体层摄影设备(CBCT)采购</w:t>
            </w:r>
          </w:p>
        </w:tc>
        <w:tc>
          <w:tcPr>
            <w:tcW w:w="2740" w:type="dxa"/>
            <w:vAlign w:val="center"/>
          </w:tcPr>
          <w:p w14:paraId="3A0BB7A9">
            <w:pPr>
              <w:jc w:val="center"/>
              <w:rPr>
                <w:rFonts w:hint="eastAsia" w:eastAsia="宋体"/>
                <w:b w:val="0"/>
                <w:bCs w:val="0"/>
                <w:color w:val="0000FF"/>
                <w:szCs w:val="21"/>
                <w:highlight w:val="none"/>
                <w:lang w:eastAsia="zh-CN"/>
              </w:rPr>
            </w:pPr>
            <w:r>
              <w:rPr>
                <w:rFonts w:hint="eastAsia"/>
                <w:b w:val="0"/>
                <w:bCs w:val="0"/>
                <w:color w:val="0000FF"/>
                <w:szCs w:val="21"/>
                <w:highlight w:val="none"/>
                <w:lang w:val="en-US" w:eastAsia="zh-CN"/>
              </w:rPr>
              <w:t>500,000.00</w:t>
            </w:r>
          </w:p>
        </w:tc>
        <w:tc>
          <w:tcPr>
            <w:tcW w:w="1923" w:type="dxa"/>
            <w:vAlign w:val="center"/>
          </w:tcPr>
          <w:p w14:paraId="46999155">
            <w:pPr>
              <w:jc w:val="center"/>
              <w:rPr>
                <w:rFonts w:hint="eastAsia" w:eastAsia="宋体"/>
                <w:b w:val="0"/>
                <w:bCs w:val="0"/>
                <w:color w:val="0000FF"/>
                <w:szCs w:val="21"/>
                <w:highlight w:val="none"/>
                <w:lang w:val="en-US" w:eastAsia="zh-CN"/>
              </w:rPr>
            </w:pPr>
            <w:r>
              <w:rPr>
                <w:rFonts w:hint="eastAsia"/>
                <w:b w:val="0"/>
                <w:bCs w:val="0"/>
                <w:color w:val="0000FF"/>
                <w:szCs w:val="21"/>
                <w:highlight w:val="none"/>
                <w:lang w:val="en-US" w:eastAsia="zh-CN"/>
              </w:rPr>
              <w:t>490,000.00</w:t>
            </w:r>
          </w:p>
        </w:tc>
      </w:tr>
    </w:tbl>
    <w:p w14:paraId="1DE2ABDB">
      <w:pPr>
        <w:rPr>
          <w:highlight w:val="none"/>
        </w:rPr>
      </w:pPr>
    </w:p>
    <w:p w14:paraId="092A38E6">
      <w:pPr>
        <w:pStyle w:val="3"/>
        <w:bidi w:val="0"/>
        <w:jc w:val="center"/>
        <w:rPr>
          <w:rFonts w:hint="eastAsia"/>
          <w:sz w:val="24"/>
          <w:szCs w:val="28"/>
          <w:highlight w:val="none"/>
        </w:rPr>
      </w:pPr>
      <w:r>
        <w:rPr>
          <w:rFonts w:hint="eastAsia"/>
          <w:sz w:val="24"/>
          <w:szCs w:val="28"/>
          <w:highlight w:val="none"/>
        </w:rPr>
        <w:t>二、货物需求明细</w:t>
      </w:r>
    </w:p>
    <w:tbl>
      <w:tblPr>
        <w:tblStyle w:val="42"/>
        <w:tblW w:w="8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2489"/>
        <w:gridCol w:w="698"/>
        <w:gridCol w:w="942"/>
        <w:gridCol w:w="1133"/>
        <w:gridCol w:w="2374"/>
      </w:tblGrid>
      <w:tr w14:paraId="0F323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0" w:type="dxa"/>
            <w:vAlign w:val="center"/>
          </w:tcPr>
          <w:p w14:paraId="50B90EC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b/>
                <w:color w:val="0000FF"/>
                <w:highlight w:val="none"/>
              </w:rPr>
            </w:pPr>
            <w:r>
              <w:rPr>
                <w:rFonts w:ascii="宋体" w:hAnsi="宋体"/>
                <w:b/>
                <w:color w:val="0000FF"/>
                <w:highlight w:val="none"/>
              </w:rPr>
              <w:t>序号</w:t>
            </w:r>
          </w:p>
        </w:tc>
        <w:tc>
          <w:tcPr>
            <w:tcW w:w="2489" w:type="dxa"/>
            <w:vAlign w:val="center"/>
          </w:tcPr>
          <w:p w14:paraId="2A15E00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b/>
                <w:color w:val="0000FF"/>
                <w:highlight w:val="none"/>
              </w:rPr>
            </w:pPr>
            <w:r>
              <w:rPr>
                <w:rFonts w:hint="eastAsia" w:ascii="宋体" w:hAnsi="宋体"/>
                <w:b/>
                <w:color w:val="0000FF"/>
                <w:highlight w:val="none"/>
              </w:rPr>
              <w:t>货物</w:t>
            </w:r>
            <w:r>
              <w:rPr>
                <w:rFonts w:hint="eastAsia" w:ascii="宋体" w:hAnsi="宋体"/>
                <w:b/>
                <w:color w:val="0000FF"/>
                <w:highlight w:val="none"/>
                <w:lang w:eastAsia="zh-CN"/>
              </w:rPr>
              <w:t>（</w:t>
            </w:r>
            <w:r>
              <w:rPr>
                <w:rFonts w:hint="eastAsia" w:ascii="宋体" w:hAnsi="宋体"/>
                <w:b/>
                <w:color w:val="0000FF"/>
                <w:highlight w:val="none"/>
                <w:lang w:val="en-US" w:eastAsia="zh-CN"/>
              </w:rPr>
              <w:t>标的</w:t>
            </w:r>
            <w:r>
              <w:rPr>
                <w:rFonts w:hint="eastAsia" w:ascii="宋体" w:hAnsi="宋体"/>
                <w:b/>
                <w:color w:val="0000FF"/>
                <w:highlight w:val="none"/>
                <w:lang w:eastAsia="zh-CN"/>
              </w:rPr>
              <w:t>）</w:t>
            </w:r>
            <w:r>
              <w:rPr>
                <w:rFonts w:ascii="宋体" w:hAnsi="宋体"/>
                <w:b/>
                <w:color w:val="0000FF"/>
                <w:highlight w:val="none"/>
              </w:rPr>
              <w:t>名称</w:t>
            </w:r>
          </w:p>
        </w:tc>
        <w:tc>
          <w:tcPr>
            <w:tcW w:w="698" w:type="dxa"/>
            <w:vAlign w:val="center"/>
          </w:tcPr>
          <w:p w14:paraId="0DAC19A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b/>
                <w:color w:val="0000FF"/>
                <w:highlight w:val="none"/>
              </w:rPr>
            </w:pPr>
            <w:r>
              <w:rPr>
                <w:rFonts w:ascii="宋体" w:hAnsi="宋体"/>
                <w:b/>
                <w:color w:val="0000FF"/>
                <w:highlight w:val="none"/>
              </w:rPr>
              <w:t>数量</w:t>
            </w:r>
          </w:p>
        </w:tc>
        <w:tc>
          <w:tcPr>
            <w:tcW w:w="942" w:type="dxa"/>
            <w:vAlign w:val="center"/>
          </w:tcPr>
          <w:p w14:paraId="5CF0145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b/>
                <w:color w:val="0000FF"/>
                <w:highlight w:val="none"/>
              </w:rPr>
            </w:pPr>
            <w:r>
              <w:rPr>
                <w:rFonts w:ascii="宋体" w:hAnsi="宋体"/>
                <w:b/>
                <w:color w:val="0000FF"/>
                <w:highlight w:val="none"/>
              </w:rPr>
              <w:t>单位</w:t>
            </w:r>
          </w:p>
        </w:tc>
        <w:tc>
          <w:tcPr>
            <w:tcW w:w="1133" w:type="dxa"/>
            <w:vAlign w:val="center"/>
          </w:tcPr>
          <w:p w14:paraId="0A94FD4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color w:val="0000FF"/>
                <w:szCs w:val="21"/>
                <w:highlight w:val="none"/>
              </w:rPr>
            </w:pPr>
            <w:r>
              <w:rPr>
                <w:rFonts w:hint="eastAsia"/>
                <w:b/>
                <w:color w:val="0000FF"/>
                <w:szCs w:val="21"/>
                <w:highlight w:val="none"/>
              </w:rPr>
              <w:t>备注</w:t>
            </w:r>
          </w:p>
        </w:tc>
        <w:tc>
          <w:tcPr>
            <w:tcW w:w="2374" w:type="dxa"/>
            <w:vAlign w:val="center"/>
          </w:tcPr>
          <w:p w14:paraId="3BBFA18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b/>
                <w:color w:val="0000FF"/>
                <w:szCs w:val="21"/>
                <w:highlight w:val="none"/>
              </w:rPr>
            </w:pPr>
            <w:r>
              <w:rPr>
                <w:rFonts w:hint="eastAsia" w:ascii="宋体" w:hAnsi="宋体"/>
                <w:b/>
                <w:color w:val="0000FF"/>
                <w:highlight w:val="none"/>
              </w:rPr>
              <w:t>单套控制金额(万元)</w:t>
            </w:r>
          </w:p>
        </w:tc>
      </w:tr>
      <w:tr w14:paraId="100CF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0" w:type="dxa"/>
            <w:vAlign w:val="center"/>
          </w:tcPr>
          <w:p w14:paraId="5D3F7C8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olor w:val="0000FF"/>
                <w:highlight w:val="none"/>
              </w:rPr>
            </w:pPr>
            <w:r>
              <w:rPr>
                <w:rFonts w:ascii="宋体" w:hAnsi="宋体"/>
                <w:color w:val="0000FF"/>
                <w:highlight w:val="none"/>
              </w:rPr>
              <w:t>1</w:t>
            </w:r>
          </w:p>
        </w:tc>
        <w:tc>
          <w:tcPr>
            <w:tcW w:w="2489" w:type="dxa"/>
            <w:vAlign w:val="center"/>
          </w:tcPr>
          <w:p w14:paraId="28E81EF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b w:val="0"/>
                <w:bCs w:val="0"/>
                <w:color w:val="0000FF"/>
                <w:highlight w:val="none"/>
                <w:lang w:eastAsia="zh-CN"/>
              </w:rPr>
            </w:pPr>
            <w:r>
              <w:rPr>
                <w:rFonts w:hint="eastAsia"/>
                <w:b w:val="0"/>
                <w:bCs w:val="0"/>
                <w:color w:val="0000FF"/>
                <w:highlight w:val="none"/>
                <w:lang w:eastAsia="zh-CN"/>
              </w:rPr>
              <w:t>口腔颌面锥形束计算机体层摄影设备(CBCT)</w:t>
            </w:r>
          </w:p>
        </w:tc>
        <w:tc>
          <w:tcPr>
            <w:tcW w:w="698" w:type="dxa"/>
            <w:vAlign w:val="center"/>
          </w:tcPr>
          <w:p w14:paraId="3E76EB9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b w:val="0"/>
                <w:bCs w:val="0"/>
                <w:color w:val="0000FF"/>
                <w:highlight w:val="none"/>
              </w:rPr>
            </w:pPr>
            <w:r>
              <w:rPr>
                <w:rFonts w:hint="eastAsia"/>
                <w:b w:val="0"/>
                <w:bCs w:val="0"/>
                <w:color w:val="0000FF"/>
                <w:szCs w:val="21"/>
                <w:highlight w:val="none"/>
                <w:lang w:val="en-US" w:eastAsia="zh-CN"/>
              </w:rPr>
              <w:t>1</w:t>
            </w:r>
          </w:p>
        </w:tc>
        <w:tc>
          <w:tcPr>
            <w:tcW w:w="942" w:type="dxa"/>
            <w:vAlign w:val="center"/>
          </w:tcPr>
          <w:p w14:paraId="0570A07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b w:val="0"/>
                <w:bCs w:val="0"/>
                <w:color w:val="0000FF"/>
                <w:highlight w:val="none"/>
              </w:rPr>
            </w:pPr>
            <w:r>
              <w:rPr>
                <w:rFonts w:hint="eastAsia"/>
                <w:b w:val="0"/>
                <w:bCs w:val="0"/>
                <w:color w:val="0000FF"/>
                <w:szCs w:val="21"/>
                <w:highlight w:val="none"/>
                <w:lang w:val="en-US" w:eastAsia="zh-CN"/>
              </w:rPr>
              <w:t>套</w:t>
            </w:r>
          </w:p>
        </w:tc>
        <w:tc>
          <w:tcPr>
            <w:tcW w:w="1133" w:type="dxa"/>
            <w:vAlign w:val="center"/>
          </w:tcPr>
          <w:p w14:paraId="61DC182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val="0"/>
                <w:bCs w:val="0"/>
                <w:color w:val="0000FF"/>
                <w:szCs w:val="21"/>
                <w:highlight w:val="none"/>
              </w:rPr>
            </w:pPr>
            <w:r>
              <w:rPr>
                <w:rFonts w:hint="eastAsia"/>
                <w:b w:val="0"/>
                <w:bCs w:val="0"/>
                <w:color w:val="0000FF"/>
                <w:szCs w:val="21"/>
                <w:highlight w:val="none"/>
                <w:lang w:val="en-US" w:eastAsia="zh-CN"/>
              </w:rPr>
              <w:t>拒绝</w:t>
            </w:r>
            <w:r>
              <w:rPr>
                <w:rFonts w:hint="eastAsia"/>
                <w:b w:val="0"/>
                <w:bCs w:val="0"/>
                <w:color w:val="0000FF"/>
                <w:szCs w:val="21"/>
                <w:highlight w:val="none"/>
              </w:rPr>
              <w:t>进口</w:t>
            </w:r>
          </w:p>
        </w:tc>
        <w:tc>
          <w:tcPr>
            <w:tcW w:w="2374" w:type="dxa"/>
            <w:vAlign w:val="center"/>
          </w:tcPr>
          <w:p w14:paraId="2919E0E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b w:val="0"/>
                <w:bCs w:val="0"/>
                <w:color w:val="0000FF"/>
                <w:szCs w:val="21"/>
                <w:highlight w:val="none"/>
                <w:lang w:val="en-US"/>
              </w:rPr>
            </w:pPr>
            <w:r>
              <w:rPr>
                <w:rFonts w:hint="eastAsia"/>
                <w:b w:val="0"/>
                <w:bCs w:val="0"/>
                <w:color w:val="0000FF"/>
                <w:szCs w:val="21"/>
                <w:highlight w:val="none"/>
                <w:lang w:val="en-US" w:eastAsia="zh-CN"/>
              </w:rPr>
              <w:t>49</w:t>
            </w:r>
          </w:p>
        </w:tc>
      </w:tr>
    </w:tbl>
    <w:p w14:paraId="07D3ACD2">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b/>
          <w:color w:val="0000FF"/>
          <w:szCs w:val="21"/>
          <w:highlight w:val="none"/>
        </w:rPr>
      </w:pPr>
      <w:r>
        <w:rPr>
          <w:rFonts w:hint="eastAsia" w:ascii="宋体" w:hAnsi="宋体"/>
          <w:b/>
          <w:color w:val="0000FF"/>
          <w:szCs w:val="21"/>
          <w:highlight w:val="none"/>
        </w:rPr>
        <w:t>备注：</w:t>
      </w:r>
    </w:p>
    <w:p w14:paraId="02A9721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textAlignment w:val="auto"/>
        <w:rPr>
          <w:rFonts w:hint="eastAsia" w:ascii="宋体" w:hAnsi="宋体"/>
          <w:b/>
          <w:color w:val="0000FF"/>
          <w:szCs w:val="21"/>
          <w:highlight w:val="none"/>
        </w:rPr>
      </w:pPr>
      <w:r>
        <w:rPr>
          <w:rFonts w:hint="eastAsia" w:ascii="宋体" w:hAnsi="宋体" w:eastAsia="宋体" w:cs="Times New Roman"/>
          <w:b/>
          <w:color w:val="0000FF"/>
          <w:kern w:val="2"/>
          <w:sz w:val="21"/>
          <w:szCs w:val="21"/>
          <w:highlight w:val="none"/>
          <w:lang w:val="en-US" w:eastAsia="zh-CN" w:bidi="ar-SA"/>
        </w:rPr>
        <w:t>1.</w:t>
      </w:r>
      <w:r>
        <w:rPr>
          <w:rFonts w:hint="eastAsia" w:ascii="宋体" w:hAnsi="宋体"/>
          <w:b/>
          <w:color w:val="0000FF"/>
          <w:szCs w:val="21"/>
          <w:highlight w:val="none"/>
        </w:rPr>
        <w:t>备注栏注明“拒绝进口”的产品不接受投标人选用进口产品参与投标；注明“接受进口”的产品允许投标人选用进口产品参与投标，但不排斥国内产品。</w:t>
      </w:r>
    </w:p>
    <w:p w14:paraId="638CBAF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textAlignment w:val="auto"/>
        <w:rPr>
          <w:rFonts w:hint="eastAsia" w:ascii="宋体" w:hAnsi="宋体"/>
          <w:b/>
          <w:color w:val="0000FF"/>
          <w:szCs w:val="21"/>
          <w:highlight w:val="none"/>
        </w:rPr>
      </w:pPr>
      <w:r>
        <w:rPr>
          <w:rFonts w:hint="eastAsia" w:ascii="宋体" w:hAnsi="宋体" w:eastAsia="宋体" w:cs="Times New Roman"/>
          <w:b/>
          <w:color w:val="0000FF"/>
          <w:kern w:val="2"/>
          <w:sz w:val="21"/>
          <w:szCs w:val="21"/>
          <w:highlight w:val="none"/>
          <w:lang w:val="en-US" w:eastAsia="zh-CN" w:bidi="ar-SA"/>
        </w:rPr>
        <w:t>2.</w:t>
      </w:r>
      <w:r>
        <w:rPr>
          <w:rFonts w:hint="eastAsia" w:ascii="宋体" w:hAnsi="宋体"/>
          <w:b/>
          <w:color w:val="0000FF"/>
          <w:szCs w:val="21"/>
          <w:highlight w:val="none"/>
        </w:rPr>
        <w:t>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号文及深财购[2009]5号文的相关规定为准。</w:t>
      </w:r>
    </w:p>
    <w:p w14:paraId="6E46B20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Times New Roman"/>
          <w:b/>
          <w:color w:val="0000FF"/>
          <w:szCs w:val="21"/>
          <w:highlight w:val="none"/>
        </w:rPr>
      </w:pPr>
      <w:r>
        <w:rPr>
          <w:rFonts w:hint="eastAsia" w:ascii="宋体" w:hAnsi="宋体" w:eastAsia="宋体" w:cs="Times New Roman"/>
          <w:b/>
          <w:color w:val="0000FF"/>
          <w:szCs w:val="21"/>
          <w:highlight w:val="none"/>
          <w:lang w:val="en-US" w:eastAsia="zh-CN"/>
        </w:rPr>
        <w:t>★</w:t>
      </w:r>
      <w:r>
        <w:rPr>
          <w:rFonts w:hint="eastAsia" w:ascii="宋体" w:hAnsi="宋体" w:cs="Times New Roman"/>
          <w:b/>
          <w:color w:val="0000FF"/>
          <w:szCs w:val="21"/>
          <w:highlight w:val="none"/>
          <w:lang w:val="en-US" w:eastAsia="zh-CN"/>
        </w:rPr>
        <w:t>3.</w:t>
      </w:r>
      <w:r>
        <w:rPr>
          <w:rFonts w:hint="eastAsia" w:ascii="宋体" w:hAnsi="宋体" w:eastAsia="宋体" w:cs="Times New Roman"/>
          <w:b/>
          <w:color w:val="0000FF"/>
          <w:szCs w:val="21"/>
          <w:highlight w:val="none"/>
        </w:rPr>
        <w:t>如注明有单</w:t>
      </w:r>
      <w:r>
        <w:rPr>
          <w:rFonts w:hint="eastAsia" w:ascii="宋体" w:hAnsi="宋体" w:cs="Times New Roman"/>
          <w:b/>
          <w:color w:val="0000FF"/>
          <w:szCs w:val="21"/>
          <w:highlight w:val="none"/>
          <w:lang w:val="en-US" w:eastAsia="zh-CN"/>
        </w:rPr>
        <w:t>套</w:t>
      </w:r>
      <w:r>
        <w:rPr>
          <w:rFonts w:hint="eastAsia" w:ascii="宋体" w:hAnsi="宋体" w:eastAsia="宋体" w:cs="Times New Roman"/>
          <w:b/>
          <w:color w:val="0000FF"/>
          <w:szCs w:val="21"/>
          <w:highlight w:val="none"/>
        </w:rPr>
        <w:t>控制金额的产品，投标人对该产品的报价不得超过控制金额，否则将作投标无效处理。</w:t>
      </w:r>
    </w:p>
    <w:p w14:paraId="4E81E49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textAlignment w:val="auto"/>
        <w:rPr>
          <w:rFonts w:ascii="宋体" w:hAnsi="宋体"/>
          <w:b/>
          <w:color w:val="auto"/>
          <w:szCs w:val="21"/>
          <w:highlight w:val="none"/>
        </w:rPr>
      </w:pPr>
      <w:r>
        <w:rPr>
          <w:rFonts w:hint="eastAsia" w:ascii="宋体" w:hAnsi="宋体" w:cs="Times New Roman"/>
          <w:b/>
          <w:color w:val="0000FF"/>
          <w:szCs w:val="21"/>
          <w:highlight w:val="none"/>
          <w:lang w:val="en-US" w:eastAsia="zh-CN"/>
        </w:rPr>
        <w:t>4.</w:t>
      </w:r>
      <w:r>
        <w:rPr>
          <w:rFonts w:hint="eastAsia" w:ascii="宋体" w:hAnsi="宋体" w:eastAsia="宋体" w:cs="Times New Roman"/>
          <w:b/>
          <w:color w:val="0000FF"/>
          <w:szCs w:val="21"/>
          <w:highlight w:val="none"/>
          <w:lang w:val="en-US" w:eastAsia="zh-CN"/>
        </w:rPr>
        <w:t>根据《政府采购货物和服务招标投标管理办法》（财政部令第87号）第三十一条规定，单一产品项目或非单一产品项目中的核心产品均应明确品牌，如未填报品牌信息的，所造成的后果由供应商自行承担。</w:t>
      </w:r>
    </w:p>
    <w:p w14:paraId="47633198">
      <w:pPr>
        <w:pStyle w:val="35"/>
        <w:rPr>
          <w:highlight w:val="none"/>
        </w:rPr>
      </w:pPr>
    </w:p>
    <w:p w14:paraId="6DC7BC27">
      <w:pPr>
        <w:pStyle w:val="3"/>
        <w:bidi w:val="0"/>
        <w:jc w:val="center"/>
        <w:rPr>
          <w:rFonts w:hint="eastAsia"/>
          <w:sz w:val="24"/>
          <w:szCs w:val="28"/>
          <w:highlight w:val="none"/>
        </w:rPr>
      </w:pPr>
      <w:r>
        <w:rPr>
          <w:rFonts w:hint="eastAsia"/>
          <w:sz w:val="24"/>
          <w:szCs w:val="28"/>
          <w:highlight w:val="none"/>
        </w:rPr>
        <w:t>三、实质性条款</w:t>
      </w:r>
    </w:p>
    <w:tbl>
      <w:tblPr>
        <w:tblStyle w:val="42"/>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7654"/>
      </w:tblGrid>
      <w:tr w14:paraId="3457E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5F95422E">
            <w:pPr>
              <w:adjustRightInd w:val="0"/>
              <w:snapToGrid w:val="0"/>
              <w:spacing w:line="360" w:lineRule="auto"/>
              <w:jc w:val="center"/>
              <w:rPr>
                <w:rFonts w:hint="eastAsia" w:ascii="宋体" w:hAnsi="宋体"/>
                <w:color w:val="0000FF"/>
                <w:kern w:val="0"/>
                <w:szCs w:val="21"/>
                <w:highlight w:val="none"/>
              </w:rPr>
            </w:pPr>
            <w:r>
              <w:rPr>
                <w:rFonts w:hint="eastAsia" w:ascii="宋体" w:hAnsi="宋体"/>
                <w:color w:val="0000FF"/>
                <w:kern w:val="0"/>
                <w:szCs w:val="21"/>
                <w:highlight w:val="none"/>
              </w:rPr>
              <w:t>序号</w:t>
            </w:r>
          </w:p>
        </w:tc>
        <w:tc>
          <w:tcPr>
            <w:tcW w:w="7654" w:type="dxa"/>
          </w:tcPr>
          <w:p w14:paraId="2C9F12FF">
            <w:pPr>
              <w:adjustRightInd w:val="0"/>
              <w:snapToGrid w:val="0"/>
              <w:spacing w:line="360" w:lineRule="auto"/>
              <w:jc w:val="center"/>
              <w:rPr>
                <w:rFonts w:hint="eastAsia" w:ascii="宋体" w:hAnsi="宋体"/>
                <w:color w:val="0000FF"/>
                <w:kern w:val="0"/>
                <w:szCs w:val="21"/>
                <w:highlight w:val="none"/>
              </w:rPr>
            </w:pPr>
            <w:r>
              <w:rPr>
                <w:rFonts w:hint="eastAsia" w:ascii="宋体" w:hAnsi="宋体"/>
                <w:color w:val="0000FF"/>
                <w:kern w:val="0"/>
                <w:szCs w:val="21"/>
                <w:highlight w:val="none"/>
              </w:rPr>
              <w:t>实质性条款具体内容</w:t>
            </w:r>
          </w:p>
        </w:tc>
      </w:tr>
      <w:tr w14:paraId="22C48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19360AB3">
            <w:pPr>
              <w:adjustRightInd w:val="0"/>
              <w:snapToGrid w:val="0"/>
              <w:spacing w:line="360" w:lineRule="auto"/>
              <w:jc w:val="center"/>
              <w:rPr>
                <w:rFonts w:hint="eastAsia" w:ascii="宋体" w:hAnsi="宋体"/>
                <w:color w:val="0000FF"/>
                <w:kern w:val="0"/>
                <w:szCs w:val="21"/>
                <w:highlight w:val="none"/>
              </w:rPr>
            </w:pPr>
            <w:r>
              <w:rPr>
                <w:rFonts w:hint="eastAsia" w:ascii="宋体" w:hAnsi="宋体"/>
                <w:color w:val="0000FF"/>
                <w:kern w:val="0"/>
                <w:szCs w:val="21"/>
                <w:highlight w:val="none"/>
              </w:rPr>
              <w:t>1</w:t>
            </w:r>
          </w:p>
        </w:tc>
        <w:tc>
          <w:tcPr>
            <w:tcW w:w="7654" w:type="dxa"/>
          </w:tcPr>
          <w:p w14:paraId="45791D90">
            <w:pPr>
              <w:rPr>
                <w:rFonts w:hint="eastAsia" w:hAnsi="宋体" w:eastAsiaTheme="minorEastAsia"/>
                <w:color w:val="0000FF"/>
                <w:kern w:val="0"/>
                <w:szCs w:val="21"/>
                <w:highlight w:val="none"/>
              </w:rPr>
            </w:pPr>
            <w:r>
              <w:rPr>
                <w:rFonts w:hint="eastAsia"/>
                <w:color w:val="0000FF"/>
                <w:highlight w:val="none"/>
              </w:rPr>
              <w:t>满足本项目标★的条款要求</w:t>
            </w:r>
          </w:p>
        </w:tc>
      </w:tr>
      <w:bookmarkEnd w:id="31"/>
    </w:tbl>
    <w:p w14:paraId="6D6C6CFA">
      <w:pPr>
        <w:rPr>
          <w:rFonts w:ascii="宋体"/>
          <w:b/>
          <w:kern w:val="0"/>
          <w:sz w:val="24"/>
          <w:szCs w:val="20"/>
          <w:highlight w:val="none"/>
        </w:rPr>
      </w:pPr>
      <w:r>
        <w:rPr>
          <w:rFonts w:ascii="宋体"/>
          <w:b/>
          <w:kern w:val="0"/>
          <w:sz w:val="24"/>
          <w:szCs w:val="20"/>
          <w:highlight w:val="none"/>
        </w:rPr>
        <w:t>注：上表所列内容为不可负偏离条款，负偏离将视为未实质性满足</w:t>
      </w:r>
      <w:r>
        <w:rPr>
          <w:rFonts w:hint="eastAsia" w:ascii="宋体"/>
          <w:b/>
          <w:kern w:val="0"/>
          <w:sz w:val="24"/>
          <w:szCs w:val="20"/>
          <w:highlight w:val="none"/>
        </w:rPr>
        <w:t>招标</w:t>
      </w:r>
      <w:r>
        <w:rPr>
          <w:rFonts w:ascii="宋体"/>
          <w:b/>
          <w:kern w:val="0"/>
          <w:sz w:val="24"/>
          <w:szCs w:val="20"/>
          <w:highlight w:val="none"/>
        </w:rPr>
        <w:t>文件要求和条件作投标无效处理。</w:t>
      </w:r>
    </w:p>
    <w:p w14:paraId="23AD7520">
      <w:pPr>
        <w:pStyle w:val="18"/>
        <w:rPr>
          <w:rFonts w:ascii="宋体"/>
          <w:kern w:val="0"/>
          <w:szCs w:val="20"/>
          <w:highlight w:val="none"/>
        </w:rPr>
      </w:pPr>
    </w:p>
    <w:p w14:paraId="433F9DD7">
      <w:pPr>
        <w:pStyle w:val="3"/>
        <w:bidi w:val="0"/>
        <w:jc w:val="center"/>
        <w:rPr>
          <w:rFonts w:hint="eastAsia"/>
          <w:sz w:val="24"/>
          <w:szCs w:val="28"/>
          <w:highlight w:val="none"/>
        </w:rPr>
      </w:pPr>
      <w:r>
        <w:rPr>
          <w:rFonts w:hint="eastAsia"/>
          <w:sz w:val="24"/>
          <w:szCs w:val="28"/>
          <w:highlight w:val="none"/>
        </w:rPr>
        <w:t>四、技术要求</w:t>
      </w:r>
    </w:p>
    <w:p w14:paraId="355DDE44">
      <w:pPr>
        <w:pageBreakBefore w:val="0"/>
        <w:kinsoku/>
        <w:wordWrap/>
        <w:overflowPunct/>
        <w:topLinePunct w:val="0"/>
        <w:bidi w:val="0"/>
        <w:snapToGrid/>
        <w:spacing w:line="240" w:lineRule="auto"/>
        <w:ind w:firstLine="422" w:firstLineChars="200"/>
        <w:rPr>
          <w:rFonts w:hint="eastAsia" w:ascii="宋体" w:hAnsi="宋体" w:cs="宋体"/>
          <w:b/>
          <w:color w:val="0000FF"/>
          <w:szCs w:val="21"/>
          <w:highlight w:val="none"/>
        </w:rPr>
      </w:pPr>
      <w:r>
        <w:rPr>
          <w:rFonts w:hint="eastAsia" w:ascii="宋体" w:hAnsi="宋体" w:cs="宋体"/>
          <w:b/>
          <w:color w:val="0000FF"/>
          <w:szCs w:val="21"/>
          <w:highlight w:val="none"/>
        </w:rPr>
        <w:t>说明：</w:t>
      </w:r>
    </w:p>
    <w:p w14:paraId="471A6A6E">
      <w:pPr>
        <w:pageBreakBefore w:val="0"/>
        <w:kinsoku/>
        <w:wordWrap/>
        <w:overflowPunct/>
        <w:topLinePunct w:val="0"/>
        <w:bidi w:val="0"/>
        <w:snapToGrid/>
        <w:spacing w:line="240" w:lineRule="auto"/>
        <w:ind w:firstLine="422" w:firstLineChars="200"/>
        <w:rPr>
          <w:rFonts w:hint="eastAsia" w:ascii="宋体" w:hAnsi="宋体" w:cs="宋体"/>
          <w:b/>
          <w:color w:val="0000FF"/>
          <w:szCs w:val="21"/>
          <w:highlight w:val="none"/>
        </w:rPr>
      </w:pPr>
      <w:r>
        <w:rPr>
          <w:rFonts w:hint="eastAsia" w:ascii="宋体" w:hAnsi="宋体" w:cs="宋体"/>
          <w:b/>
          <w:color w:val="0000FF"/>
          <w:szCs w:val="21"/>
          <w:highlight w:val="none"/>
        </w:rPr>
        <w:t>1、带</w:t>
      </w:r>
      <w:r>
        <w:rPr>
          <w:rFonts w:hint="eastAsia" w:ascii="宋体" w:hAnsi="宋体" w:cs="宋体"/>
          <w:b/>
          <w:bCs/>
          <w:color w:val="0000FF"/>
          <w:szCs w:val="21"/>
          <w:highlight w:val="none"/>
        </w:rPr>
        <w:t>★</w:t>
      </w:r>
      <w:r>
        <w:rPr>
          <w:rFonts w:hint="eastAsia" w:ascii="宋体" w:hAnsi="宋体" w:cs="宋体"/>
          <w:b/>
          <w:color w:val="0000FF"/>
          <w:szCs w:val="21"/>
          <w:highlight w:val="none"/>
        </w:rPr>
        <w:t>号要求为不可偏离要求，如出现负偏离，将导致投标无效。带▲号参数为重要参数，其他参数（非▲号参数）为普通参数，如出现负偏离，将按照评分准则做扣分处理。如注明要求提供相关佐证材料的，需以佐证材料作为是否偏离的依据。其余指标项未要求提供证明资料，无需提供相关证明资料。</w:t>
      </w:r>
    </w:p>
    <w:p w14:paraId="7965EE8A">
      <w:pPr>
        <w:pageBreakBefore w:val="0"/>
        <w:kinsoku/>
        <w:wordWrap/>
        <w:overflowPunct/>
        <w:topLinePunct w:val="0"/>
        <w:bidi w:val="0"/>
        <w:snapToGrid/>
        <w:spacing w:line="240" w:lineRule="auto"/>
        <w:ind w:firstLine="420" w:firstLineChars="200"/>
        <w:jc w:val="left"/>
        <w:rPr>
          <w:rFonts w:hint="eastAsia" w:ascii="宋体" w:hAnsi="宋体" w:cs="宋体"/>
          <w:color w:val="0000FF"/>
          <w:szCs w:val="21"/>
          <w:highlight w:val="none"/>
        </w:rPr>
      </w:pPr>
      <w:r>
        <w:rPr>
          <w:rFonts w:hint="eastAsia" w:ascii="宋体" w:hAnsi="宋体" w:cs="宋体"/>
          <w:color w:val="0000FF"/>
          <w:szCs w:val="21"/>
          <w:highlight w:val="none"/>
        </w:rPr>
        <w:t>2、所列的技术参数需求中如出现品牌信息仅供参考，不作为参数要求，目的只为投标人更清楚地了解采购需求，投标人可提供其他品牌设备投标。</w:t>
      </w:r>
    </w:p>
    <w:p w14:paraId="1ED39CDA">
      <w:pPr>
        <w:pageBreakBefore w:val="0"/>
        <w:kinsoku/>
        <w:wordWrap/>
        <w:overflowPunct/>
        <w:topLinePunct w:val="0"/>
        <w:bidi w:val="0"/>
        <w:snapToGrid/>
        <w:spacing w:line="240" w:lineRule="auto"/>
        <w:ind w:firstLine="420" w:firstLineChars="200"/>
        <w:jc w:val="left"/>
        <w:rPr>
          <w:rFonts w:hint="eastAsia" w:ascii="宋体" w:hAnsi="宋体" w:cs="宋体"/>
          <w:color w:val="0000FF"/>
          <w:szCs w:val="21"/>
          <w:highlight w:val="none"/>
        </w:rPr>
      </w:pPr>
      <w:r>
        <w:rPr>
          <w:rFonts w:hint="eastAsia" w:ascii="宋体" w:hAnsi="宋体" w:cs="宋体"/>
          <w:color w:val="0000FF"/>
          <w:szCs w:val="21"/>
          <w:highlight w:val="none"/>
        </w:rPr>
        <w:t>3、如有方案表述中有出现类似可实现、实现、可支持、支持等描述的，均表示方案需要实现的功能或应满足的要求，即项目在验收时无须增加其他额外设备或系统，使用本项目中的设备或系统即能实现相应功能或满足相关要求。</w:t>
      </w:r>
    </w:p>
    <w:p w14:paraId="767DC11B">
      <w:pPr>
        <w:pageBreakBefore w:val="0"/>
        <w:kinsoku/>
        <w:wordWrap/>
        <w:overflowPunct/>
        <w:topLinePunct w:val="0"/>
        <w:bidi w:val="0"/>
        <w:snapToGrid/>
        <w:spacing w:line="240" w:lineRule="auto"/>
        <w:ind w:firstLine="420" w:firstLineChars="200"/>
        <w:jc w:val="left"/>
        <w:rPr>
          <w:rFonts w:hint="eastAsia" w:ascii="宋体" w:hAnsi="宋体" w:cs="宋体"/>
          <w:color w:val="0000FF"/>
          <w:szCs w:val="21"/>
          <w:highlight w:val="none"/>
        </w:rPr>
      </w:pPr>
      <w:r>
        <w:rPr>
          <w:rFonts w:hint="eastAsia" w:ascii="宋体" w:hAnsi="宋体" w:cs="宋体"/>
          <w:color w:val="0000FF"/>
          <w:szCs w:val="21"/>
          <w:highlight w:val="none"/>
          <w:shd w:val="clear" w:color="auto" w:fill="FFFF00"/>
        </w:rPr>
        <w:t>4、评分时，如对一项招标技术要求（以划分框为准）中的内容存在两处（或以上）负偏离的，在评分时只作一项负偏离扣分。</w:t>
      </w:r>
    </w:p>
    <w:p w14:paraId="15D580D1">
      <w:pPr>
        <w:pageBreakBefore w:val="0"/>
        <w:kinsoku/>
        <w:wordWrap/>
        <w:overflowPunct/>
        <w:topLinePunct w:val="0"/>
        <w:bidi w:val="0"/>
        <w:snapToGrid/>
        <w:spacing w:line="240" w:lineRule="auto"/>
        <w:ind w:firstLine="420" w:firstLineChars="200"/>
        <w:jc w:val="left"/>
        <w:rPr>
          <w:rFonts w:hint="eastAsia" w:ascii="宋体" w:hAnsi="宋体" w:cs="宋体"/>
          <w:color w:val="0000FF"/>
          <w:szCs w:val="21"/>
          <w:highlight w:val="none"/>
        </w:rPr>
      </w:pPr>
      <w:r>
        <w:rPr>
          <w:rFonts w:hint="eastAsia" w:ascii="宋体" w:hAnsi="宋体" w:cs="宋体"/>
          <w:color w:val="0000FF"/>
          <w:szCs w:val="21"/>
          <w:highlight w:val="none"/>
        </w:rPr>
        <w:t>5、针对招标文件产品技术参数如涉及相关既定值、单向范围值、区间范围值的，投标技术参数响应方式举例说明如下：</w:t>
      </w:r>
    </w:p>
    <w:p w14:paraId="1CA20B00">
      <w:pPr>
        <w:pageBreakBefore w:val="0"/>
        <w:kinsoku/>
        <w:wordWrap/>
        <w:overflowPunct/>
        <w:topLinePunct w:val="0"/>
        <w:bidi w:val="0"/>
        <w:snapToGrid/>
        <w:spacing w:line="240" w:lineRule="auto"/>
        <w:ind w:firstLine="420" w:firstLineChars="200"/>
        <w:jc w:val="left"/>
        <w:rPr>
          <w:rFonts w:hint="eastAsia" w:ascii="宋体" w:hAnsi="宋体" w:cs="宋体"/>
          <w:color w:val="0000FF"/>
          <w:szCs w:val="21"/>
          <w:highlight w:val="none"/>
        </w:rPr>
      </w:pPr>
      <w:r>
        <w:rPr>
          <w:rFonts w:hint="eastAsia" w:ascii="宋体" w:hAnsi="宋体" w:cs="宋体"/>
          <w:color w:val="0000FF"/>
          <w:szCs w:val="21"/>
          <w:highlight w:val="none"/>
        </w:rPr>
        <w:t>（1）涉及相关既定值的，例：招标技术参数要求值为“20L”，投标技术参数响应值与“20L”不一致的，均视为负偏离；</w:t>
      </w:r>
    </w:p>
    <w:p w14:paraId="26E0F026">
      <w:pPr>
        <w:pageBreakBefore w:val="0"/>
        <w:kinsoku/>
        <w:wordWrap/>
        <w:overflowPunct/>
        <w:topLinePunct w:val="0"/>
        <w:bidi w:val="0"/>
        <w:snapToGrid/>
        <w:spacing w:line="240" w:lineRule="auto"/>
        <w:ind w:firstLine="420" w:firstLineChars="200"/>
        <w:jc w:val="left"/>
        <w:rPr>
          <w:rFonts w:hint="eastAsia" w:ascii="宋体" w:hAnsi="宋体" w:cs="宋体"/>
          <w:color w:val="0000FF"/>
          <w:szCs w:val="21"/>
          <w:highlight w:val="none"/>
        </w:rPr>
      </w:pPr>
      <w:r>
        <w:rPr>
          <w:rFonts w:hint="eastAsia" w:ascii="宋体" w:hAnsi="宋体" w:cs="宋体"/>
          <w:color w:val="0000FF"/>
          <w:szCs w:val="21"/>
          <w:highlight w:val="none"/>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5”或“＞5”等）或投标技术参数响应值为招标技术参数要求范围值内的任意值的（如响应为“7m”或“6.5m”等）均视为符合要求，投标技术参数响应值小于招标技术参数要求的（如响应为"＜6m"或“＜5m”或“5m”等）均视为负偏离；</w:t>
      </w:r>
    </w:p>
    <w:p w14:paraId="5FD60D47">
      <w:pPr>
        <w:pageBreakBefore w:val="0"/>
        <w:kinsoku/>
        <w:wordWrap/>
        <w:overflowPunct/>
        <w:topLinePunct w:val="0"/>
        <w:bidi w:val="0"/>
        <w:snapToGrid/>
        <w:spacing w:line="240" w:lineRule="auto"/>
        <w:ind w:firstLine="420" w:firstLineChars="200"/>
        <w:jc w:val="left"/>
        <w:rPr>
          <w:rFonts w:hint="eastAsia" w:ascii="宋体" w:hAnsi="宋体" w:cs="宋体"/>
          <w:color w:val="0000FF"/>
          <w:szCs w:val="21"/>
          <w:highlight w:val="none"/>
        </w:rPr>
      </w:pPr>
      <w:r>
        <w:rPr>
          <w:rFonts w:hint="eastAsia" w:ascii="宋体" w:hAnsi="宋体" w:cs="宋体"/>
          <w:color w:val="0000FF"/>
          <w:szCs w:val="21"/>
          <w:highlight w:val="none"/>
        </w:rPr>
        <w:t>（3）涉及相关区间范围值的，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 等）均视为负偏离。</w:t>
      </w:r>
    </w:p>
    <w:tbl>
      <w:tblPr>
        <w:tblStyle w:val="4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7340"/>
      </w:tblGrid>
      <w:tr w14:paraId="1ABA9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9" w:type="dxa"/>
            <w:vAlign w:val="center"/>
          </w:tcPr>
          <w:p w14:paraId="0BDDD856">
            <w:pPr>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序号</w:t>
            </w:r>
          </w:p>
        </w:tc>
        <w:tc>
          <w:tcPr>
            <w:tcW w:w="7340" w:type="dxa"/>
            <w:vAlign w:val="center"/>
          </w:tcPr>
          <w:p w14:paraId="4B1859E8">
            <w:pPr>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招标技术要求</w:t>
            </w:r>
          </w:p>
        </w:tc>
      </w:tr>
      <w:tr w14:paraId="79637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9" w:type="dxa"/>
            <w:vAlign w:val="center"/>
          </w:tcPr>
          <w:p w14:paraId="6ACCCD58">
            <w:pPr>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1</w:t>
            </w:r>
          </w:p>
        </w:tc>
        <w:tc>
          <w:tcPr>
            <w:tcW w:w="7340" w:type="dxa"/>
            <w:vAlign w:val="center"/>
          </w:tcPr>
          <w:p w14:paraId="027489ED">
            <w:pPr>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技术全面性：适用于成人及儿童口腔系统的X线诊断分析，具备CBCT、全景、头颅扫描等拍摄功能；提供配套口腔数字化影像软件1套和正畸处理软件1套。</w:t>
            </w:r>
          </w:p>
        </w:tc>
      </w:tr>
      <w:tr w14:paraId="66B5D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9" w:type="dxa"/>
            <w:vAlign w:val="center"/>
          </w:tcPr>
          <w:p w14:paraId="4E15CB17">
            <w:pPr>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w:t>
            </w:r>
          </w:p>
        </w:tc>
        <w:tc>
          <w:tcPr>
            <w:tcW w:w="7340" w:type="dxa"/>
            <w:vAlign w:val="center"/>
          </w:tcPr>
          <w:p w14:paraId="264486C2">
            <w:pPr>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主要功能要求与技术参数</w:t>
            </w:r>
          </w:p>
        </w:tc>
      </w:tr>
      <w:tr w14:paraId="71B8E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9" w:type="dxa"/>
            <w:vAlign w:val="center"/>
          </w:tcPr>
          <w:p w14:paraId="7BA9689C">
            <w:pPr>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2.1</w:t>
            </w:r>
          </w:p>
        </w:tc>
        <w:tc>
          <w:tcPr>
            <w:tcW w:w="7340" w:type="dxa"/>
            <w:vAlign w:val="center"/>
          </w:tcPr>
          <w:p w14:paraId="491E9680">
            <w:pPr>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X射线发生及相关性能指标</w:t>
            </w:r>
          </w:p>
        </w:tc>
      </w:tr>
      <w:tr w14:paraId="6BC09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9" w:type="dxa"/>
            <w:vAlign w:val="center"/>
          </w:tcPr>
          <w:p w14:paraId="076A3D6E">
            <w:pPr>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2.1.1</w:t>
            </w:r>
          </w:p>
        </w:tc>
        <w:tc>
          <w:tcPr>
            <w:tcW w:w="7340" w:type="dxa"/>
            <w:vAlign w:val="center"/>
          </w:tcPr>
          <w:p w14:paraId="7F33D521">
            <w:pPr>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X射线束类型：锥形束</w:t>
            </w:r>
          </w:p>
        </w:tc>
      </w:tr>
      <w:tr w14:paraId="56C82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9" w:type="dxa"/>
            <w:vAlign w:val="center"/>
          </w:tcPr>
          <w:p w14:paraId="70EDD4CF">
            <w:pPr>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2.1.2</w:t>
            </w:r>
          </w:p>
        </w:tc>
        <w:tc>
          <w:tcPr>
            <w:tcW w:w="7340" w:type="dxa"/>
            <w:vAlign w:val="center"/>
          </w:tcPr>
          <w:p w14:paraId="7A520454">
            <w:pPr>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阳极类型：固定阳极</w:t>
            </w:r>
          </w:p>
        </w:tc>
      </w:tr>
      <w:tr w14:paraId="48389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9" w:type="dxa"/>
            <w:vAlign w:val="center"/>
          </w:tcPr>
          <w:p w14:paraId="618CA343">
            <w:pPr>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2.1.3</w:t>
            </w:r>
          </w:p>
        </w:tc>
        <w:tc>
          <w:tcPr>
            <w:tcW w:w="7340" w:type="dxa"/>
            <w:vAlign w:val="center"/>
          </w:tcPr>
          <w:p w14:paraId="2FF705D2">
            <w:pPr>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最小焦点：≤0.5 mm</w:t>
            </w:r>
          </w:p>
        </w:tc>
      </w:tr>
      <w:tr w14:paraId="08A5E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9" w:type="dxa"/>
            <w:vAlign w:val="center"/>
          </w:tcPr>
          <w:p w14:paraId="092737B5">
            <w:pPr>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2.1.4</w:t>
            </w:r>
          </w:p>
        </w:tc>
        <w:tc>
          <w:tcPr>
            <w:tcW w:w="7340" w:type="dxa"/>
            <w:vAlign w:val="center"/>
          </w:tcPr>
          <w:p w14:paraId="47201B42">
            <w:pPr>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最低管电压：≥60 kV；</w:t>
            </w:r>
          </w:p>
        </w:tc>
      </w:tr>
      <w:tr w14:paraId="5068D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9" w:type="dxa"/>
            <w:vAlign w:val="center"/>
          </w:tcPr>
          <w:p w14:paraId="04EFD2C6">
            <w:pPr>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2.1.5</w:t>
            </w:r>
          </w:p>
        </w:tc>
        <w:tc>
          <w:tcPr>
            <w:tcW w:w="7340" w:type="dxa"/>
            <w:vAlign w:val="center"/>
          </w:tcPr>
          <w:p w14:paraId="008AD311">
            <w:pPr>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最高管电压：≥100 kV</w:t>
            </w:r>
          </w:p>
        </w:tc>
      </w:tr>
      <w:tr w14:paraId="596C1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9" w:type="dxa"/>
            <w:vAlign w:val="center"/>
          </w:tcPr>
          <w:p w14:paraId="4F01AA7A">
            <w:pPr>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w:t>
            </w:r>
            <w:r>
              <w:rPr>
                <w:rFonts w:hint="eastAsia" w:ascii="宋体" w:hAnsi="宋体" w:eastAsia="宋体" w:cs="宋体"/>
                <w:b/>
                <w:bCs/>
                <w:color w:val="0000FF"/>
                <w:sz w:val="21"/>
                <w:szCs w:val="21"/>
                <w:highlight w:val="none"/>
              </w:rPr>
              <w:t>2.1.6</w:t>
            </w:r>
          </w:p>
        </w:tc>
        <w:tc>
          <w:tcPr>
            <w:tcW w:w="7340" w:type="dxa"/>
            <w:vAlign w:val="center"/>
          </w:tcPr>
          <w:p w14:paraId="5941CBE1">
            <w:pPr>
              <w:pStyle w:val="16"/>
              <w:pageBreakBefore w:val="0"/>
              <w:kinsoku/>
              <w:wordWrap/>
              <w:overflowPunct/>
              <w:topLinePunct w:val="0"/>
              <w:bidi w:val="0"/>
              <w:snapToGrid/>
              <w:spacing w:line="240" w:lineRule="auto"/>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最小管电流：≤2mA；</w:t>
            </w:r>
            <w:r>
              <w:rPr>
                <w:rFonts w:hint="eastAsia" w:ascii="宋体" w:hAnsi="宋体" w:eastAsia="宋体" w:cs="宋体"/>
                <w:color w:val="0000FF"/>
                <w:sz w:val="21"/>
                <w:szCs w:val="21"/>
                <w:highlight w:val="none"/>
              </w:rPr>
              <w:t>（投标时需提供检验检测报告或产品技术白皮书或说明书扫描件或产品彩页，注：对应参数在技术说明书中进行标注，原件备查。检验检测报告要求：①由第三方检验检测机构出具并加盖（或带有）CMA标志的检验检测报告扫描件，原件备查；②上述检验检测报告在全国认证认可信息公共服务平台（认e 云）（http://cx.cnca.cn/）的信息查询记录截图。如检验检测报告中明确备注说明相关检验检测项不在检验检测机构CMA 资质许可（认定）范围内的，不符合招标文件要求。）</w:t>
            </w:r>
          </w:p>
        </w:tc>
      </w:tr>
      <w:tr w14:paraId="38C0C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9" w:type="dxa"/>
            <w:vAlign w:val="center"/>
          </w:tcPr>
          <w:p w14:paraId="7B0F0F7C">
            <w:pPr>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2.1.7</w:t>
            </w:r>
          </w:p>
        </w:tc>
        <w:tc>
          <w:tcPr>
            <w:tcW w:w="7340" w:type="dxa"/>
            <w:vAlign w:val="center"/>
          </w:tcPr>
          <w:p w14:paraId="0448CD36">
            <w:pPr>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最高管电流：≥10mA</w:t>
            </w:r>
          </w:p>
        </w:tc>
      </w:tr>
      <w:tr w14:paraId="6CEA3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9" w:type="dxa"/>
            <w:vAlign w:val="center"/>
          </w:tcPr>
          <w:p w14:paraId="6D17B197">
            <w:pPr>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2.1.8</w:t>
            </w:r>
          </w:p>
        </w:tc>
        <w:tc>
          <w:tcPr>
            <w:tcW w:w="7340" w:type="dxa"/>
            <w:vAlign w:val="center"/>
          </w:tcPr>
          <w:p w14:paraId="3DC59FEA">
            <w:pPr>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最小加载（曝光）时间</w:t>
            </w:r>
          </w:p>
        </w:tc>
      </w:tr>
      <w:tr w14:paraId="569F4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9" w:type="dxa"/>
            <w:vAlign w:val="center"/>
          </w:tcPr>
          <w:p w14:paraId="522B207B">
            <w:pPr>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2.1.8.1</w:t>
            </w:r>
          </w:p>
        </w:tc>
        <w:tc>
          <w:tcPr>
            <w:tcW w:w="7340" w:type="dxa"/>
            <w:vAlign w:val="center"/>
          </w:tcPr>
          <w:p w14:paraId="4A07DCB3">
            <w:pPr>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CT成像最小加载（曝光）时间：≤9.5秒</w:t>
            </w:r>
          </w:p>
        </w:tc>
      </w:tr>
      <w:tr w14:paraId="5070E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9" w:type="dxa"/>
            <w:vAlign w:val="center"/>
          </w:tcPr>
          <w:p w14:paraId="0DA28FDC">
            <w:pPr>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2.1.8.2</w:t>
            </w:r>
          </w:p>
        </w:tc>
        <w:tc>
          <w:tcPr>
            <w:tcW w:w="7340" w:type="dxa"/>
            <w:vAlign w:val="center"/>
          </w:tcPr>
          <w:p w14:paraId="0C22525E">
            <w:pPr>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全景成像最小加载（曝光）时间：≤8.5秒</w:t>
            </w:r>
          </w:p>
        </w:tc>
      </w:tr>
      <w:tr w14:paraId="3CE83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9" w:type="dxa"/>
            <w:vAlign w:val="center"/>
          </w:tcPr>
          <w:p w14:paraId="33DE87DF">
            <w:pPr>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2.1.8.3</w:t>
            </w:r>
          </w:p>
        </w:tc>
        <w:tc>
          <w:tcPr>
            <w:tcW w:w="7340" w:type="dxa"/>
            <w:vAlign w:val="center"/>
          </w:tcPr>
          <w:p w14:paraId="7543696E">
            <w:pPr>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头颅成像最小加载（曝光）时间：≤7.5秒</w:t>
            </w:r>
          </w:p>
        </w:tc>
      </w:tr>
      <w:tr w14:paraId="1CDC3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9" w:type="dxa"/>
            <w:vAlign w:val="center"/>
          </w:tcPr>
          <w:p w14:paraId="746CCC0F">
            <w:pPr>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2.2</w:t>
            </w:r>
          </w:p>
        </w:tc>
        <w:tc>
          <w:tcPr>
            <w:tcW w:w="7340" w:type="dxa"/>
            <w:vAlign w:val="center"/>
          </w:tcPr>
          <w:p w14:paraId="31445ED1">
            <w:pPr>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探测器及相关成像性能</w:t>
            </w:r>
          </w:p>
        </w:tc>
      </w:tr>
      <w:tr w14:paraId="54219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9" w:type="dxa"/>
            <w:vAlign w:val="center"/>
          </w:tcPr>
          <w:p w14:paraId="23F7E282">
            <w:pPr>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2.2.1</w:t>
            </w:r>
          </w:p>
        </w:tc>
        <w:tc>
          <w:tcPr>
            <w:tcW w:w="7340" w:type="dxa"/>
            <w:vAlign w:val="center"/>
          </w:tcPr>
          <w:p w14:paraId="3AFF0689">
            <w:pPr>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探测器数量：≥2（在全景拍摄和CT扫描模式探测器自动切换，无需手动拆装，拍摄头侧时不需要拆卸平板探测器）</w:t>
            </w:r>
          </w:p>
        </w:tc>
      </w:tr>
      <w:tr w14:paraId="06355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9" w:type="dxa"/>
            <w:vAlign w:val="center"/>
          </w:tcPr>
          <w:p w14:paraId="3B372C85">
            <w:pPr>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2.2.2</w:t>
            </w:r>
          </w:p>
        </w:tc>
        <w:tc>
          <w:tcPr>
            <w:tcW w:w="7340" w:type="dxa"/>
            <w:vAlign w:val="center"/>
          </w:tcPr>
          <w:p w14:paraId="0D39E57C">
            <w:pPr>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CT探测器类型：CSI+非晶硅探测器</w:t>
            </w:r>
          </w:p>
        </w:tc>
      </w:tr>
      <w:tr w14:paraId="133F5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9" w:type="dxa"/>
            <w:vAlign w:val="center"/>
          </w:tcPr>
          <w:p w14:paraId="223EC9E9">
            <w:pPr>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2.2.3</w:t>
            </w:r>
          </w:p>
        </w:tc>
        <w:tc>
          <w:tcPr>
            <w:tcW w:w="7340" w:type="dxa"/>
            <w:vAlign w:val="center"/>
          </w:tcPr>
          <w:p w14:paraId="5D516E98">
            <w:pPr>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CT探测器位数（灰阶）：≥16bit</w:t>
            </w:r>
          </w:p>
        </w:tc>
      </w:tr>
      <w:tr w14:paraId="31B05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9" w:type="dxa"/>
            <w:vAlign w:val="center"/>
          </w:tcPr>
          <w:p w14:paraId="71DB6EDF">
            <w:pPr>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2.2.4</w:t>
            </w:r>
          </w:p>
        </w:tc>
        <w:tc>
          <w:tcPr>
            <w:tcW w:w="7340" w:type="dxa"/>
            <w:vAlign w:val="center"/>
          </w:tcPr>
          <w:p w14:paraId="09D2DF13">
            <w:pPr>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CT最大可视空间(FOV)：≥16cm（宽）×10cm（高），一次成像非拼接非融合，且包含多视野选择≥3个，以滤线栅调节成像视野（非算法调节），以满足不同临床需求，降低辐射剂量。</w:t>
            </w:r>
          </w:p>
        </w:tc>
      </w:tr>
      <w:tr w14:paraId="31CD4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9" w:type="dxa"/>
            <w:vAlign w:val="center"/>
          </w:tcPr>
          <w:p w14:paraId="77D3B70C">
            <w:pPr>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2.2.5</w:t>
            </w:r>
          </w:p>
        </w:tc>
        <w:tc>
          <w:tcPr>
            <w:tcW w:w="7340" w:type="dxa"/>
            <w:vAlign w:val="center"/>
          </w:tcPr>
          <w:p w14:paraId="34C8CBBD">
            <w:pPr>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CT的图像重建时间：≤60s（各视野均可达到）</w:t>
            </w:r>
          </w:p>
        </w:tc>
      </w:tr>
      <w:tr w14:paraId="599CC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9" w:type="dxa"/>
            <w:vAlign w:val="center"/>
          </w:tcPr>
          <w:p w14:paraId="09FADE06">
            <w:pPr>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w:t>
            </w:r>
            <w:r>
              <w:rPr>
                <w:rFonts w:hint="eastAsia" w:ascii="宋体" w:hAnsi="宋体" w:eastAsia="宋体" w:cs="宋体"/>
                <w:b/>
                <w:bCs/>
                <w:color w:val="0000FF"/>
                <w:sz w:val="21"/>
                <w:szCs w:val="21"/>
                <w:highlight w:val="none"/>
              </w:rPr>
              <w:t>2.2.6</w:t>
            </w:r>
          </w:p>
        </w:tc>
        <w:tc>
          <w:tcPr>
            <w:tcW w:w="7340" w:type="dxa"/>
            <w:vAlign w:val="center"/>
          </w:tcPr>
          <w:p w14:paraId="6909BB8B">
            <w:pPr>
              <w:pStyle w:val="16"/>
              <w:pageBreakBefore w:val="0"/>
              <w:kinsoku/>
              <w:wordWrap/>
              <w:overflowPunct/>
              <w:topLinePunct w:val="0"/>
              <w:bidi w:val="0"/>
              <w:snapToGrid/>
              <w:spacing w:line="240" w:lineRule="auto"/>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CT图像最小体素尺寸：≤50μm</w:t>
            </w:r>
            <w:r>
              <w:rPr>
                <w:rFonts w:hint="eastAsia" w:ascii="宋体" w:hAnsi="宋体" w:eastAsia="宋体" w:cs="宋体"/>
                <w:color w:val="0000FF"/>
                <w:sz w:val="21"/>
                <w:szCs w:val="21"/>
                <w:highlight w:val="none"/>
              </w:rPr>
              <w:t>（投标时需提供检验检测报告或产品技术白皮书或说明书扫描件或产品彩页，注：对应参数在技术说明书中进行标注，原件备查。检验检测报告要求：①由第三方检验检测机构出具并加盖（或带有）CMA标志的检验检测报告扫描件，原件备查；②上述检验检测报告在全国认证认可信息公共服务平台（认e 云）（http://cx.cnca.cn/）的信息查询记录截图。如检验检测报告中明确备注说明相关检验检测项不在检验检测机构CMA 资质许可（认定）范围内的，不符合招标文件要求。）</w:t>
            </w:r>
          </w:p>
        </w:tc>
      </w:tr>
      <w:tr w14:paraId="5CE19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9" w:type="dxa"/>
            <w:vAlign w:val="center"/>
          </w:tcPr>
          <w:p w14:paraId="07B0C9BF">
            <w:pPr>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w:t>
            </w:r>
            <w:r>
              <w:rPr>
                <w:rFonts w:hint="eastAsia" w:ascii="宋体" w:hAnsi="宋体" w:eastAsia="宋体" w:cs="宋体"/>
                <w:b/>
                <w:bCs/>
                <w:color w:val="0000FF"/>
                <w:sz w:val="21"/>
                <w:szCs w:val="21"/>
                <w:highlight w:val="none"/>
              </w:rPr>
              <w:t>2.2.7</w:t>
            </w:r>
          </w:p>
        </w:tc>
        <w:tc>
          <w:tcPr>
            <w:tcW w:w="7340" w:type="dxa"/>
            <w:vAlign w:val="center"/>
          </w:tcPr>
          <w:p w14:paraId="1A6B4879">
            <w:pPr>
              <w:pStyle w:val="16"/>
              <w:pageBreakBefore w:val="0"/>
              <w:kinsoku/>
              <w:wordWrap/>
              <w:overflowPunct/>
              <w:topLinePunct w:val="0"/>
              <w:bidi w:val="0"/>
              <w:snapToGrid/>
              <w:spacing w:line="240" w:lineRule="auto"/>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CT成像空间分辨率：≥2.0 lp/mm</w:t>
            </w:r>
            <w:r>
              <w:rPr>
                <w:rFonts w:hint="eastAsia" w:ascii="宋体" w:hAnsi="宋体" w:eastAsia="宋体" w:cs="宋体"/>
                <w:color w:val="0000FF"/>
                <w:sz w:val="21"/>
                <w:szCs w:val="21"/>
                <w:highlight w:val="none"/>
              </w:rPr>
              <w:t>（投标时需提供检验检测报告或产品技术白皮书或说明书扫描件或产品彩页，注：对应参数在技术说明书中进行标注，原件备查。检验检测报告要求：①由第三方检验检测机构出具并加盖（或带有）CMA标志的检验检测报告扫描件，原件备查；②上述检验检测报告在全国认证认可信息公共服务平台（认e 云）（http://cx.cnca.cn/）的信息查询记录截图。如检验检测报告中明确备注说明相关检验检测项不在检验检测机构CMA 资质许可（认定）范围内的，不符合招标文件要求。）</w:t>
            </w:r>
          </w:p>
        </w:tc>
      </w:tr>
      <w:tr w14:paraId="6FCCC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9" w:type="dxa"/>
            <w:vAlign w:val="center"/>
          </w:tcPr>
          <w:p w14:paraId="60F35DF8">
            <w:pPr>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2.2.8</w:t>
            </w:r>
          </w:p>
        </w:tc>
        <w:tc>
          <w:tcPr>
            <w:tcW w:w="7340" w:type="dxa"/>
            <w:vAlign w:val="center"/>
          </w:tcPr>
          <w:p w14:paraId="6CEEEE0F">
            <w:pPr>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全景成像空间分辨率 ≥3.0 lp/mm</w:t>
            </w:r>
          </w:p>
        </w:tc>
      </w:tr>
      <w:tr w14:paraId="0E89C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9" w:type="dxa"/>
            <w:vAlign w:val="center"/>
          </w:tcPr>
          <w:p w14:paraId="474E2618">
            <w:pPr>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2.2.9</w:t>
            </w:r>
          </w:p>
        </w:tc>
        <w:tc>
          <w:tcPr>
            <w:tcW w:w="7340" w:type="dxa"/>
            <w:vAlign w:val="center"/>
          </w:tcPr>
          <w:p w14:paraId="6A7023BC">
            <w:pPr>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头颅成像空间分辨率 ≥3.0 lp/mm</w:t>
            </w:r>
          </w:p>
        </w:tc>
      </w:tr>
      <w:tr w14:paraId="1235C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9" w:type="dxa"/>
            <w:vAlign w:val="center"/>
          </w:tcPr>
          <w:p w14:paraId="0D12FD97">
            <w:pPr>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2.2.10</w:t>
            </w:r>
          </w:p>
        </w:tc>
        <w:tc>
          <w:tcPr>
            <w:tcW w:w="7340" w:type="dxa"/>
            <w:vAlign w:val="center"/>
          </w:tcPr>
          <w:p w14:paraId="5903914E">
            <w:pPr>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头颅侧位探测器类型：CSI+CMOS探测器</w:t>
            </w:r>
          </w:p>
        </w:tc>
      </w:tr>
      <w:tr w14:paraId="52491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9" w:type="dxa"/>
            <w:vAlign w:val="center"/>
          </w:tcPr>
          <w:p w14:paraId="41D6C33C">
            <w:pPr>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2.2.11</w:t>
            </w:r>
          </w:p>
        </w:tc>
        <w:tc>
          <w:tcPr>
            <w:tcW w:w="7340" w:type="dxa"/>
            <w:vAlign w:val="center"/>
          </w:tcPr>
          <w:p w14:paraId="3B41F223">
            <w:pPr>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头颅探测器最小像素尺寸：≤100μm</w:t>
            </w:r>
          </w:p>
        </w:tc>
      </w:tr>
      <w:tr w14:paraId="6C55C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9" w:type="dxa"/>
            <w:vAlign w:val="center"/>
          </w:tcPr>
          <w:p w14:paraId="45CE1DC0">
            <w:pPr>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2.3</w:t>
            </w:r>
          </w:p>
        </w:tc>
        <w:tc>
          <w:tcPr>
            <w:tcW w:w="7340" w:type="dxa"/>
            <w:vAlign w:val="center"/>
          </w:tcPr>
          <w:p w14:paraId="3892F437">
            <w:pPr>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机械装置性能及其他要求</w:t>
            </w:r>
          </w:p>
        </w:tc>
      </w:tr>
      <w:tr w14:paraId="5207D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9" w:type="dxa"/>
            <w:vAlign w:val="center"/>
          </w:tcPr>
          <w:p w14:paraId="29CDB630">
            <w:pPr>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2.3.1</w:t>
            </w:r>
          </w:p>
        </w:tc>
        <w:tc>
          <w:tcPr>
            <w:tcW w:w="7340" w:type="dxa"/>
            <w:vAlign w:val="center"/>
          </w:tcPr>
          <w:p w14:paraId="0143E992">
            <w:pPr>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整机（含外壳）重量：≤250kg</w:t>
            </w:r>
          </w:p>
        </w:tc>
      </w:tr>
      <w:tr w14:paraId="44F08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9" w:type="dxa"/>
            <w:vAlign w:val="center"/>
          </w:tcPr>
          <w:p w14:paraId="13FFD4B9">
            <w:pPr>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w:t>
            </w:r>
            <w:r>
              <w:rPr>
                <w:rFonts w:hint="eastAsia" w:ascii="宋体" w:hAnsi="宋体" w:eastAsia="宋体" w:cs="宋体"/>
                <w:b/>
                <w:bCs/>
                <w:color w:val="0000FF"/>
                <w:sz w:val="21"/>
                <w:szCs w:val="21"/>
                <w:highlight w:val="none"/>
              </w:rPr>
              <w:t>2.3.2</w:t>
            </w:r>
          </w:p>
        </w:tc>
        <w:tc>
          <w:tcPr>
            <w:tcW w:w="7340" w:type="dxa"/>
            <w:vAlign w:val="center"/>
          </w:tcPr>
          <w:p w14:paraId="448B304D">
            <w:pPr>
              <w:pStyle w:val="16"/>
              <w:pageBreakBefore w:val="0"/>
              <w:kinsoku/>
              <w:wordWrap/>
              <w:overflowPunct/>
              <w:topLinePunct w:val="0"/>
              <w:bidi w:val="0"/>
              <w:snapToGrid/>
              <w:spacing w:line="240" w:lineRule="auto"/>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机架底座：X型底座（非U型）设计，方便轮椅患者进行拍摄。</w:t>
            </w:r>
            <w:r>
              <w:rPr>
                <w:rFonts w:hint="eastAsia" w:ascii="宋体" w:hAnsi="宋体" w:eastAsia="宋体" w:cs="宋体"/>
                <w:color w:val="0000FF"/>
                <w:sz w:val="21"/>
                <w:szCs w:val="21"/>
                <w:highlight w:val="none"/>
              </w:rPr>
              <w:t>（投标时需提供检验检测报告或产品技术白皮书或说明书扫描件或产品彩页，注：对应参数在技术说明书中进行标注，原件备查。检验检测报告要求：①由第三方检验检测机构出具并加盖（或带有）CMA标志的检验检测报告扫描件，原件备查；②上述检验检测报告在全国认证认可信息公共服务平台（认e 云）（http://cx.cnca.cn/）的信息查询记录截图。如检验检测报告中明确备注说明相关检验检测项不在检验检测机构CMA 资质许可（认定）范围内的，不符合招标文件要求。）</w:t>
            </w:r>
          </w:p>
        </w:tc>
      </w:tr>
      <w:tr w14:paraId="6C9B4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9" w:type="dxa"/>
            <w:vAlign w:val="center"/>
          </w:tcPr>
          <w:p w14:paraId="786ECBCB">
            <w:pPr>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2.3.3</w:t>
            </w:r>
          </w:p>
        </w:tc>
        <w:tc>
          <w:tcPr>
            <w:tcW w:w="7340" w:type="dxa"/>
            <w:vAlign w:val="center"/>
          </w:tcPr>
          <w:p w14:paraId="7E838F70">
            <w:pPr>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立柱升降距离：≤700mm</w:t>
            </w:r>
          </w:p>
        </w:tc>
      </w:tr>
      <w:tr w14:paraId="3F31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9" w:type="dxa"/>
            <w:vAlign w:val="center"/>
          </w:tcPr>
          <w:p w14:paraId="48E55B4F">
            <w:pPr>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2.3.4</w:t>
            </w:r>
          </w:p>
        </w:tc>
        <w:tc>
          <w:tcPr>
            <w:tcW w:w="7340" w:type="dxa"/>
            <w:vAlign w:val="center"/>
          </w:tcPr>
          <w:p w14:paraId="4804E058">
            <w:pPr>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摆位及扫描：摆位时设备控制面板与技师均位于受检者正前方，使技师可正面观察定位激光线在受检者面部位置，确保准确定位；CT扫描过程中受检者侧对立柱（非面向立柱站立），以缓解紧张情绪。</w:t>
            </w:r>
          </w:p>
        </w:tc>
      </w:tr>
      <w:tr w14:paraId="0C514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9" w:type="dxa"/>
            <w:vAlign w:val="center"/>
          </w:tcPr>
          <w:p w14:paraId="502AE1DE">
            <w:pPr>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2.3.5</w:t>
            </w:r>
          </w:p>
        </w:tc>
        <w:tc>
          <w:tcPr>
            <w:tcW w:w="7340" w:type="dxa"/>
            <w:vAlign w:val="center"/>
          </w:tcPr>
          <w:p w14:paraId="24240528">
            <w:pPr>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激光线定位线数量：≥6</w:t>
            </w:r>
          </w:p>
        </w:tc>
      </w:tr>
      <w:tr w14:paraId="59F8E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9" w:type="dxa"/>
            <w:vAlign w:val="center"/>
          </w:tcPr>
          <w:p w14:paraId="3B16F64C">
            <w:pPr>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2.3.6</w:t>
            </w:r>
          </w:p>
        </w:tc>
        <w:tc>
          <w:tcPr>
            <w:tcW w:w="7340" w:type="dxa"/>
            <w:vAlign w:val="center"/>
          </w:tcPr>
          <w:p w14:paraId="71E752E2">
            <w:pPr>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触控式控制面板：具备；尺寸：≥10寸</w:t>
            </w:r>
          </w:p>
        </w:tc>
      </w:tr>
      <w:tr w14:paraId="48C72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9" w:type="dxa"/>
            <w:vAlign w:val="center"/>
          </w:tcPr>
          <w:p w14:paraId="6DE89671">
            <w:pPr>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w:t>
            </w:r>
            <w:r>
              <w:rPr>
                <w:rFonts w:hint="eastAsia" w:ascii="宋体" w:hAnsi="宋体" w:eastAsia="宋体" w:cs="宋体"/>
                <w:b/>
                <w:bCs/>
                <w:color w:val="0000FF"/>
                <w:sz w:val="21"/>
                <w:szCs w:val="21"/>
                <w:highlight w:val="none"/>
              </w:rPr>
              <w:t>2.3.7</w:t>
            </w:r>
          </w:p>
        </w:tc>
        <w:tc>
          <w:tcPr>
            <w:tcW w:w="7340" w:type="dxa"/>
            <w:vAlign w:val="center"/>
          </w:tcPr>
          <w:p w14:paraId="0B9F338D">
            <w:pPr>
              <w:pStyle w:val="16"/>
              <w:pageBreakBefore w:val="0"/>
              <w:kinsoku/>
              <w:wordWrap/>
              <w:overflowPunct/>
              <w:topLinePunct w:val="0"/>
              <w:bidi w:val="0"/>
              <w:snapToGrid/>
              <w:spacing w:line="240" w:lineRule="auto"/>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设备具备可在同一机房中完成牙科摄影功能的升级能力（最小机房面积≤5㎡），要求CBCT装置与牙科摄影功能可在一套控制系统中完成（同一注册证），且具备联锁功能（不可同时曝光）。</w:t>
            </w:r>
            <w:r>
              <w:rPr>
                <w:rFonts w:hint="eastAsia" w:ascii="宋体" w:hAnsi="宋体" w:eastAsia="宋体" w:cs="宋体"/>
                <w:color w:val="0000FF"/>
                <w:sz w:val="21"/>
                <w:szCs w:val="21"/>
                <w:highlight w:val="none"/>
              </w:rPr>
              <w:t>（投标时需提供检验检测报告或产品技术白皮书或说明书扫描件或产品彩页，注：对应参数在技术说明书中进行标注，原件备查。检验检测报告要求：①由第三方检验检测机构出具并加盖（或带有）CMA标志的检验检测报告扫描件，原件备查；②上述检验检测报告在全国认证认可信息公共服务平台（认e 云）（http://cx.cnca.cn/）的信息查询记录截图。如检验检测报告中明确备注说明相关检验检测项不在检验检测机构CMA 资质许可（认定）范围内的，不符合招标文件要求。）</w:t>
            </w:r>
          </w:p>
        </w:tc>
      </w:tr>
      <w:tr w14:paraId="564F3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9" w:type="dxa"/>
            <w:vAlign w:val="center"/>
          </w:tcPr>
          <w:p w14:paraId="24579D4D">
            <w:pPr>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2.3.8</w:t>
            </w:r>
          </w:p>
        </w:tc>
        <w:tc>
          <w:tcPr>
            <w:tcW w:w="7340" w:type="dxa"/>
            <w:vAlign w:val="center"/>
          </w:tcPr>
          <w:p w14:paraId="59740F3E">
            <w:pPr>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牙片机焦点0.4mm，确保成像清晰</w:t>
            </w:r>
          </w:p>
        </w:tc>
      </w:tr>
      <w:tr w14:paraId="31A6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9" w:type="dxa"/>
            <w:vAlign w:val="center"/>
          </w:tcPr>
          <w:p w14:paraId="41F40FCD">
            <w:pPr>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2.3.9</w:t>
            </w:r>
          </w:p>
        </w:tc>
        <w:tc>
          <w:tcPr>
            <w:tcW w:w="7340" w:type="dxa"/>
            <w:vAlign w:val="center"/>
          </w:tcPr>
          <w:p w14:paraId="6F2CBC97">
            <w:pPr>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5mA固定管电流，高频直流发生器，提供稳定精确的影像</w:t>
            </w:r>
          </w:p>
        </w:tc>
      </w:tr>
      <w:tr w14:paraId="6B3D5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9" w:type="dxa"/>
            <w:vAlign w:val="center"/>
          </w:tcPr>
          <w:p w14:paraId="4F28677A">
            <w:pPr>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2.3.10</w:t>
            </w:r>
          </w:p>
        </w:tc>
        <w:tc>
          <w:tcPr>
            <w:tcW w:w="7340" w:type="dxa"/>
            <w:vAlign w:val="center"/>
          </w:tcPr>
          <w:p w14:paraId="2615A90E">
            <w:pPr>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分体式口内摄像控制面板，可根据需求灵活安装</w:t>
            </w:r>
          </w:p>
        </w:tc>
      </w:tr>
      <w:tr w14:paraId="0DF58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9" w:type="dxa"/>
            <w:vAlign w:val="center"/>
          </w:tcPr>
          <w:p w14:paraId="0ECC082C">
            <w:pPr>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2.3.11</w:t>
            </w:r>
          </w:p>
        </w:tc>
        <w:tc>
          <w:tcPr>
            <w:tcW w:w="7340" w:type="dxa"/>
            <w:vAlign w:val="center"/>
          </w:tcPr>
          <w:p w14:paraId="58554C9C">
            <w:pPr>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牙片、CT、头颅摄影运行互锁系统，确保拍摄过程只有一个机头出射线束</w:t>
            </w:r>
          </w:p>
        </w:tc>
      </w:tr>
      <w:tr w14:paraId="4DE77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9" w:type="dxa"/>
            <w:vAlign w:val="center"/>
          </w:tcPr>
          <w:p w14:paraId="78C5A65E">
            <w:pPr>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2.3.12</w:t>
            </w:r>
          </w:p>
        </w:tc>
        <w:tc>
          <w:tcPr>
            <w:tcW w:w="7340" w:type="dxa"/>
            <w:vAlign w:val="center"/>
          </w:tcPr>
          <w:p w14:paraId="6C01BE35">
            <w:pPr>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机械臂可灵活自由悬停，轻松可控</w:t>
            </w:r>
          </w:p>
        </w:tc>
      </w:tr>
      <w:tr w14:paraId="305BC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9" w:type="dxa"/>
            <w:vAlign w:val="center"/>
          </w:tcPr>
          <w:p w14:paraId="6E597BB1">
            <w:pPr>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2.4</w:t>
            </w:r>
          </w:p>
        </w:tc>
        <w:tc>
          <w:tcPr>
            <w:tcW w:w="7340" w:type="dxa"/>
            <w:vAlign w:val="center"/>
          </w:tcPr>
          <w:p w14:paraId="23165BD4">
            <w:pPr>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软件功能要求</w:t>
            </w:r>
          </w:p>
        </w:tc>
      </w:tr>
      <w:tr w14:paraId="7EB4B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9" w:type="dxa"/>
            <w:vAlign w:val="center"/>
          </w:tcPr>
          <w:p w14:paraId="7EEA4AEF">
            <w:pPr>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w:t>
            </w:r>
            <w:r>
              <w:rPr>
                <w:rFonts w:hint="eastAsia" w:ascii="宋体" w:hAnsi="宋体" w:eastAsia="宋体" w:cs="宋体"/>
                <w:b/>
                <w:bCs/>
                <w:color w:val="0000FF"/>
                <w:sz w:val="21"/>
                <w:szCs w:val="21"/>
                <w:highlight w:val="none"/>
              </w:rPr>
              <w:t>2.4.1</w:t>
            </w:r>
          </w:p>
        </w:tc>
        <w:tc>
          <w:tcPr>
            <w:tcW w:w="7340" w:type="dxa"/>
            <w:vAlign w:val="center"/>
          </w:tcPr>
          <w:p w14:paraId="36E41DA0">
            <w:pPr>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口腔数字化影像软件和正畸处理软件均具备原厂独立NMPA注册证</w:t>
            </w:r>
            <w:r>
              <w:rPr>
                <w:rStyle w:val="156"/>
                <w:rFonts w:hint="eastAsia" w:ascii="宋体" w:hAnsi="宋体" w:eastAsia="宋体" w:cs="宋体"/>
                <w:b/>
                <w:bCs/>
                <w:color w:val="0000FF"/>
                <w:sz w:val="21"/>
                <w:szCs w:val="21"/>
                <w:highlight w:val="none"/>
                <w:lang w:bidi="ar"/>
              </w:rPr>
              <w:t>（药监局NMPA官网可查询，提供查询证明）</w:t>
            </w:r>
            <w:r>
              <w:rPr>
                <w:rStyle w:val="156"/>
                <w:rFonts w:hint="eastAsia" w:ascii="宋体" w:hAnsi="宋体" w:eastAsia="宋体" w:cs="宋体"/>
                <w:color w:val="0000FF"/>
                <w:sz w:val="21"/>
                <w:szCs w:val="21"/>
                <w:highlight w:val="none"/>
                <w:lang w:bidi="ar"/>
              </w:rPr>
              <w:t>。</w:t>
            </w:r>
          </w:p>
        </w:tc>
      </w:tr>
      <w:tr w14:paraId="0F25D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9" w:type="dxa"/>
            <w:vAlign w:val="center"/>
          </w:tcPr>
          <w:p w14:paraId="6AC382CB">
            <w:pPr>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2.4.2</w:t>
            </w:r>
          </w:p>
        </w:tc>
        <w:tc>
          <w:tcPr>
            <w:tcW w:w="7340" w:type="dxa"/>
            <w:vAlign w:val="center"/>
          </w:tcPr>
          <w:p w14:paraId="40B6FC14">
            <w:pPr>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基本功能需求：具备基本CT图像功能（3D重建图像及显示；标准冠状面、矢状面、横断面图像，层厚可以任意调节；多平面重建图像）；集成化界面，可将同一患者所有影像数据融合在同一软件中诊断管理（CT、全景、头颅正侧位、口内摄影（牙片）、口内扫描、面部扫描）。</w:t>
            </w:r>
          </w:p>
        </w:tc>
      </w:tr>
      <w:tr w14:paraId="59F6F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9" w:type="dxa"/>
            <w:vAlign w:val="center"/>
          </w:tcPr>
          <w:p w14:paraId="3FF7A81D">
            <w:pPr>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2.4.3</w:t>
            </w:r>
          </w:p>
        </w:tc>
        <w:tc>
          <w:tcPr>
            <w:tcW w:w="7340" w:type="dxa"/>
            <w:vAlign w:val="center"/>
          </w:tcPr>
          <w:p w14:paraId="71DD4454">
            <w:pPr>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图像处理功能：2D/3D图像编辑工具(移动，放大，对比度调节，亮度调节，图像信息)；测量工具(距离，连续距离，角度测量，骨密度测量，面积计算)；注释(在图像上添加文字、箭头等标记)。</w:t>
            </w:r>
          </w:p>
        </w:tc>
      </w:tr>
      <w:tr w14:paraId="03BA2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9" w:type="dxa"/>
            <w:vAlign w:val="center"/>
          </w:tcPr>
          <w:p w14:paraId="4D8B934F">
            <w:pPr>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2.4.4</w:t>
            </w:r>
          </w:p>
        </w:tc>
        <w:tc>
          <w:tcPr>
            <w:tcW w:w="7340" w:type="dxa"/>
            <w:vAlign w:val="center"/>
          </w:tcPr>
          <w:p w14:paraId="7D688F2F">
            <w:pPr>
              <w:pStyle w:val="16"/>
              <w:pageBreakBefore w:val="0"/>
              <w:kinsoku/>
              <w:wordWrap/>
              <w:overflowPunct/>
              <w:topLinePunct w:val="0"/>
              <w:bidi w:val="0"/>
              <w:snapToGrid/>
              <w:spacing w:line="240" w:lineRule="auto"/>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正畸软件：内置≥17种头影测量方法，≥135个测量项目，涵盖≥73个测量点，医生可以根据诊断诉求选择对应的测量方法，提供专业的头影测量参考</w:t>
            </w:r>
            <w:r>
              <w:rPr>
                <w:rFonts w:hint="eastAsia" w:ascii="宋体" w:hAnsi="宋体" w:eastAsia="宋体" w:cs="宋体"/>
                <w:color w:val="0000FF"/>
                <w:sz w:val="21"/>
                <w:szCs w:val="21"/>
                <w:highlight w:val="none"/>
              </w:rPr>
              <w:t>（投标时需提供检验检测报告或产品技术白皮书或说明书扫描件或产品彩页，注：对应参数在技术说明书中进行标注，原件备查。检验检测报告要求：①由第三方检验检测机构出具并加盖（或带有）CMA标志的检验检测报告扫描件，原件备查；②上述检验检测报告在全国认证认可信息公共服务平台（认e 云）（http://cx.cnca.cn/）的信息查询记录截图。如检验检测报告中明确备注说明相关检验检测项不在检验检测机构CMA 资质许可（认定）范围内的，不符合招标文件要求。）</w:t>
            </w:r>
            <w:r>
              <w:rPr>
                <w:rStyle w:val="156"/>
                <w:rFonts w:hint="eastAsia" w:ascii="宋体" w:hAnsi="宋体" w:eastAsia="宋体" w:cs="宋体"/>
                <w:color w:val="0000FF"/>
                <w:sz w:val="21"/>
                <w:szCs w:val="21"/>
                <w:highlight w:val="none"/>
                <w:lang w:bidi="ar"/>
              </w:rPr>
              <w:t>。</w:t>
            </w:r>
          </w:p>
        </w:tc>
      </w:tr>
      <w:tr w14:paraId="754E2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9" w:type="dxa"/>
            <w:vAlign w:val="center"/>
          </w:tcPr>
          <w:p w14:paraId="6E439DB1">
            <w:pPr>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2.4.5</w:t>
            </w:r>
          </w:p>
        </w:tc>
        <w:tc>
          <w:tcPr>
            <w:tcW w:w="7340" w:type="dxa"/>
            <w:vAlign w:val="center"/>
          </w:tcPr>
          <w:p w14:paraId="6259484D">
            <w:pPr>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全景功能：具备二维全景片的拍摄功能（非三维重建全景）；具备多层全景拍摄功能（一次拍摄可获取20层以上全景片），对于牙弓曲面可智能自适应识别生成牙弓曲线，自动脊骨补偿，拟合出最佳的全景影像。</w:t>
            </w:r>
          </w:p>
        </w:tc>
      </w:tr>
      <w:tr w14:paraId="68A27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9" w:type="dxa"/>
            <w:vAlign w:val="center"/>
          </w:tcPr>
          <w:p w14:paraId="6CE50AE4">
            <w:pPr>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2.4.6</w:t>
            </w:r>
          </w:p>
        </w:tc>
        <w:tc>
          <w:tcPr>
            <w:tcW w:w="7340" w:type="dxa"/>
            <w:vAlign w:val="center"/>
          </w:tcPr>
          <w:p w14:paraId="22549A65">
            <w:pPr>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标准投影侧位影像：同时提供正位/侧位的投照影像，可供选择全幅或半幅的侧位模式，提供掌骨拍摄功能。</w:t>
            </w:r>
          </w:p>
        </w:tc>
      </w:tr>
      <w:tr w14:paraId="3D1D4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9" w:type="dxa"/>
            <w:vAlign w:val="center"/>
          </w:tcPr>
          <w:p w14:paraId="4110993B">
            <w:pPr>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2.4.7</w:t>
            </w:r>
          </w:p>
        </w:tc>
        <w:tc>
          <w:tcPr>
            <w:tcW w:w="7340" w:type="dxa"/>
            <w:vAlign w:val="center"/>
          </w:tcPr>
          <w:p w14:paraId="705B239C">
            <w:pPr>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颞颌关节专用诊断切面，可以同时显示双侧关节，层厚可以任意调节。</w:t>
            </w:r>
          </w:p>
        </w:tc>
      </w:tr>
      <w:tr w14:paraId="2F89D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9" w:type="dxa"/>
            <w:vAlign w:val="center"/>
          </w:tcPr>
          <w:p w14:paraId="2EBF8EE8">
            <w:pPr>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2.4.8</w:t>
            </w:r>
          </w:p>
        </w:tc>
        <w:tc>
          <w:tcPr>
            <w:tcW w:w="7340" w:type="dxa"/>
            <w:vAlign w:val="center"/>
          </w:tcPr>
          <w:p w14:paraId="61DBD02B">
            <w:pPr>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金属伪影校正：降低口腔内金属物或其他高密度物质对 CT 成像效果的影响，显著提高图像质量；</w:t>
            </w:r>
          </w:p>
        </w:tc>
      </w:tr>
      <w:tr w14:paraId="4CBB0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9" w:type="dxa"/>
            <w:vAlign w:val="center"/>
          </w:tcPr>
          <w:p w14:paraId="3072BA99">
            <w:pPr>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2.4.9</w:t>
            </w:r>
          </w:p>
        </w:tc>
        <w:tc>
          <w:tcPr>
            <w:tcW w:w="7340" w:type="dxa"/>
            <w:vAlign w:val="center"/>
          </w:tcPr>
          <w:p w14:paraId="3035DDC8">
            <w:pPr>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自动神经管：下颌神经管着色，标记，且三维重建模型能显示; 具备自动检测并标注神经管功能。</w:t>
            </w:r>
          </w:p>
        </w:tc>
      </w:tr>
      <w:tr w14:paraId="55EE8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9" w:type="dxa"/>
            <w:vAlign w:val="center"/>
          </w:tcPr>
          <w:p w14:paraId="1B86F80B">
            <w:pPr>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2.4.10</w:t>
            </w:r>
          </w:p>
        </w:tc>
        <w:tc>
          <w:tcPr>
            <w:tcW w:w="7340" w:type="dxa"/>
            <w:vAlign w:val="center"/>
          </w:tcPr>
          <w:p w14:paraId="6C9842D6">
            <w:pPr>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模拟种植：可在种植体库中选择合适的种植体长度、直径；设计种植体植入位置及植入方向，一键定位种植体中心。</w:t>
            </w:r>
          </w:p>
        </w:tc>
      </w:tr>
      <w:tr w14:paraId="46856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9" w:type="dxa"/>
            <w:vAlign w:val="center"/>
          </w:tcPr>
          <w:p w14:paraId="227FA7AD">
            <w:pPr>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2.4.11</w:t>
            </w:r>
          </w:p>
        </w:tc>
        <w:tc>
          <w:tcPr>
            <w:tcW w:w="7340" w:type="dxa"/>
            <w:vAlign w:val="center"/>
          </w:tcPr>
          <w:p w14:paraId="5C1BDED2">
            <w:pPr>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模拟种植安全预警：种植体间或种植体与神经管间的距离低于安全范围可自动预警，安全范围可调节。</w:t>
            </w:r>
          </w:p>
        </w:tc>
      </w:tr>
      <w:tr w14:paraId="3306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9" w:type="dxa"/>
            <w:vAlign w:val="center"/>
          </w:tcPr>
          <w:p w14:paraId="7A4FD4E9">
            <w:pPr>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2.4.12</w:t>
            </w:r>
          </w:p>
        </w:tc>
        <w:tc>
          <w:tcPr>
            <w:tcW w:w="7340" w:type="dxa"/>
            <w:vAlign w:val="center"/>
          </w:tcPr>
          <w:p w14:paraId="581C6D0C">
            <w:pPr>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智能气道测量：快速分割气道， 可自动计算容积与最小区域并将患者的气道以色谱形式进行呈现。</w:t>
            </w:r>
          </w:p>
        </w:tc>
      </w:tr>
      <w:tr w14:paraId="58C17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9" w:type="dxa"/>
            <w:vAlign w:val="center"/>
          </w:tcPr>
          <w:p w14:paraId="67BF59F8">
            <w:pPr>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2.4.13</w:t>
            </w:r>
          </w:p>
        </w:tc>
        <w:tc>
          <w:tcPr>
            <w:tcW w:w="7340" w:type="dxa"/>
            <w:vAlign w:val="center"/>
          </w:tcPr>
          <w:p w14:paraId="098D718A">
            <w:pPr>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头影测量：内置多种头影测量方法和测量项目，医生可以根据自己的诊断诉求选择对应的测量方法， 为病人提供专业的头影测量参考。</w:t>
            </w:r>
          </w:p>
        </w:tc>
      </w:tr>
      <w:tr w14:paraId="47AD7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9" w:type="dxa"/>
            <w:vAlign w:val="center"/>
          </w:tcPr>
          <w:p w14:paraId="54CC611D">
            <w:pPr>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2.5</w:t>
            </w:r>
          </w:p>
        </w:tc>
        <w:tc>
          <w:tcPr>
            <w:tcW w:w="7340" w:type="dxa"/>
            <w:vAlign w:val="center"/>
          </w:tcPr>
          <w:p w14:paraId="18251EEC">
            <w:pPr>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数据管理及相关功能</w:t>
            </w:r>
          </w:p>
        </w:tc>
      </w:tr>
      <w:tr w14:paraId="59BD9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9" w:type="dxa"/>
            <w:vAlign w:val="center"/>
          </w:tcPr>
          <w:p w14:paraId="5F77C07A">
            <w:pPr>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2.5.1</w:t>
            </w:r>
          </w:p>
        </w:tc>
        <w:tc>
          <w:tcPr>
            <w:tcW w:w="7340" w:type="dxa"/>
            <w:vAlign w:val="center"/>
          </w:tcPr>
          <w:p w14:paraId="0BC9FF41">
            <w:pPr>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诊断报告：提供截图、报告编辑、打印功能；可自定义报告结构支持多种布局选择</w:t>
            </w:r>
          </w:p>
        </w:tc>
      </w:tr>
      <w:tr w14:paraId="6C8AF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9" w:type="dxa"/>
            <w:vAlign w:val="center"/>
          </w:tcPr>
          <w:p w14:paraId="57D9EF4C">
            <w:pPr>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2.5.2</w:t>
            </w:r>
          </w:p>
        </w:tc>
        <w:tc>
          <w:tcPr>
            <w:tcW w:w="7340" w:type="dxa"/>
            <w:vAlign w:val="center"/>
          </w:tcPr>
          <w:p w14:paraId="09B3055E">
            <w:pPr>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数据导出:可将患者信息、图像和软件整体导出到光盘和U盘；</w:t>
            </w:r>
          </w:p>
        </w:tc>
      </w:tr>
      <w:tr w14:paraId="5BBC3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9" w:type="dxa"/>
            <w:vAlign w:val="center"/>
          </w:tcPr>
          <w:p w14:paraId="3396C562">
            <w:pPr>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2.5.3</w:t>
            </w:r>
          </w:p>
        </w:tc>
        <w:tc>
          <w:tcPr>
            <w:tcW w:w="7340" w:type="dxa"/>
            <w:vAlign w:val="center"/>
          </w:tcPr>
          <w:p w14:paraId="1BD54DE1">
            <w:pPr>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患者数据管理：能够增加、编辑、删除患者个人信息；</w:t>
            </w:r>
          </w:p>
        </w:tc>
      </w:tr>
      <w:tr w14:paraId="1B9BC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9" w:type="dxa"/>
            <w:vAlign w:val="center"/>
          </w:tcPr>
          <w:p w14:paraId="09CA60DE">
            <w:pPr>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2.5.4</w:t>
            </w:r>
          </w:p>
        </w:tc>
        <w:tc>
          <w:tcPr>
            <w:tcW w:w="7340" w:type="dxa"/>
            <w:vAlign w:val="center"/>
          </w:tcPr>
          <w:p w14:paraId="19200B8C">
            <w:pPr>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PACS接口：能将设备接入医院现有PACS网络，提供存储、传输、远程打印、查询功能；</w:t>
            </w:r>
          </w:p>
        </w:tc>
      </w:tr>
      <w:tr w14:paraId="3CCC9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9" w:type="dxa"/>
            <w:vAlign w:val="center"/>
          </w:tcPr>
          <w:p w14:paraId="1FF22787">
            <w:pPr>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2.5.5</w:t>
            </w:r>
          </w:p>
        </w:tc>
        <w:tc>
          <w:tcPr>
            <w:tcW w:w="7340" w:type="dxa"/>
            <w:vAlign w:val="center"/>
          </w:tcPr>
          <w:p w14:paraId="00F1156F">
            <w:pPr>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没有PACS情况下，也能实现医院局域网自由传输，无须额外费用。</w:t>
            </w:r>
          </w:p>
        </w:tc>
      </w:tr>
      <w:tr w14:paraId="7479B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9" w:type="dxa"/>
            <w:vAlign w:val="center"/>
          </w:tcPr>
          <w:p w14:paraId="260E2DC3">
            <w:pPr>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2.5.6</w:t>
            </w:r>
          </w:p>
        </w:tc>
        <w:tc>
          <w:tcPr>
            <w:tcW w:w="7340" w:type="dxa"/>
            <w:vAlign w:val="center"/>
          </w:tcPr>
          <w:p w14:paraId="6FB8DAEC">
            <w:pPr>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图像格式：以标准DICOM3.0格式输出图像文件；</w:t>
            </w:r>
          </w:p>
        </w:tc>
      </w:tr>
      <w:tr w14:paraId="2C76C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9" w:type="dxa"/>
            <w:vAlign w:val="center"/>
          </w:tcPr>
          <w:p w14:paraId="4E1C9C4B">
            <w:pPr>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2.5.7</w:t>
            </w:r>
          </w:p>
        </w:tc>
        <w:tc>
          <w:tcPr>
            <w:tcW w:w="7340" w:type="dxa"/>
            <w:vAlign w:val="center"/>
          </w:tcPr>
          <w:p w14:paraId="33C78A8C">
            <w:pPr>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影像后处理工作站：1台；内存容量：≥8GB；硬盘容量：≥2TB；独立显卡：显存≥4GB</w:t>
            </w:r>
          </w:p>
        </w:tc>
      </w:tr>
      <w:tr w14:paraId="71ED2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9" w:type="dxa"/>
            <w:vAlign w:val="center"/>
          </w:tcPr>
          <w:p w14:paraId="47CF6000">
            <w:pPr>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2.6</w:t>
            </w:r>
          </w:p>
        </w:tc>
        <w:tc>
          <w:tcPr>
            <w:tcW w:w="7340" w:type="dxa"/>
            <w:vAlign w:val="center"/>
          </w:tcPr>
          <w:p w14:paraId="26C8AE72">
            <w:pPr>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智能语音软硬件系统：</w:t>
            </w:r>
          </w:p>
        </w:tc>
      </w:tr>
      <w:tr w14:paraId="518CC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9" w:type="dxa"/>
            <w:vAlign w:val="center"/>
          </w:tcPr>
          <w:p w14:paraId="59864C13">
            <w:pPr>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w:t>
            </w:r>
            <w:r>
              <w:rPr>
                <w:rFonts w:hint="eastAsia" w:ascii="宋体" w:hAnsi="宋体" w:eastAsia="宋体" w:cs="宋体"/>
                <w:b/>
                <w:bCs/>
                <w:color w:val="0000FF"/>
                <w:sz w:val="21"/>
                <w:szCs w:val="21"/>
                <w:highlight w:val="none"/>
              </w:rPr>
              <w:t>2.6.1</w:t>
            </w:r>
          </w:p>
        </w:tc>
        <w:tc>
          <w:tcPr>
            <w:tcW w:w="7340" w:type="dxa"/>
            <w:vAlign w:val="center"/>
          </w:tcPr>
          <w:p w14:paraId="5046E14F">
            <w:pPr>
              <w:pStyle w:val="16"/>
              <w:pageBreakBefore w:val="0"/>
              <w:kinsoku/>
              <w:wordWrap/>
              <w:overflowPunct/>
              <w:topLinePunct w:val="0"/>
              <w:bidi w:val="0"/>
              <w:snapToGrid/>
              <w:spacing w:line="240" w:lineRule="auto"/>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具备医疗智能语音识别服务，支持全院智能语音系统应用，云部署环境下可根据不同的用户接入量及数据调用量，搭建负载均衡，保障系统的高可用性及稳定性，具备医疗智能语音系统软件著作权证书。</w:t>
            </w:r>
            <w:r>
              <w:rPr>
                <w:rFonts w:hint="eastAsia" w:ascii="宋体" w:hAnsi="宋体" w:eastAsia="宋体" w:cs="宋体"/>
                <w:color w:val="0000FF"/>
                <w:sz w:val="21"/>
                <w:szCs w:val="21"/>
                <w:highlight w:val="none"/>
              </w:rPr>
              <w:t>（投标时需提供检验检测报告或产品技术白皮书或说明书扫描件或产品彩页，注：对应参数在技术说明书中进行标注，原件备查。检验检测报告要求：①由第三方检验检测机构出具并加盖（或带有）CMA标志的检验检测报告扫描件，原件备查；②上述检验检测报告在全国认证认可信息公共服务平台（认e 云）（http://cx.cnca.cn/）的信息查询记录截图。如检验检测报告中明确备注说明相关检验检测项不在检验检测机构CMA 资质许可（认定）范围内的，不符合招标文件要求。）</w:t>
            </w:r>
          </w:p>
        </w:tc>
      </w:tr>
      <w:tr w14:paraId="60F24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9" w:type="dxa"/>
            <w:vAlign w:val="center"/>
          </w:tcPr>
          <w:p w14:paraId="5ED41498">
            <w:pPr>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2.6.2</w:t>
            </w:r>
          </w:p>
        </w:tc>
        <w:tc>
          <w:tcPr>
            <w:tcW w:w="7340" w:type="dxa"/>
            <w:vAlign w:val="center"/>
          </w:tcPr>
          <w:p w14:paraId="50F674D1">
            <w:pPr>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具备语音调用模版功能，用户在使用语音系统进行录入过程中，通过语音形式执行快速调用模板的操作，并可使用语音在模版中通过口述关键字段形式快速填写相应内容，无需口述全部模板内容</w:t>
            </w:r>
            <w:bookmarkStart w:id="32" w:name="OLE_LINK3"/>
            <w:r>
              <w:rPr>
                <w:rFonts w:hint="eastAsia" w:ascii="宋体" w:hAnsi="宋体" w:eastAsia="宋体" w:cs="宋体"/>
                <w:color w:val="0000FF"/>
                <w:kern w:val="0"/>
                <w:sz w:val="21"/>
                <w:szCs w:val="21"/>
                <w:highlight w:val="none"/>
                <w:lang w:bidi="ar"/>
              </w:rPr>
              <w:t>。</w:t>
            </w:r>
            <w:bookmarkEnd w:id="32"/>
          </w:p>
        </w:tc>
      </w:tr>
      <w:tr w14:paraId="0646E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9" w:type="dxa"/>
            <w:vAlign w:val="center"/>
          </w:tcPr>
          <w:p w14:paraId="25570157">
            <w:pPr>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w:t>
            </w:r>
            <w:r>
              <w:rPr>
                <w:rFonts w:hint="eastAsia" w:ascii="宋体" w:hAnsi="宋体" w:eastAsia="宋体" w:cs="宋体"/>
                <w:b/>
                <w:bCs/>
                <w:color w:val="0000FF"/>
                <w:sz w:val="21"/>
                <w:szCs w:val="21"/>
                <w:highlight w:val="none"/>
              </w:rPr>
              <w:t>2.6.3</w:t>
            </w:r>
          </w:p>
        </w:tc>
        <w:tc>
          <w:tcPr>
            <w:tcW w:w="7340" w:type="dxa"/>
            <w:vAlign w:val="center"/>
          </w:tcPr>
          <w:p w14:paraId="68D6439C">
            <w:pPr>
              <w:pStyle w:val="16"/>
              <w:pageBreakBefore w:val="0"/>
              <w:kinsoku/>
              <w:wordWrap/>
              <w:overflowPunct/>
              <w:topLinePunct w:val="0"/>
              <w:bidi w:val="0"/>
              <w:snapToGrid/>
              <w:spacing w:line="240" w:lineRule="auto"/>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具备语音控制光标功能，用户在使用语音系统进行录入过程中，实现语音控制光标跳转功能，同时支持通过语音对文字进行包括在指定位置插入、删除指定字段、移动光标至指定位置等快捷编辑操作, 具备医患对话录音转写系统软件著作权证书。</w:t>
            </w:r>
            <w:r>
              <w:rPr>
                <w:rFonts w:hint="eastAsia" w:ascii="宋体" w:hAnsi="宋体" w:eastAsia="宋体" w:cs="宋体"/>
                <w:color w:val="0000FF"/>
                <w:sz w:val="21"/>
                <w:szCs w:val="21"/>
                <w:highlight w:val="none"/>
              </w:rPr>
              <w:t>（投标时需提供检验检测报告或产品技术白皮书或说明书扫描件或产品彩页，注：对应参数在技术说明书中进行标注，原件备查。检验检测报告要求：①由第三方检验检测机构出具并加盖（或带有）CMA标志的检验检测报告扫描件，原件备查；②上述检验检测报告在全国认证认可信息公共服务平台（认e 云）（http://cx.cnca.cn/）的信息查询记录截图。如检验检测报告中明确备注说明相关检验检测项不在检验检测机构CMA 资质许可（认定）范围内的，不符合招标文件要求。）</w:t>
            </w:r>
          </w:p>
        </w:tc>
      </w:tr>
      <w:tr w14:paraId="5F2A1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9" w:type="dxa"/>
            <w:vAlign w:val="center"/>
          </w:tcPr>
          <w:p w14:paraId="2C861505">
            <w:pPr>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2.6.4</w:t>
            </w:r>
          </w:p>
        </w:tc>
        <w:tc>
          <w:tcPr>
            <w:tcW w:w="7340" w:type="dxa"/>
            <w:vAlign w:val="center"/>
          </w:tcPr>
          <w:p w14:paraId="0102BE2E">
            <w:pPr>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具备编辑替换列表功能，用户通过预先设置简短字段与常用大段文字的对应关系，进而实现用户通过仅口述简短字段，系统就能自动识别并输出为用户预先设置的常用大段文字的功能。</w:t>
            </w:r>
          </w:p>
        </w:tc>
      </w:tr>
      <w:tr w14:paraId="6D5D6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9" w:type="dxa"/>
            <w:vAlign w:val="center"/>
          </w:tcPr>
          <w:p w14:paraId="38DECF27">
            <w:pPr>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★配置清单</w:t>
            </w:r>
          </w:p>
        </w:tc>
        <w:tc>
          <w:tcPr>
            <w:tcW w:w="7340" w:type="dxa"/>
            <w:vAlign w:val="center"/>
          </w:tcPr>
          <w:p w14:paraId="7EF150A4">
            <w:pPr>
              <w:pageBreakBefore w:val="0"/>
              <w:widowControl/>
              <w:kinsoku/>
              <w:wordWrap/>
              <w:overflowPunct/>
              <w:topLinePunct w:val="0"/>
              <w:bidi w:val="0"/>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采购产品默认包含下列配件，供应商中标后须按下列配件清单提供相应配件。供应商投标时无须对下列配件提供报价清单进行报价，供应商中标后签订合同前须将详细的配件报价递交采购单位，作为签订合同的依据：</w:t>
            </w:r>
          </w:p>
          <w:p w14:paraId="00226E5E">
            <w:pPr>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bookmarkStart w:id="33" w:name="OLE_LINK24"/>
            <w:r>
              <w:rPr>
                <w:rFonts w:hint="eastAsia" w:ascii="宋体" w:hAnsi="宋体" w:eastAsia="宋体" w:cs="宋体"/>
                <w:b/>
                <w:bCs/>
                <w:color w:val="0000FF"/>
                <w:sz w:val="21"/>
                <w:szCs w:val="21"/>
                <w:highlight w:val="none"/>
              </w:rPr>
              <w:t>单台/套配件清单：</w:t>
            </w:r>
          </w:p>
          <w:bookmarkEnd w:id="33"/>
          <w:tbl>
            <w:tblPr>
              <w:tblStyle w:val="42"/>
              <w:tblW w:w="7120" w:type="dxa"/>
              <w:tblInd w:w="0" w:type="dxa"/>
              <w:tblLayout w:type="fixed"/>
              <w:tblCellMar>
                <w:top w:w="0" w:type="dxa"/>
                <w:left w:w="108" w:type="dxa"/>
                <w:bottom w:w="0" w:type="dxa"/>
                <w:right w:w="108" w:type="dxa"/>
              </w:tblCellMar>
            </w:tblPr>
            <w:tblGrid>
              <w:gridCol w:w="651"/>
              <w:gridCol w:w="2976"/>
              <w:gridCol w:w="1007"/>
              <w:gridCol w:w="1243"/>
              <w:gridCol w:w="1243"/>
            </w:tblGrid>
            <w:tr w14:paraId="0AE47564">
              <w:tblPrEx>
                <w:tblCellMar>
                  <w:top w:w="0" w:type="dxa"/>
                  <w:left w:w="108" w:type="dxa"/>
                  <w:bottom w:w="0" w:type="dxa"/>
                  <w:right w:w="108" w:type="dxa"/>
                </w:tblCellMar>
              </w:tblPrEx>
              <w:trPr>
                <w:trHeight w:val="0" w:hRule="atLeast"/>
              </w:trPr>
              <w:tc>
                <w:tcPr>
                  <w:tcW w:w="651" w:type="dxa"/>
                  <w:tcBorders>
                    <w:top w:val="single" w:color="000000" w:sz="4" w:space="0"/>
                    <w:left w:val="single" w:color="000000" w:sz="4" w:space="0"/>
                    <w:bottom w:val="single" w:color="000000" w:sz="4" w:space="0"/>
                    <w:right w:val="single" w:color="000000" w:sz="4" w:space="0"/>
                  </w:tcBorders>
                  <w:shd w:val="clear" w:color="auto" w:fill="C6D9F0"/>
                  <w:noWrap/>
                  <w:vAlign w:val="center"/>
                </w:tcPr>
                <w:p w14:paraId="7DC82506">
                  <w:pPr>
                    <w:pageBreakBefore w:val="0"/>
                    <w:widowControl/>
                    <w:kinsoku/>
                    <w:wordWrap/>
                    <w:overflowPunct/>
                    <w:topLinePunct w:val="0"/>
                    <w:bidi w:val="0"/>
                    <w:snapToGrid/>
                    <w:spacing w:line="240" w:lineRule="auto"/>
                    <w:jc w:val="center"/>
                    <w:textAlignment w:val="center"/>
                    <w:rPr>
                      <w:rFonts w:hint="eastAsia" w:ascii="宋体" w:hAnsi="宋体" w:eastAsia="宋体" w:cs="宋体"/>
                      <w:b/>
                      <w:color w:val="0000FF"/>
                      <w:spacing w:val="2"/>
                      <w:sz w:val="21"/>
                      <w:szCs w:val="21"/>
                      <w:highlight w:val="none"/>
                    </w:rPr>
                  </w:pPr>
                  <w:r>
                    <w:rPr>
                      <w:rFonts w:hint="eastAsia" w:ascii="宋体" w:hAnsi="宋体" w:eastAsia="宋体" w:cs="宋体"/>
                      <w:b/>
                      <w:color w:val="0000FF"/>
                      <w:kern w:val="0"/>
                      <w:sz w:val="21"/>
                      <w:szCs w:val="21"/>
                      <w:highlight w:val="none"/>
                    </w:rPr>
                    <w:t>序号</w:t>
                  </w:r>
                </w:p>
              </w:tc>
              <w:tc>
                <w:tcPr>
                  <w:tcW w:w="2976" w:type="dxa"/>
                  <w:tcBorders>
                    <w:top w:val="single" w:color="000000" w:sz="4" w:space="0"/>
                    <w:left w:val="single" w:color="000000" w:sz="4" w:space="0"/>
                    <w:bottom w:val="single" w:color="000000" w:sz="4" w:space="0"/>
                    <w:right w:val="single" w:color="000000" w:sz="4" w:space="0"/>
                  </w:tcBorders>
                  <w:shd w:val="clear" w:color="auto" w:fill="C6D9F0"/>
                  <w:noWrap/>
                  <w:vAlign w:val="center"/>
                </w:tcPr>
                <w:p w14:paraId="0995840C">
                  <w:pPr>
                    <w:pageBreakBefore w:val="0"/>
                    <w:widowControl/>
                    <w:kinsoku/>
                    <w:wordWrap/>
                    <w:overflowPunct/>
                    <w:topLinePunct w:val="0"/>
                    <w:bidi w:val="0"/>
                    <w:snapToGrid/>
                    <w:spacing w:line="240" w:lineRule="auto"/>
                    <w:jc w:val="center"/>
                    <w:textAlignment w:val="center"/>
                    <w:rPr>
                      <w:rFonts w:hint="eastAsia" w:ascii="宋体" w:hAnsi="宋体" w:eastAsia="宋体" w:cs="宋体"/>
                      <w:b/>
                      <w:color w:val="0000FF"/>
                      <w:spacing w:val="2"/>
                      <w:sz w:val="21"/>
                      <w:szCs w:val="21"/>
                      <w:highlight w:val="none"/>
                    </w:rPr>
                  </w:pPr>
                  <w:r>
                    <w:rPr>
                      <w:rFonts w:hint="eastAsia" w:ascii="宋体" w:hAnsi="宋体" w:eastAsia="宋体" w:cs="宋体"/>
                      <w:b/>
                      <w:color w:val="0000FF"/>
                      <w:kern w:val="0"/>
                      <w:sz w:val="21"/>
                      <w:szCs w:val="21"/>
                      <w:highlight w:val="none"/>
                    </w:rPr>
                    <w:t>货物名称</w:t>
                  </w:r>
                </w:p>
              </w:tc>
              <w:tc>
                <w:tcPr>
                  <w:tcW w:w="1007" w:type="dxa"/>
                  <w:tcBorders>
                    <w:top w:val="single" w:color="000000" w:sz="4" w:space="0"/>
                    <w:left w:val="single" w:color="000000" w:sz="4" w:space="0"/>
                    <w:bottom w:val="single" w:color="000000" w:sz="4" w:space="0"/>
                    <w:right w:val="single" w:color="000000" w:sz="4" w:space="0"/>
                  </w:tcBorders>
                  <w:shd w:val="clear" w:color="auto" w:fill="C6D9F0"/>
                  <w:noWrap/>
                  <w:vAlign w:val="center"/>
                </w:tcPr>
                <w:p w14:paraId="1F161176">
                  <w:pPr>
                    <w:pageBreakBefore w:val="0"/>
                    <w:widowControl/>
                    <w:kinsoku/>
                    <w:wordWrap/>
                    <w:overflowPunct/>
                    <w:topLinePunct w:val="0"/>
                    <w:bidi w:val="0"/>
                    <w:snapToGrid/>
                    <w:spacing w:line="240" w:lineRule="auto"/>
                    <w:jc w:val="center"/>
                    <w:textAlignment w:val="center"/>
                    <w:rPr>
                      <w:rFonts w:hint="eastAsia" w:ascii="宋体" w:hAnsi="宋体" w:eastAsia="宋体" w:cs="宋体"/>
                      <w:b/>
                      <w:color w:val="0000FF"/>
                      <w:spacing w:val="2"/>
                      <w:sz w:val="21"/>
                      <w:szCs w:val="21"/>
                      <w:highlight w:val="none"/>
                    </w:rPr>
                  </w:pPr>
                  <w:r>
                    <w:rPr>
                      <w:rFonts w:hint="eastAsia" w:ascii="宋体" w:hAnsi="宋体" w:eastAsia="宋体" w:cs="宋体"/>
                      <w:b/>
                      <w:color w:val="0000FF"/>
                      <w:kern w:val="0"/>
                      <w:sz w:val="21"/>
                      <w:szCs w:val="21"/>
                      <w:highlight w:val="none"/>
                    </w:rPr>
                    <w:t>数量</w:t>
                  </w:r>
                </w:p>
              </w:tc>
              <w:tc>
                <w:tcPr>
                  <w:tcW w:w="1243" w:type="dxa"/>
                  <w:tcBorders>
                    <w:top w:val="single" w:color="000000" w:sz="4" w:space="0"/>
                    <w:left w:val="single" w:color="000000" w:sz="4" w:space="0"/>
                    <w:bottom w:val="single" w:color="000000" w:sz="4" w:space="0"/>
                    <w:right w:val="single" w:color="000000" w:sz="4" w:space="0"/>
                  </w:tcBorders>
                  <w:shd w:val="clear" w:color="auto" w:fill="C6D9F0"/>
                  <w:noWrap/>
                  <w:vAlign w:val="center"/>
                </w:tcPr>
                <w:p w14:paraId="7E527689">
                  <w:pPr>
                    <w:pageBreakBefore w:val="0"/>
                    <w:widowControl/>
                    <w:kinsoku/>
                    <w:wordWrap/>
                    <w:overflowPunct/>
                    <w:topLinePunct w:val="0"/>
                    <w:bidi w:val="0"/>
                    <w:snapToGrid/>
                    <w:spacing w:line="240" w:lineRule="auto"/>
                    <w:jc w:val="center"/>
                    <w:textAlignment w:val="center"/>
                    <w:rPr>
                      <w:rFonts w:hint="eastAsia" w:ascii="宋体" w:hAnsi="宋体" w:eastAsia="宋体" w:cs="宋体"/>
                      <w:b/>
                      <w:color w:val="0000FF"/>
                      <w:sz w:val="21"/>
                      <w:szCs w:val="21"/>
                      <w:highlight w:val="none"/>
                    </w:rPr>
                  </w:pPr>
                  <w:r>
                    <w:rPr>
                      <w:rFonts w:hint="eastAsia" w:ascii="宋体" w:hAnsi="宋体" w:eastAsia="宋体" w:cs="宋体"/>
                      <w:b/>
                      <w:color w:val="0000FF"/>
                      <w:kern w:val="0"/>
                      <w:sz w:val="21"/>
                      <w:szCs w:val="21"/>
                      <w:highlight w:val="none"/>
                    </w:rPr>
                    <w:t>单位</w:t>
                  </w:r>
                </w:p>
              </w:tc>
              <w:tc>
                <w:tcPr>
                  <w:tcW w:w="1243" w:type="dxa"/>
                  <w:tcBorders>
                    <w:top w:val="single" w:color="000000" w:sz="4" w:space="0"/>
                    <w:left w:val="single" w:color="000000" w:sz="4" w:space="0"/>
                    <w:bottom w:val="single" w:color="000000" w:sz="4" w:space="0"/>
                    <w:right w:val="single" w:color="000000" w:sz="4" w:space="0"/>
                  </w:tcBorders>
                  <w:shd w:val="clear" w:color="auto" w:fill="C6D9F0"/>
                  <w:noWrap/>
                  <w:vAlign w:val="center"/>
                </w:tcPr>
                <w:p w14:paraId="629E7AB2">
                  <w:pPr>
                    <w:pageBreakBefore w:val="0"/>
                    <w:widowControl/>
                    <w:kinsoku/>
                    <w:wordWrap/>
                    <w:overflowPunct/>
                    <w:topLinePunct w:val="0"/>
                    <w:bidi w:val="0"/>
                    <w:snapToGrid/>
                    <w:spacing w:line="240" w:lineRule="auto"/>
                    <w:jc w:val="center"/>
                    <w:textAlignment w:val="center"/>
                    <w:rPr>
                      <w:rFonts w:hint="eastAsia" w:ascii="宋体" w:hAnsi="宋体" w:eastAsia="宋体" w:cs="宋体"/>
                      <w:b/>
                      <w:color w:val="0000FF"/>
                      <w:kern w:val="0"/>
                      <w:sz w:val="21"/>
                      <w:szCs w:val="21"/>
                      <w:highlight w:val="none"/>
                    </w:rPr>
                  </w:pPr>
                  <w:r>
                    <w:rPr>
                      <w:rFonts w:hint="eastAsia" w:ascii="宋体" w:hAnsi="宋体" w:eastAsia="宋体" w:cs="宋体"/>
                      <w:b/>
                      <w:color w:val="0000FF"/>
                      <w:kern w:val="0"/>
                      <w:sz w:val="21"/>
                      <w:szCs w:val="21"/>
                      <w:highlight w:val="none"/>
                    </w:rPr>
                    <w:t>备注</w:t>
                  </w:r>
                </w:p>
              </w:tc>
            </w:tr>
            <w:tr w14:paraId="23894C12">
              <w:tblPrEx>
                <w:tblCellMar>
                  <w:top w:w="0" w:type="dxa"/>
                  <w:left w:w="108" w:type="dxa"/>
                  <w:bottom w:w="0" w:type="dxa"/>
                  <w:right w:w="108" w:type="dxa"/>
                </w:tblCellMar>
              </w:tblPrEx>
              <w:trPr>
                <w:trHeight w:val="0" w:hRule="atLeast"/>
              </w:trPr>
              <w:tc>
                <w:tcPr>
                  <w:tcW w:w="651" w:type="dxa"/>
                  <w:tcBorders>
                    <w:top w:val="single" w:color="000000" w:sz="4" w:space="0"/>
                    <w:left w:val="single" w:color="000000" w:sz="4" w:space="0"/>
                    <w:bottom w:val="single" w:color="000000" w:sz="4" w:space="0"/>
                    <w:right w:val="single" w:color="000000" w:sz="4" w:space="0"/>
                  </w:tcBorders>
                  <w:noWrap/>
                  <w:vAlign w:val="center"/>
                </w:tcPr>
                <w:p w14:paraId="7A763CC4">
                  <w:pPr>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w:t>
                  </w:r>
                </w:p>
              </w:tc>
              <w:tc>
                <w:tcPr>
                  <w:tcW w:w="2976" w:type="dxa"/>
                  <w:tcBorders>
                    <w:top w:val="single" w:color="000000" w:sz="4" w:space="0"/>
                    <w:left w:val="single" w:color="000000" w:sz="4" w:space="0"/>
                    <w:bottom w:val="single" w:color="000000" w:sz="4" w:space="0"/>
                    <w:right w:val="single" w:color="000000" w:sz="4" w:space="0"/>
                  </w:tcBorders>
                  <w:noWrap/>
                  <w:vAlign w:val="center"/>
                </w:tcPr>
                <w:p w14:paraId="4CE99FEC">
                  <w:pPr>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lang w:val="zh-CN"/>
                    </w:rPr>
                  </w:pPr>
                  <w:r>
                    <w:rPr>
                      <w:rFonts w:hint="eastAsia" w:ascii="宋体" w:hAnsi="宋体" w:eastAsia="宋体" w:cs="宋体"/>
                      <w:color w:val="0000FF"/>
                      <w:sz w:val="21"/>
                      <w:szCs w:val="21"/>
                      <w:highlight w:val="none"/>
                    </w:rPr>
                    <w:t>扫描平台机架、底座及外壳组件</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1E5BD3FF">
                  <w:pPr>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w:t>
                  </w:r>
                </w:p>
              </w:tc>
              <w:tc>
                <w:tcPr>
                  <w:tcW w:w="1243" w:type="dxa"/>
                  <w:tcBorders>
                    <w:top w:val="single" w:color="000000" w:sz="4" w:space="0"/>
                    <w:left w:val="single" w:color="000000" w:sz="4" w:space="0"/>
                    <w:bottom w:val="single" w:color="000000" w:sz="4" w:space="0"/>
                    <w:right w:val="single" w:color="000000" w:sz="4" w:space="0"/>
                  </w:tcBorders>
                  <w:noWrap/>
                  <w:vAlign w:val="center"/>
                </w:tcPr>
                <w:p w14:paraId="11D0045E">
                  <w:pPr>
                    <w:pageBreakBefore w:val="0"/>
                    <w:kinsoku/>
                    <w:wordWrap/>
                    <w:overflowPunct/>
                    <w:topLinePunct w:val="0"/>
                    <w:bidi w:val="0"/>
                    <w:snapToGrid/>
                    <w:spacing w:line="240" w:lineRule="auto"/>
                    <w:jc w:val="center"/>
                    <w:rPr>
                      <w:rFonts w:hint="eastAsia" w:ascii="宋体" w:hAnsi="宋体" w:eastAsia="宋体" w:cs="宋体"/>
                      <w:color w:val="0000FF"/>
                      <w:kern w:val="0"/>
                      <w:sz w:val="21"/>
                      <w:szCs w:val="21"/>
                      <w:highlight w:val="none"/>
                    </w:rPr>
                  </w:pPr>
                  <w:r>
                    <w:rPr>
                      <w:rFonts w:hint="eastAsia" w:ascii="宋体" w:hAnsi="宋体" w:eastAsia="宋体" w:cs="宋体"/>
                      <w:color w:val="0000FF"/>
                      <w:sz w:val="21"/>
                      <w:szCs w:val="21"/>
                      <w:highlight w:val="none"/>
                    </w:rPr>
                    <w:t>套</w:t>
                  </w:r>
                </w:p>
              </w:tc>
              <w:tc>
                <w:tcPr>
                  <w:tcW w:w="1243" w:type="dxa"/>
                  <w:tcBorders>
                    <w:top w:val="single" w:color="000000" w:sz="4" w:space="0"/>
                    <w:left w:val="single" w:color="000000" w:sz="4" w:space="0"/>
                    <w:bottom w:val="single" w:color="000000" w:sz="4" w:space="0"/>
                    <w:right w:val="single" w:color="000000" w:sz="4" w:space="0"/>
                  </w:tcBorders>
                  <w:noWrap/>
                  <w:vAlign w:val="center"/>
                </w:tcPr>
                <w:p w14:paraId="020CA125">
                  <w:pPr>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p>
              </w:tc>
            </w:tr>
            <w:tr w14:paraId="3AF9777F">
              <w:tblPrEx>
                <w:tblCellMar>
                  <w:top w:w="0" w:type="dxa"/>
                  <w:left w:w="108" w:type="dxa"/>
                  <w:bottom w:w="0" w:type="dxa"/>
                  <w:right w:w="108" w:type="dxa"/>
                </w:tblCellMar>
              </w:tblPrEx>
              <w:trPr>
                <w:trHeight w:val="0" w:hRule="atLeast"/>
              </w:trPr>
              <w:tc>
                <w:tcPr>
                  <w:tcW w:w="651" w:type="dxa"/>
                  <w:tcBorders>
                    <w:top w:val="single" w:color="000000" w:sz="4" w:space="0"/>
                    <w:left w:val="single" w:color="000000" w:sz="4" w:space="0"/>
                    <w:bottom w:val="single" w:color="000000" w:sz="4" w:space="0"/>
                    <w:right w:val="single" w:color="000000" w:sz="4" w:space="0"/>
                  </w:tcBorders>
                  <w:noWrap/>
                  <w:vAlign w:val="center"/>
                </w:tcPr>
                <w:p w14:paraId="6D88FE01">
                  <w:pPr>
                    <w:pageBreakBefore w:val="0"/>
                    <w:kinsoku/>
                    <w:wordWrap/>
                    <w:overflowPunct/>
                    <w:topLinePunct w:val="0"/>
                    <w:bidi w:val="0"/>
                    <w:snapToGrid/>
                    <w:spacing w:line="240" w:lineRule="auto"/>
                    <w:jc w:val="center"/>
                    <w:rPr>
                      <w:rFonts w:hint="eastAsia" w:ascii="宋体" w:hAnsi="宋体" w:eastAsia="宋体" w:cs="宋体"/>
                      <w:color w:val="0000FF"/>
                      <w:spacing w:val="2"/>
                      <w:sz w:val="21"/>
                      <w:szCs w:val="21"/>
                      <w:highlight w:val="none"/>
                    </w:rPr>
                  </w:pPr>
                  <w:r>
                    <w:rPr>
                      <w:rFonts w:hint="eastAsia" w:ascii="宋体" w:hAnsi="宋体" w:eastAsia="宋体" w:cs="宋体"/>
                      <w:color w:val="0000FF"/>
                      <w:sz w:val="21"/>
                      <w:szCs w:val="21"/>
                      <w:highlight w:val="none"/>
                    </w:rPr>
                    <w:t>2</w:t>
                  </w:r>
                </w:p>
              </w:tc>
              <w:tc>
                <w:tcPr>
                  <w:tcW w:w="2976" w:type="dxa"/>
                  <w:tcBorders>
                    <w:top w:val="single" w:color="000000" w:sz="4" w:space="0"/>
                    <w:left w:val="single" w:color="000000" w:sz="4" w:space="0"/>
                    <w:bottom w:val="single" w:color="000000" w:sz="4" w:space="0"/>
                    <w:right w:val="single" w:color="000000" w:sz="4" w:space="0"/>
                  </w:tcBorders>
                  <w:noWrap/>
                  <w:vAlign w:val="center"/>
                </w:tcPr>
                <w:p w14:paraId="74576FB4">
                  <w:pPr>
                    <w:pageBreakBefore w:val="0"/>
                    <w:kinsoku/>
                    <w:wordWrap/>
                    <w:overflowPunct/>
                    <w:topLinePunct w:val="0"/>
                    <w:bidi w:val="0"/>
                    <w:snapToGrid/>
                    <w:spacing w:line="240" w:lineRule="auto"/>
                    <w:jc w:val="center"/>
                    <w:rPr>
                      <w:rFonts w:hint="eastAsia" w:ascii="宋体" w:hAnsi="宋体" w:eastAsia="宋体" w:cs="宋体"/>
                      <w:color w:val="0000FF"/>
                      <w:spacing w:val="2"/>
                      <w:sz w:val="21"/>
                      <w:szCs w:val="21"/>
                      <w:highlight w:val="none"/>
                    </w:rPr>
                  </w:pPr>
                  <w:r>
                    <w:rPr>
                      <w:rFonts w:hint="eastAsia" w:ascii="宋体" w:hAnsi="宋体" w:eastAsia="宋体" w:cs="宋体"/>
                      <w:color w:val="0000FF"/>
                      <w:sz w:val="21"/>
                      <w:szCs w:val="21"/>
                      <w:highlight w:val="none"/>
                    </w:rPr>
                    <w:t>X射线球管及相关组件</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15349806">
                  <w:pPr>
                    <w:pageBreakBefore w:val="0"/>
                    <w:kinsoku/>
                    <w:wordWrap/>
                    <w:overflowPunct/>
                    <w:topLinePunct w:val="0"/>
                    <w:bidi w:val="0"/>
                    <w:snapToGrid/>
                    <w:spacing w:line="240" w:lineRule="auto"/>
                    <w:jc w:val="center"/>
                    <w:rPr>
                      <w:rFonts w:hint="eastAsia" w:ascii="宋体" w:hAnsi="宋体" w:eastAsia="宋体" w:cs="宋体"/>
                      <w:color w:val="0000FF"/>
                      <w:spacing w:val="2"/>
                      <w:sz w:val="21"/>
                      <w:szCs w:val="21"/>
                      <w:highlight w:val="none"/>
                    </w:rPr>
                  </w:pPr>
                  <w:r>
                    <w:rPr>
                      <w:rFonts w:hint="eastAsia" w:ascii="宋体" w:hAnsi="宋体" w:eastAsia="宋体" w:cs="宋体"/>
                      <w:color w:val="0000FF"/>
                      <w:sz w:val="21"/>
                      <w:szCs w:val="21"/>
                      <w:highlight w:val="none"/>
                    </w:rPr>
                    <w:t>1</w:t>
                  </w:r>
                </w:p>
              </w:tc>
              <w:tc>
                <w:tcPr>
                  <w:tcW w:w="1243" w:type="dxa"/>
                  <w:tcBorders>
                    <w:top w:val="single" w:color="000000" w:sz="4" w:space="0"/>
                    <w:left w:val="single" w:color="000000" w:sz="4" w:space="0"/>
                    <w:bottom w:val="single" w:color="000000" w:sz="4" w:space="0"/>
                    <w:right w:val="single" w:color="000000" w:sz="4" w:space="0"/>
                  </w:tcBorders>
                  <w:noWrap/>
                  <w:vAlign w:val="center"/>
                </w:tcPr>
                <w:p w14:paraId="309553CC">
                  <w:pPr>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套</w:t>
                  </w:r>
                </w:p>
              </w:tc>
              <w:tc>
                <w:tcPr>
                  <w:tcW w:w="1243" w:type="dxa"/>
                  <w:tcBorders>
                    <w:top w:val="single" w:color="000000" w:sz="4" w:space="0"/>
                    <w:left w:val="single" w:color="000000" w:sz="4" w:space="0"/>
                    <w:bottom w:val="single" w:color="000000" w:sz="4" w:space="0"/>
                    <w:right w:val="single" w:color="000000" w:sz="4" w:space="0"/>
                  </w:tcBorders>
                  <w:noWrap/>
                  <w:vAlign w:val="center"/>
                </w:tcPr>
                <w:p w14:paraId="125E5246">
                  <w:pPr>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p>
              </w:tc>
            </w:tr>
            <w:tr w14:paraId="4C2C068A">
              <w:tblPrEx>
                <w:tblCellMar>
                  <w:top w:w="0" w:type="dxa"/>
                  <w:left w:w="108" w:type="dxa"/>
                  <w:bottom w:w="0" w:type="dxa"/>
                  <w:right w:w="108" w:type="dxa"/>
                </w:tblCellMar>
              </w:tblPrEx>
              <w:trPr>
                <w:trHeight w:val="0" w:hRule="atLeast"/>
              </w:trPr>
              <w:tc>
                <w:tcPr>
                  <w:tcW w:w="651" w:type="dxa"/>
                  <w:tcBorders>
                    <w:top w:val="single" w:color="000000" w:sz="4" w:space="0"/>
                    <w:left w:val="single" w:color="000000" w:sz="4" w:space="0"/>
                    <w:bottom w:val="single" w:color="000000" w:sz="4" w:space="0"/>
                    <w:right w:val="single" w:color="000000" w:sz="4" w:space="0"/>
                  </w:tcBorders>
                  <w:noWrap/>
                  <w:vAlign w:val="center"/>
                </w:tcPr>
                <w:p w14:paraId="7F4B2F72">
                  <w:pPr>
                    <w:pageBreakBefore w:val="0"/>
                    <w:kinsoku/>
                    <w:wordWrap/>
                    <w:overflowPunct/>
                    <w:topLinePunct w:val="0"/>
                    <w:bidi w:val="0"/>
                    <w:snapToGrid/>
                    <w:spacing w:line="240" w:lineRule="auto"/>
                    <w:jc w:val="center"/>
                    <w:rPr>
                      <w:rFonts w:hint="eastAsia" w:ascii="宋体" w:hAnsi="宋体" w:eastAsia="宋体" w:cs="宋体"/>
                      <w:color w:val="0000FF"/>
                      <w:spacing w:val="2"/>
                      <w:sz w:val="21"/>
                      <w:szCs w:val="21"/>
                      <w:highlight w:val="none"/>
                    </w:rPr>
                  </w:pPr>
                  <w:r>
                    <w:rPr>
                      <w:rFonts w:hint="eastAsia" w:ascii="宋体" w:hAnsi="宋体" w:eastAsia="宋体" w:cs="宋体"/>
                      <w:color w:val="0000FF"/>
                      <w:sz w:val="21"/>
                      <w:szCs w:val="21"/>
                      <w:highlight w:val="none"/>
                    </w:rPr>
                    <w:t>3</w:t>
                  </w:r>
                </w:p>
              </w:tc>
              <w:tc>
                <w:tcPr>
                  <w:tcW w:w="2976" w:type="dxa"/>
                  <w:tcBorders>
                    <w:top w:val="single" w:color="000000" w:sz="4" w:space="0"/>
                    <w:left w:val="single" w:color="000000" w:sz="4" w:space="0"/>
                    <w:bottom w:val="single" w:color="000000" w:sz="4" w:space="0"/>
                    <w:right w:val="single" w:color="000000" w:sz="4" w:space="0"/>
                  </w:tcBorders>
                  <w:noWrap/>
                  <w:vAlign w:val="center"/>
                </w:tcPr>
                <w:p w14:paraId="3AAC02B1">
                  <w:pPr>
                    <w:pageBreakBefore w:val="0"/>
                    <w:kinsoku/>
                    <w:wordWrap/>
                    <w:overflowPunct/>
                    <w:topLinePunct w:val="0"/>
                    <w:bidi w:val="0"/>
                    <w:snapToGrid/>
                    <w:spacing w:line="240" w:lineRule="auto"/>
                    <w:jc w:val="center"/>
                    <w:rPr>
                      <w:rFonts w:hint="eastAsia" w:ascii="宋体" w:hAnsi="宋体" w:eastAsia="宋体" w:cs="宋体"/>
                      <w:color w:val="0000FF"/>
                      <w:spacing w:val="2"/>
                      <w:sz w:val="21"/>
                      <w:szCs w:val="21"/>
                      <w:highlight w:val="none"/>
                    </w:rPr>
                  </w:pPr>
                  <w:r>
                    <w:rPr>
                      <w:rFonts w:hint="eastAsia" w:ascii="宋体" w:hAnsi="宋体" w:eastAsia="宋体" w:cs="宋体"/>
                      <w:color w:val="0000FF"/>
                      <w:sz w:val="21"/>
                      <w:szCs w:val="21"/>
                      <w:highlight w:val="none"/>
                    </w:rPr>
                    <w:t>平板探测器1（CT、全景）</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675C0645">
                  <w:pPr>
                    <w:pageBreakBefore w:val="0"/>
                    <w:kinsoku/>
                    <w:wordWrap/>
                    <w:overflowPunct/>
                    <w:topLinePunct w:val="0"/>
                    <w:bidi w:val="0"/>
                    <w:snapToGrid/>
                    <w:spacing w:line="240" w:lineRule="auto"/>
                    <w:jc w:val="center"/>
                    <w:rPr>
                      <w:rFonts w:hint="eastAsia" w:ascii="宋体" w:hAnsi="宋体" w:eastAsia="宋体" w:cs="宋体"/>
                      <w:color w:val="0000FF"/>
                      <w:spacing w:val="2"/>
                      <w:sz w:val="21"/>
                      <w:szCs w:val="21"/>
                      <w:highlight w:val="none"/>
                    </w:rPr>
                  </w:pPr>
                  <w:r>
                    <w:rPr>
                      <w:rFonts w:hint="eastAsia" w:ascii="宋体" w:hAnsi="宋体" w:eastAsia="宋体" w:cs="宋体"/>
                      <w:color w:val="0000FF"/>
                      <w:sz w:val="21"/>
                      <w:szCs w:val="21"/>
                      <w:highlight w:val="none"/>
                    </w:rPr>
                    <w:t>1</w:t>
                  </w:r>
                </w:p>
              </w:tc>
              <w:tc>
                <w:tcPr>
                  <w:tcW w:w="1243" w:type="dxa"/>
                  <w:tcBorders>
                    <w:top w:val="single" w:color="000000" w:sz="4" w:space="0"/>
                    <w:left w:val="single" w:color="000000" w:sz="4" w:space="0"/>
                    <w:bottom w:val="single" w:color="000000" w:sz="4" w:space="0"/>
                    <w:right w:val="single" w:color="000000" w:sz="4" w:space="0"/>
                  </w:tcBorders>
                  <w:noWrap/>
                  <w:vAlign w:val="center"/>
                </w:tcPr>
                <w:p w14:paraId="2503068B">
                  <w:pPr>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套</w:t>
                  </w:r>
                </w:p>
              </w:tc>
              <w:tc>
                <w:tcPr>
                  <w:tcW w:w="1243" w:type="dxa"/>
                  <w:tcBorders>
                    <w:top w:val="single" w:color="000000" w:sz="4" w:space="0"/>
                    <w:left w:val="single" w:color="000000" w:sz="4" w:space="0"/>
                    <w:bottom w:val="single" w:color="000000" w:sz="4" w:space="0"/>
                    <w:right w:val="single" w:color="000000" w:sz="4" w:space="0"/>
                  </w:tcBorders>
                  <w:noWrap/>
                  <w:vAlign w:val="center"/>
                </w:tcPr>
                <w:p w14:paraId="47E82F21">
                  <w:pPr>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p>
              </w:tc>
            </w:tr>
            <w:tr w14:paraId="70071CC1">
              <w:tblPrEx>
                <w:tblCellMar>
                  <w:top w:w="0" w:type="dxa"/>
                  <w:left w:w="108" w:type="dxa"/>
                  <w:bottom w:w="0" w:type="dxa"/>
                  <w:right w:w="108" w:type="dxa"/>
                </w:tblCellMar>
              </w:tblPrEx>
              <w:trPr>
                <w:trHeight w:val="0" w:hRule="atLeast"/>
              </w:trPr>
              <w:tc>
                <w:tcPr>
                  <w:tcW w:w="651" w:type="dxa"/>
                  <w:tcBorders>
                    <w:top w:val="single" w:color="000000" w:sz="4" w:space="0"/>
                    <w:left w:val="single" w:color="000000" w:sz="4" w:space="0"/>
                    <w:bottom w:val="single" w:color="000000" w:sz="4" w:space="0"/>
                    <w:right w:val="single" w:color="000000" w:sz="4" w:space="0"/>
                  </w:tcBorders>
                  <w:noWrap/>
                  <w:vAlign w:val="center"/>
                </w:tcPr>
                <w:p w14:paraId="5D8802E1">
                  <w:pPr>
                    <w:pageBreakBefore w:val="0"/>
                    <w:kinsoku/>
                    <w:wordWrap/>
                    <w:overflowPunct/>
                    <w:topLinePunct w:val="0"/>
                    <w:bidi w:val="0"/>
                    <w:snapToGrid/>
                    <w:spacing w:line="240" w:lineRule="auto"/>
                    <w:jc w:val="center"/>
                    <w:rPr>
                      <w:rFonts w:hint="eastAsia" w:ascii="宋体" w:hAnsi="宋体" w:eastAsia="宋体" w:cs="宋体"/>
                      <w:color w:val="0000FF"/>
                      <w:spacing w:val="2"/>
                      <w:sz w:val="21"/>
                      <w:szCs w:val="21"/>
                      <w:highlight w:val="none"/>
                    </w:rPr>
                  </w:pPr>
                  <w:r>
                    <w:rPr>
                      <w:rFonts w:hint="eastAsia" w:ascii="宋体" w:hAnsi="宋体" w:eastAsia="宋体" w:cs="宋体"/>
                      <w:color w:val="0000FF"/>
                      <w:sz w:val="21"/>
                      <w:szCs w:val="21"/>
                      <w:highlight w:val="none"/>
                    </w:rPr>
                    <w:t>4</w:t>
                  </w:r>
                </w:p>
              </w:tc>
              <w:tc>
                <w:tcPr>
                  <w:tcW w:w="2976" w:type="dxa"/>
                  <w:tcBorders>
                    <w:top w:val="single" w:color="000000" w:sz="4" w:space="0"/>
                    <w:left w:val="single" w:color="000000" w:sz="4" w:space="0"/>
                    <w:bottom w:val="single" w:color="000000" w:sz="4" w:space="0"/>
                    <w:right w:val="single" w:color="000000" w:sz="4" w:space="0"/>
                  </w:tcBorders>
                  <w:noWrap/>
                  <w:vAlign w:val="center"/>
                </w:tcPr>
                <w:p w14:paraId="27DFAC39">
                  <w:pPr>
                    <w:pageBreakBefore w:val="0"/>
                    <w:kinsoku/>
                    <w:wordWrap/>
                    <w:overflowPunct/>
                    <w:topLinePunct w:val="0"/>
                    <w:bidi w:val="0"/>
                    <w:snapToGrid/>
                    <w:spacing w:line="240" w:lineRule="auto"/>
                    <w:jc w:val="center"/>
                    <w:rPr>
                      <w:rFonts w:hint="eastAsia" w:ascii="宋体" w:hAnsi="宋体" w:eastAsia="宋体" w:cs="宋体"/>
                      <w:color w:val="0000FF"/>
                      <w:spacing w:val="2"/>
                      <w:sz w:val="21"/>
                      <w:szCs w:val="21"/>
                      <w:highlight w:val="none"/>
                    </w:rPr>
                  </w:pPr>
                  <w:r>
                    <w:rPr>
                      <w:rFonts w:hint="eastAsia" w:ascii="宋体" w:hAnsi="宋体" w:eastAsia="宋体" w:cs="宋体"/>
                      <w:color w:val="0000FF"/>
                      <w:sz w:val="21"/>
                      <w:szCs w:val="21"/>
                      <w:highlight w:val="none"/>
                    </w:rPr>
                    <w:t>平板探测器2（头颅）</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6ECE1CBF">
                  <w:pPr>
                    <w:pageBreakBefore w:val="0"/>
                    <w:kinsoku/>
                    <w:wordWrap/>
                    <w:overflowPunct/>
                    <w:topLinePunct w:val="0"/>
                    <w:bidi w:val="0"/>
                    <w:snapToGrid/>
                    <w:spacing w:line="240" w:lineRule="auto"/>
                    <w:jc w:val="center"/>
                    <w:rPr>
                      <w:rFonts w:hint="eastAsia" w:ascii="宋体" w:hAnsi="宋体" w:eastAsia="宋体" w:cs="宋体"/>
                      <w:color w:val="0000FF"/>
                      <w:spacing w:val="2"/>
                      <w:sz w:val="21"/>
                      <w:szCs w:val="21"/>
                      <w:highlight w:val="none"/>
                    </w:rPr>
                  </w:pPr>
                  <w:r>
                    <w:rPr>
                      <w:rFonts w:hint="eastAsia" w:ascii="宋体" w:hAnsi="宋体" w:eastAsia="宋体" w:cs="宋体"/>
                      <w:color w:val="0000FF"/>
                      <w:sz w:val="21"/>
                      <w:szCs w:val="21"/>
                      <w:highlight w:val="none"/>
                    </w:rPr>
                    <w:t>1</w:t>
                  </w:r>
                </w:p>
              </w:tc>
              <w:tc>
                <w:tcPr>
                  <w:tcW w:w="1243" w:type="dxa"/>
                  <w:tcBorders>
                    <w:top w:val="single" w:color="000000" w:sz="4" w:space="0"/>
                    <w:left w:val="single" w:color="000000" w:sz="4" w:space="0"/>
                    <w:bottom w:val="single" w:color="000000" w:sz="4" w:space="0"/>
                    <w:right w:val="single" w:color="000000" w:sz="4" w:space="0"/>
                  </w:tcBorders>
                  <w:noWrap/>
                  <w:vAlign w:val="center"/>
                </w:tcPr>
                <w:p w14:paraId="33B3CF75">
                  <w:pPr>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套</w:t>
                  </w:r>
                </w:p>
              </w:tc>
              <w:tc>
                <w:tcPr>
                  <w:tcW w:w="1243" w:type="dxa"/>
                  <w:tcBorders>
                    <w:top w:val="single" w:color="000000" w:sz="4" w:space="0"/>
                    <w:left w:val="single" w:color="000000" w:sz="4" w:space="0"/>
                    <w:bottom w:val="single" w:color="000000" w:sz="4" w:space="0"/>
                    <w:right w:val="single" w:color="000000" w:sz="4" w:space="0"/>
                  </w:tcBorders>
                  <w:noWrap/>
                  <w:vAlign w:val="center"/>
                </w:tcPr>
                <w:p w14:paraId="2506EFF1">
                  <w:pPr>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p>
              </w:tc>
            </w:tr>
            <w:tr w14:paraId="56BA3147">
              <w:tblPrEx>
                <w:tblCellMar>
                  <w:top w:w="0" w:type="dxa"/>
                  <w:left w:w="108" w:type="dxa"/>
                  <w:bottom w:w="0" w:type="dxa"/>
                  <w:right w:w="108" w:type="dxa"/>
                </w:tblCellMar>
              </w:tblPrEx>
              <w:trPr>
                <w:trHeight w:val="0" w:hRule="atLeast"/>
              </w:trPr>
              <w:tc>
                <w:tcPr>
                  <w:tcW w:w="651" w:type="dxa"/>
                  <w:tcBorders>
                    <w:top w:val="single" w:color="000000" w:sz="4" w:space="0"/>
                    <w:left w:val="single" w:color="000000" w:sz="4" w:space="0"/>
                    <w:bottom w:val="single" w:color="000000" w:sz="4" w:space="0"/>
                    <w:right w:val="single" w:color="000000" w:sz="4" w:space="0"/>
                  </w:tcBorders>
                  <w:noWrap/>
                  <w:vAlign w:val="center"/>
                </w:tcPr>
                <w:p w14:paraId="414A8D8F">
                  <w:pPr>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5</w:t>
                  </w:r>
                </w:p>
              </w:tc>
              <w:tc>
                <w:tcPr>
                  <w:tcW w:w="2976" w:type="dxa"/>
                  <w:tcBorders>
                    <w:top w:val="single" w:color="000000" w:sz="4" w:space="0"/>
                    <w:left w:val="single" w:color="000000" w:sz="4" w:space="0"/>
                    <w:bottom w:val="single" w:color="000000" w:sz="4" w:space="0"/>
                    <w:right w:val="single" w:color="000000" w:sz="4" w:space="0"/>
                  </w:tcBorders>
                  <w:noWrap/>
                  <w:vAlign w:val="center"/>
                </w:tcPr>
                <w:p w14:paraId="647D6AB2">
                  <w:pPr>
                    <w:pageBreakBefore w:val="0"/>
                    <w:kinsoku/>
                    <w:wordWrap/>
                    <w:overflowPunct/>
                    <w:topLinePunct w:val="0"/>
                    <w:bidi w:val="0"/>
                    <w:snapToGrid/>
                    <w:spacing w:line="240" w:lineRule="auto"/>
                    <w:jc w:val="center"/>
                    <w:rPr>
                      <w:rFonts w:hint="eastAsia" w:ascii="宋体" w:hAnsi="宋体" w:eastAsia="宋体" w:cs="宋体"/>
                      <w:color w:val="0000FF"/>
                      <w:spacing w:val="2"/>
                      <w:sz w:val="21"/>
                      <w:szCs w:val="21"/>
                      <w:highlight w:val="none"/>
                    </w:rPr>
                  </w:pPr>
                  <w:r>
                    <w:rPr>
                      <w:rFonts w:hint="eastAsia" w:ascii="宋体" w:hAnsi="宋体" w:eastAsia="宋体" w:cs="宋体"/>
                      <w:color w:val="0000FF"/>
                      <w:sz w:val="21"/>
                      <w:szCs w:val="21"/>
                      <w:highlight w:val="none"/>
                    </w:rPr>
                    <w:t>受检者辅助定位及支撑装置</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421753FB">
                  <w:pPr>
                    <w:pageBreakBefore w:val="0"/>
                    <w:kinsoku/>
                    <w:wordWrap/>
                    <w:overflowPunct/>
                    <w:topLinePunct w:val="0"/>
                    <w:bidi w:val="0"/>
                    <w:snapToGrid/>
                    <w:spacing w:line="240" w:lineRule="auto"/>
                    <w:jc w:val="center"/>
                    <w:rPr>
                      <w:rFonts w:hint="eastAsia" w:ascii="宋体" w:hAnsi="宋体" w:eastAsia="宋体" w:cs="宋体"/>
                      <w:color w:val="0000FF"/>
                      <w:spacing w:val="2"/>
                      <w:sz w:val="21"/>
                      <w:szCs w:val="21"/>
                      <w:highlight w:val="none"/>
                    </w:rPr>
                  </w:pPr>
                  <w:r>
                    <w:rPr>
                      <w:rFonts w:hint="eastAsia" w:ascii="宋体" w:hAnsi="宋体" w:eastAsia="宋体" w:cs="宋体"/>
                      <w:color w:val="0000FF"/>
                      <w:sz w:val="21"/>
                      <w:szCs w:val="21"/>
                      <w:highlight w:val="none"/>
                    </w:rPr>
                    <w:t>1</w:t>
                  </w:r>
                </w:p>
              </w:tc>
              <w:tc>
                <w:tcPr>
                  <w:tcW w:w="1243" w:type="dxa"/>
                  <w:tcBorders>
                    <w:top w:val="single" w:color="000000" w:sz="4" w:space="0"/>
                    <w:left w:val="single" w:color="000000" w:sz="4" w:space="0"/>
                    <w:bottom w:val="single" w:color="000000" w:sz="4" w:space="0"/>
                    <w:right w:val="single" w:color="000000" w:sz="4" w:space="0"/>
                  </w:tcBorders>
                  <w:noWrap/>
                  <w:vAlign w:val="center"/>
                </w:tcPr>
                <w:p w14:paraId="14E432ED">
                  <w:pPr>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套</w:t>
                  </w:r>
                </w:p>
              </w:tc>
              <w:tc>
                <w:tcPr>
                  <w:tcW w:w="1243" w:type="dxa"/>
                  <w:tcBorders>
                    <w:top w:val="single" w:color="000000" w:sz="4" w:space="0"/>
                    <w:left w:val="single" w:color="000000" w:sz="4" w:space="0"/>
                    <w:bottom w:val="single" w:color="000000" w:sz="4" w:space="0"/>
                    <w:right w:val="single" w:color="000000" w:sz="4" w:space="0"/>
                  </w:tcBorders>
                  <w:noWrap/>
                  <w:vAlign w:val="center"/>
                </w:tcPr>
                <w:p w14:paraId="28A12ABE">
                  <w:pPr>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p>
              </w:tc>
            </w:tr>
            <w:tr w14:paraId="5F4AD8BB">
              <w:tblPrEx>
                <w:tblCellMar>
                  <w:top w:w="0" w:type="dxa"/>
                  <w:left w:w="108" w:type="dxa"/>
                  <w:bottom w:w="0" w:type="dxa"/>
                  <w:right w:w="108" w:type="dxa"/>
                </w:tblCellMar>
              </w:tblPrEx>
              <w:trPr>
                <w:trHeight w:val="0" w:hRule="atLeast"/>
              </w:trPr>
              <w:tc>
                <w:tcPr>
                  <w:tcW w:w="651" w:type="dxa"/>
                  <w:tcBorders>
                    <w:top w:val="single" w:color="000000" w:sz="4" w:space="0"/>
                    <w:left w:val="single" w:color="000000" w:sz="4" w:space="0"/>
                    <w:bottom w:val="single" w:color="000000" w:sz="4" w:space="0"/>
                    <w:right w:val="single" w:color="000000" w:sz="4" w:space="0"/>
                  </w:tcBorders>
                  <w:noWrap/>
                  <w:vAlign w:val="center"/>
                </w:tcPr>
                <w:p w14:paraId="7FD0622D">
                  <w:pPr>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6</w:t>
                  </w:r>
                </w:p>
              </w:tc>
              <w:tc>
                <w:tcPr>
                  <w:tcW w:w="2976" w:type="dxa"/>
                  <w:tcBorders>
                    <w:top w:val="single" w:color="000000" w:sz="4" w:space="0"/>
                    <w:left w:val="single" w:color="000000" w:sz="4" w:space="0"/>
                    <w:bottom w:val="single" w:color="000000" w:sz="4" w:space="0"/>
                    <w:right w:val="single" w:color="000000" w:sz="4" w:space="0"/>
                  </w:tcBorders>
                  <w:noWrap/>
                  <w:vAlign w:val="center"/>
                </w:tcPr>
                <w:p w14:paraId="6567F0AF">
                  <w:pPr>
                    <w:pageBreakBefore w:val="0"/>
                    <w:kinsoku/>
                    <w:wordWrap/>
                    <w:overflowPunct/>
                    <w:topLinePunct w:val="0"/>
                    <w:bidi w:val="0"/>
                    <w:snapToGrid/>
                    <w:spacing w:line="240" w:lineRule="auto"/>
                    <w:jc w:val="center"/>
                    <w:rPr>
                      <w:rFonts w:hint="eastAsia" w:ascii="宋体" w:hAnsi="宋体" w:eastAsia="宋体" w:cs="宋体"/>
                      <w:color w:val="0000FF"/>
                      <w:spacing w:val="2"/>
                      <w:sz w:val="21"/>
                      <w:szCs w:val="21"/>
                      <w:highlight w:val="none"/>
                    </w:rPr>
                  </w:pPr>
                  <w:r>
                    <w:rPr>
                      <w:rFonts w:hint="eastAsia" w:ascii="宋体" w:hAnsi="宋体" w:eastAsia="宋体" w:cs="宋体"/>
                      <w:color w:val="0000FF"/>
                      <w:sz w:val="21"/>
                      <w:szCs w:val="21"/>
                      <w:highlight w:val="none"/>
                    </w:rPr>
                    <w:t>曝光手闸、电源开关及控制电缆</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11038B03">
                  <w:pPr>
                    <w:pageBreakBefore w:val="0"/>
                    <w:kinsoku/>
                    <w:wordWrap/>
                    <w:overflowPunct/>
                    <w:topLinePunct w:val="0"/>
                    <w:bidi w:val="0"/>
                    <w:snapToGrid/>
                    <w:spacing w:line="240" w:lineRule="auto"/>
                    <w:jc w:val="center"/>
                    <w:rPr>
                      <w:rFonts w:hint="eastAsia" w:ascii="宋体" w:hAnsi="宋体" w:eastAsia="宋体" w:cs="宋体"/>
                      <w:color w:val="0000FF"/>
                      <w:spacing w:val="2"/>
                      <w:sz w:val="21"/>
                      <w:szCs w:val="21"/>
                      <w:highlight w:val="none"/>
                    </w:rPr>
                  </w:pPr>
                  <w:r>
                    <w:rPr>
                      <w:rFonts w:hint="eastAsia" w:ascii="宋体" w:hAnsi="宋体" w:eastAsia="宋体" w:cs="宋体"/>
                      <w:color w:val="0000FF"/>
                      <w:sz w:val="21"/>
                      <w:szCs w:val="21"/>
                      <w:highlight w:val="none"/>
                    </w:rPr>
                    <w:t>1</w:t>
                  </w:r>
                </w:p>
              </w:tc>
              <w:tc>
                <w:tcPr>
                  <w:tcW w:w="1243" w:type="dxa"/>
                  <w:tcBorders>
                    <w:top w:val="single" w:color="000000" w:sz="4" w:space="0"/>
                    <w:left w:val="single" w:color="000000" w:sz="4" w:space="0"/>
                    <w:bottom w:val="single" w:color="000000" w:sz="4" w:space="0"/>
                    <w:right w:val="single" w:color="000000" w:sz="4" w:space="0"/>
                  </w:tcBorders>
                  <w:noWrap/>
                  <w:vAlign w:val="center"/>
                </w:tcPr>
                <w:p w14:paraId="734246FE">
                  <w:pPr>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套</w:t>
                  </w:r>
                </w:p>
              </w:tc>
              <w:tc>
                <w:tcPr>
                  <w:tcW w:w="1243" w:type="dxa"/>
                  <w:tcBorders>
                    <w:top w:val="single" w:color="000000" w:sz="4" w:space="0"/>
                    <w:left w:val="single" w:color="000000" w:sz="4" w:space="0"/>
                    <w:bottom w:val="single" w:color="000000" w:sz="4" w:space="0"/>
                    <w:right w:val="single" w:color="000000" w:sz="4" w:space="0"/>
                  </w:tcBorders>
                  <w:noWrap/>
                  <w:vAlign w:val="center"/>
                </w:tcPr>
                <w:p w14:paraId="4D9EDFAF">
                  <w:pPr>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p>
              </w:tc>
            </w:tr>
            <w:tr w14:paraId="66287412">
              <w:tblPrEx>
                <w:tblCellMar>
                  <w:top w:w="0" w:type="dxa"/>
                  <w:left w:w="108" w:type="dxa"/>
                  <w:bottom w:w="0" w:type="dxa"/>
                  <w:right w:w="108" w:type="dxa"/>
                </w:tblCellMar>
              </w:tblPrEx>
              <w:trPr>
                <w:trHeight w:val="0" w:hRule="atLeast"/>
              </w:trPr>
              <w:tc>
                <w:tcPr>
                  <w:tcW w:w="651" w:type="dxa"/>
                  <w:tcBorders>
                    <w:top w:val="single" w:color="000000" w:sz="4" w:space="0"/>
                    <w:left w:val="single" w:color="000000" w:sz="4" w:space="0"/>
                    <w:bottom w:val="single" w:color="000000" w:sz="4" w:space="0"/>
                    <w:right w:val="single" w:color="000000" w:sz="4" w:space="0"/>
                  </w:tcBorders>
                  <w:noWrap/>
                  <w:vAlign w:val="center"/>
                </w:tcPr>
                <w:p w14:paraId="7C6B3B0C">
                  <w:pPr>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7</w:t>
                  </w:r>
                </w:p>
              </w:tc>
              <w:tc>
                <w:tcPr>
                  <w:tcW w:w="2976" w:type="dxa"/>
                  <w:tcBorders>
                    <w:top w:val="single" w:color="000000" w:sz="4" w:space="0"/>
                    <w:left w:val="single" w:color="000000" w:sz="4" w:space="0"/>
                    <w:bottom w:val="single" w:color="000000" w:sz="4" w:space="0"/>
                    <w:right w:val="single" w:color="000000" w:sz="4" w:space="0"/>
                  </w:tcBorders>
                  <w:noWrap/>
                  <w:vAlign w:val="center"/>
                </w:tcPr>
                <w:p w14:paraId="2AE9A6C3">
                  <w:pPr>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人机交互触控面板</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5E2E07D2">
                  <w:pPr>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w:t>
                  </w:r>
                </w:p>
              </w:tc>
              <w:tc>
                <w:tcPr>
                  <w:tcW w:w="1243" w:type="dxa"/>
                  <w:tcBorders>
                    <w:top w:val="single" w:color="000000" w:sz="4" w:space="0"/>
                    <w:left w:val="single" w:color="000000" w:sz="4" w:space="0"/>
                    <w:bottom w:val="single" w:color="000000" w:sz="4" w:space="0"/>
                    <w:right w:val="single" w:color="000000" w:sz="4" w:space="0"/>
                  </w:tcBorders>
                  <w:noWrap/>
                  <w:vAlign w:val="center"/>
                </w:tcPr>
                <w:p w14:paraId="5CE02F1D">
                  <w:pPr>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套</w:t>
                  </w:r>
                </w:p>
              </w:tc>
              <w:tc>
                <w:tcPr>
                  <w:tcW w:w="1243" w:type="dxa"/>
                  <w:tcBorders>
                    <w:top w:val="single" w:color="000000" w:sz="4" w:space="0"/>
                    <w:left w:val="single" w:color="000000" w:sz="4" w:space="0"/>
                    <w:bottom w:val="single" w:color="000000" w:sz="4" w:space="0"/>
                    <w:right w:val="single" w:color="000000" w:sz="4" w:space="0"/>
                  </w:tcBorders>
                  <w:noWrap/>
                  <w:vAlign w:val="center"/>
                </w:tcPr>
                <w:p w14:paraId="3FA00BA6">
                  <w:pPr>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p>
              </w:tc>
            </w:tr>
            <w:tr w14:paraId="362C6F55">
              <w:tblPrEx>
                <w:tblCellMar>
                  <w:top w:w="0" w:type="dxa"/>
                  <w:left w:w="108" w:type="dxa"/>
                  <w:bottom w:w="0" w:type="dxa"/>
                  <w:right w:w="108" w:type="dxa"/>
                </w:tblCellMar>
              </w:tblPrEx>
              <w:trPr>
                <w:trHeight w:val="0" w:hRule="atLeast"/>
              </w:trPr>
              <w:tc>
                <w:tcPr>
                  <w:tcW w:w="651" w:type="dxa"/>
                  <w:tcBorders>
                    <w:top w:val="single" w:color="000000" w:sz="4" w:space="0"/>
                    <w:left w:val="single" w:color="000000" w:sz="4" w:space="0"/>
                    <w:bottom w:val="single" w:color="000000" w:sz="4" w:space="0"/>
                    <w:right w:val="single" w:color="000000" w:sz="4" w:space="0"/>
                  </w:tcBorders>
                  <w:noWrap/>
                  <w:vAlign w:val="center"/>
                </w:tcPr>
                <w:p w14:paraId="7FAA2A20">
                  <w:pPr>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8</w:t>
                  </w:r>
                </w:p>
              </w:tc>
              <w:tc>
                <w:tcPr>
                  <w:tcW w:w="2976" w:type="dxa"/>
                  <w:tcBorders>
                    <w:top w:val="single" w:color="000000" w:sz="4" w:space="0"/>
                    <w:left w:val="single" w:color="000000" w:sz="4" w:space="0"/>
                    <w:bottom w:val="single" w:color="000000" w:sz="4" w:space="0"/>
                    <w:right w:val="single" w:color="000000" w:sz="4" w:space="0"/>
                  </w:tcBorders>
                  <w:noWrap/>
                  <w:vAlign w:val="center"/>
                </w:tcPr>
                <w:p w14:paraId="60B1B996">
                  <w:pPr>
                    <w:pageBreakBefore w:val="0"/>
                    <w:kinsoku/>
                    <w:wordWrap/>
                    <w:overflowPunct/>
                    <w:topLinePunct w:val="0"/>
                    <w:bidi w:val="0"/>
                    <w:snapToGrid/>
                    <w:spacing w:line="240" w:lineRule="auto"/>
                    <w:jc w:val="center"/>
                    <w:rPr>
                      <w:rFonts w:hint="eastAsia" w:ascii="宋体" w:hAnsi="宋体" w:eastAsia="宋体" w:cs="宋体"/>
                      <w:color w:val="0000FF"/>
                      <w:spacing w:val="2"/>
                      <w:sz w:val="21"/>
                      <w:szCs w:val="21"/>
                      <w:highlight w:val="none"/>
                    </w:rPr>
                  </w:pPr>
                  <w:r>
                    <w:rPr>
                      <w:rFonts w:hint="eastAsia" w:ascii="宋体" w:hAnsi="宋体" w:eastAsia="宋体" w:cs="宋体"/>
                      <w:color w:val="0000FF"/>
                      <w:sz w:val="21"/>
                      <w:szCs w:val="21"/>
                      <w:highlight w:val="none"/>
                    </w:rPr>
                    <w:t>图像处理工作站（电脑）</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4AFF5DA9">
                  <w:pPr>
                    <w:pageBreakBefore w:val="0"/>
                    <w:kinsoku/>
                    <w:wordWrap/>
                    <w:overflowPunct/>
                    <w:topLinePunct w:val="0"/>
                    <w:bidi w:val="0"/>
                    <w:snapToGrid/>
                    <w:spacing w:line="240" w:lineRule="auto"/>
                    <w:jc w:val="center"/>
                    <w:rPr>
                      <w:rFonts w:hint="eastAsia" w:ascii="宋体" w:hAnsi="宋体" w:eastAsia="宋体" w:cs="宋体"/>
                      <w:color w:val="0000FF"/>
                      <w:spacing w:val="2"/>
                      <w:sz w:val="21"/>
                      <w:szCs w:val="21"/>
                      <w:highlight w:val="none"/>
                    </w:rPr>
                  </w:pPr>
                  <w:r>
                    <w:rPr>
                      <w:rFonts w:hint="eastAsia" w:ascii="宋体" w:hAnsi="宋体" w:eastAsia="宋体" w:cs="宋体"/>
                      <w:color w:val="0000FF"/>
                      <w:sz w:val="21"/>
                      <w:szCs w:val="21"/>
                      <w:highlight w:val="none"/>
                    </w:rPr>
                    <w:t>1</w:t>
                  </w:r>
                </w:p>
              </w:tc>
              <w:tc>
                <w:tcPr>
                  <w:tcW w:w="1243" w:type="dxa"/>
                  <w:tcBorders>
                    <w:top w:val="single" w:color="000000" w:sz="4" w:space="0"/>
                    <w:left w:val="single" w:color="000000" w:sz="4" w:space="0"/>
                    <w:bottom w:val="single" w:color="000000" w:sz="4" w:space="0"/>
                    <w:right w:val="single" w:color="000000" w:sz="4" w:space="0"/>
                  </w:tcBorders>
                  <w:noWrap/>
                  <w:vAlign w:val="center"/>
                </w:tcPr>
                <w:p w14:paraId="3A1D9972">
                  <w:pPr>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套</w:t>
                  </w:r>
                </w:p>
              </w:tc>
              <w:tc>
                <w:tcPr>
                  <w:tcW w:w="1243" w:type="dxa"/>
                  <w:tcBorders>
                    <w:top w:val="single" w:color="000000" w:sz="4" w:space="0"/>
                    <w:left w:val="single" w:color="000000" w:sz="4" w:space="0"/>
                    <w:bottom w:val="single" w:color="000000" w:sz="4" w:space="0"/>
                    <w:right w:val="single" w:color="000000" w:sz="4" w:space="0"/>
                  </w:tcBorders>
                  <w:noWrap/>
                  <w:vAlign w:val="center"/>
                </w:tcPr>
                <w:p w14:paraId="0C5F0D77">
                  <w:pPr>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lang w:val="en"/>
                    </w:rPr>
                  </w:pPr>
                  <w:r>
                    <w:rPr>
                      <w:rFonts w:hint="eastAsia" w:ascii="宋体" w:hAnsi="宋体" w:eastAsia="宋体" w:cs="宋体"/>
                      <w:color w:val="0000FF"/>
                      <w:sz w:val="21"/>
                      <w:szCs w:val="21"/>
                      <w:highlight w:val="none"/>
                      <w:lang w:val="en"/>
                    </w:rPr>
                    <w:t>显示器≥27寸，内存≥16G，CPUi7，固态硬盘≥2T，独立显卡</w:t>
                  </w:r>
                  <w:r>
                    <w:rPr>
                      <w:rStyle w:val="156"/>
                      <w:rFonts w:hint="eastAsia" w:ascii="宋体" w:hAnsi="宋体" w:eastAsia="宋体" w:cs="宋体"/>
                      <w:color w:val="0000FF"/>
                      <w:sz w:val="21"/>
                      <w:szCs w:val="21"/>
                      <w:highlight w:val="none"/>
                      <w:lang w:bidi="ar"/>
                    </w:rPr>
                    <w:t>≥4GB</w:t>
                  </w:r>
                </w:p>
                <w:p w14:paraId="5B013C82">
                  <w:pPr>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lang w:val="en"/>
                    </w:rPr>
                  </w:pPr>
                </w:p>
              </w:tc>
            </w:tr>
            <w:tr w14:paraId="623141EE">
              <w:tblPrEx>
                <w:tblCellMar>
                  <w:top w:w="0" w:type="dxa"/>
                  <w:left w:w="108" w:type="dxa"/>
                  <w:bottom w:w="0" w:type="dxa"/>
                  <w:right w:w="108" w:type="dxa"/>
                </w:tblCellMar>
              </w:tblPrEx>
              <w:trPr>
                <w:trHeight w:val="0" w:hRule="atLeast"/>
              </w:trPr>
              <w:tc>
                <w:tcPr>
                  <w:tcW w:w="651" w:type="dxa"/>
                  <w:tcBorders>
                    <w:top w:val="single" w:color="000000" w:sz="4" w:space="0"/>
                    <w:left w:val="single" w:color="000000" w:sz="4" w:space="0"/>
                    <w:bottom w:val="single" w:color="000000" w:sz="4" w:space="0"/>
                    <w:right w:val="single" w:color="000000" w:sz="4" w:space="0"/>
                  </w:tcBorders>
                  <w:noWrap/>
                  <w:vAlign w:val="center"/>
                </w:tcPr>
                <w:p w14:paraId="6CB2C7CC">
                  <w:pPr>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9</w:t>
                  </w:r>
                </w:p>
              </w:tc>
              <w:tc>
                <w:tcPr>
                  <w:tcW w:w="2976" w:type="dxa"/>
                  <w:tcBorders>
                    <w:top w:val="single" w:color="000000" w:sz="4" w:space="0"/>
                    <w:left w:val="single" w:color="000000" w:sz="4" w:space="0"/>
                    <w:bottom w:val="single" w:color="000000" w:sz="4" w:space="0"/>
                    <w:right w:val="single" w:color="000000" w:sz="4" w:space="0"/>
                  </w:tcBorders>
                  <w:noWrap/>
                  <w:vAlign w:val="center"/>
                </w:tcPr>
                <w:p w14:paraId="264D0883">
                  <w:pPr>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专业口腔数字化影像软件</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380E76E6">
                  <w:pPr>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w:t>
                  </w:r>
                </w:p>
              </w:tc>
              <w:tc>
                <w:tcPr>
                  <w:tcW w:w="1243" w:type="dxa"/>
                  <w:tcBorders>
                    <w:top w:val="single" w:color="000000" w:sz="4" w:space="0"/>
                    <w:left w:val="single" w:color="000000" w:sz="4" w:space="0"/>
                    <w:bottom w:val="single" w:color="000000" w:sz="4" w:space="0"/>
                    <w:right w:val="single" w:color="000000" w:sz="4" w:space="0"/>
                  </w:tcBorders>
                  <w:noWrap/>
                  <w:vAlign w:val="center"/>
                </w:tcPr>
                <w:p w14:paraId="38C67CC8">
                  <w:pPr>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套</w:t>
                  </w:r>
                </w:p>
              </w:tc>
              <w:tc>
                <w:tcPr>
                  <w:tcW w:w="1243" w:type="dxa"/>
                  <w:tcBorders>
                    <w:top w:val="single" w:color="000000" w:sz="4" w:space="0"/>
                    <w:left w:val="single" w:color="000000" w:sz="4" w:space="0"/>
                    <w:bottom w:val="single" w:color="000000" w:sz="4" w:space="0"/>
                    <w:right w:val="single" w:color="000000" w:sz="4" w:space="0"/>
                  </w:tcBorders>
                  <w:noWrap/>
                  <w:vAlign w:val="center"/>
                </w:tcPr>
                <w:p w14:paraId="352B215E">
                  <w:pPr>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p>
              </w:tc>
            </w:tr>
            <w:tr w14:paraId="675D65B0">
              <w:tblPrEx>
                <w:tblCellMar>
                  <w:top w:w="0" w:type="dxa"/>
                  <w:left w:w="108" w:type="dxa"/>
                  <w:bottom w:w="0" w:type="dxa"/>
                  <w:right w:w="108" w:type="dxa"/>
                </w:tblCellMar>
              </w:tblPrEx>
              <w:trPr>
                <w:trHeight w:val="0" w:hRule="atLeast"/>
              </w:trPr>
              <w:tc>
                <w:tcPr>
                  <w:tcW w:w="651" w:type="dxa"/>
                  <w:tcBorders>
                    <w:top w:val="single" w:color="000000" w:sz="4" w:space="0"/>
                    <w:left w:val="single" w:color="000000" w:sz="4" w:space="0"/>
                    <w:bottom w:val="single" w:color="000000" w:sz="4" w:space="0"/>
                    <w:right w:val="single" w:color="000000" w:sz="4" w:space="0"/>
                  </w:tcBorders>
                  <w:noWrap/>
                  <w:vAlign w:val="center"/>
                </w:tcPr>
                <w:p w14:paraId="12DE2215">
                  <w:pPr>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10</w:t>
                  </w:r>
                </w:p>
              </w:tc>
              <w:tc>
                <w:tcPr>
                  <w:tcW w:w="2976" w:type="dxa"/>
                  <w:tcBorders>
                    <w:top w:val="single" w:color="000000" w:sz="4" w:space="0"/>
                    <w:left w:val="single" w:color="000000" w:sz="4" w:space="0"/>
                    <w:bottom w:val="single" w:color="000000" w:sz="4" w:space="0"/>
                    <w:right w:val="single" w:color="000000" w:sz="4" w:space="0"/>
                  </w:tcBorders>
                  <w:noWrap/>
                  <w:vAlign w:val="center"/>
                </w:tcPr>
                <w:p w14:paraId="1A2EC8A1">
                  <w:pPr>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金属伪影校正技术</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1F65833F">
                  <w:pPr>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w:t>
                  </w:r>
                </w:p>
              </w:tc>
              <w:tc>
                <w:tcPr>
                  <w:tcW w:w="1243" w:type="dxa"/>
                  <w:tcBorders>
                    <w:top w:val="single" w:color="000000" w:sz="4" w:space="0"/>
                    <w:left w:val="single" w:color="000000" w:sz="4" w:space="0"/>
                    <w:bottom w:val="single" w:color="000000" w:sz="4" w:space="0"/>
                    <w:right w:val="single" w:color="000000" w:sz="4" w:space="0"/>
                  </w:tcBorders>
                  <w:noWrap/>
                  <w:vAlign w:val="center"/>
                </w:tcPr>
                <w:p w14:paraId="52D60987">
                  <w:pPr>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套</w:t>
                  </w:r>
                </w:p>
              </w:tc>
              <w:tc>
                <w:tcPr>
                  <w:tcW w:w="1243" w:type="dxa"/>
                  <w:tcBorders>
                    <w:top w:val="single" w:color="000000" w:sz="4" w:space="0"/>
                    <w:left w:val="single" w:color="000000" w:sz="4" w:space="0"/>
                    <w:bottom w:val="single" w:color="000000" w:sz="4" w:space="0"/>
                    <w:right w:val="single" w:color="000000" w:sz="4" w:space="0"/>
                  </w:tcBorders>
                  <w:noWrap/>
                  <w:vAlign w:val="center"/>
                </w:tcPr>
                <w:p w14:paraId="52EE1604">
                  <w:pPr>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p>
              </w:tc>
            </w:tr>
            <w:tr w14:paraId="5657FB15">
              <w:tblPrEx>
                <w:tblCellMar>
                  <w:top w:w="0" w:type="dxa"/>
                  <w:left w:w="108" w:type="dxa"/>
                  <w:bottom w:w="0" w:type="dxa"/>
                  <w:right w:w="108" w:type="dxa"/>
                </w:tblCellMar>
              </w:tblPrEx>
              <w:trPr>
                <w:trHeight w:val="0" w:hRule="atLeast"/>
              </w:trPr>
              <w:tc>
                <w:tcPr>
                  <w:tcW w:w="651" w:type="dxa"/>
                  <w:tcBorders>
                    <w:top w:val="single" w:color="000000" w:sz="4" w:space="0"/>
                    <w:left w:val="single" w:color="000000" w:sz="4" w:space="0"/>
                    <w:bottom w:val="single" w:color="000000" w:sz="4" w:space="0"/>
                    <w:right w:val="single" w:color="000000" w:sz="4" w:space="0"/>
                  </w:tcBorders>
                  <w:noWrap/>
                  <w:vAlign w:val="center"/>
                </w:tcPr>
                <w:p w14:paraId="46B62B55">
                  <w:pPr>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11</w:t>
                  </w:r>
                </w:p>
              </w:tc>
              <w:tc>
                <w:tcPr>
                  <w:tcW w:w="2976" w:type="dxa"/>
                  <w:tcBorders>
                    <w:top w:val="single" w:color="000000" w:sz="4" w:space="0"/>
                    <w:left w:val="single" w:color="000000" w:sz="4" w:space="0"/>
                    <w:bottom w:val="single" w:color="000000" w:sz="4" w:space="0"/>
                    <w:right w:val="single" w:color="000000" w:sz="4" w:space="0"/>
                  </w:tcBorders>
                  <w:noWrap/>
                  <w:vAlign w:val="center"/>
                </w:tcPr>
                <w:p w14:paraId="2F4648B3">
                  <w:pPr>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高级模拟种植技术</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13182B3B">
                  <w:pPr>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w:t>
                  </w:r>
                </w:p>
              </w:tc>
              <w:tc>
                <w:tcPr>
                  <w:tcW w:w="1243" w:type="dxa"/>
                  <w:tcBorders>
                    <w:top w:val="single" w:color="000000" w:sz="4" w:space="0"/>
                    <w:left w:val="single" w:color="000000" w:sz="4" w:space="0"/>
                    <w:bottom w:val="single" w:color="000000" w:sz="4" w:space="0"/>
                    <w:right w:val="single" w:color="000000" w:sz="4" w:space="0"/>
                  </w:tcBorders>
                  <w:noWrap/>
                  <w:vAlign w:val="center"/>
                </w:tcPr>
                <w:p w14:paraId="0C12DFC2">
                  <w:pPr>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套</w:t>
                  </w:r>
                </w:p>
              </w:tc>
              <w:tc>
                <w:tcPr>
                  <w:tcW w:w="1243" w:type="dxa"/>
                  <w:tcBorders>
                    <w:top w:val="single" w:color="000000" w:sz="4" w:space="0"/>
                    <w:left w:val="single" w:color="000000" w:sz="4" w:space="0"/>
                    <w:bottom w:val="single" w:color="000000" w:sz="4" w:space="0"/>
                    <w:right w:val="single" w:color="000000" w:sz="4" w:space="0"/>
                  </w:tcBorders>
                  <w:noWrap/>
                  <w:vAlign w:val="center"/>
                </w:tcPr>
                <w:p w14:paraId="625E282A">
                  <w:pPr>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p>
              </w:tc>
            </w:tr>
            <w:tr w14:paraId="6720D6AE">
              <w:tblPrEx>
                <w:tblCellMar>
                  <w:top w:w="0" w:type="dxa"/>
                  <w:left w:w="108" w:type="dxa"/>
                  <w:bottom w:w="0" w:type="dxa"/>
                  <w:right w:w="108" w:type="dxa"/>
                </w:tblCellMar>
              </w:tblPrEx>
              <w:trPr>
                <w:trHeight w:val="0" w:hRule="atLeast"/>
              </w:trPr>
              <w:tc>
                <w:tcPr>
                  <w:tcW w:w="651" w:type="dxa"/>
                  <w:tcBorders>
                    <w:top w:val="single" w:color="000000" w:sz="4" w:space="0"/>
                    <w:left w:val="single" w:color="000000" w:sz="4" w:space="0"/>
                    <w:bottom w:val="single" w:color="000000" w:sz="4" w:space="0"/>
                    <w:right w:val="single" w:color="000000" w:sz="4" w:space="0"/>
                  </w:tcBorders>
                  <w:noWrap/>
                  <w:vAlign w:val="center"/>
                </w:tcPr>
                <w:p w14:paraId="4E936DF5">
                  <w:pPr>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12</w:t>
                  </w:r>
                </w:p>
              </w:tc>
              <w:tc>
                <w:tcPr>
                  <w:tcW w:w="2976" w:type="dxa"/>
                  <w:tcBorders>
                    <w:top w:val="single" w:color="000000" w:sz="4" w:space="0"/>
                    <w:left w:val="single" w:color="000000" w:sz="4" w:space="0"/>
                    <w:bottom w:val="single" w:color="000000" w:sz="4" w:space="0"/>
                    <w:right w:val="single" w:color="000000" w:sz="4" w:space="0"/>
                  </w:tcBorders>
                  <w:noWrap/>
                  <w:vAlign w:val="center"/>
                </w:tcPr>
                <w:p w14:paraId="6C94B76A">
                  <w:pPr>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智能气道测量技术</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74A85BCF">
                  <w:pPr>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w:t>
                  </w:r>
                </w:p>
              </w:tc>
              <w:tc>
                <w:tcPr>
                  <w:tcW w:w="1243" w:type="dxa"/>
                  <w:tcBorders>
                    <w:top w:val="single" w:color="000000" w:sz="4" w:space="0"/>
                    <w:left w:val="single" w:color="000000" w:sz="4" w:space="0"/>
                    <w:bottom w:val="single" w:color="000000" w:sz="4" w:space="0"/>
                    <w:right w:val="single" w:color="000000" w:sz="4" w:space="0"/>
                  </w:tcBorders>
                  <w:noWrap/>
                  <w:vAlign w:val="center"/>
                </w:tcPr>
                <w:p w14:paraId="75504609">
                  <w:pPr>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套</w:t>
                  </w:r>
                </w:p>
              </w:tc>
              <w:tc>
                <w:tcPr>
                  <w:tcW w:w="1243" w:type="dxa"/>
                  <w:tcBorders>
                    <w:top w:val="single" w:color="000000" w:sz="4" w:space="0"/>
                    <w:left w:val="single" w:color="000000" w:sz="4" w:space="0"/>
                    <w:bottom w:val="single" w:color="000000" w:sz="4" w:space="0"/>
                    <w:right w:val="single" w:color="000000" w:sz="4" w:space="0"/>
                  </w:tcBorders>
                  <w:noWrap/>
                  <w:vAlign w:val="center"/>
                </w:tcPr>
                <w:p w14:paraId="051A8B32">
                  <w:pPr>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p>
              </w:tc>
            </w:tr>
            <w:tr w14:paraId="288E8448">
              <w:tblPrEx>
                <w:tblCellMar>
                  <w:top w:w="0" w:type="dxa"/>
                  <w:left w:w="108" w:type="dxa"/>
                  <w:bottom w:w="0" w:type="dxa"/>
                  <w:right w:w="108" w:type="dxa"/>
                </w:tblCellMar>
              </w:tblPrEx>
              <w:trPr>
                <w:trHeight w:val="0" w:hRule="atLeast"/>
              </w:trPr>
              <w:tc>
                <w:tcPr>
                  <w:tcW w:w="651" w:type="dxa"/>
                  <w:tcBorders>
                    <w:top w:val="single" w:color="000000" w:sz="4" w:space="0"/>
                    <w:left w:val="single" w:color="000000" w:sz="4" w:space="0"/>
                    <w:bottom w:val="single" w:color="000000" w:sz="4" w:space="0"/>
                    <w:right w:val="single" w:color="000000" w:sz="4" w:space="0"/>
                  </w:tcBorders>
                  <w:noWrap/>
                  <w:vAlign w:val="center"/>
                </w:tcPr>
                <w:p w14:paraId="598269E4">
                  <w:pPr>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13</w:t>
                  </w:r>
                </w:p>
              </w:tc>
              <w:tc>
                <w:tcPr>
                  <w:tcW w:w="2976" w:type="dxa"/>
                  <w:tcBorders>
                    <w:top w:val="single" w:color="000000" w:sz="4" w:space="0"/>
                    <w:left w:val="single" w:color="000000" w:sz="4" w:space="0"/>
                    <w:bottom w:val="single" w:color="000000" w:sz="4" w:space="0"/>
                    <w:right w:val="single" w:color="000000" w:sz="4" w:space="0"/>
                  </w:tcBorders>
                  <w:noWrap/>
                  <w:vAlign w:val="center"/>
                </w:tcPr>
                <w:p w14:paraId="614D1DFD">
                  <w:pPr>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正畸影像处理软件</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525AAE66">
                  <w:pPr>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w:t>
                  </w:r>
                </w:p>
              </w:tc>
              <w:tc>
                <w:tcPr>
                  <w:tcW w:w="1243" w:type="dxa"/>
                  <w:tcBorders>
                    <w:top w:val="single" w:color="000000" w:sz="4" w:space="0"/>
                    <w:left w:val="single" w:color="000000" w:sz="4" w:space="0"/>
                    <w:bottom w:val="single" w:color="000000" w:sz="4" w:space="0"/>
                    <w:right w:val="single" w:color="000000" w:sz="4" w:space="0"/>
                  </w:tcBorders>
                  <w:noWrap/>
                  <w:vAlign w:val="center"/>
                </w:tcPr>
                <w:p w14:paraId="0F834797">
                  <w:pPr>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套</w:t>
                  </w:r>
                </w:p>
              </w:tc>
              <w:tc>
                <w:tcPr>
                  <w:tcW w:w="1243" w:type="dxa"/>
                  <w:tcBorders>
                    <w:top w:val="single" w:color="000000" w:sz="4" w:space="0"/>
                    <w:left w:val="single" w:color="000000" w:sz="4" w:space="0"/>
                    <w:bottom w:val="single" w:color="000000" w:sz="4" w:space="0"/>
                    <w:right w:val="single" w:color="000000" w:sz="4" w:space="0"/>
                  </w:tcBorders>
                  <w:noWrap/>
                  <w:vAlign w:val="center"/>
                </w:tcPr>
                <w:p w14:paraId="199079B6">
                  <w:pPr>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p>
              </w:tc>
            </w:tr>
            <w:tr w14:paraId="276B3DE3">
              <w:tblPrEx>
                <w:tblCellMar>
                  <w:top w:w="0" w:type="dxa"/>
                  <w:left w:w="108" w:type="dxa"/>
                  <w:bottom w:w="0" w:type="dxa"/>
                  <w:right w:w="108" w:type="dxa"/>
                </w:tblCellMar>
              </w:tblPrEx>
              <w:trPr>
                <w:trHeight w:val="0" w:hRule="atLeast"/>
              </w:trPr>
              <w:tc>
                <w:tcPr>
                  <w:tcW w:w="651" w:type="dxa"/>
                  <w:tcBorders>
                    <w:top w:val="single" w:color="000000" w:sz="4" w:space="0"/>
                    <w:left w:val="single" w:color="000000" w:sz="4" w:space="0"/>
                    <w:bottom w:val="single" w:color="000000" w:sz="4" w:space="0"/>
                    <w:right w:val="single" w:color="000000" w:sz="4" w:space="0"/>
                  </w:tcBorders>
                  <w:noWrap/>
                  <w:vAlign w:val="center"/>
                </w:tcPr>
                <w:p w14:paraId="0422BAC4">
                  <w:pPr>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14</w:t>
                  </w:r>
                </w:p>
              </w:tc>
              <w:tc>
                <w:tcPr>
                  <w:tcW w:w="2976" w:type="dxa"/>
                  <w:tcBorders>
                    <w:top w:val="single" w:color="000000" w:sz="4" w:space="0"/>
                    <w:left w:val="single" w:color="000000" w:sz="4" w:space="0"/>
                    <w:bottom w:val="single" w:color="000000" w:sz="4" w:space="0"/>
                    <w:right w:val="single" w:color="000000" w:sz="4" w:space="0"/>
                  </w:tcBorders>
                  <w:noWrap/>
                  <w:vAlign w:val="center"/>
                </w:tcPr>
                <w:p w14:paraId="1636734D">
                  <w:pPr>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DICOM3.0传输/储存/打印</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5BE8A31D">
                  <w:pPr>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w:t>
                  </w:r>
                </w:p>
              </w:tc>
              <w:tc>
                <w:tcPr>
                  <w:tcW w:w="1243" w:type="dxa"/>
                  <w:tcBorders>
                    <w:top w:val="single" w:color="000000" w:sz="4" w:space="0"/>
                    <w:left w:val="single" w:color="000000" w:sz="4" w:space="0"/>
                    <w:bottom w:val="single" w:color="000000" w:sz="4" w:space="0"/>
                    <w:right w:val="single" w:color="000000" w:sz="4" w:space="0"/>
                  </w:tcBorders>
                  <w:noWrap/>
                  <w:vAlign w:val="center"/>
                </w:tcPr>
                <w:p w14:paraId="5D15449B">
                  <w:pPr>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套</w:t>
                  </w:r>
                </w:p>
              </w:tc>
              <w:tc>
                <w:tcPr>
                  <w:tcW w:w="1243" w:type="dxa"/>
                  <w:tcBorders>
                    <w:top w:val="single" w:color="000000" w:sz="4" w:space="0"/>
                    <w:left w:val="single" w:color="000000" w:sz="4" w:space="0"/>
                    <w:bottom w:val="single" w:color="000000" w:sz="4" w:space="0"/>
                    <w:right w:val="single" w:color="000000" w:sz="4" w:space="0"/>
                  </w:tcBorders>
                  <w:noWrap/>
                  <w:vAlign w:val="center"/>
                </w:tcPr>
                <w:p w14:paraId="1F216816">
                  <w:pPr>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p>
              </w:tc>
            </w:tr>
            <w:tr w14:paraId="48030555">
              <w:tblPrEx>
                <w:tblCellMar>
                  <w:top w:w="0" w:type="dxa"/>
                  <w:left w:w="108" w:type="dxa"/>
                  <w:bottom w:w="0" w:type="dxa"/>
                  <w:right w:w="108" w:type="dxa"/>
                </w:tblCellMar>
              </w:tblPrEx>
              <w:trPr>
                <w:trHeight w:val="0" w:hRule="atLeast"/>
              </w:trPr>
              <w:tc>
                <w:tcPr>
                  <w:tcW w:w="651" w:type="dxa"/>
                  <w:tcBorders>
                    <w:top w:val="single" w:color="000000" w:sz="4" w:space="0"/>
                    <w:left w:val="single" w:color="000000" w:sz="4" w:space="0"/>
                    <w:bottom w:val="single" w:color="000000" w:sz="4" w:space="0"/>
                    <w:right w:val="single" w:color="000000" w:sz="4" w:space="0"/>
                  </w:tcBorders>
                  <w:noWrap/>
                  <w:vAlign w:val="center"/>
                </w:tcPr>
                <w:p w14:paraId="173A11C1">
                  <w:pPr>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15</w:t>
                  </w:r>
                </w:p>
              </w:tc>
              <w:tc>
                <w:tcPr>
                  <w:tcW w:w="2976" w:type="dxa"/>
                  <w:tcBorders>
                    <w:top w:val="single" w:color="000000" w:sz="4" w:space="0"/>
                    <w:left w:val="single" w:color="000000" w:sz="4" w:space="0"/>
                    <w:bottom w:val="single" w:color="000000" w:sz="4" w:space="0"/>
                    <w:right w:val="single" w:color="000000" w:sz="4" w:space="0"/>
                  </w:tcBorders>
                  <w:noWrap/>
                  <w:vAlign w:val="center"/>
                </w:tcPr>
                <w:p w14:paraId="0FBB32BB">
                  <w:pPr>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产品及软件使用手册</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783FC536">
                  <w:pPr>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w:t>
                  </w:r>
                </w:p>
              </w:tc>
              <w:tc>
                <w:tcPr>
                  <w:tcW w:w="1243" w:type="dxa"/>
                  <w:tcBorders>
                    <w:top w:val="single" w:color="000000" w:sz="4" w:space="0"/>
                    <w:left w:val="single" w:color="000000" w:sz="4" w:space="0"/>
                    <w:bottom w:val="single" w:color="000000" w:sz="4" w:space="0"/>
                    <w:right w:val="single" w:color="000000" w:sz="4" w:space="0"/>
                  </w:tcBorders>
                  <w:noWrap/>
                  <w:vAlign w:val="center"/>
                </w:tcPr>
                <w:p w14:paraId="110B299C">
                  <w:pPr>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套</w:t>
                  </w:r>
                </w:p>
              </w:tc>
              <w:tc>
                <w:tcPr>
                  <w:tcW w:w="1243" w:type="dxa"/>
                  <w:tcBorders>
                    <w:top w:val="single" w:color="000000" w:sz="4" w:space="0"/>
                    <w:left w:val="single" w:color="000000" w:sz="4" w:space="0"/>
                    <w:bottom w:val="single" w:color="000000" w:sz="4" w:space="0"/>
                    <w:right w:val="single" w:color="000000" w:sz="4" w:space="0"/>
                  </w:tcBorders>
                  <w:noWrap/>
                  <w:vAlign w:val="center"/>
                </w:tcPr>
                <w:p w14:paraId="232F9A62">
                  <w:pPr>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p>
              </w:tc>
            </w:tr>
            <w:tr w14:paraId="39156D16">
              <w:tblPrEx>
                <w:tblCellMar>
                  <w:top w:w="0" w:type="dxa"/>
                  <w:left w:w="108" w:type="dxa"/>
                  <w:bottom w:w="0" w:type="dxa"/>
                  <w:right w:w="108" w:type="dxa"/>
                </w:tblCellMar>
              </w:tblPrEx>
              <w:trPr>
                <w:trHeight w:val="0" w:hRule="atLeast"/>
              </w:trPr>
              <w:tc>
                <w:tcPr>
                  <w:tcW w:w="651" w:type="dxa"/>
                  <w:tcBorders>
                    <w:top w:val="single" w:color="000000" w:sz="4" w:space="0"/>
                    <w:left w:val="single" w:color="000000" w:sz="4" w:space="0"/>
                    <w:bottom w:val="single" w:color="000000" w:sz="4" w:space="0"/>
                    <w:right w:val="single" w:color="000000" w:sz="4" w:space="0"/>
                  </w:tcBorders>
                  <w:noWrap/>
                  <w:vAlign w:val="center"/>
                </w:tcPr>
                <w:p w14:paraId="1FE6B030">
                  <w:pPr>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16</w:t>
                  </w:r>
                </w:p>
              </w:tc>
              <w:tc>
                <w:tcPr>
                  <w:tcW w:w="2976" w:type="dxa"/>
                  <w:tcBorders>
                    <w:top w:val="single" w:color="000000" w:sz="4" w:space="0"/>
                    <w:left w:val="single" w:color="000000" w:sz="4" w:space="0"/>
                    <w:bottom w:val="single" w:color="000000" w:sz="4" w:space="0"/>
                    <w:right w:val="single" w:color="000000" w:sz="4" w:space="0"/>
                  </w:tcBorders>
                  <w:noWrap/>
                  <w:vAlign w:val="center"/>
                </w:tcPr>
                <w:p w14:paraId="5273A88F">
                  <w:pPr>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壁挂式牙科摄影系统及相关组件（牙片机）</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5ABD83C0">
                  <w:pPr>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w:t>
                  </w:r>
                </w:p>
              </w:tc>
              <w:tc>
                <w:tcPr>
                  <w:tcW w:w="1243" w:type="dxa"/>
                  <w:tcBorders>
                    <w:top w:val="single" w:color="000000" w:sz="4" w:space="0"/>
                    <w:left w:val="single" w:color="000000" w:sz="4" w:space="0"/>
                    <w:bottom w:val="single" w:color="000000" w:sz="4" w:space="0"/>
                    <w:right w:val="single" w:color="000000" w:sz="4" w:space="0"/>
                  </w:tcBorders>
                  <w:noWrap/>
                  <w:vAlign w:val="center"/>
                </w:tcPr>
                <w:p w14:paraId="49CB6040">
                  <w:pPr>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套</w:t>
                  </w:r>
                </w:p>
              </w:tc>
              <w:tc>
                <w:tcPr>
                  <w:tcW w:w="1243" w:type="dxa"/>
                  <w:tcBorders>
                    <w:top w:val="single" w:color="000000" w:sz="4" w:space="0"/>
                    <w:left w:val="single" w:color="000000" w:sz="4" w:space="0"/>
                    <w:bottom w:val="single" w:color="000000" w:sz="4" w:space="0"/>
                    <w:right w:val="single" w:color="000000" w:sz="4" w:space="0"/>
                  </w:tcBorders>
                  <w:noWrap/>
                  <w:vAlign w:val="center"/>
                </w:tcPr>
                <w:p w14:paraId="649C1928">
                  <w:pPr>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p>
              </w:tc>
            </w:tr>
            <w:tr w14:paraId="564B3BCF">
              <w:tblPrEx>
                <w:tblCellMar>
                  <w:top w:w="0" w:type="dxa"/>
                  <w:left w:w="108" w:type="dxa"/>
                  <w:bottom w:w="0" w:type="dxa"/>
                  <w:right w:w="108" w:type="dxa"/>
                </w:tblCellMar>
              </w:tblPrEx>
              <w:trPr>
                <w:trHeight w:val="0" w:hRule="atLeast"/>
              </w:trPr>
              <w:tc>
                <w:tcPr>
                  <w:tcW w:w="651" w:type="dxa"/>
                  <w:tcBorders>
                    <w:top w:val="single" w:color="000000" w:sz="4" w:space="0"/>
                    <w:left w:val="single" w:color="000000" w:sz="4" w:space="0"/>
                    <w:bottom w:val="single" w:color="000000" w:sz="4" w:space="0"/>
                    <w:right w:val="single" w:color="000000" w:sz="4" w:space="0"/>
                  </w:tcBorders>
                  <w:noWrap/>
                  <w:vAlign w:val="center"/>
                </w:tcPr>
                <w:p w14:paraId="4773FD79">
                  <w:pPr>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17</w:t>
                  </w:r>
                </w:p>
              </w:tc>
              <w:tc>
                <w:tcPr>
                  <w:tcW w:w="2976" w:type="dxa"/>
                  <w:tcBorders>
                    <w:top w:val="single" w:color="000000" w:sz="4" w:space="0"/>
                    <w:left w:val="single" w:color="000000" w:sz="4" w:space="0"/>
                    <w:bottom w:val="single" w:color="000000" w:sz="4" w:space="0"/>
                    <w:right w:val="single" w:color="000000" w:sz="4" w:space="0"/>
                  </w:tcBorders>
                  <w:noWrap/>
                  <w:vAlign w:val="center"/>
                </w:tcPr>
                <w:p w14:paraId="18D4F476">
                  <w:pPr>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牙科摄影安全联锁装置</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4BA4C2EF">
                  <w:pPr>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w:t>
                  </w:r>
                </w:p>
              </w:tc>
              <w:tc>
                <w:tcPr>
                  <w:tcW w:w="1243" w:type="dxa"/>
                  <w:tcBorders>
                    <w:top w:val="single" w:color="000000" w:sz="4" w:space="0"/>
                    <w:left w:val="single" w:color="000000" w:sz="4" w:space="0"/>
                    <w:bottom w:val="single" w:color="000000" w:sz="4" w:space="0"/>
                    <w:right w:val="single" w:color="000000" w:sz="4" w:space="0"/>
                  </w:tcBorders>
                  <w:noWrap/>
                  <w:vAlign w:val="center"/>
                </w:tcPr>
                <w:p w14:paraId="70B3800D">
                  <w:pPr>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套</w:t>
                  </w:r>
                </w:p>
              </w:tc>
              <w:tc>
                <w:tcPr>
                  <w:tcW w:w="1243" w:type="dxa"/>
                  <w:tcBorders>
                    <w:top w:val="single" w:color="000000" w:sz="4" w:space="0"/>
                    <w:left w:val="single" w:color="000000" w:sz="4" w:space="0"/>
                    <w:bottom w:val="single" w:color="000000" w:sz="4" w:space="0"/>
                    <w:right w:val="single" w:color="000000" w:sz="4" w:space="0"/>
                  </w:tcBorders>
                  <w:noWrap/>
                  <w:vAlign w:val="center"/>
                </w:tcPr>
                <w:p w14:paraId="7AE72833">
                  <w:pPr>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p>
              </w:tc>
            </w:tr>
            <w:tr w14:paraId="0C5EA682">
              <w:tblPrEx>
                <w:tblCellMar>
                  <w:top w:w="0" w:type="dxa"/>
                  <w:left w:w="108" w:type="dxa"/>
                  <w:bottom w:w="0" w:type="dxa"/>
                  <w:right w:w="108" w:type="dxa"/>
                </w:tblCellMar>
              </w:tblPrEx>
              <w:trPr>
                <w:trHeight w:val="0" w:hRule="atLeast"/>
              </w:trPr>
              <w:tc>
                <w:tcPr>
                  <w:tcW w:w="651" w:type="dxa"/>
                  <w:tcBorders>
                    <w:top w:val="single" w:color="000000" w:sz="4" w:space="0"/>
                    <w:left w:val="single" w:color="000000" w:sz="4" w:space="0"/>
                    <w:bottom w:val="single" w:color="000000" w:sz="4" w:space="0"/>
                    <w:right w:val="single" w:color="000000" w:sz="4" w:space="0"/>
                  </w:tcBorders>
                  <w:noWrap/>
                  <w:vAlign w:val="center"/>
                </w:tcPr>
                <w:p w14:paraId="26989E35">
                  <w:pPr>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18</w:t>
                  </w:r>
                </w:p>
              </w:tc>
              <w:tc>
                <w:tcPr>
                  <w:tcW w:w="2976" w:type="dxa"/>
                  <w:tcBorders>
                    <w:top w:val="single" w:color="000000" w:sz="4" w:space="0"/>
                    <w:left w:val="single" w:color="000000" w:sz="4" w:space="0"/>
                    <w:bottom w:val="single" w:color="000000" w:sz="4" w:space="0"/>
                    <w:right w:val="single" w:color="000000" w:sz="4" w:space="0"/>
                  </w:tcBorders>
                  <w:noWrap/>
                  <w:vAlign w:val="center"/>
                </w:tcPr>
                <w:p w14:paraId="5DE115AB">
                  <w:pPr>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医疗智能语音系统</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04BC76C4">
                  <w:pPr>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w:t>
                  </w:r>
                </w:p>
              </w:tc>
              <w:tc>
                <w:tcPr>
                  <w:tcW w:w="1243" w:type="dxa"/>
                  <w:tcBorders>
                    <w:top w:val="single" w:color="000000" w:sz="4" w:space="0"/>
                    <w:left w:val="single" w:color="000000" w:sz="4" w:space="0"/>
                    <w:bottom w:val="single" w:color="000000" w:sz="4" w:space="0"/>
                    <w:right w:val="single" w:color="000000" w:sz="4" w:space="0"/>
                  </w:tcBorders>
                  <w:noWrap/>
                  <w:vAlign w:val="center"/>
                </w:tcPr>
                <w:p w14:paraId="4C8FFEC1">
                  <w:pPr>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套</w:t>
                  </w:r>
                </w:p>
              </w:tc>
              <w:tc>
                <w:tcPr>
                  <w:tcW w:w="1243" w:type="dxa"/>
                  <w:tcBorders>
                    <w:top w:val="single" w:color="000000" w:sz="4" w:space="0"/>
                    <w:left w:val="single" w:color="000000" w:sz="4" w:space="0"/>
                    <w:bottom w:val="single" w:color="000000" w:sz="4" w:space="0"/>
                    <w:right w:val="single" w:color="000000" w:sz="4" w:space="0"/>
                  </w:tcBorders>
                  <w:noWrap/>
                  <w:vAlign w:val="center"/>
                </w:tcPr>
                <w:p w14:paraId="3A9F43A4">
                  <w:pPr>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p>
              </w:tc>
            </w:tr>
            <w:tr w14:paraId="495C2735">
              <w:tblPrEx>
                <w:tblCellMar>
                  <w:top w:w="0" w:type="dxa"/>
                  <w:left w:w="108" w:type="dxa"/>
                  <w:bottom w:w="0" w:type="dxa"/>
                  <w:right w:w="108" w:type="dxa"/>
                </w:tblCellMar>
              </w:tblPrEx>
              <w:trPr>
                <w:trHeight w:val="0" w:hRule="atLeast"/>
              </w:trPr>
              <w:tc>
                <w:tcPr>
                  <w:tcW w:w="651" w:type="dxa"/>
                  <w:tcBorders>
                    <w:top w:val="single" w:color="000000" w:sz="4" w:space="0"/>
                    <w:left w:val="single" w:color="000000" w:sz="4" w:space="0"/>
                    <w:bottom w:val="single" w:color="000000" w:sz="4" w:space="0"/>
                    <w:right w:val="single" w:color="000000" w:sz="4" w:space="0"/>
                  </w:tcBorders>
                  <w:noWrap/>
                  <w:vAlign w:val="center"/>
                </w:tcPr>
                <w:p w14:paraId="52EEE02A">
                  <w:pPr>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19</w:t>
                  </w:r>
                </w:p>
              </w:tc>
              <w:tc>
                <w:tcPr>
                  <w:tcW w:w="2976" w:type="dxa"/>
                  <w:tcBorders>
                    <w:top w:val="single" w:color="000000" w:sz="4" w:space="0"/>
                    <w:left w:val="single" w:color="000000" w:sz="4" w:space="0"/>
                    <w:bottom w:val="single" w:color="000000" w:sz="4" w:space="0"/>
                    <w:right w:val="single" w:color="000000" w:sz="4" w:space="0"/>
                  </w:tcBorders>
                  <w:noWrap/>
                  <w:vAlign w:val="center"/>
                </w:tcPr>
                <w:p w14:paraId="749DF5B5">
                  <w:pPr>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全套防护用品含铅衣架（含成人和儿童）</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07AD017E">
                  <w:pPr>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2</w:t>
                  </w:r>
                </w:p>
              </w:tc>
              <w:tc>
                <w:tcPr>
                  <w:tcW w:w="1243" w:type="dxa"/>
                  <w:tcBorders>
                    <w:top w:val="single" w:color="000000" w:sz="4" w:space="0"/>
                    <w:left w:val="single" w:color="000000" w:sz="4" w:space="0"/>
                    <w:bottom w:val="single" w:color="000000" w:sz="4" w:space="0"/>
                    <w:right w:val="single" w:color="000000" w:sz="4" w:space="0"/>
                  </w:tcBorders>
                  <w:noWrap/>
                  <w:vAlign w:val="center"/>
                </w:tcPr>
                <w:p w14:paraId="42D1FE85">
                  <w:pPr>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套</w:t>
                  </w:r>
                </w:p>
              </w:tc>
              <w:tc>
                <w:tcPr>
                  <w:tcW w:w="1243" w:type="dxa"/>
                  <w:tcBorders>
                    <w:top w:val="single" w:color="000000" w:sz="4" w:space="0"/>
                    <w:left w:val="single" w:color="000000" w:sz="4" w:space="0"/>
                    <w:bottom w:val="single" w:color="000000" w:sz="4" w:space="0"/>
                    <w:right w:val="single" w:color="000000" w:sz="4" w:space="0"/>
                  </w:tcBorders>
                  <w:noWrap/>
                  <w:vAlign w:val="center"/>
                </w:tcPr>
                <w:p w14:paraId="21793F03">
                  <w:pPr>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p>
              </w:tc>
            </w:tr>
            <w:tr w14:paraId="05745259">
              <w:tblPrEx>
                <w:tblCellMar>
                  <w:top w:w="0" w:type="dxa"/>
                  <w:left w:w="108" w:type="dxa"/>
                  <w:bottom w:w="0" w:type="dxa"/>
                  <w:right w:w="108" w:type="dxa"/>
                </w:tblCellMar>
              </w:tblPrEx>
              <w:trPr>
                <w:trHeight w:val="0" w:hRule="atLeast"/>
              </w:trPr>
              <w:tc>
                <w:tcPr>
                  <w:tcW w:w="651" w:type="dxa"/>
                  <w:tcBorders>
                    <w:top w:val="single" w:color="000000" w:sz="4" w:space="0"/>
                    <w:left w:val="single" w:color="000000" w:sz="4" w:space="0"/>
                    <w:bottom w:val="single" w:color="000000" w:sz="4" w:space="0"/>
                    <w:right w:val="single" w:color="000000" w:sz="4" w:space="0"/>
                  </w:tcBorders>
                  <w:noWrap/>
                  <w:vAlign w:val="center"/>
                </w:tcPr>
                <w:p w14:paraId="7AE8DFC5">
                  <w:pPr>
                    <w:pageBreakBefore w:val="0"/>
                    <w:kinsoku/>
                    <w:wordWrap/>
                    <w:overflowPunct/>
                    <w:topLinePunct w:val="0"/>
                    <w:bidi w:val="0"/>
                    <w:snapToGrid/>
                    <w:spacing w:line="240" w:lineRule="auto"/>
                    <w:jc w:val="center"/>
                    <w:rPr>
                      <w:rFonts w:hint="eastAsia" w:ascii="宋体" w:hAnsi="宋体" w:eastAsia="宋体" w:cs="宋体"/>
                      <w:color w:val="0000FF"/>
                      <w:kern w:val="0"/>
                      <w:sz w:val="21"/>
                      <w:szCs w:val="21"/>
                      <w:highlight w:val="none"/>
                      <w:lang w:bidi="ar"/>
                    </w:rPr>
                  </w:pPr>
                  <w:r>
                    <w:rPr>
                      <w:rFonts w:hint="eastAsia" w:ascii="宋体" w:hAnsi="宋体" w:eastAsia="宋体" w:cs="宋体"/>
                      <w:color w:val="0000FF"/>
                      <w:sz w:val="21"/>
                      <w:szCs w:val="21"/>
                      <w:highlight w:val="none"/>
                    </w:rPr>
                    <w:t>20</w:t>
                  </w:r>
                </w:p>
              </w:tc>
              <w:tc>
                <w:tcPr>
                  <w:tcW w:w="2976" w:type="dxa"/>
                  <w:tcBorders>
                    <w:top w:val="single" w:color="000000" w:sz="4" w:space="0"/>
                    <w:left w:val="single" w:color="000000" w:sz="4" w:space="0"/>
                    <w:bottom w:val="single" w:color="000000" w:sz="4" w:space="0"/>
                    <w:right w:val="single" w:color="000000" w:sz="4" w:space="0"/>
                  </w:tcBorders>
                  <w:noWrap/>
                  <w:vAlign w:val="center"/>
                </w:tcPr>
                <w:p w14:paraId="03AC3871">
                  <w:pPr>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交钥匙工程</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5B8BB8EE">
                  <w:pPr>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w:t>
                  </w:r>
                </w:p>
              </w:tc>
              <w:tc>
                <w:tcPr>
                  <w:tcW w:w="1243" w:type="dxa"/>
                  <w:tcBorders>
                    <w:top w:val="single" w:color="000000" w:sz="4" w:space="0"/>
                    <w:left w:val="single" w:color="000000" w:sz="4" w:space="0"/>
                    <w:bottom w:val="single" w:color="000000" w:sz="4" w:space="0"/>
                    <w:right w:val="single" w:color="000000" w:sz="4" w:space="0"/>
                  </w:tcBorders>
                  <w:noWrap/>
                  <w:vAlign w:val="center"/>
                </w:tcPr>
                <w:p w14:paraId="58F09580">
                  <w:pPr>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套</w:t>
                  </w:r>
                </w:p>
              </w:tc>
              <w:tc>
                <w:tcPr>
                  <w:tcW w:w="1243" w:type="dxa"/>
                  <w:tcBorders>
                    <w:top w:val="single" w:color="000000" w:sz="4" w:space="0"/>
                    <w:left w:val="single" w:color="000000" w:sz="4" w:space="0"/>
                    <w:bottom w:val="single" w:color="000000" w:sz="4" w:space="0"/>
                    <w:right w:val="single" w:color="000000" w:sz="4" w:space="0"/>
                  </w:tcBorders>
                  <w:noWrap/>
                  <w:vAlign w:val="center"/>
                </w:tcPr>
                <w:p w14:paraId="60E2BF2F">
                  <w:pPr>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p>
              </w:tc>
            </w:tr>
          </w:tbl>
          <w:p w14:paraId="47C02E67">
            <w:pPr>
              <w:pageBreakBefore w:val="0"/>
              <w:kinsoku/>
              <w:wordWrap/>
              <w:overflowPunct/>
              <w:topLinePunct w:val="0"/>
              <w:bidi w:val="0"/>
              <w:snapToGrid/>
              <w:spacing w:line="240" w:lineRule="auto"/>
              <w:rPr>
                <w:rFonts w:hint="eastAsia" w:ascii="宋体" w:hAnsi="宋体" w:eastAsia="宋体" w:cs="宋体"/>
                <w:b/>
                <w:bCs/>
                <w:color w:val="0000FF"/>
                <w:sz w:val="21"/>
                <w:szCs w:val="21"/>
                <w:highlight w:val="none"/>
              </w:rPr>
            </w:pPr>
          </w:p>
        </w:tc>
      </w:tr>
    </w:tbl>
    <w:p w14:paraId="48E95B0B">
      <w:pPr>
        <w:pStyle w:val="3"/>
        <w:pageBreakBefore w:val="0"/>
        <w:kinsoku/>
        <w:wordWrap/>
        <w:overflowPunct/>
        <w:topLinePunct w:val="0"/>
        <w:bidi w:val="0"/>
        <w:snapToGrid/>
        <w:spacing w:line="240" w:lineRule="auto"/>
        <w:jc w:val="center"/>
        <w:rPr>
          <w:rFonts w:hint="eastAsia"/>
          <w:sz w:val="24"/>
          <w:szCs w:val="28"/>
          <w:highlight w:val="none"/>
        </w:rPr>
      </w:pPr>
      <w:r>
        <w:rPr>
          <w:rFonts w:hint="eastAsia"/>
          <w:sz w:val="24"/>
          <w:szCs w:val="28"/>
          <w:highlight w:val="none"/>
        </w:rPr>
        <w:t>★五、商务要求</w:t>
      </w:r>
    </w:p>
    <w:p w14:paraId="23B5E9F9">
      <w:pPr>
        <w:pageBreakBefore w:val="0"/>
        <w:kinsoku/>
        <w:wordWrap/>
        <w:overflowPunct/>
        <w:topLinePunct w:val="0"/>
        <w:bidi w:val="0"/>
        <w:snapToGrid/>
        <w:spacing w:line="240" w:lineRule="auto"/>
        <w:jc w:val="center"/>
        <w:outlineLvl w:val="9"/>
        <w:rPr>
          <w:rFonts w:hint="eastAsia"/>
          <w:b/>
          <w:bCs/>
          <w:highlight w:val="none"/>
        </w:rPr>
      </w:pPr>
      <w:r>
        <w:rPr>
          <w:rFonts w:hint="eastAsia"/>
          <w:b/>
          <w:bCs/>
          <w:highlight w:val="none"/>
        </w:rPr>
        <w:t>本部分内容为项目正常开展的基本要求，均为★号条款要求，不作为评分准则中的评分内容，如未响应或出现负偏离的，将作投标无效处理</w:t>
      </w:r>
      <w:r>
        <w:rPr>
          <w:rFonts w:hint="eastAsia"/>
          <w:b/>
          <w:bCs/>
          <w:highlight w:val="none"/>
          <w:lang w:eastAsia="zh-CN"/>
        </w:rPr>
        <w:t>。</w:t>
      </w:r>
    </w:p>
    <w:tbl>
      <w:tblPr>
        <w:tblStyle w:val="4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405"/>
        <w:gridCol w:w="6314"/>
      </w:tblGrid>
      <w:tr w14:paraId="6B567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8" w:type="dxa"/>
            <w:vAlign w:val="center"/>
          </w:tcPr>
          <w:p w14:paraId="71D11590">
            <w:pPr>
              <w:pageBreakBefore w:val="0"/>
              <w:kinsoku/>
              <w:wordWrap/>
              <w:overflowPunct/>
              <w:topLinePunct w:val="0"/>
              <w:bidi w:val="0"/>
              <w:snapToGrid/>
              <w:spacing w:line="240" w:lineRule="auto"/>
              <w:jc w:val="center"/>
              <w:rPr>
                <w:rFonts w:hint="eastAsia" w:ascii="宋体" w:hAnsi="宋体" w:cs="宋体"/>
                <w:b/>
                <w:color w:val="0000FF"/>
                <w:szCs w:val="21"/>
                <w:highlight w:val="none"/>
              </w:rPr>
            </w:pPr>
            <w:r>
              <w:rPr>
                <w:rFonts w:hint="eastAsia" w:ascii="宋体" w:hAnsi="宋体" w:cs="宋体"/>
                <w:b/>
                <w:color w:val="0000FF"/>
                <w:szCs w:val="21"/>
                <w:highlight w:val="none"/>
              </w:rPr>
              <w:t>序号</w:t>
            </w:r>
          </w:p>
        </w:tc>
        <w:tc>
          <w:tcPr>
            <w:tcW w:w="1405" w:type="dxa"/>
            <w:vAlign w:val="center"/>
          </w:tcPr>
          <w:p w14:paraId="4646C9FE">
            <w:pPr>
              <w:pageBreakBefore w:val="0"/>
              <w:kinsoku/>
              <w:wordWrap/>
              <w:overflowPunct/>
              <w:topLinePunct w:val="0"/>
              <w:bidi w:val="0"/>
              <w:snapToGrid/>
              <w:spacing w:line="240" w:lineRule="auto"/>
              <w:jc w:val="center"/>
              <w:rPr>
                <w:rFonts w:hint="eastAsia" w:ascii="宋体" w:hAnsi="宋体" w:cs="宋体"/>
                <w:b/>
                <w:color w:val="0000FF"/>
                <w:szCs w:val="21"/>
                <w:highlight w:val="none"/>
              </w:rPr>
            </w:pPr>
            <w:r>
              <w:rPr>
                <w:rFonts w:hint="eastAsia" w:ascii="宋体" w:hAnsi="宋体" w:cs="宋体"/>
                <w:b/>
                <w:color w:val="0000FF"/>
                <w:szCs w:val="21"/>
                <w:highlight w:val="none"/>
              </w:rPr>
              <w:t>商务需求项</w:t>
            </w:r>
          </w:p>
        </w:tc>
        <w:tc>
          <w:tcPr>
            <w:tcW w:w="6314" w:type="dxa"/>
            <w:vAlign w:val="center"/>
          </w:tcPr>
          <w:p w14:paraId="4E8FEA7D">
            <w:pPr>
              <w:pageBreakBefore w:val="0"/>
              <w:kinsoku/>
              <w:wordWrap/>
              <w:overflowPunct/>
              <w:topLinePunct w:val="0"/>
              <w:bidi w:val="0"/>
              <w:snapToGrid/>
              <w:spacing w:line="240" w:lineRule="auto"/>
              <w:jc w:val="center"/>
              <w:rPr>
                <w:rFonts w:hint="eastAsia" w:ascii="宋体" w:hAnsi="宋体" w:cs="宋体"/>
                <w:b/>
                <w:color w:val="0000FF"/>
                <w:szCs w:val="21"/>
                <w:highlight w:val="none"/>
              </w:rPr>
            </w:pPr>
            <w:r>
              <w:rPr>
                <w:rFonts w:hint="eastAsia" w:ascii="宋体" w:hAnsi="宋体" w:cs="宋体"/>
                <w:b/>
                <w:color w:val="0000FF"/>
                <w:szCs w:val="21"/>
                <w:highlight w:val="none"/>
              </w:rPr>
              <w:t>招标商务要求</w:t>
            </w:r>
          </w:p>
        </w:tc>
      </w:tr>
      <w:tr w14:paraId="0A571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27" w:type="dxa"/>
            <w:gridSpan w:val="3"/>
          </w:tcPr>
          <w:p w14:paraId="5748A25D">
            <w:pPr>
              <w:pageBreakBefore w:val="0"/>
              <w:kinsoku/>
              <w:wordWrap/>
              <w:overflowPunct/>
              <w:topLinePunct w:val="0"/>
              <w:bidi w:val="0"/>
              <w:snapToGrid/>
              <w:spacing w:line="240" w:lineRule="auto"/>
              <w:rPr>
                <w:rFonts w:hint="eastAsia" w:ascii="宋体" w:hAnsi="宋体" w:cs="宋体"/>
                <w:b/>
                <w:color w:val="0000FF"/>
                <w:szCs w:val="21"/>
                <w:highlight w:val="none"/>
              </w:rPr>
            </w:pPr>
            <w:r>
              <w:rPr>
                <w:rFonts w:hint="eastAsia" w:ascii="宋体" w:hAnsi="宋体" w:cs="宋体"/>
                <w:b/>
                <w:color w:val="0000FF"/>
                <w:szCs w:val="21"/>
                <w:highlight w:val="none"/>
              </w:rPr>
              <w:t>（一）免费全保期内售后服务要求</w:t>
            </w:r>
          </w:p>
        </w:tc>
      </w:tr>
      <w:tr w14:paraId="71B47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8" w:type="dxa"/>
            <w:vAlign w:val="center"/>
          </w:tcPr>
          <w:p w14:paraId="1DE6ACD9">
            <w:pPr>
              <w:pageBreakBefore w:val="0"/>
              <w:kinsoku/>
              <w:wordWrap/>
              <w:overflowPunct/>
              <w:topLinePunct w:val="0"/>
              <w:bidi w:val="0"/>
              <w:snapToGrid/>
              <w:spacing w:line="240" w:lineRule="auto"/>
              <w:jc w:val="center"/>
              <w:rPr>
                <w:rFonts w:hint="eastAsia" w:ascii="宋体" w:hAnsi="宋体" w:cs="宋体"/>
                <w:bCs/>
                <w:color w:val="0000FF"/>
                <w:szCs w:val="21"/>
                <w:highlight w:val="none"/>
              </w:rPr>
            </w:pPr>
            <w:r>
              <w:rPr>
                <w:rFonts w:hint="eastAsia" w:ascii="宋体" w:hAnsi="宋体" w:cs="宋体"/>
                <w:bCs/>
                <w:color w:val="0000FF"/>
                <w:szCs w:val="21"/>
                <w:highlight w:val="none"/>
              </w:rPr>
              <w:t>1</w:t>
            </w:r>
          </w:p>
        </w:tc>
        <w:tc>
          <w:tcPr>
            <w:tcW w:w="1405" w:type="dxa"/>
            <w:vAlign w:val="center"/>
          </w:tcPr>
          <w:p w14:paraId="5A7B3713">
            <w:pPr>
              <w:pageBreakBefore w:val="0"/>
              <w:kinsoku/>
              <w:wordWrap/>
              <w:overflowPunct/>
              <w:topLinePunct w:val="0"/>
              <w:bidi w:val="0"/>
              <w:snapToGrid/>
              <w:spacing w:line="240" w:lineRule="auto"/>
              <w:jc w:val="center"/>
              <w:rPr>
                <w:rFonts w:hint="eastAsia" w:ascii="宋体" w:hAnsi="宋体" w:cs="宋体"/>
                <w:color w:val="0000FF"/>
                <w:szCs w:val="21"/>
                <w:highlight w:val="none"/>
              </w:rPr>
            </w:pPr>
            <w:r>
              <w:rPr>
                <w:rFonts w:hint="eastAsia" w:ascii="宋体" w:hAnsi="宋体" w:cs="宋体"/>
                <w:color w:val="0000FF"/>
                <w:szCs w:val="21"/>
                <w:highlight w:val="none"/>
              </w:rPr>
              <w:t>维修响应及故障解决时间</w:t>
            </w:r>
          </w:p>
        </w:tc>
        <w:tc>
          <w:tcPr>
            <w:tcW w:w="6314" w:type="dxa"/>
          </w:tcPr>
          <w:p w14:paraId="060C77A0">
            <w:pPr>
              <w:pageBreakBefore w:val="0"/>
              <w:kinsoku/>
              <w:wordWrap/>
              <w:overflowPunct/>
              <w:topLinePunct w:val="0"/>
              <w:bidi w:val="0"/>
              <w:snapToGrid/>
              <w:spacing w:line="240" w:lineRule="auto"/>
              <w:rPr>
                <w:rFonts w:hint="eastAsia" w:ascii="宋体" w:hAnsi="宋体" w:cs="宋体"/>
                <w:b/>
                <w:color w:val="0000FF"/>
                <w:szCs w:val="21"/>
                <w:highlight w:val="none"/>
              </w:rPr>
            </w:pPr>
            <w:r>
              <w:rPr>
                <w:rFonts w:hint="eastAsia" w:ascii="宋体" w:hAnsi="宋体" w:cs="宋体"/>
                <w:bCs/>
                <w:color w:val="0000FF"/>
                <w:szCs w:val="21"/>
                <w:highlight w:val="none"/>
              </w:rPr>
              <w:t>1.1 全保期内，中标人应对产品因质量出现的问题免费修复，并且要在2小时内响应，12小时内到达现场维修，并在48小时内消除故障，若在48小时内不能及时排除故障的，中标人应在10个日历日内向采购人免费提供不低故障设备规格型号档次的备用设备使用，直至故障修复为止，由此产生的包括但不限于运输费、安装费、搬运费、替换产品的损耗费、零部件费、调试费等全部费用由中标人承担。</w:t>
            </w:r>
          </w:p>
        </w:tc>
      </w:tr>
      <w:tr w14:paraId="2DD37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8" w:type="dxa"/>
            <w:vMerge w:val="restart"/>
            <w:vAlign w:val="center"/>
          </w:tcPr>
          <w:p w14:paraId="139C4B16">
            <w:pPr>
              <w:pageBreakBefore w:val="0"/>
              <w:kinsoku/>
              <w:wordWrap/>
              <w:overflowPunct/>
              <w:topLinePunct w:val="0"/>
              <w:bidi w:val="0"/>
              <w:snapToGrid/>
              <w:spacing w:line="240" w:lineRule="auto"/>
              <w:jc w:val="center"/>
              <w:rPr>
                <w:rFonts w:hint="eastAsia" w:ascii="宋体" w:hAnsi="宋体" w:cs="宋体"/>
                <w:color w:val="0000FF"/>
                <w:szCs w:val="21"/>
                <w:highlight w:val="none"/>
              </w:rPr>
            </w:pPr>
            <w:r>
              <w:rPr>
                <w:rFonts w:hint="eastAsia" w:ascii="宋体" w:hAnsi="宋体" w:cs="宋体"/>
                <w:color w:val="0000FF"/>
                <w:szCs w:val="21"/>
                <w:highlight w:val="none"/>
              </w:rPr>
              <w:t>2</w:t>
            </w:r>
          </w:p>
        </w:tc>
        <w:tc>
          <w:tcPr>
            <w:tcW w:w="1405" w:type="dxa"/>
            <w:vMerge w:val="restart"/>
            <w:vAlign w:val="center"/>
          </w:tcPr>
          <w:p w14:paraId="32A372AE">
            <w:pPr>
              <w:pageBreakBefore w:val="0"/>
              <w:kinsoku/>
              <w:wordWrap/>
              <w:overflowPunct/>
              <w:topLinePunct w:val="0"/>
              <w:bidi w:val="0"/>
              <w:snapToGrid/>
              <w:spacing w:line="240" w:lineRule="auto"/>
              <w:jc w:val="center"/>
              <w:rPr>
                <w:rFonts w:hint="eastAsia" w:ascii="宋体" w:hAnsi="宋体" w:cs="宋体"/>
                <w:color w:val="0000FF"/>
                <w:szCs w:val="21"/>
                <w:highlight w:val="none"/>
              </w:rPr>
            </w:pPr>
            <w:r>
              <w:rPr>
                <w:rFonts w:hint="eastAsia" w:ascii="宋体" w:hAnsi="宋体" w:cs="宋体"/>
                <w:color w:val="0000FF"/>
                <w:szCs w:val="21"/>
                <w:highlight w:val="none"/>
              </w:rPr>
              <w:t>免费全保期</w:t>
            </w:r>
          </w:p>
        </w:tc>
        <w:tc>
          <w:tcPr>
            <w:tcW w:w="6314" w:type="dxa"/>
          </w:tcPr>
          <w:p w14:paraId="69599DC5">
            <w:pPr>
              <w:pageBreakBefore w:val="0"/>
              <w:tabs>
                <w:tab w:val="left" w:pos="425"/>
              </w:tabs>
              <w:kinsoku/>
              <w:wordWrap/>
              <w:overflowPunct/>
              <w:topLinePunct w:val="0"/>
              <w:bidi w:val="0"/>
              <w:snapToGrid/>
              <w:spacing w:line="240" w:lineRule="auto"/>
              <w:rPr>
                <w:rFonts w:hint="eastAsia" w:ascii="宋体" w:hAnsi="宋体" w:cs="宋体"/>
                <w:b/>
                <w:color w:val="0000FF"/>
                <w:szCs w:val="21"/>
                <w:highlight w:val="none"/>
              </w:rPr>
            </w:pPr>
            <w:r>
              <w:rPr>
                <w:rFonts w:hint="eastAsia" w:ascii="宋体" w:hAnsi="宋体" w:eastAsia="宋体" w:cs="宋体"/>
                <w:color w:val="0000FF"/>
                <w:sz w:val="21"/>
                <w:szCs w:val="21"/>
                <w:highlight w:val="none"/>
              </w:rPr>
              <w:t>2.1 设备安装调试验收合格后，原厂免费全保期5年</w:t>
            </w:r>
            <w:r>
              <w:rPr>
                <w:rFonts w:hint="eastAsia" w:ascii="宋体" w:hAnsi="宋体" w:eastAsia="宋体" w:cs="宋体"/>
                <w:color w:val="0000FF"/>
                <w:sz w:val="21"/>
                <w:szCs w:val="21"/>
                <w:highlight w:val="none"/>
              </w:rPr>
              <w:t>（含配置清单内所有项目及其配件、易耗品</w:t>
            </w:r>
            <w:r>
              <w:rPr>
                <w:rFonts w:hint="eastAsia" w:ascii="宋体" w:hAnsi="宋体" w:eastAsia="宋体" w:cs="宋体"/>
                <w:color w:val="0000FF"/>
                <w:sz w:val="21"/>
                <w:szCs w:val="21"/>
                <w:highlight w:val="none"/>
                <w:lang w:eastAsia="zh-CN"/>
              </w:rPr>
              <w:t>、</w:t>
            </w:r>
            <w:r>
              <w:rPr>
                <w:rFonts w:hint="eastAsia" w:ascii="宋体" w:hAnsi="宋体" w:eastAsia="宋体" w:cs="宋体"/>
                <w:color w:val="0000FF"/>
                <w:sz w:val="21"/>
                <w:szCs w:val="21"/>
                <w:highlight w:val="none"/>
                <w:lang w:val="en-US" w:eastAsia="zh-CN"/>
              </w:rPr>
              <w:t>软硬件系统等，全部</w:t>
            </w:r>
            <w:r>
              <w:rPr>
                <w:rFonts w:hint="eastAsia" w:ascii="宋体" w:hAnsi="宋体" w:eastAsia="宋体" w:cs="宋体"/>
                <w:color w:val="0000FF"/>
                <w:sz w:val="21"/>
                <w:szCs w:val="21"/>
                <w:highlight w:val="none"/>
              </w:rPr>
              <w:t>免费原厂保修）</w:t>
            </w:r>
            <w:r>
              <w:rPr>
                <w:rFonts w:hint="eastAsia" w:ascii="宋体" w:hAnsi="宋体" w:eastAsia="宋体" w:cs="宋体"/>
                <w:color w:val="0000FF"/>
                <w:sz w:val="21"/>
                <w:szCs w:val="21"/>
                <w:highlight w:val="none"/>
              </w:rPr>
              <w:t>，在全保期内，全部免费提供原装的零配件及其维修，终身负责维修；</w:t>
            </w:r>
          </w:p>
        </w:tc>
      </w:tr>
      <w:tr w14:paraId="5F3E3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8" w:type="dxa"/>
            <w:vMerge w:val="continue"/>
            <w:vAlign w:val="center"/>
          </w:tcPr>
          <w:p w14:paraId="49E5AACB">
            <w:pPr>
              <w:pageBreakBefore w:val="0"/>
              <w:kinsoku/>
              <w:wordWrap/>
              <w:overflowPunct/>
              <w:topLinePunct w:val="0"/>
              <w:bidi w:val="0"/>
              <w:snapToGrid/>
              <w:spacing w:line="240" w:lineRule="auto"/>
              <w:jc w:val="center"/>
              <w:rPr>
                <w:rFonts w:hint="eastAsia" w:ascii="宋体" w:hAnsi="宋体" w:cs="宋体"/>
                <w:color w:val="0000FF"/>
                <w:szCs w:val="21"/>
                <w:highlight w:val="none"/>
              </w:rPr>
            </w:pPr>
          </w:p>
        </w:tc>
        <w:tc>
          <w:tcPr>
            <w:tcW w:w="1405" w:type="dxa"/>
            <w:vMerge w:val="continue"/>
            <w:vAlign w:val="center"/>
          </w:tcPr>
          <w:p w14:paraId="01102BF3">
            <w:pPr>
              <w:pageBreakBefore w:val="0"/>
              <w:kinsoku/>
              <w:wordWrap/>
              <w:overflowPunct/>
              <w:topLinePunct w:val="0"/>
              <w:bidi w:val="0"/>
              <w:snapToGrid/>
              <w:spacing w:line="240" w:lineRule="auto"/>
              <w:jc w:val="center"/>
              <w:rPr>
                <w:rFonts w:hint="eastAsia" w:ascii="宋体" w:hAnsi="宋体" w:cs="宋体"/>
                <w:color w:val="0000FF"/>
                <w:szCs w:val="21"/>
                <w:highlight w:val="none"/>
              </w:rPr>
            </w:pPr>
          </w:p>
        </w:tc>
        <w:tc>
          <w:tcPr>
            <w:tcW w:w="6314" w:type="dxa"/>
          </w:tcPr>
          <w:p w14:paraId="2B107ABF">
            <w:pPr>
              <w:pageBreakBefore w:val="0"/>
              <w:tabs>
                <w:tab w:val="left" w:pos="425"/>
              </w:tabs>
              <w:kinsoku/>
              <w:wordWrap/>
              <w:overflowPunct/>
              <w:topLinePunct w:val="0"/>
              <w:bidi w:val="0"/>
              <w:snapToGrid/>
              <w:spacing w:line="240" w:lineRule="auto"/>
              <w:rPr>
                <w:rFonts w:hint="eastAsia" w:ascii="宋体" w:hAnsi="宋体" w:cs="宋体"/>
                <w:color w:val="0000FF"/>
                <w:szCs w:val="21"/>
                <w:highlight w:val="none"/>
              </w:rPr>
            </w:pPr>
            <w:r>
              <w:rPr>
                <w:rFonts w:hint="eastAsia" w:ascii="宋体" w:hAnsi="宋体" w:cs="宋体"/>
                <w:bCs/>
                <w:color w:val="0000FF"/>
                <w:szCs w:val="21"/>
                <w:highlight w:val="none"/>
              </w:rPr>
              <w:t>2.2 全保期内，中标人应确保设备年开机率在98%（含）以上，若达不到此开机率，将作以下处理：年开机率在90%（含）-98%（不含）之间，赔壹年延长全保期；年开机率在85%（含）-90%（不含）之间，赔贰年延长全保期；年开机率低于85%（不含），中标单位必须无条件更换新设备，并重新计算新设备的全保期，以及赔偿采购人的直接经济损失和间接经济损失。【注：年开机率=（365-停机天数）/365】</w:t>
            </w:r>
          </w:p>
        </w:tc>
      </w:tr>
      <w:tr w14:paraId="5E194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8" w:type="dxa"/>
            <w:vMerge w:val="continue"/>
            <w:vAlign w:val="center"/>
          </w:tcPr>
          <w:p w14:paraId="09E12422">
            <w:pPr>
              <w:pageBreakBefore w:val="0"/>
              <w:kinsoku/>
              <w:wordWrap/>
              <w:overflowPunct/>
              <w:topLinePunct w:val="0"/>
              <w:bidi w:val="0"/>
              <w:snapToGrid/>
              <w:spacing w:line="240" w:lineRule="auto"/>
              <w:jc w:val="center"/>
              <w:rPr>
                <w:rFonts w:hint="eastAsia" w:ascii="宋体" w:hAnsi="宋体" w:cs="宋体"/>
                <w:b/>
                <w:color w:val="0000FF"/>
                <w:szCs w:val="21"/>
                <w:highlight w:val="none"/>
              </w:rPr>
            </w:pPr>
          </w:p>
        </w:tc>
        <w:tc>
          <w:tcPr>
            <w:tcW w:w="1405" w:type="dxa"/>
            <w:vMerge w:val="continue"/>
            <w:vAlign w:val="center"/>
          </w:tcPr>
          <w:p w14:paraId="7034A542">
            <w:pPr>
              <w:pageBreakBefore w:val="0"/>
              <w:kinsoku/>
              <w:wordWrap/>
              <w:overflowPunct/>
              <w:topLinePunct w:val="0"/>
              <w:bidi w:val="0"/>
              <w:snapToGrid/>
              <w:spacing w:line="240" w:lineRule="auto"/>
              <w:rPr>
                <w:rFonts w:hint="eastAsia" w:ascii="宋体" w:hAnsi="宋体" w:cs="宋体"/>
                <w:color w:val="0000FF"/>
                <w:szCs w:val="21"/>
                <w:highlight w:val="none"/>
              </w:rPr>
            </w:pPr>
          </w:p>
        </w:tc>
        <w:tc>
          <w:tcPr>
            <w:tcW w:w="6314" w:type="dxa"/>
            <w:vAlign w:val="center"/>
          </w:tcPr>
          <w:p w14:paraId="678D0224">
            <w:pPr>
              <w:pageBreakBefore w:val="0"/>
              <w:kinsoku/>
              <w:wordWrap/>
              <w:overflowPunct/>
              <w:topLinePunct w:val="0"/>
              <w:bidi w:val="0"/>
              <w:snapToGrid/>
              <w:spacing w:line="240" w:lineRule="auto"/>
              <w:rPr>
                <w:rFonts w:hint="eastAsia" w:ascii="宋体" w:hAnsi="宋体" w:cs="宋体"/>
                <w:bCs/>
                <w:color w:val="0000FF"/>
                <w:szCs w:val="21"/>
                <w:highlight w:val="none"/>
              </w:rPr>
            </w:pPr>
            <w:r>
              <w:rPr>
                <w:rFonts w:hint="eastAsia" w:ascii="宋体" w:hAnsi="宋体" w:cs="宋体"/>
                <w:bCs/>
                <w:color w:val="0000FF"/>
                <w:szCs w:val="21"/>
                <w:highlight w:val="none"/>
              </w:rPr>
              <w:t>2.3 提供工程师电话和技术维修力量情况和维修的详细地址及联系方式。中标后签订合同前提供。</w:t>
            </w:r>
          </w:p>
        </w:tc>
      </w:tr>
      <w:tr w14:paraId="436BD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8" w:type="dxa"/>
            <w:vAlign w:val="center"/>
          </w:tcPr>
          <w:p w14:paraId="1EBC321C">
            <w:pPr>
              <w:pageBreakBefore w:val="0"/>
              <w:kinsoku/>
              <w:wordWrap/>
              <w:overflowPunct/>
              <w:topLinePunct w:val="0"/>
              <w:bidi w:val="0"/>
              <w:snapToGrid/>
              <w:spacing w:line="240" w:lineRule="auto"/>
              <w:jc w:val="center"/>
              <w:rPr>
                <w:rFonts w:hint="eastAsia" w:ascii="宋体" w:hAnsi="宋体" w:cs="宋体"/>
                <w:b/>
                <w:color w:val="0000FF"/>
                <w:szCs w:val="21"/>
                <w:highlight w:val="none"/>
              </w:rPr>
            </w:pPr>
            <w:r>
              <w:rPr>
                <w:rFonts w:hint="eastAsia" w:ascii="宋体" w:hAnsi="宋体" w:cs="宋体"/>
                <w:color w:val="0000FF"/>
                <w:szCs w:val="21"/>
                <w:highlight w:val="none"/>
              </w:rPr>
              <w:t>3</w:t>
            </w:r>
          </w:p>
        </w:tc>
        <w:tc>
          <w:tcPr>
            <w:tcW w:w="1405" w:type="dxa"/>
            <w:vAlign w:val="center"/>
          </w:tcPr>
          <w:p w14:paraId="51AA8DE1">
            <w:pPr>
              <w:pageBreakBefore w:val="0"/>
              <w:kinsoku/>
              <w:wordWrap/>
              <w:overflowPunct/>
              <w:topLinePunct w:val="0"/>
              <w:bidi w:val="0"/>
              <w:snapToGrid/>
              <w:spacing w:line="240" w:lineRule="auto"/>
              <w:jc w:val="center"/>
              <w:rPr>
                <w:rFonts w:hint="eastAsia" w:ascii="宋体" w:hAnsi="宋体" w:cs="宋体"/>
                <w:b/>
                <w:color w:val="0000FF"/>
                <w:szCs w:val="21"/>
                <w:highlight w:val="none"/>
              </w:rPr>
            </w:pPr>
            <w:r>
              <w:rPr>
                <w:rFonts w:hint="eastAsia" w:ascii="宋体" w:hAnsi="宋体" w:cs="宋体"/>
                <w:color w:val="0000FF"/>
                <w:szCs w:val="21"/>
                <w:highlight w:val="none"/>
              </w:rPr>
              <w:t>技术文件</w:t>
            </w:r>
          </w:p>
        </w:tc>
        <w:tc>
          <w:tcPr>
            <w:tcW w:w="6314" w:type="dxa"/>
            <w:vAlign w:val="center"/>
          </w:tcPr>
          <w:p w14:paraId="62EB829E">
            <w:pPr>
              <w:pageBreakBefore w:val="0"/>
              <w:kinsoku/>
              <w:wordWrap/>
              <w:overflowPunct/>
              <w:topLinePunct w:val="0"/>
              <w:bidi w:val="0"/>
              <w:snapToGrid/>
              <w:spacing w:line="240" w:lineRule="auto"/>
              <w:rPr>
                <w:rFonts w:hint="eastAsia" w:ascii="宋体" w:hAnsi="宋体" w:cs="宋体"/>
                <w:bCs/>
                <w:color w:val="0000FF"/>
                <w:szCs w:val="21"/>
                <w:highlight w:val="none"/>
              </w:rPr>
            </w:pPr>
            <w:r>
              <w:rPr>
                <w:rFonts w:hint="eastAsia" w:ascii="宋体" w:hAnsi="宋体" w:cs="宋体"/>
                <w:bCs/>
                <w:color w:val="0000FF"/>
                <w:szCs w:val="21"/>
                <w:highlight w:val="none"/>
              </w:rPr>
              <w:t>3.1 供应商应提供全套、完整的书面技术资料，包括仪器说明书、中文操作手册、简单维修说明、图纸等。</w:t>
            </w:r>
          </w:p>
        </w:tc>
      </w:tr>
      <w:tr w14:paraId="22EC5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8" w:type="dxa"/>
            <w:vAlign w:val="center"/>
          </w:tcPr>
          <w:p w14:paraId="1118E582">
            <w:pPr>
              <w:pageBreakBefore w:val="0"/>
              <w:kinsoku/>
              <w:wordWrap/>
              <w:overflowPunct/>
              <w:topLinePunct w:val="0"/>
              <w:bidi w:val="0"/>
              <w:snapToGrid/>
              <w:spacing w:line="240" w:lineRule="auto"/>
              <w:jc w:val="center"/>
              <w:rPr>
                <w:rFonts w:hint="eastAsia" w:ascii="宋体" w:hAnsi="宋体" w:cs="宋体"/>
                <w:bCs/>
                <w:color w:val="0000FF"/>
                <w:szCs w:val="21"/>
                <w:highlight w:val="none"/>
              </w:rPr>
            </w:pPr>
            <w:r>
              <w:rPr>
                <w:rFonts w:hint="eastAsia" w:ascii="宋体" w:hAnsi="宋体" w:cs="宋体"/>
                <w:bCs/>
                <w:color w:val="0000FF"/>
                <w:szCs w:val="21"/>
                <w:highlight w:val="none"/>
              </w:rPr>
              <w:t>4</w:t>
            </w:r>
          </w:p>
        </w:tc>
        <w:tc>
          <w:tcPr>
            <w:tcW w:w="1405" w:type="dxa"/>
            <w:vAlign w:val="center"/>
          </w:tcPr>
          <w:p w14:paraId="61EDF66B">
            <w:pPr>
              <w:pageBreakBefore w:val="0"/>
              <w:kinsoku/>
              <w:wordWrap/>
              <w:overflowPunct/>
              <w:topLinePunct w:val="0"/>
              <w:bidi w:val="0"/>
              <w:snapToGrid/>
              <w:spacing w:line="240" w:lineRule="auto"/>
              <w:jc w:val="center"/>
              <w:rPr>
                <w:rFonts w:hint="eastAsia" w:ascii="宋体" w:hAnsi="宋体" w:cs="宋体"/>
                <w:bCs/>
                <w:color w:val="0000FF"/>
                <w:szCs w:val="21"/>
                <w:highlight w:val="none"/>
              </w:rPr>
            </w:pPr>
            <w:r>
              <w:rPr>
                <w:rFonts w:hint="eastAsia" w:ascii="宋体" w:hAnsi="宋体" w:cs="宋体"/>
                <w:color w:val="0000FF"/>
                <w:szCs w:val="21"/>
                <w:highlight w:val="none"/>
              </w:rPr>
              <w:t>安装调试</w:t>
            </w:r>
          </w:p>
        </w:tc>
        <w:tc>
          <w:tcPr>
            <w:tcW w:w="6314" w:type="dxa"/>
            <w:vAlign w:val="center"/>
          </w:tcPr>
          <w:p w14:paraId="1B9BC567">
            <w:pPr>
              <w:pageBreakBefore w:val="0"/>
              <w:kinsoku/>
              <w:wordWrap/>
              <w:overflowPunct/>
              <w:topLinePunct w:val="0"/>
              <w:bidi w:val="0"/>
              <w:snapToGrid/>
              <w:spacing w:line="240" w:lineRule="auto"/>
              <w:rPr>
                <w:rFonts w:hint="eastAsia" w:ascii="宋体" w:hAnsi="宋体" w:cs="宋体"/>
                <w:bCs/>
                <w:color w:val="0000FF"/>
                <w:szCs w:val="21"/>
                <w:highlight w:val="none"/>
              </w:rPr>
            </w:pPr>
            <w:r>
              <w:rPr>
                <w:rFonts w:hint="eastAsia" w:ascii="宋体" w:hAnsi="宋体" w:cs="宋体"/>
                <w:bCs/>
                <w:color w:val="0000FF"/>
                <w:szCs w:val="21"/>
                <w:highlight w:val="none"/>
              </w:rPr>
              <w:t>4.1 免费负责安装、调试、免费提供技术咨询、软件升级及人员培训，以保证采购人工作人员掌握设备各种使用操作。提供≥2次（每次一周）的免费操作培训。</w:t>
            </w:r>
          </w:p>
        </w:tc>
      </w:tr>
      <w:tr w14:paraId="1048F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27" w:type="dxa"/>
            <w:gridSpan w:val="3"/>
            <w:vAlign w:val="center"/>
          </w:tcPr>
          <w:p w14:paraId="67D78DE8">
            <w:pPr>
              <w:pageBreakBefore w:val="0"/>
              <w:kinsoku/>
              <w:wordWrap/>
              <w:overflowPunct/>
              <w:topLinePunct w:val="0"/>
              <w:bidi w:val="0"/>
              <w:snapToGrid/>
              <w:spacing w:line="240" w:lineRule="auto"/>
              <w:rPr>
                <w:rFonts w:hint="eastAsia" w:ascii="宋体" w:hAnsi="宋体" w:cs="宋体"/>
                <w:b/>
                <w:color w:val="0000FF"/>
                <w:szCs w:val="21"/>
                <w:highlight w:val="none"/>
              </w:rPr>
            </w:pPr>
            <w:r>
              <w:rPr>
                <w:rFonts w:hint="eastAsia" w:ascii="宋体" w:hAnsi="宋体" w:cs="宋体"/>
                <w:b/>
                <w:color w:val="0000FF"/>
                <w:szCs w:val="21"/>
                <w:highlight w:val="none"/>
              </w:rPr>
              <w:t>（二）免费全保期外售后服务要求</w:t>
            </w:r>
          </w:p>
        </w:tc>
      </w:tr>
      <w:tr w14:paraId="37B73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8" w:type="dxa"/>
            <w:vMerge w:val="restart"/>
            <w:vAlign w:val="center"/>
          </w:tcPr>
          <w:p w14:paraId="5F16C728">
            <w:pPr>
              <w:pageBreakBefore w:val="0"/>
              <w:kinsoku/>
              <w:wordWrap/>
              <w:overflowPunct/>
              <w:topLinePunct w:val="0"/>
              <w:bidi w:val="0"/>
              <w:snapToGrid/>
              <w:spacing w:line="240" w:lineRule="auto"/>
              <w:jc w:val="center"/>
              <w:rPr>
                <w:rFonts w:hint="eastAsia" w:ascii="宋体" w:hAnsi="宋体" w:cs="宋体"/>
                <w:b/>
                <w:color w:val="0000FF"/>
                <w:szCs w:val="21"/>
                <w:highlight w:val="none"/>
              </w:rPr>
            </w:pPr>
            <w:r>
              <w:rPr>
                <w:rFonts w:hint="eastAsia" w:ascii="宋体" w:hAnsi="宋体" w:cs="宋体"/>
                <w:b/>
                <w:color w:val="0000FF"/>
                <w:szCs w:val="21"/>
                <w:highlight w:val="none"/>
              </w:rPr>
              <w:t>1</w:t>
            </w:r>
          </w:p>
        </w:tc>
        <w:tc>
          <w:tcPr>
            <w:tcW w:w="1405" w:type="dxa"/>
            <w:vMerge w:val="restart"/>
            <w:vAlign w:val="center"/>
          </w:tcPr>
          <w:p w14:paraId="054B7420">
            <w:pPr>
              <w:pageBreakBefore w:val="0"/>
              <w:kinsoku/>
              <w:wordWrap/>
              <w:overflowPunct/>
              <w:topLinePunct w:val="0"/>
              <w:bidi w:val="0"/>
              <w:snapToGrid/>
              <w:spacing w:line="240" w:lineRule="auto"/>
              <w:jc w:val="center"/>
              <w:rPr>
                <w:rFonts w:hint="eastAsia" w:ascii="宋体" w:hAnsi="宋体" w:cs="宋体"/>
                <w:b/>
                <w:color w:val="0000FF"/>
                <w:szCs w:val="21"/>
                <w:highlight w:val="none"/>
              </w:rPr>
            </w:pPr>
            <w:r>
              <w:rPr>
                <w:rStyle w:val="45"/>
                <w:rFonts w:hint="eastAsia" w:ascii="宋体" w:hAnsi="宋体" w:cs="宋体"/>
                <w:b w:val="0"/>
                <w:color w:val="0000FF"/>
                <w:szCs w:val="21"/>
                <w:highlight w:val="none"/>
              </w:rPr>
              <w:t>维修零配件、消耗品和延续保修合同的报价</w:t>
            </w:r>
          </w:p>
        </w:tc>
        <w:tc>
          <w:tcPr>
            <w:tcW w:w="6314" w:type="dxa"/>
            <w:vAlign w:val="center"/>
          </w:tcPr>
          <w:p w14:paraId="6854DA7F">
            <w:pPr>
              <w:pageBreakBefore w:val="0"/>
              <w:kinsoku/>
              <w:wordWrap/>
              <w:overflowPunct/>
              <w:topLinePunct w:val="0"/>
              <w:bidi w:val="0"/>
              <w:snapToGrid/>
              <w:spacing w:line="240" w:lineRule="auto"/>
              <w:rPr>
                <w:rFonts w:hint="eastAsia" w:ascii="宋体" w:hAnsi="宋体" w:cs="宋体"/>
                <w:bCs/>
                <w:color w:val="0000FF"/>
                <w:szCs w:val="21"/>
                <w:highlight w:val="none"/>
              </w:rPr>
            </w:pPr>
            <w:r>
              <w:rPr>
                <w:rFonts w:hint="eastAsia" w:ascii="宋体" w:hAnsi="宋体" w:cs="宋体"/>
                <w:bCs/>
                <w:color w:val="0000FF"/>
                <w:szCs w:val="21"/>
                <w:highlight w:val="none"/>
              </w:rPr>
              <w:t>1.1 全保期外，中标人负责免费维修及提供原装配件，采购人只负责更换零配件费。</w:t>
            </w:r>
          </w:p>
        </w:tc>
      </w:tr>
      <w:tr w14:paraId="05D2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8" w:type="dxa"/>
            <w:vMerge w:val="continue"/>
            <w:vAlign w:val="center"/>
          </w:tcPr>
          <w:p w14:paraId="4E4052E8">
            <w:pPr>
              <w:pageBreakBefore w:val="0"/>
              <w:kinsoku/>
              <w:wordWrap/>
              <w:overflowPunct/>
              <w:topLinePunct w:val="0"/>
              <w:bidi w:val="0"/>
              <w:snapToGrid/>
              <w:spacing w:line="240" w:lineRule="auto"/>
              <w:jc w:val="center"/>
              <w:rPr>
                <w:rFonts w:hint="eastAsia" w:ascii="宋体" w:hAnsi="宋体" w:cs="宋体"/>
                <w:b/>
                <w:color w:val="0000FF"/>
                <w:szCs w:val="21"/>
                <w:highlight w:val="none"/>
              </w:rPr>
            </w:pPr>
          </w:p>
        </w:tc>
        <w:tc>
          <w:tcPr>
            <w:tcW w:w="1405" w:type="dxa"/>
            <w:vMerge w:val="continue"/>
            <w:vAlign w:val="center"/>
          </w:tcPr>
          <w:p w14:paraId="5A108950">
            <w:pPr>
              <w:pageBreakBefore w:val="0"/>
              <w:kinsoku/>
              <w:wordWrap/>
              <w:overflowPunct/>
              <w:topLinePunct w:val="0"/>
              <w:bidi w:val="0"/>
              <w:snapToGrid/>
              <w:spacing w:line="240" w:lineRule="auto"/>
              <w:rPr>
                <w:rStyle w:val="45"/>
                <w:rFonts w:hint="eastAsia" w:ascii="宋体" w:hAnsi="宋体" w:cs="宋体"/>
                <w:color w:val="0000FF"/>
                <w:szCs w:val="21"/>
                <w:highlight w:val="none"/>
              </w:rPr>
            </w:pPr>
          </w:p>
        </w:tc>
        <w:tc>
          <w:tcPr>
            <w:tcW w:w="6314" w:type="dxa"/>
            <w:vAlign w:val="center"/>
          </w:tcPr>
          <w:p w14:paraId="561C6F6C">
            <w:pPr>
              <w:pageBreakBefore w:val="0"/>
              <w:kinsoku/>
              <w:wordWrap/>
              <w:overflowPunct/>
              <w:topLinePunct w:val="0"/>
              <w:bidi w:val="0"/>
              <w:snapToGrid/>
              <w:spacing w:line="240" w:lineRule="auto"/>
              <w:rPr>
                <w:rFonts w:hint="eastAsia" w:ascii="宋体" w:hAnsi="宋体" w:cs="宋体"/>
                <w:bCs/>
                <w:color w:val="0000FF"/>
                <w:szCs w:val="21"/>
                <w:highlight w:val="none"/>
              </w:rPr>
            </w:pPr>
            <w:r>
              <w:rPr>
                <w:rFonts w:hint="eastAsia" w:ascii="宋体" w:hAnsi="宋体" w:cs="宋体"/>
                <w:bCs/>
                <w:color w:val="0000FF"/>
                <w:szCs w:val="21"/>
                <w:highlight w:val="none"/>
              </w:rPr>
              <w:t>1.2 保证设备维修和配件的供应。备件送达期限国内≤2天，国外≤4天，设备停产后的备件供应≥10年。软件终身免费升级；每年需对设备进行维护保养，一年四次（每季度一次）。</w:t>
            </w:r>
          </w:p>
        </w:tc>
      </w:tr>
      <w:tr w14:paraId="37BC7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27" w:type="dxa"/>
            <w:gridSpan w:val="3"/>
            <w:vAlign w:val="center"/>
          </w:tcPr>
          <w:p w14:paraId="7AA72EBA">
            <w:pPr>
              <w:pageBreakBefore w:val="0"/>
              <w:kinsoku/>
              <w:wordWrap/>
              <w:overflowPunct/>
              <w:topLinePunct w:val="0"/>
              <w:bidi w:val="0"/>
              <w:snapToGrid/>
              <w:spacing w:line="240" w:lineRule="auto"/>
              <w:rPr>
                <w:rFonts w:hint="eastAsia" w:ascii="宋体" w:hAnsi="宋体" w:cs="宋体"/>
                <w:b/>
                <w:color w:val="0000FF"/>
                <w:szCs w:val="21"/>
                <w:highlight w:val="none"/>
              </w:rPr>
            </w:pPr>
            <w:r>
              <w:rPr>
                <w:rFonts w:hint="eastAsia" w:ascii="宋体" w:hAnsi="宋体" w:cs="宋体"/>
                <w:b/>
                <w:color w:val="0000FF"/>
                <w:szCs w:val="21"/>
                <w:highlight w:val="none"/>
              </w:rPr>
              <w:t>（三）</w:t>
            </w:r>
            <w:r>
              <w:rPr>
                <w:rFonts w:hint="eastAsia" w:ascii="宋体" w:hAnsi="宋体" w:cs="宋体"/>
                <w:b/>
                <w:bCs/>
                <w:color w:val="0000FF"/>
                <w:szCs w:val="21"/>
                <w:highlight w:val="none"/>
              </w:rPr>
              <w:t>报价要求</w:t>
            </w:r>
          </w:p>
        </w:tc>
      </w:tr>
      <w:tr w14:paraId="344BB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8" w:type="dxa"/>
            <w:vAlign w:val="center"/>
          </w:tcPr>
          <w:p w14:paraId="70DA85FB">
            <w:pPr>
              <w:pageBreakBefore w:val="0"/>
              <w:kinsoku/>
              <w:wordWrap/>
              <w:overflowPunct/>
              <w:topLinePunct w:val="0"/>
              <w:bidi w:val="0"/>
              <w:snapToGrid/>
              <w:spacing w:line="240" w:lineRule="auto"/>
              <w:rPr>
                <w:rFonts w:hint="eastAsia" w:ascii="宋体" w:hAnsi="宋体" w:cs="宋体"/>
                <w:b/>
                <w:color w:val="0000FF"/>
                <w:szCs w:val="21"/>
                <w:highlight w:val="none"/>
              </w:rPr>
            </w:pPr>
            <w:r>
              <w:rPr>
                <w:rFonts w:hint="eastAsia" w:ascii="宋体" w:hAnsi="宋体" w:cs="宋体"/>
                <w:b/>
                <w:color w:val="0000FF"/>
                <w:szCs w:val="21"/>
                <w:highlight w:val="none"/>
              </w:rPr>
              <w:t>1</w:t>
            </w:r>
          </w:p>
        </w:tc>
        <w:tc>
          <w:tcPr>
            <w:tcW w:w="1405" w:type="dxa"/>
            <w:vAlign w:val="center"/>
          </w:tcPr>
          <w:p w14:paraId="545097C5">
            <w:pPr>
              <w:pageBreakBefore w:val="0"/>
              <w:kinsoku/>
              <w:wordWrap/>
              <w:overflowPunct/>
              <w:topLinePunct w:val="0"/>
              <w:bidi w:val="0"/>
              <w:snapToGrid/>
              <w:spacing w:line="240" w:lineRule="auto"/>
              <w:rPr>
                <w:rFonts w:hint="eastAsia" w:ascii="宋体" w:hAnsi="宋体" w:cs="宋体"/>
                <w:b/>
                <w:color w:val="0000FF"/>
                <w:szCs w:val="21"/>
                <w:highlight w:val="none"/>
              </w:rPr>
            </w:pPr>
            <w:r>
              <w:rPr>
                <w:rFonts w:hint="eastAsia" w:ascii="宋体" w:hAnsi="宋体" w:cs="宋体"/>
                <w:b/>
                <w:color w:val="0000FF"/>
                <w:szCs w:val="21"/>
                <w:highlight w:val="none"/>
              </w:rPr>
              <w:t>报价要求</w:t>
            </w:r>
          </w:p>
        </w:tc>
        <w:tc>
          <w:tcPr>
            <w:tcW w:w="6314" w:type="dxa"/>
            <w:vAlign w:val="center"/>
          </w:tcPr>
          <w:p w14:paraId="30C8A9FE">
            <w:pPr>
              <w:pageBreakBefore w:val="0"/>
              <w:kinsoku/>
              <w:wordWrap/>
              <w:overflowPunct/>
              <w:topLinePunct w:val="0"/>
              <w:bidi w:val="0"/>
              <w:snapToGrid/>
              <w:spacing w:line="240" w:lineRule="auto"/>
              <w:rPr>
                <w:rFonts w:hint="eastAsia" w:ascii="宋体" w:hAnsi="宋体" w:cs="宋体"/>
                <w:b/>
                <w:color w:val="0000FF"/>
                <w:szCs w:val="21"/>
                <w:highlight w:val="none"/>
              </w:rPr>
            </w:pPr>
            <w:r>
              <w:rPr>
                <w:rFonts w:hint="eastAsia" w:ascii="宋体" w:hAnsi="宋体" w:cs="宋体"/>
                <w:bCs/>
                <w:color w:val="0000FF"/>
                <w:szCs w:val="21"/>
                <w:highlight w:val="none"/>
              </w:rPr>
              <w:t>1.1投标报价以人民币报价，为工地交货价。货物总价内包含相关的费用有：原材料和配件费、深化设计、生产加工、安装、调试，通过有关主管部门的验收，运至合同指定地点的包装费、运输费、装卸费、保险费，技术培训费，安装调试费，出质保期后的人工维护费及国家规定的各项税费。</w:t>
            </w:r>
          </w:p>
        </w:tc>
      </w:tr>
      <w:tr w14:paraId="2EC91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27" w:type="dxa"/>
            <w:gridSpan w:val="3"/>
            <w:vAlign w:val="center"/>
          </w:tcPr>
          <w:p w14:paraId="38034DA2">
            <w:pPr>
              <w:pageBreakBefore w:val="0"/>
              <w:kinsoku/>
              <w:wordWrap/>
              <w:overflowPunct/>
              <w:topLinePunct w:val="0"/>
              <w:bidi w:val="0"/>
              <w:snapToGrid/>
              <w:spacing w:line="240" w:lineRule="auto"/>
              <w:rPr>
                <w:rFonts w:hint="eastAsia" w:ascii="宋体" w:hAnsi="宋体" w:cs="宋体"/>
                <w:b/>
                <w:color w:val="0000FF"/>
                <w:szCs w:val="21"/>
                <w:highlight w:val="none"/>
              </w:rPr>
            </w:pPr>
            <w:r>
              <w:rPr>
                <w:rFonts w:hint="eastAsia" w:ascii="宋体" w:hAnsi="宋体" w:cs="宋体"/>
                <w:b/>
                <w:color w:val="0000FF"/>
                <w:szCs w:val="21"/>
                <w:highlight w:val="none"/>
              </w:rPr>
              <w:t>（四）其他商务要求</w:t>
            </w:r>
          </w:p>
        </w:tc>
      </w:tr>
      <w:tr w14:paraId="334DB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8" w:type="dxa"/>
            <w:vMerge w:val="restart"/>
            <w:vAlign w:val="center"/>
          </w:tcPr>
          <w:p w14:paraId="26C80F92">
            <w:pPr>
              <w:pageBreakBefore w:val="0"/>
              <w:kinsoku/>
              <w:wordWrap/>
              <w:overflowPunct/>
              <w:topLinePunct w:val="0"/>
              <w:bidi w:val="0"/>
              <w:snapToGrid/>
              <w:spacing w:line="240" w:lineRule="auto"/>
              <w:jc w:val="center"/>
              <w:rPr>
                <w:rFonts w:hint="eastAsia" w:ascii="宋体" w:hAnsi="宋体" w:cs="宋体"/>
                <w:b/>
                <w:color w:val="0000FF"/>
                <w:szCs w:val="21"/>
                <w:highlight w:val="none"/>
              </w:rPr>
            </w:pPr>
            <w:r>
              <w:rPr>
                <w:rFonts w:hint="eastAsia" w:ascii="宋体" w:hAnsi="宋体" w:cs="宋体"/>
                <w:b/>
                <w:color w:val="0000FF"/>
                <w:szCs w:val="21"/>
                <w:highlight w:val="none"/>
              </w:rPr>
              <w:t>1</w:t>
            </w:r>
          </w:p>
        </w:tc>
        <w:tc>
          <w:tcPr>
            <w:tcW w:w="1405" w:type="dxa"/>
            <w:vMerge w:val="restart"/>
            <w:vAlign w:val="center"/>
          </w:tcPr>
          <w:p w14:paraId="29F0735E">
            <w:pPr>
              <w:pageBreakBefore w:val="0"/>
              <w:kinsoku/>
              <w:wordWrap/>
              <w:overflowPunct/>
              <w:topLinePunct w:val="0"/>
              <w:bidi w:val="0"/>
              <w:snapToGrid/>
              <w:spacing w:line="240" w:lineRule="auto"/>
              <w:jc w:val="center"/>
              <w:rPr>
                <w:rFonts w:hint="eastAsia" w:ascii="宋体" w:hAnsi="宋体" w:cs="宋体"/>
                <w:b/>
                <w:color w:val="0000FF"/>
                <w:szCs w:val="21"/>
                <w:highlight w:val="none"/>
              </w:rPr>
            </w:pPr>
            <w:r>
              <w:rPr>
                <w:rFonts w:hint="eastAsia" w:ascii="宋体" w:hAnsi="宋体" w:cs="宋体"/>
                <w:bCs/>
                <w:color w:val="0000FF"/>
                <w:szCs w:val="21"/>
                <w:highlight w:val="none"/>
              </w:rPr>
              <w:t>违约责任</w:t>
            </w:r>
          </w:p>
        </w:tc>
        <w:tc>
          <w:tcPr>
            <w:tcW w:w="6314" w:type="dxa"/>
          </w:tcPr>
          <w:p w14:paraId="158E6EC3">
            <w:pPr>
              <w:pageBreakBefore w:val="0"/>
              <w:kinsoku/>
              <w:wordWrap/>
              <w:overflowPunct/>
              <w:topLinePunct w:val="0"/>
              <w:bidi w:val="0"/>
              <w:snapToGrid/>
              <w:spacing w:line="240" w:lineRule="auto"/>
              <w:rPr>
                <w:rFonts w:hint="eastAsia" w:ascii="宋体" w:hAnsi="宋体" w:cs="宋体"/>
                <w:color w:val="0000FF"/>
                <w:szCs w:val="21"/>
                <w:highlight w:val="none"/>
              </w:rPr>
            </w:pPr>
            <w:r>
              <w:rPr>
                <w:rFonts w:hint="eastAsia" w:ascii="宋体" w:hAnsi="宋体" w:cs="宋体"/>
                <w:bCs/>
                <w:color w:val="0000FF"/>
                <w:szCs w:val="21"/>
                <w:highlight w:val="none"/>
              </w:rPr>
              <w:t xml:space="preserve">1.1 </w:t>
            </w:r>
            <w:r>
              <w:rPr>
                <w:rFonts w:hint="eastAsia" w:ascii="宋体" w:hAnsi="宋体" w:cs="宋体"/>
                <w:color w:val="0000FF"/>
                <w:szCs w:val="21"/>
                <w:highlight w:val="none"/>
              </w:rPr>
              <w:t>如中标人未按照合同约定的时间交付设备或提供服务，中标人应承担延期交货和延期服务的违约责任，向采购人提供额外维保服务（计算方式为延期交付时间的两倍延长维保服务期限）；逾期超过90日，采购人有权单方解除合同。</w:t>
            </w:r>
          </w:p>
        </w:tc>
      </w:tr>
      <w:tr w14:paraId="5A483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8" w:type="dxa"/>
            <w:vMerge w:val="continue"/>
            <w:vAlign w:val="center"/>
          </w:tcPr>
          <w:p w14:paraId="0CC98064">
            <w:pPr>
              <w:pageBreakBefore w:val="0"/>
              <w:kinsoku/>
              <w:wordWrap/>
              <w:overflowPunct/>
              <w:topLinePunct w:val="0"/>
              <w:bidi w:val="0"/>
              <w:snapToGrid/>
              <w:spacing w:line="240" w:lineRule="auto"/>
              <w:jc w:val="center"/>
              <w:rPr>
                <w:rFonts w:hint="eastAsia" w:ascii="宋体" w:hAnsi="宋体" w:cs="宋体"/>
                <w:b/>
                <w:color w:val="0000FF"/>
                <w:szCs w:val="21"/>
                <w:highlight w:val="none"/>
              </w:rPr>
            </w:pPr>
          </w:p>
        </w:tc>
        <w:tc>
          <w:tcPr>
            <w:tcW w:w="1405" w:type="dxa"/>
            <w:vMerge w:val="continue"/>
            <w:vAlign w:val="center"/>
          </w:tcPr>
          <w:p w14:paraId="2FE758E2">
            <w:pPr>
              <w:pageBreakBefore w:val="0"/>
              <w:kinsoku/>
              <w:wordWrap/>
              <w:overflowPunct/>
              <w:topLinePunct w:val="0"/>
              <w:bidi w:val="0"/>
              <w:snapToGrid/>
              <w:spacing w:line="240" w:lineRule="auto"/>
              <w:jc w:val="center"/>
              <w:rPr>
                <w:rFonts w:hint="eastAsia" w:ascii="宋体" w:hAnsi="宋体" w:cs="宋体"/>
                <w:b/>
                <w:color w:val="0000FF"/>
                <w:szCs w:val="21"/>
                <w:highlight w:val="none"/>
              </w:rPr>
            </w:pPr>
          </w:p>
        </w:tc>
        <w:tc>
          <w:tcPr>
            <w:tcW w:w="6314" w:type="dxa"/>
          </w:tcPr>
          <w:p w14:paraId="0B652198">
            <w:pPr>
              <w:pageBreakBefore w:val="0"/>
              <w:kinsoku/>
              <w:wordWrap/>
              <w:overflowPunct/>
              <w:topLinePunct w:val="0"/>
              <w:bidi w:val="0"/>
              <w:snapToGrid/>
              <w:spacing w:line="240" w:lineRule="auto"/>
              <w:rPr>
                <w:rFonts w:hint="eastAsia" w:ascii="宋体" w:hAnsi="宋体" w:cs="宋体"/>
                <w:color w:val="0000FF"/>
                <w:szCs w:val="21"/>
                <w:highlight w:val="none"/>
              </w:rPr>
            </w:pPr>
            <w:r>
              <w:rPr>
                <w:rFonts w:hint="eastAsia" w:ascii="宋体" w:hAnsi="宋体" w:cs="宋体"/>
                <w:bCs/>
                <w:color w:val="0000FF"/>
                <w:szCs w:val="21"/>
                <w:highlight w:val="none"/>
              </w:rPr>
              <w:t>1.2 中标人所交付产品、工程或服务不符合其投标承诺的，或在投标阶段为了中标而盲目虚假承诺、低价恶性竞争，在履约阶段则通过偷工减料、以次充好而获取利润的，采购人将根据标的的性质以及损失的大小，可以合理选择要求中标人承担修理、更换、重作、退货、减少价款或者报酬等违约责任。</w:t>
            </w:r>
          </w:p>
        </w:tc>
      </w:tr>
      <w:tr w14:paraId="4EA8B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8" w:type="dxa"/>
            <w:vMerge w:val="restart"/>
            <w:vAlign w:val="center"/>
          </w:tcPr>
          <w:p w14:paraId="798BE148">
            <w:pPr>
              <w:pageBreakBefore w:val="0"/>
              <w:kinsoku/>
              <w:wordWrap/>
              <w:overflowPunct/>
              <w:topLinePunct w:val="0"/>
              <w:bidi w:val="0"/>
              <w:snapToGrid/>
              <w:spacing w:line="240" w:lineRule="auto"/>
              <w:jc w:val="center"/>
              <w:rPr>
                <w:rFonts w:hint="eastAsia" w:ascii="宋体" w:hAnsi="宋体" w:cs="宋体"/>
                <w:b/>
                <w:color w:val="0000FF"/>
                <w:szCs w:val="21"/>
                <w:highlight w:val="none"/>
              </w:rPr>
            </w:pPr>
            <w:r>
              <w:rPr>
                <w:rFonts w:hint="eastAsia" w:ascii="宋体" w:hAnsi="宋体" w:cs="宋体"/>
                <w:b/>
                <w:color w:val="0000FF"/>
                <w:szCs w:val="21"/>
                <w:highlight w:val="none"/>
              </w:rPr>
              <w:t>2</w:t>
            </w:r>
          </w:p>
        </w:tc>
        <w:tc>
          <w:tcPr>
            <w:tcW w:w="1405" w:type="dxa"/>
            <w:vMerge w:val="restart"/>
            <w:vAlign w:val="center"/>
          </w:tcPr>
          <w:p w14:paraId="4091D05E">
            <w:pPr>
              <w:pageBreakBefore w:val="0"/>
              <w:kinsoku/>
              <w:wordWrap/>
              <w:overflowPunct/>
              <w:topLinePunct w:val="0"/>
              <w:bidi w:val="0"/>
              <w:snapToGrid/>
              <w:spacing w:line="240" w:lineRule="auto"/>
              <w:jc w:val="center"/>
              <w:rPr>
                <w:rFonts w:hint="eastAsia" w:ascii="宋体" w:hAnsi="宋体" w:cs="宋体"/>
                <w:b/>
                <w:color w:val="0000FF"/>
                <w:szCs w:val="21"/>
                <w:highlight w:val="none"/>
              </w:rPr>
            </w:pPr>
            <w:r>
              <w:rPr>
                <w:rFonts w:hint="eastAsia" w:ascii="宋体" w:hAnsi="宋体" w:cs="宋体"/>
                <w:bCs/>
                <w:color w:val="0000FF"/>
                <w:szCs w:val="21"/>
                <w:highlight w:val="none"/>
              </w:rPr>
              <w:t>交货及付款要求</w:t>
            </w:r>
          </w:p>
        </w:tc>
        <w:tc>
          <w:tcPr>
            <w:tcW w:w="6314" w:type="dxa"/>
            <w:vAlign w:val="center"/>
          </w:tcPr>
          <w:p w14:paraId="04FCD186">
            <w:pPr>
              <w:pStyle w:val="18"/>
              <w:pageBreakBefore w:val="0"/>
              <w:kinsoku/>
              <w:wordWrap/>
              <w:overflowPunct/>
              <w:topLinePunct w:val="0"/>
              <w:bidi w:val="0"/>
              <w:snapToGrid/>
              <w:spacing w:line="240" w:lineRule="auto"/>
              <w:rPr>
                <w:rFonts w:hint="eastAsia" w:ascii="宋体" w:hAnsi="宋体" w:eastAsia="宋体" w:cs="宋体"/>
                <w:color w:val="0000FF"/>
                <w:sz w:val="21"/>
                <w:szCs w:val="21"/>
                <w:highlight w:val="none"/>
              </w:rPr>
            </w:pPr>
            <w:r>
              <w:rPr>
                <w:rFonts w:hint="eastAsia" w:ascii="宋体" w:hAnsi="宋体" w:eastAsia="宋体" w:cs="宋体"/>
                <w:bCs/>
                <w:color w:val="0000FF"/>
                <w:sz w:val="21"/>
                <w:szCs w:val="21"/>
                <w:highlight w:val="none"/>
              </w:rPr>
              <w:t>2.1 交货地点：采购人指定具体交货地点。</w:t>
            </w:r>
          </w:p>
        </w:tc>
      </w:tr>
      <w:tr w14:paraId="4974E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8" w:type="dxa"/>
            <w:vMerge w:val="continue"/>
            <w:vAlign w:val="center"/>
          </w:tcPr>
          <w:p w14:paraId="40CF0B4E">
            <w:pPr>
              <w:pageBreakBefore w:val="0"/>
              <w:kinsoku/>
              <w:wordWrap/>
              <w:overflowPunct/>
              <w:topLinePunct w:val="0"/>
              <w:bidi w:val="0"/>
              <w:snapToGrid/>
              <w:spacing w:line="240" w:lineRule="auto"/>
              <w:jc w:val="center"/>
              <w:rPr>
                <w:rFonts w:hint="eastAsia" w:ascii="宋体" w:hAnsi="宋体" w:cs="宋体"/>
                <w:b/>
                <w:color w:val="0000FF"/>
                <w:szCs w:val="21"/>
                <w:highlight w:val="none"/>
              </w:rPr>
            </w:pPr>
          </w:p>
        </w:tc>
        <w:tc>
          <w:tcPr>
            <w:tcW w:w="1405" w:type="dxa"/>
            <w:vMerge w:val="continue"/>
            <w:vAlign w:val="center"/>
          </w:tcPr>
          <w:p w14:paraId="22BEBB4F">
            <w:pPr>
              <w:pageBreakBefore w:val="0"/>
              <w:kinsoku/>
              <w:wordWrap/>
              <w:overflowPunct/>
              <w:topLinePunct w:val="0"/>
              <w:bidi w:val="0"/>
              <w:snapToGrid/>
              <w:spacing w:line="240" w:lineRule="auto"/>
              <w:jc w:val="center"/>
              <w:rPr>
                <w:rFonts w:hint="eastAsia" w:ascii="宋体" w:hAnsi="宋体" w:cs="宋体"/>
                <w:b/>
                <w:color w:val="0000FF"/>
                <w:szCs w:val="21"/>
                <w:highlight w:val="none"/>
              </w:rPr>
            </w:pPr>
          </w:p>
        </w:tc>
        <w:tc>
          <w:tcPr>
            <w:tcW w:w="6314" w:type="dxa"/>
            <w:vAlign w:val="center"/>
          </w:tcPr>
          <w:p w14:paraId="5747FA32">
            <w:pPr>
              <w:pStyle w:val="18"/>
              <w:pageBreakBefore w:val="0"/>
              <w:kinsoku/>
              <w:wordWrap/>
              <w:overflowPunct/>
              <w:topLinePunct w:val="0"/>
              <w:bidi w:val="0"/>
              <w:snapToGrid/>
              <w:spacing w:line="240" w:lineRule="auto"/>
              <w:rPr>
                <w:rFonts w:hint="eastAsia" w:ascii="宋体" w:hAnsi="宋体" w:eastAsia="宋体" w:cs="宋体"/>
                <w:color w:val="0000FF"/>
                <w:sz w:val="21"/>
                <w:szCs w:val="21"/>
                <w:highlight w:val="none"/>
              </w:rPr>
            </w:pPr>
            <w:r>
              <w:rPr>
                <w:rFonts w:hint="eastAsia" w:ascii="宋体" w:hAnsi="宋体" w:eastAsia="宋体" w:cs="宋体"/>
                <w:bCs/>
                <w:color w:val="0000FF"/>
                <w:sz w:val="21"/>
                <w:szCs w:val="21"/>
                <w:highlight w:val="none"/>
              </w:rPr>
              <w:t>2.2 交货时间：签订合同后90个日历日内交货（或以二期建设进度为准）。</w:t>
            </w:r>
          </w:p>
        </w:tc>
      </w:tr>
      <w:tr w14:paraId="333CE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8" w:type="dxa"/>
            <w:vMerge w:val="continue"/>
            <w:vAlign w:val="center"/>
          </w:tcPr>
          <w:p w14:paraId="7C6FC626">
            <w:pPr>
              <w:pageBreakBefore w:val="0"/>
              <w:kinsoku/>
              <w:wordWrap/>
              <w:overflowPunct/>
              <w:topLinePunct w:val="0"/>
              <w:bidi w:val="0"/>
              <w:snapToGrid/>
              <w:spacing w:line="240" w:lineRule="auto"/>
              <w:jc w:val="center"/>
              <w:rPr>
                <w:rFonts w:hint="eastAsia" w:ascii="宋体" w:hAnsi="宋体" w:cs="宋体"/>
                <w:b/>
                <w:color w:val="0000FF"/>
                <w:szCs w:val="21"/>
                <w:highlight w:val="none"/>
              </w:rPr>
            </w:pPr>
          </w:p>
        </w:tc>
        <w:tc>
          <w:tcPr>
            <w:tcW w:w="1405" w:type="dxa"/>
            <w:vMerge w:val="continue"/>
            <w:vAlign w:val="center"/>
          </w:tcPr>
          <w:p w14:paraId="6EB8CAFC">
            <w:pPr>
              <w:pageBreakBefore w:val="0"/>
              <w:kinsoku/>
              <w:wordWrap/>
              <w:overflowPunct/>
              <w:topLinePunct w:val="0"/>
              <w:bidi w:val="0"/>
              <w:snapToGrid/>
              <w:spacing w:line="240" w:lineRule="auto"/>
              <w:jc w:val="center"/>
              <w:rPr>
                <w:rFonts w:hint="eastAsia" w:ascii="宋体" w:hAnsi="宋体" w:cs="宋体"/>
                <w:b/>
                <w:color w:val="0000FF"/>
                <w:szCs w:val="21"/>
                <w:highlight w:val="none"/>
              </w:rPr>
            </w:pPr>
          </w:p>
        </w:tc>
        <w:tc>
          <w:tcPr>
            <w:tcW w:w="6314" w:type="dxa"/>
            <w:vAlign w:val="center"/>
          </w:tcPr>
          <w:p w14:paraId="50C4D261">
            <w:pPr>
              <w:pStyle w:val="18"/>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2.3 （1）合同签订后，采购人根据本项目当年财政资金剩余情况支付40%货款，如剩余财政资金不足以支付40%设备款，则不足部分将于项目新的财政资金下达后支付；</w:t>
            </w:r>
          </w:p>
          <w:p w14:paraId="0951710D">
            <w:pPr>
              <w:pStyle w:val="18"/>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（2）全部设备货到指定地点，验收合格并提供全额发票后，采购人根据本项目当年财政资金支付剩余设备款，如剩余财政资金不足以支付该部分款项，则不足部分将于项目新的财政资金下达后支付；</w:t>
            </w:r>
          </w:p>
          <w:p w14:paraId="2874FF12">
            <w:pPr>
              <w:pStyle w:val="18"/>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（3）如果采购人对中标人提供的产品有质量异议的，可以视具体情况暂时中止支付争议款项或其他相关款项，直到争议解除，采购人不因此承担延期付款的违约责任。</w:t>
            </w:r>
          </w:p>
          <w:p w14:paraId="1A9585C6">
            <w:pPr>
              <w:pStyle w:val="18"/>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4）中标人开具合法有效的发票，采购人不接受除中标人以外的第三方出具的发票。采购人收到中标人合法的增值税发票或增值税专用发票后，根据双方约定付款时间支付货款。由于中标人逾期未提供合法有效的增值税发票的，采购人有权顺延支付中标人应付货款，直至票据齐全，且不得视为采购人违约。</w:t>
            </w:r>
          </w:p>
          <w:p w14:paraId="7DDCF64B">
            <w:pPr>
              <w:pStyle w:val="18"/>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（5）中标人提供的产品不合格，或产品存在瑕疵、缺陷，采购人有权暂停支付中标人项下相应到期应付货款，且不视为采购人违约，直到双方正式处理完不合格产品为止。</w:t>
            </w:r>
          </w:p>
          <w:p w14:paraId="51003E20">
            <w:pPr>
              <w:pStyle w:val="18"/>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6）中标人应向采购人提供真实有效的银行账户，银行账户如有变更，应立即书面通知采购人，如中标人银行账户变更未书面通知采购人，采购人以中标人确认收款账户进行付款，造成中标人实际未收到货款的，该责任由中标人自己承担。未经采购人书面认可，中标人不得将应收款项转让给任何第三方或让任何第三方代收，否则采购人有权拒绝付款，且不得视为采购人违约。</w:t>
            </w:r>
          </w:p>
          <w:p w14:paraId="3FF831D0">
            <w:pPr>
              <w:pStyle w:val="18"/>
              <w:pageBreakBefore w:val="0"/>
              <w:kinsoku/>
              <w:wordWrap/>
              <w:overflowPunct/>
              <w:topLinePunct w:val="0"/>
              <w:bidi w:val="0"/>
              <w:snapToGrid/>
              <w:spacing w:line="240" w:lineRule="auto"/>
              <w:rPr>
                <w:rFonts w:hint="eastAsia" w:ascii="宋体" w:hAnsi="宋体" w:eastAsia="宋体" w:cs="宋体"/>
                <w:color w:val="0000FF"/>
                <w:sz w:val="21"/>
                <w:szCs w:val="21"/>
                <w:highlight w:val="none"/>
              </w:rPr>
            </w:pPr>
            <w:r>
              <w:rPr>
                <w:rFonts w:hint="eastAsia" w:ascii="宋体" w:hAnsi="宋体" w:eastAsia="宋体" w:cs="宋体"/>
                <w:bCs/>
                <w:color w:val="0000FF"/>
                <w:sz w:val="21"/>
                <w:szCs w:val="21"/>
                <w:highlight w:val="none"/>
              </w:rPr>
              <w:t>（7）若本产品采购项目付款涉及财政审批迟延的特殊情况，采购人未能保证按约付款的，采购人应向中标人进行说明并明确新的付款期限，中标人对此表示理解，采购人不因此承担延期付款的违约责任。</w:t>
            </w:r>
          </w:p>
        </w:tc>
      </w:tr>
      <w:tr w14:paraId="64337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8" w:type="dxa"/>
            <w:vAlign w:val="center"/>
          </w:tcPr>
          <w:p w14:paraId="0CC7DB21">
            <w:pPr>
              <w:pageBreakBefore w:val="0"/>
              <w:kinsoku/>
              <w:wordWrap/>
              <w:overflowPunct/>
              <w:topLinePunct w:val="0"/>
              <w:bidi w:val="0"/>
              <w:snapToGrid/>
              <w:spacing w:line="240" w:lineRule="auto"/>
              <w:jc w:val="center"/>
              <w:rPr>
                <w:rFonts w:hint="eastAsia" w:ascii="宋体" w:hAnsi="宋体" w:cs="宋体"/>
                <w:b/>
                <w:color w:val="0000FF"/>
                <w:szCs w:val="21"/>
                <w:highlight w:val="none"/>
              </w:rPr>
            </w:pPr>
            <w:r>
              <w:rPr>
                <w:rFonts w:hint="eastAsia" w:ascii="宋体" w:hAnsi="宋体" w:cs="宋体"/>
                <w:b/>
                <w:color w:val="0000FF"/>
                <w:szCs w:val="21"/>
                <w:highlight w:val="none"/>
              </w:rPr>
              <w:t>3</w:t>
            </w:r>
          </w:p>
        </w:tc>
        <w:tc>
          <w:tcPr>
            <w:tcW w:w="1405" w:type="dxa"/>
            <w:vAlign w:val="center"/>
          </w:tcPr>
          <w:p w14:paraId="7246825D">
            <w:pPr>
              <w:pageBreakBefore w:val="0"/>
              <w:kinsoku/>
              <w:wordWrap/>
              <w:overflowPunct/>
              <w:topLinePunct w:val="0"/>
              <w:bidi w:val="0"/>
              <w:snapToGrid/>
              <w:spacing w:line="240" w:lineRule="auto"/>
              <w:jc w:val="center"/>
              <w:rPr>
                <w:rStyle w:val="45"/>
                <w:rFonts w:hint="eastAsia" w:ascii="宋体" w:hAnsi="宋体" w:cs="宋体"/>
                <w:b w:val="0"/>
                <w:bCs/>
                <w:color w:val="0000FF"/>
                <w:szCs w:val="21"/>
                <w:highlight w:val="none"/>
              </w:rPr>
            </w:pPr>
            <w:r>
              <w:rPr>
                <w:rFonts w:hint="eastAsia" w:ascii="宋体" w:hAnsi="宋体" w:cs="宋体"/>
                <w:bCs/>
                <w:color w:val="0000FF"/>
                <w:szCs w:val="21"/>
                <w:highlight w:val="none"/>
              </w:rPr>
              <w:t>验收条件</w:t>
            </w:r>
          </w:p>
        </w:tc>
        <w:tc>
          <w:tcPr>
            <w:tcW w:w="6314" w:type="dxa"/>
            <w:vAlign w:val="center"/>
          </w:tcPr>
          <w:p w14:paraId="02ECD1B6">
            <w:pPr>
              <w:pStyle w:val="18"/>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3.1 （1）货到安装，现场验收。中标人应派有经验的技术人员到现场进行安装、调试，直到设备正常使用。</w:t>
            </w:r>
          </w:p>
          <w:p w14:paraId="3CD69649">
            <w:pPr>
              <w:pStyle w:val="18"/>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（2）设备安装调试正常使用后，且提供所有第三方配件及设备相关软件、序列及后处理软件后60个工作日内进行验收，由使用科室、设备科、中标人等代表在场进行验收。</w:t>
            </w:r>
          </w:p>
          <w:p w14:paraId="12252AD9">
            <w:pPr>
              <w:pStyle w:val="18"/>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（3）产品质量和安装调试检验标准遵照国家相关规定和最新标准执行。验收中如发现有质量不合格或型号规格、数量等与送货清单不符等情况，中标人应免费更换或补齐，并承担因此发生的违约责任。 中标人货物经过双方检验认可后，签署验收报告。</w:t>
            </w:r>
          </w:p>
          <w:p w14:paraId="7E0298B2">
            <w:pPr>
              <w:pStyle w:val="18"/>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（4）当满足以下条件时，采购人才向中标人签发货物验收报告：</w:t>
            </w:r>
          </w:p>
          <w:p w14:paraId="449A51FA">
            <w:pPr>
              <w:pStyle w:val="18"/>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a、中标人已按照合同规定提供了全部产品及完整的技术资料。</w:t>
            </w:r>
          </w:p>
          <w:p w14:paraId="0DD471F5">
            <w:pPr>
              <w:pStyle w:val="18"/>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b、货物符合招标文件技术规格书的要求，性能满足要求。</w:t>
            </w:r>
          </w:p>
          <w:p w14:paraId="47F09E20">
            <w:pPr>
              <w:pStyle w:val="18"/>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c、货物具备产品合格证。</w:t>
            </w:r>
          </w:p>
          <w:p w14:paraId="0D99A3AB">
            <w:pPr>
              <w:pStyle w:val="18"/>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d、提供维修手册、中文操作手册。</w:t>
            </w:r>
          </w:p>
          <w:p w14:paraId="104CFED8">
            <w:pPr>
              <w:pStyle w:val="18"/>
              <w:pageBreakBefore w:val="0"/>
              <w:kinsoku/>
              <w:wordWrap/>
              <w:overflowPunct/>
              <w:topLinePunct w:val="0"/>
              <w:bidi w:val="0"/>
              <w:snapToGrid/>
              <w:spacing w:line="240" w:lineRule="auto"/>
              <w:rPr>
                <w:rFonts w:hint="eastAsia" w:ascii="宋体" w:hAnsi="宋体" w:eastAsia="宋体" w:cs="宋体"/>
                <w:color w:val="0000FF"/>
                <w:sz w:val="21"/>
                <w:szCs w:val="21"/>
                <w:highlight w:val="none"/>
              </w:rPr>
            </w:pPr>
            <w:r>
              <w:rPr>
                <w:rFonts w:hint="eastAsia" w:ascii="宋体" w:hAnsi="宋体" w:eastAsia="宋体" w:cs="宋体"/>
                <w:bCs/>
                <w:color w:val="0000FF"/>
                <w:sz w:val="21"/>
                <w:szCs w:val="21"/>
                <w:highlight w:val="none"/>
              </w:rPr>
              <w:t>（5）若采购人对中标产品质量有争议，将由中标人委托第三方质量检测部门按照招标文书进行验收确认,并由中标人负责该检测具体事宜。出具检测验收报告合格，采购人将履行采购合同；若检测验收报告不合格，采购人将取消采购合同，由中标单位承担所有后果。</w:t>
            </w:r>
          </w:p>
        </w:tc>
      </w:tr>
      <w:tr w14:paraId="4B62A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8" w:type="dxa"/>
            <w:vMerge w:val="restart"/>
            <w:vAlign w:val="center"/>
          </w:tcPr>
          <w:p w14:paraId="36E83057">
            <w:pPr>
              <w:pageBreakBefore w:val="0"/>
              <w:kinsoku/>
              <w:wordWrap/>
              <w:overflowPunct/>
              <w:topLinePunct w:val="0"/>
              <w:bidi w:val="0"/>
              <w:snapToGrid/>
              <w:spacing w:line="240" w:lineRule="auto"/>
              <w:jc w:val="center"/>
              <w:rPr>
                <w:rFonts w:hint="eastAsia" w:ascii="宋体" w:hAnsi="宋体" w:cs="宋体"/>
                <w:b/>
                <w:color w:val="0000FF"/>
                <w:szCs w:val="21"/>
                <w:highlight w:val="none"/>
              </w:rPr>
            </w:pPr>
            <w:r>
              <w:rPr>
                <w:rFonts w:hint="eastAsia" w:ascii="宋体" w:hAnsi="宋体" w:cs="宋体"/>
                <w:b/>
                <w:color w:val="0000FF"/>
                <w:szCs w:val="21"/>
                <w:highlight w:val="none"/>
              </w:rPr>
              <w:t>4</w:t>
            </w:r>
          </w:p>
        </w:tc>
        <w:tc>
          <w:tcPr>
            <w:tcW w:w="1405" w:type="dxa"/>
            <w:vMerge w:val="restart"/>
            <w:vAlign w:val="center"/>
          </w:tcPr>
          <w:p w14:paraId="66D9E90C">
            <w:pPr>
              <w:pageBreakBefore w:val="0"/>
              <w:kinsoku/>
              <w:wordWrap/>
              <w:overflowPunct/>
              <w:topLinePunct w:val="0"/>
              <w:bidi w:val="0"/>
              <w:snapToGrid/>
              <w:spacing w:line="240" w:lineRule="auto"/>
              <w:jc w:val="center"/>
              <w:rPr>
                <w:rStyle w:val="45"/>
                <w:rFonts w:hint="eastAsia" w:ascii="宋体" w:hAnsi="宋体" w:cs="宋体"/>
                <w:b w:val="0"/>
                <w:bCs/>
                <w:color w:val="0000FF"/>
                <w:szCs w:val="21"/>
                <w:highlight w:val="none"/>
              </w:rPr>
            </w:pPr>
            <w:r>
              <w:rPr>
                <w:rFonts w:hint="eastAsia" w:ascii="宋体" w:hAnsi="宋体" w:cs="宋体"/>
                <w:bCs/>
                <w:color w:val="0000FF"/>
                <w:szCs w:val="21"/>
                <w:highlight w:val="none"/>
              </w:rPr>
              <w:t>争议解决方法</w:t>
            </w:r>
          </w:p>
        </w:tc>
        <w:tc>
          <w:tcPr>
            <w:tcW w:w="6314" w:type="dxa"/>
            <w:vAlign w:val="center"/>
          </w:tcPr>
          <w:p w14:paraId="0E3F37A8">
            <w:pPr>
              <w:pStyle w:val="18"/>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4.1 协商与调解：双方首先应尝试通过友好协商解决问题。如果协商无果，协商不成的，由采购人所在地人民法院管辖。</w:t>
            </w:r>
          </w:p>
        </w:tc>
      </w:tr>
      <w:tr w14:paraId="611AE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8" w:type="dxa"/>
            <w:vMerge w:val="continue"/>
            <w:vAlign w:val="center"/>
          </w:tcPr>
          <w:p w14:paraId="47081451">
            <w:pPr>
              <w:pageBreakBefore w:val="0"/>
              <w:kinsoku/>
              <w:wordWrap/>
              <w:overflowPunct/>
              <w:topLinePunct w:val="0"/>
              <w:bidi w:val="0"/>
              <w:snapToGrid/>
              <w:spacing w:line="240" w:lineRule="auto"/>
              <w:jc w:val="center"/>
              <w:rPr>
                <w:rFonts w:hint="eastAsia" w:ascii="宋体" w:hAnsi="宋体" w:cs="宋体"/>
                <w:b/>
                <w:color w:val="0000FF"/>
                <w:szCs w:val="21"/>
                <w:highlight w:val="none"/>
              </w:rPr>
            </w:pPr>
          </w:p>
        </w:tc>
        <w:tc>
          <w:tcPr>
            <w:tcW w:w="1405" w:type="dxa"/>
            <w:vMerge w:val="continue"/>
            <w:vAlign w:val="center"/>
          </w:tcPr>
          <w:p w14:paraId="70F08BD6">
            <w:pPr>
              <w:pageBreakBefore w:val="0"/>
              <w:kinsoku/>
              <w:wordWrap/>
              <w:overflowPunct/>
              <w:topLinePunct w:val="0"/>
              <w:bidi w:val="0"/>
              <w:snapToGrid/>
              <w:spacing w:line="240" w:lineRule="auto"/>
              <w:jc w:val="center"/>
              <w:rPr>
                <w:rFonts w:hint="eastAsia" w:ascii="宋体" w:hAnsi="宋体" w:cs="宋体"/>
                <w:b/>
                <w:color w:val="0000FF"/>
                <w:szCs w:val="21"/>
                <w:highlight w:val="none"/>
              </w:rPr>
            </w:pPr>
          </w:p>
        </w:tc>
        <w:tc>
          <w:tcPr>
            <w:tcW w:w="6314" w:type="dxa"/>
            <w:vAlign w:val="center"/>
          </w:tcPr>
          <w:p w14:paraId="0AA9B4D2">
            <w:pPr>
              <w:pStyle w:val="18"/>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4.2 任何一方违约导致诉讼的，违约方需承担包括但不限于担保费、律师费、交通费、诉讼费、保全费等维权费用。</w:t>
            </w:r>
          </w:p>
        </w:tc>
      </w:tr>
      <w:tr w14:paraId="46430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8" w:type="dxa"/>
            <w:vAlign w:val="center"/>
          </w:tcPr>
          <w:p w14:paraId="73B67E55">
            <w:pPr>
              <w:pageBreakBefore w:val="0"/>
              <w:kinsoku/>
              <w:wordWrap/>
              <w:overflowPunct/>
              <w:topLinePunct w:val="0"/>
              <w:bidi w:val="0"/>
              <w:snapToGrid/>
              <w:spacing w:line="240" w:lineRule="auto"/>
              <w:jc w:val="center"/>
              <w:rPr>
                <w:rFonts w:hint="eastAsia" w:ascii="宋体" w:hAnsi="宋体" w:cs="宋体"/>
                <w:b/>
                <w:color w:val="0000FF"/>
                <w:szCs w:val="21"/>
                <w:highlight w:val="none"/>
              </w:rPr>
            </w:pPr>
            <w:r>
              <w:rPr>
                <w:rFonts w:hint="eastAsia" w:ascii="宋体" w:hAnsi="宋体" w:cs="宋体"/>
                <w:b/>
                <w:color w:val="0000FF"/>
                <w:szCs w:val="21"/>
                <w:highlight w:val="none"/>
              </w:rPr>
              <w:t>5</w:t>
            </w:r>
          </w:p>
        </w:tc>
        <w:tc>
          <w:tcPr>
            <w:tcW w:w="1405" w:type="dxa"/>
            <w:vAlign w:val="center"/>
          </w:tcPr>
          <w:p w14:paraId="5DDB3BF2">
            <w:pPr>
              <w:pageBreakBefore w:val="0"/>
              <w:kinsoku/>
              <w:wordWrap/>
              <w:overflowPunct/>
              <w:topLinePunct w:val="0"/>
              <w:bidi w:val="0"/>
              <w:snapToGrid/>
              <w:spacing w:line="240" w:lineRule="auto"/>
              <w:jc w:val="center"/>
              <w:rPr>
                <w:rFonts w:hint="eastAsia" w:ascii="宋体" w:hAnsi="宋体" w:cs="宋体"/>
                <w:color w:val="0000FF"/>
                <w:szCs w:val="21"/>
                <w:highlight w:val="none"/>
              </w:rPr>
            </w:pPr>
            <w:r>
              <w:rPr>
                <w:rStyle w:val="45"/>
                <w:rFonts w:hint="eastAsia" w:ascii="宋体" w:hAnsi="宋体" w:cs="宋体"/>
                <w:b w:val="0"/>
                <w:color w:val="0000FF"/>
                <w:szCs w:val="21"/>
                <w:highlight w:val="none"/>
              </w:rPr>
              <w:t>运输、安装条件</w:t>
            </w:r>
          </w:p>
        </w:tc>
        <w:tc>
          <w:tcPr>
            <w:tcW w:w="6314" w:type="dxa"/>
            <w:vAlign w:val="center"/>
          </w:tcPr>
          <w:p w14:paraId="03F035C6">
            <w:pPr>
              <w:pageBreakBefore w:val="0"/>
              <w:kinsoku/>
              <w:wordWrap/>
              <w:overflowPunct/>
              <w:topLinePunct w:val="0"/>
              <w:bidi w:val="0"/>
              <w:snapToGrid/>
              <w:spacing w:line="240" w:lineRule="auto"/>
              <w:rPr>
                <w:rFonts w:hint="eastAsia" w:ascii="宋体" w:hAnsi="宋体" w:cs="宋体"/>
                <w:bCs/>
                <w:color w:val="0000FF"/>
                <w:szCs w:val="21"/>
                <w:highlight w:val="none"/>
              </w:rPr>
            </w:pPr>
            <w:r>
              <w:rPr>
                <w:rFonts w:hint="eastAsia" w:ascii="宋体" w:hAnsi="宋体" w:cs="宋体"/>
                <w:bCs/>
                <w:color w:val="0000FF"/>
                <w:szCs w:val="21"/>
                <w:highlight w:val="none"/>
              </w:rPr>
              <w:t>5.1 中标人提供的货物必须为全新（要求生产日期为一年以内）经检验合格的产品，包装方式按照原厂出厂原标准，中标人应确保运抵采购人处货物的完好性，包装费用由中标人承担。中标人承担由于其包装或其防护措施不妥而引起货物锈蚀、损坏和丢失等任何损失，并承担因此而发生的违约责任。</w:t>
            </w:r>
          </w:p>
          <w:p w14:paraId="2AF1A829">
            <w:pPr>
              <w:pageBreakBefore w:val="0"/>
              <w:kinsoku/>
              <w:wordWrap/>
              <w:overflowPunct/>
              <w:topLinePunct w:val="0"/>
              <w:bidi w:val="0"/>
              <w:snapToGrid/>
              <w:spacing w:line="240" w:lineRule="auto"/>
              <w:rPr>
                <w:rFonts w:hint="eastAsia" w:ascii="宋体" w:hAnsi="宋体" w:cs="宋体"/>
                <w:bCs/>
                <w:color w:val="0000FF"/>
                <w:szCs w:val="21"/>
                <w:highlight w:val="none"/>
              </w:rPr>
            </w:pPr>
            <w:r>
              <w:rPr>
                <w:rFonts w:hint="eastAsia" w:ascii="宋体" w:hAnsi="宋体" w:cs="宋体"/>
                <w:bCs/>
                <w:color w:val="0000FF"/>
                <w:szCs w:val="21"/>
                <w:highlight w:val="none"/>
              </w:rPr>
              <w:t>5.2投标人负责将货物安全无损运抵采购人指定地点,并承担设备可能产生的包装、运输、保险、装卸、安装调试、培训、商检、进口关税及计量检测、增值税等所有费用。</w:t>
            </w:r>
          </w:p>
          <w:p w14:paraId="6A688739">
            <w:pPr>
              <w:pageBreakBefore w:val="0"/>
              <w:kinsoku/>
              <w:wordWrap/>
              <w:overflowPunct/>
              <w:topLinePunct w:val="0"/>
              <w:bidi w:val="0"/>
              <w:snapToGrid/>
              <w:spacing w:line="240" w:lineRule="auto"/>
              <w:rPr>
                <w:rFonts w:hint="eastAsia" w:ascii="宋体" w:hAnsi="宋体" w:cs="宋体"/>
                <w:bCs/>
                <w:color w:val="0000FF"/>
                <w:szCs w:val="21"/>
                <w:highlight w:val="none"/>
              </w:rPr>
            </w:pPr>
            <w:r>
              <w:rPr>
                <w:rFonts w:hint="eastAsia" w:ascii="宋体" w:hAnsi="宋体" w:cs="宋体"/>
                <w:bCs/>
                <w:color w:val="0000FF"/>
                <w:szCs w:val="21"/>
                <w:highlight w:val="none"/>
              </w:rPr>
              <w:t>5.3如若需要场地迁移，投标人需免费迁移（含拆装）1 次并确保机器的正常使用。</w:t>
            </w:r>
          </w:p>
        </w:tc>
      </w:tr>
      <w:tr w14:paraId="0F155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8" w:type="dxa"/>
            <w:vMerge w:val="restart"/>
            <w:vAlign w:val="center"/>
          </w:tcPr>
          <w:p w14:paraId="2E05DA72">
            <w:pPr>
              <w:pageBreakBefore w:val="0"/>
              <w:kinsoku/>
              <w:wordWrap/>
              <w:overflowPunct/>
              <w:topLinePunct w:val="0"/>
              <w:bidi w:val="0"/>
              <w:snapToGrid/>
              <w:spacing w:line="240" w:lineRule="auto"/>
              <w:jc w:val="center"/>
              <w:rPr>
                <w:rFonts w:hint="eastAsia" w:ascii="宋体" w:hAnsi="宋体" w:cs="宋体"/>
                <w:b/>
                <w:color w:val="0000FF"/>
                <w:szCs w:val="21"/>
                <w:highlight w:val="none"/>
              </w:rPr>
            </w:pPr>
            <w:r>
              <w:rPr>
                <w:rFonts w:hint="eastAsia" w:ascii="宋体" w:hAnsi="宋体" w:cs="宋体"/>
                <w:b/>
                <w:color w:val="0000FF"/>
                <w:szCs w:val="21"/>
                <w:highlight w:val="none"/>
              </w:rPr>
              <w:t>6</w:t>
            </w:r>
          </w:p>
        </w:tc>
        <w:tc>
          <w:tcPr>
            <w:tcW w:w="1405" w:type="dxa"/>
            <w:vMerge w:val="restart"/>
            <w:vAlign w:val="center"/>
          </w:tcPr>
          <w:p w14:paraId="02D5B53D">
            <w:pPr>
              <w:pageBreakBefore w:val="0"/>
              <w:kinsoku/>
              <w:wordWrap/>
              <w:overflowPunct/>
              <w:topLinePunct w:val="0"/>
              <w:bidi w:val="0"/>
              <w:snapToGrid/>
              <w:spacing w:line="240" w:lineRule="auto"/>
              <w:jc w:val="center"/>
              <w:rPr>
                <w:rFonts w:hint="eastAsia" w:ascii="宋体" w:hAnsi="宋体" w:cs="宋体"/>
                <w:color w:val="0000FF"/>
                <w:szCs w:val="21"/>
                <w:highlight w:val="none"/>
              </w:rPr>
            </w:pPr>
            <w:r>
              <w:rPr>
                <w:rFonts w:hint="eastAsia" w:ascii="宋体" w:hAnsi="宋体" w:cs="宋体"/>
                <w:color w:val="0000FF"/>
                <w:szCs w:val="21"/>
                <w:highlight w:val="none"/>
              </w:rPr>
              <w:t>培训</w:t>
            </w:r>
          </w:p>
        </w:tc>
        <w:tc>
          <w:tcPr>
            <w:tcW w:w="6314" w:type="dxa"/>
          </w:tcPr>
          <w:p w14:paraId="6CD1185A">
            <w:pPr>
              <w:pageBreakBefore w:val="0"/>
              <w:kinsoku/>
              <w:wordWrap/>
              <w:overflowPunct/>
              <w:topLinePunct w:val="0"/>
              <w:bidi w:val="0"/>
              <w:snapToGrid/>
              <w:spacing w:line="240" w:lineRule="auto"/>
              <w:rPr>
                <w:rFonts w:hint="eastAsia" w:ascii="宋体" w:hAnsi="宋体" w:cs="宋体"/>
                <w:bCs/>
                <w:color w:val="0000FF"/>
                <w:szCs w:val="21"/>
                <w:highlight w:val="none"/>
              </w:rPr>
            </w:pPr>
            <w:r>
              <w:rPr>
                <w:rFonts w:hint="eastAsia" w:ascii="宋体" w:hAnsi="宋体" w:cs="宋体"/>
                <w:bCs/>
                <w:color w:val="0000FF"/>
                <w:szCs w:val="21"/>
                <w:highlight w:val="none"/>
              </w:rPr>
              <w:t>6.1 投标供应商应派专业技术人员免费对采购单位指定人员进行定期培训及指导，直至其完全掌握设备的基本故障处理技术。</w:t>
            </w:r>
          </w:p>
        </w:tc>
      </w:tr>
      <w:tr w14:paraId="68CE8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8" w:type="dxa"/>
            <w:vMerge w:val="continue"/>
            <w:vAlign w:val="center"/>
          </w:tcPr>
          <w:p w14:paraId="3771582B">
            <w:pPr>
              <w:pageBreakBefore w:val="0"/>
              <w:kinsoku/>
              <w:wordWrap/>
              <w:overflowPunct/>
              <w:topLinePunct w:val="0"/>
              <w:bidi w:val="0"/>
              <w:snapToGrid/>
              <w:spacing w:line="240" w:lineRule="auto"/>
              <w:jc w:val="center"/>
              <w:rPr>
                <w:rFonts w:hint="eastAsia" w:ascii="宋体" w:hAnsi="宋体" w:cs="宋体"/>
                <w:b/>
                <w:color w:val="0000FF"/>
                <w:szCs w:val="21"/>
                <w:highlight w:val="none"/>
              </w:rPr>
            </w:pPr>
          </w:p>
        </w:tc>
        <w:tc>
          <w:tcPr>
            <w:tcW w:w="1405" w:type="dxa"/>
            <w:vMerge w:val="continue"/>
            <w:vAlign w:val="center"/>
          </w:tcPr>
          <w:p w14:paraId="2256AB38">
            <w:pPr>
              <w:pageBreakBefore w:val="0"/>
              <w:kinsoku/>
              <w:wordWrap/>
              <w:overflowPunct/>
              <w:topLinePunct w:val="0"/>
              <w:bidi w:val="0"/>
              <w:snapToGrid/>
              <w:spacing w:line="240" w:lineRule="auto"/>
              <w:rPr>
                <w:rFonts w:hint="eastAsia" w:ascii="宋体" w:hAnsi="宋体" w:cs="宋体"/>
                <w:color w:val="0000FF"/>
                <w:szCs w:val="21"/>
                <w:highlight w:val="none"/>
              </w:rPr>
            </w:pPr>
          </w:p>
        </w:tc>
        <w:tc>
          <w:tcPr>
            <w:tcW w:w="6314" w:type="dxa"/>
          </w:tcPr>
          <w:p w14:paraId="20B1D817">
            <w:pPr>
              <w:pageBreakBefore w:val="0"/>
              <w:kinsoku/>
              <w:wordWrap/>
              <w:overflowPunct/>
              <w:topLinePunct w:val="0"/>
              <w:bidi w:val="0"/>
              <w:snapToGrid/>
              <w:spacing w:line="240" w:lineRule="auto"/>
              <w:rPr>
                <w:rFonts w:hint="eastAsia" w:ascii="宋体" w:hAnsi="宋体" w:cs="宋体"/>
                <w:bCs/>
                <w:color w:val="0000FF"/>
                <w:szCs w:val="21"/>
                <w:highlight w:val="none"/>
              </w:rPr>
            </w:pPr>
            <w:r>
              <w:rPr>
                <w:rFonts w:hint="eastAsia" w:ascii="宋体" w:hAnsi="宋体" w:cs="宋体"/>
                <w:bCs/>
                <w:color w:val="0000FF"/>
                <w:szCs w:val="21"/>
                <w:highlight w:val="none"/>
              </w:rPr>
              <w:t>6.2 现场培训：投标供应商应提供现场技术培训，保证使用人员正常操作设备的各种功能。</w:t>
            </w:r>
          </w:p>
        </w:tc>
      </w:tr>
      <w:tr w14:paraId="78521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8" w:type="dxa"/>
            <w:vMerge w:val="restart"/>
            <w:vAlign w:val="center"/>
          </w:tcPr>
          <w:p w14:paraId="57EA0356">
            <w:pPr>
              <w:pageBreakBefore w:val="0"/>
              <w:kinsoku/>
              <w:wordWrap/>
              <w:overflowPunct/>
              <w:topLinePunct w:val="0"/>
              <w:bidi w:val="0"/>
              <w:snapToGrid/>
              <w:spacing w:line="240" w:lineRule="auto"/>
              <w:jc w:val="center"/>
              <w:rPr>
                <w:rFonts w:hint="eastAsia" w:ascii="宋体" w:hAnsi="宋体" w:cs="宋体"/>
                <w:b/>
                <w:color w:val="0000FF"/>
                <w:szCs w:val="21"/>
                <w:highlight w:val="none"/>
              </w:rPr>
            </w:pPr>
            <w:r>
              <w:rPr>
                <w:rFonts w:hint="eastAsia" w:ascii="宋体" w:hAnsi="宋体" w:cs="宋体"/>
                <w:b/>
                <w:color w:val="0000FF"/>
                <w:szCs w:val="21"/>
                <w:highlight w:val="none"/>
              </w:rPr>
              <w:t>7</w:t>
            </w:r>
          </w:p>
        </w:tc>
        <w:tc>
          <w:tcPr>
            <w:tcW w:w="1405" w:type="dxa"/>
            <w:vMerge w:val="restart"/>
            <w:vAlign w:val="center"/>
          </w:tcPr>
          <w:p w14:paraId="1B9C4A57">
            <w:pPr>
              <w:pageBreakBefore w:val="0"/>
              <w:kinsoku/>
              <w:wordWrap/>
              <w:overflowPunct/>
              <w:topLinePunct w:val="0"/>
              <w:bidi w:val="0"/>
              <w:snapToGrid/>
              <w:spacing w:line="240" w:lineRule="auto"/>
              <w:jc w:val="center"/>
              <w:rPr>
                <w:rFonts w:hint="eastAsia" w:ascii="宋体" w:hAnsi="宋体" w:cs="宋体"/>
                <w:color w:val="0000FF"/>
                <w:szCs w:val="21"/>
                <w:highlight w:val="none"/>
              </w:rPr>
            </w:pPr>
            <w:r>
              <w:rPr>
                <w:rFonts w:hint="eastAsia" w:ascii="宋体" w:hAnsi="宋体" w:cs="宋体"/>
                <w:color w:val="0000FF"/>
                <w:szCs w:val="21"/>
                <w:highlight w:val="none"/>
              </w:rPr>
              <w:t>知识产权</w:t>
            </w:r>
          </w:p>
        </w:tc>
        <w:tc>
          <w:tcPr>
            <w:tcW w:w="6314" w:type="dxa"/>
          </w:tcPr>
          <w:p w14:paraId="1053FE57">
            <w:pPr>
              <w:pageBreakBefore w:val="0"/>
              <w:kinsoku/>
              <w:wordWrap/>
              <w:overflowPunct/>
              <w:topLinePunct w:val="0"/>
              <w:bidi w:val="0"/>
              <w:snapToGrid/>
              <w:spacing w:line="240" w:lineRule="auto"/>
              <w:rPr>
                <w:rFonts w:hint="eastAsia" w:ascii="宋体" w:hAnsi="宋体" w:cs="宋体"/>
                <w:bCs/>
                <w:color w:val="0000FF"/>
                <w:szCs w:val="21"/>
                <w:highlight w:val="none"/>
              </w:rPr>
            </w:pPr>
            <w:r>
              <w:rPr>
                <w:rFonts w:hint="eastAsia" w:ascii="宋体" w:hAnsi="宋体" w:cs="宋体"/>
                <w:bCs/>
                <w:color w:val="0000FF"/>
                <w:szCs w:val="21"/>
                <w:highlight w:val="none"/>
              </w:rPr>
              <w:t>7.1 涉及采购标的的知识产权归属、处理的，应约定知识产权的归属和处理方式。</w:t>
            </w:r>
          </w:p>
        </w:tc>
      </w:tr>
      <w:tr w14:paraId="406A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8" w:type="dxa"/>
            <w:vMerge w:val="continue"/>
            <w:vAlign w:val="center"/>
          </w:tcPr>
          <w:p w14:paraId="4C14115C">
            <w:pPr>
              <w:pageBreakBefore w:val="0"/>
              <w:kinsoku/>
              <w:wordWrap/>
              <w:overflowPunct/>
              <w:topLinePunct w:val="0"/>
              <w:bidi w:val="0"/>
              <w:snapToGrid/>
              <w:spacing w:line="240" w:lineRule="auto"/>
              <w:jc w:val="center"/>
              <w:rPr>
                <w:rFonts w:hint="eastAsia" w:ascii="宋体" w:hAnsi="宋体" w:cs="宋体"/>
                <w:b/>
                <w:color w:val="0000FF"/>
                <w:szCs w:val="21"/>
                <w:highlight w:val="none"/>
              </w:rPr>
            </w:pPr>
          </w:p>
        </w:tc>
        <w:tc>
          <w:tcPr>
            <w:tcW w:w="1405" w:type="dxa"/>
            <w:vMerge w:val="continue"/>
            <w:vAlign w:val="center"/>
          </w:tcPr>
          <w:p w14:paraId="03D9858B">
            <w:pPr>
              <w:pageBreakBefore w:val="0"/>
              <w:kinsoku/>
              <w:wordWrap/>
              <w:overflowPunct/>
              <w:topLinePunct w:val="0"/>
              <w:bidi w:val="0"/>
              <w:snapToGrid/>
              <w:spacing w:line="240" w:lineRule="auto"/>
              <w:rPr>
                <w:rFonts w:hint="eastAsia" w:ascii="宋体" w:hAnsi="宋体" w:cs="宋体"/>
                <w:b/>
                <w:color w:val="0000FF"/>
                <w:szCs w:val="21"/>
                <w:highlight w:val="none"/>
              </w:rPr>
            </w:pPr>
          </w:p>
        </w:tc>
        <w:tc>
          <w:tcPr>
            <w:tcW w:w="6314" w:type="dxa"/>
          </w:tcPr>
          <w:p w14:paraId="56B2FE83">
            <w:pPr>
              <w:pageBreakBefore w:val="0"/>
              <w:kinsoku/>
              <w:wordWrap/>
              <w:overflowPunct/>
              <w:topLinePunct w:val="0"/>
              <w:bidi w:val="0"/>
              <w:snapToGrid/>
              <w:spacing w:line="240" w:lineRule="auto"/>
              <w:rPr>
                <w:rFonts w:hint="eastAsia" w:ascii="宋体" w:hAnsi="宋体" w:cs="宋体"/>
                <w:bCs/>
                <w:color w:val="0000FF"/>
                <w:szCs w:val="21"/>
                <w:highlight w:val="none"/>
              </w:rPr>
            </w:pPr>
            <w:r>
              <w:rPr>
                <w:rFonts w:hint="eastAsia" w:ascii="宋体" w:hAnsi="宋体" w:cs="宋体"/>
                <w:bCs/>
                <w:color w:val="0000FF"/>
                <w:szCs w:val="21"/>
                <w:highlight w:val="none"/>
              </w:rPr>
              <w:t>7.2 采购人购买产品后，有权对该产品与其他设备进行配套、整合或适当改进，而免受侵犯专利权的起诉。</w:t>
            </w:r>
          </w:p>
        </w:tc>
      </w:tr>
      <w:tr w14:paraId="56924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8" w:type="dxa"/>
            <w:vMerge w:val="restart"/>
            <w:vAlign w:val="center"/>
          </w:tcPr>
          <w:p w14:paraId="1524A2CC">
            <w:pPr>
              <w:pageBreakBefore w:val="0"/>
              <w:kinsoku/>
              <w:wordWrap/>
              <w:overflowPunct/>
              <w:topLinePunct w:val="0"/>
              <w:bidi w:val="0"/>
              <w:snapToGrid/>
              <w:spacing w:line="240" w:lineRule="auto"/>
              <w:jc w:val="center"/>
              <w:rPr>
                <w:rFonts w:hint="eastAsia" w:ascii="宋体" w:hAnsi="宋体" w:cs="宋体"/>
                <w:b/>
                <w:color w:val="0000FF"/>
                <w:szCs w:val="21"/>
                <w:highlight w:val="none"/>
              </w:rPr>
            </w:pPr>
            <w:r>
              <w:rPr>
                <w:rFonts w:hint="eastAsia" w:ascii="宋体" w:hAnsi="宋体" w:cs="宋体"/>
                <w:b/>
                <w:color w:val="0000FF"/>
                <w:szCs w:val="21"/>
                <w:highlight w:val="none"/>
              </w:rPr>
              <w:t>8</w:t>
            </w:r>
          </w:p>
        </w:tc>
        <w:tc>
          <w:tcPr>
            <w:tcW w:w="1405" w:type="dxa"/>
            <w:vMerge w:val="restart"/>
            <w:vAlign w:val="center"/>
          </w:tcPr>
          <w:p w14:paraId="750D0581">
            <w:pPr>
              <w:pageBreakBefore w:val="0"/>
              <w:kinsoku/>
              <w:wordWrap/>
              <w:overflowPunct/>
              <w:topLinePunct w:val="0"/>
              <w:bidi w:val="0"/>
              <w:snapToGrid/>
              <w:spacing w:line="240" w:lineRule="auto"/>
              <w:jc w:val="center"/>
              <w:rPr>
                <w:rFonts w:hint="eastAsia" w:ascii="宋体" w:hAnsi="宋体" w:cs="宋体"/>
                <w:b/>
                <w:color w:val="0000FF"/>
                <w:szCs w:val="21"/>
                <w:highlight w:val="none"/>
              </w:rPr>
            </w:pPr>
            <w:r>
              <w:rPr>
                <w:rFonts w:hint="eastAsia" w:ascii="宋体" w:hAnsi="宋体" w:cs="宋体"/>
                <w:b/>
                <w:color w:val="0000FF"/>
                <w:szCs w:val="21"/>
                <w:highlight w:val="none"/>
              </w:rPr>
              <w:t>其他</w:t>
            </w:r>
          </w:p>
        </w:tc>
        <w:tc>
          <w:tcPr>
            <w:tcW w:w="6314" w:type="dxa"/>
          </w:tcPr>
          <w:p w14:paraId="2D700143">
            <w:pPr>
              <w:pageBreakBefore w:val="0"/>
              <w:widowControl/>
              <w:kinsoku/>
              <w:wordWrap/>
              <w:overflowPunct/>
              <w:topLinePunct w:val="0"/>
              <w:bidi w:val="0"/>
              <w:snapToGrid/>
              <w:spacing w:line="240" w:lineRule="auto"/>
              <w:jc w:val="left"/>
              <w:rPr>
                <w:rFonts w:hint="eastAsia" w:ascii="宋体" w:hAnsi="宋体" w:cs="宋体"/>
                <w:color w:val="0000FF"/>
                <w:szCs w:val="21"/>
                <w:highlight w:val="none"/>
              </w:rPr>
            </w:pPr>
            <w:r>
              <w:rPr>
                <w:rFonts w:hint="eastAsia" w:ascii="宋体" w:hAnsi="宋体" w:cs="宋体"/>
                <w:color w:val="0000FF"/>
                <w:szCs w:val="21"/>
                <w:highlight w:val="none"/>
              </w:rPr>
              <w:t>8.1 投标供应商应按其投标文件中的承诺，进行其他售后服务工作。</w:t>
            </w:r>
          </w:p>
        </w:tc>
      </w:tr>
      <w:tr w14:paraId="6ED18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8" w:type="dxa"/>
            <w:vMerge w:val="continue"/>
            <w:vAlign w:val="center"/>
          </w:tcPr>
          <w:p w14:paraId="58515630">
            <w:pPr>
              <w:pageBreakBefore w:val="0"/>
              <w:kinsoku/>
              <w:wordWrap/>
              <w:overflowPunct/>
              <w:topLinePunct w:val="0"/>
              <w:bidi w:val="0"/>
              <w:snapToGrid/>
              <w:spacing w:line="240" w:lineRule="auto"/>
              <w:jc w:val="center"/>
              <w:rPr>
                <w:rFonts w:hint="eastAsia" w:ascii="宋体" w:hAnsi="宋体" w:cs="宋体"/>
                <w:b/>
                <w:color w:val="0000FF"/>
                <w:szCs w:val="21"/>
                <w:highlight w:val="none"/>
              </w:rPr>
            </w:pPr>
          </w:p>
        </w:tc>
        <w:tc>
          <w:tcPr>
            <w:tcW w:w="1405" w:type="dxa"/>
            <w:vMerge w:val="continue"/>
            <w:vAlign w:val="center"/>
          </w:tcPr>
          <w:p w14:paraId="5A2E3F57">
            <w:pPr>
              <w:pageBreakBefore w:val="0"/>
              <w:kinsoku/>
              <w:wordWrap/>
              <w:overflowPunct/>
              <w:topLinePunct w:val="0"/>
              <w:bidi w:val="0"/>
              <w:snapToGrid/>
              <w:spacing w:line="240" w:lineRule="auto"/>
              <w:jc w:val="center"/>
              <w:rPr>
                <w:rFonts w:hint="eastAsia" w:ascii="宋体" w:hAnsi="宋体" w:cs="宋体"/>
                <w:b/>
                <w:color w:val="0000FF"/>
                <w:szCs w:val="21"/>
                <w:highlight w:val="none"/>
              </w:rPr>
            </w:pPr>
          </w:p>
        </w:tc>
        <w:tc>
          <w:tcPr>
            <w:tcW w:w="6314" w:type="dxa"/>
          </w:tcPr>
          <w:p w14:paraId="062A6A7B">
            <w:pPr>
              <w:pageBreakBefore w:val="0"/>
              <w:kinsoku/>
              <w:wordWrap/>
              <w:overflowPunct/>
              <w:topLinePunct w:val="0"/>
              <w:bidi w:val="0"/>
              <w:snapToGrid/>
              <w:spacing w:line="240" w:lineRule="auto"/>
              <w:rPr>
                <w:rFonts w:hint="eastAsia" w:ascii="宋体" w:hAnsi="宋体" w:cs="宋体"/>
                <w:bCs/>
                <w:color w:val="0000FF"/>
                <w:szCs w:val="21"/>
                <w:highlight w:val="none"/>
              </w:rPr>
            </w:pPr>
            <w:r>
              <w:rPr>
                <w:rFonts w:hint="eastAsia" w:ascii="宋体" w:hAnsi="宋体" w:cs="宋体"/>
                <w:bCs/>
                <w:color w:val="0000FF"/>
                <w:szCs w:val="21"/>
                <w:highlight w:val="none"/>
              </w:rPr>
              <w:t>8.2 本项目中如有涉及水、电、气设备安装及调试、室外高空作业等项目的中标人承诺使用具有国家认可资质的操作人员（资质证书仍在有效期内）实施，否则由此造成的后果由中标人负责。</w:t>
            </w:r>
          </w:p>
        </w:tc>
      </w:tr>
      <w:tr w14:paraId="45B61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8" w:type="dxa"/>
            <w:vMerge w:val="continue"/>
            <w:vAlign w:val="center"/>
          </w:tcPr>
          <w:p w14:paraId="7B100D16">
            <w:pPr>
              <w:pageBreakBefore w:val="0"/>
              <w:kinsoku/>
              <w:wordWrap/>
              <w:overflowPunct/>
              <w:topLinePunct w:val="0"/>
              <w:bidi w:val="0"/>
              <w:snapToGrid/>
              <w:spacing w:line="240" w:lineRule="auto"/>
              <w:jc w:val="center"/>
              <w:rPr>
                <w:rFonts w:hint="eastAsia" w:ascii="宋体" w:hAnsi="宋体" w:cs="宋体"/>
                <w:b/>
                <w:color w:val="0000FF"/>
                <w:szCs w:val="21"/>
                <w:highlight w:val="none"/>
              </w:rPr>
            </w:pPr>
          </w:p>
        </w:tc>
        <w:tc>
          <w:tcPr>
            <w:tcW w:w="1405" w:type="dxa"/>
            <w:vMerge w:val="continue"/>
            <w:vAlign w:val="center"/>
          </w:tcPr>
          <w:p w14:paraId="041C95ED">
            <w:pPr>
              <w:pageBreakBefore w:val="0"/>
              <w:kinsoku/>
              <w:wordWrap/>
              <w:overflowPunct/>
              <w:topLinePunct w:val="0"/>
              <w:bidi w:val="0"/>
              <w:snapToGrid/>
              <w:spacing w:line="240" w:lineRule="auto"/>
              <w:jc w:val="center"/>
              <w:rPr>
                <w:rFonts w:hint="eastAsia" w:ascii="宋体" w:hAnsi="宋体" w:cs="宋体"/>
                <w:b/>
                <w:color w:val="0000FF"/>
                <w:szCs w:val="21"/>
                <w:highlight w:val="none"/>
              </w:rPr>
            </w:pPr>
          </w:p>
        </w:tc>
        <w:tc>
          <w:tcPr>
            <w:tcW w:w="6314" w:type="dxa"/>
          </w:tcPr>
          <w:p w14:paraId="25F4B460">
            <w:pPr>
              <w:pageBreakBefore w:val="0"/>
              <w:kinsoku/>
              <w:wordWrap/>
              <w:overflowPunct/>
              <w:topLinePunct w:val="0"/>
              <w:bidi w:val="0"/>
              <w:snapToGrid/>
              <w:spacing w:line="240" w:lineRule="auto"/>
              <w:rPr>
                <w:rFonts w:hint="eastAsia" w:ascii="宋体" w:hAnsi="宋体" w:cs="宋体"/>
                <w:bCs/>
                <w:color w:val="0000FF"/>
                <w:szCs w:val="21"/>
                <w:highlight w:val="none"/>
              </w:rPr>
            </w:pPr>
            <w:r>
              <w:rPr>
                <w:rFonts w:hint="eastAsia" w:ascii="宋体" w:hAnsi="宋体" w:cs="宋体"/>
                <w:bCs/>
                <w:color w:val="0000FF"/>
                <w:szCs w:val="21"/>
                <w:highlight w:val="none"/>
              </w:rPr>
              <w:t>8.3 如所投产品受行业主管部门规定强制认证或检测或许可的（如3C认证或检测报告或工信部进网许可证等），中标人在中标后签订合同前向采购单位提供相关认证证书或检测报告。</w:t>
            </w:r>
          </w:p>
        </w:tc>
      </w:tr>
      <w:tr w14:paraId="2F00E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8" w:type="dxa"/>
            <w:vMerge w:val="continue"/>
            <w:vAlign w:val="center"/>
          </w:tcPr>
          <w:p w14:paraId="1F26F9FF">
            <w:pPr>
              <w:pageBreakBefore w:val="0"/>
              <w:kinsoku/>
              <w:wordWrap/>
              <w:overflowPunct/>
              <w:topLinePunct w:val="0"/>
              <w:bidi w:val="0"/>
              <w:snapToGrid/>
              <w:spacing w:line="240" w:lineRule="auto"/>
              <w:jc w:val="center"/>
              <w:rPr>
                <w:rFonts w:hint="eastAsia" w:ascii="宋体" w:hAnsi="宋体" w:cs="宋体"/>
                <w:b/>
                <w:color w:val="0000FF"/>
                <w:szCs w:val="21"/>
                <w:highlight w:val="none"/>
              </w:rPr>
            </w:pPr>
          </w:p>
        </w:tc>
        <w:tc>
          <w:tcPr>
            <w:tcW w:w="1405" w:type="dxa"/>
            <w:vMerge w:val="continue"/>
            <w:vAlign w:val="center"/>
          </w:tcPr>
          <w:p w14:paraId="4FCA30E4">
            <w:pPr>
              <w:pageBreakBefore w:val="0"/>
              <w:kinsoku/>
              <w:wordWrap/>
              <w:overflowPunct/>
              <w:topLinePunct w:val="0"/>
              <w:bidi w:val="0"/>
              <w:snapToGrid/>
              <w:spacing w:line="240" w:lineRule="auto"/>
              <w:jc w:val="center"/>
              <w:rPr>
                <w:rFonts w:hint="eastAsia" w:ascii="宋体" w:hAnsi="宋体" w:cs="宋体"/>
                <w:b/>
                <w:color w:val="0000FF"/>
                <w:szCs w:val="21"/>
                <w:highlight w:val="none"/>
              </w:rPr>
            </w:pPr>
          </w:p>
        </w:tc>
        <w:tc>
          <w:tcPr>
            <w:tcW w:w="6314" w:type="dxa"/>
          </w:tcPr>
          <w:p w14:paraId="0C6AA9F5">
            <w:pPr>
              <w:pageBreakBefore w:val="0"/>
              <w:kinsoku/>
              <w:wordWrap/>
              <w:overflowPunct/>
              <w:topLinePunct w:val="0"/>
              <w:bidi w:val="0"/>
              <w:snapToGrid/>
              <w:spacing w:line="240" w:lineRule="auto"/>
              <w:rPr>
                <w:rFonts w:hint="eastAsia" w:ascii="宋体" w:hAnsi="宋体" w:cs="宋体"/>
                <w:bCs/>
                <w:color w:val="0000FF"/>
                <w:szCs w:val="21"/>
                <w:highlight w:val="none"/>
              </w:rPr>
            </w:pPr>
            <w:r>
              <w:rPr>
                <w:rFonts w:hint="eastAsia" w:ascii="宋体" w:hAnsi="宋体" w:cs="宋体"/>
                <w:bCs/>
                <w:color w:val="0000FF"/>
                <w:szCs w:val="21"/>
                <w:highlight w:val="none"/>
              </w:rPr>
              <w:t>8.4 本项目所要求的硬件、软件，中标人要配备给采购人，并保证采购人能正常使用，不需要另外增加其他附件和其他费用。</w:t>
            </w:r>
          </w:p>
        </w:tc>
      </w:tr>
      <w:tr w14:paraId="08DC9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8" w:type="dxa"/>
            <w:vMerge w:val="continue"/>
            <w:vAlign w:val="center"/>
          </w:tcPr>
          <w:p w14:paraId="7094C9CC">
            <w:pPr>
              <w:pageBreakBefore w:val="0"/>
              <w:kinsoku/>
              <w:wordWrap/>
              <w:overflowPunct/>
              <w:topLinePunct w:val="0"/>
              <w:bidi w:val="0"/>
              <w:snapToGrid/>
              <w:spacing w:line="240" w:lineRule="auto"/>
              <w:jc w:val="center"/>
              <w:rPr>
                <w:rFonts w:hint="eastAsia" w:ascii="宋体" w:hAnsi="宋体" w:cs="宋体"/>
                <w:b/>
                <w:color w:val="0000FF"/>
                <w:szCs w:val="21"/>
                <w:highlight w:val="none"/>
              </w:rPr>
            </w:pPr>
          </w:p>
        </w:tc>
        <w:tc>
          <w:tcPr>
            <w:tcW w:w="1405" w:type="dxa"/>
            <w:vMerge w:val="continue"/>
            <w:vAlign w:val="center"/>
          </w:tcPr>
          <w:p w14:paraId="0B444BB9">
            <w:pPr>
              <w:pageBreakBefore w:val="0"/>
              <w:kinsoku/>
              <w:wordWrap/>
              <w:overflowPunct/>
              <w:topLinePunct w:val="0"/>
              <w:bidi w:val="0"/>
              <w:snapToGrid/>
              <w:spacing w:line="240" w:lineRule="auto"/>
              <w:jc w:val="center"/>
              <w:rPr>
                <w:rFonts w:hint="eastAsia" w:ascii="宋体" w:hAnsi="宋体" w:cs="宋体"/>
                <w:b/>
                <w:color w:val="0000FF"/>
                <w:szCs w:val="21"/>
                <w:highlight w:val="none"/>
              </w:rPr>
            </w:pPr>
          </w:p>
        </w:tc>
        <w:tc>
          <w:tcPr>
            <w:tcW w:w="6314" w:type="dxa"/>
          </w:tcPr>
          <w:p w14:paraId="239CFCED">
            <w:pPr>
              <w:pageBreakBefore w:val="0"/>
              <w:kinsoku/>
              <w:wordWrap/>
              <w:overflowPunct/>
              <w:topLinePunct w:val="0"/>
              <w:bidi w:val="0"/>
              <w:snapToGrid/>
              <w:spacing w:line="240" w:lineRule="auto"/>
              <w:rPr>
                <w:rFonts w:hint="eastAsia" w:ascii="宋体" w:hAnsi="宋体" w:cs="宋体"/>
                <w:bCs/>
                <w:color w:val="0000FF"/>
                <w:szCs w:val="21"/>
                <w:highlight w:val="none"/>
              </w:rPr>
            </w:pPr>
            <w:r>
              <w:rPr>
                <w:rFonts w:hint="eastAsia" w:ascii="宋体" w:hAnsi="宋体" w:cs="宋体"/>
                <w:bCs/>
                <w:color w:val="0000FF"/>
                <w:szCs w:val="21"/>
                <w:highlight w:val="none"/>
              </w:rPr>
              <w:t>8.5 涉及软件应用的设备，中标供应商和厂家应配合医院智慧医院信息化建设。在保修期内，应免费将软件更新、维护并免费提供更新所需的硬件，免费开放软件端口，无偿派人配合与医院信息系统（包括但不限于HIS、PACS、LIS等系统）的连接工作，每台设备配置rfid定位电子标签，直至该设备与医院信息系统可进行完整的数据交换,中标人须承担数据成功对接的所有费用；当医院信息系统变更或其他情形需要与该设备连接时，须无偿派人配合，直至该设备与医院信息系统可进行完整的数据交换，确保数据安全，无外泄。上述工程需要按照采购人计划工期内完成，不得拖延，如因客观因素不得不延长工期的，需与采购人协商并获得采购人同意。</w:t>
            </w:r>
          </w:p>
        </w:tc>
      </w:tr>
      <w:tr w14:paraId="6E812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8" w:type="dxa"/>
            <w:vMerge w:val="restart"/>
            <w:vAlign w:val="center"/>
          </w:tcPr>
          <w:p w14:paraId="5D7B07D4">
            <w:pPr>
              <w:pageBreakBefore w:val="0"/>
              <w:kinsoku/>
              <w:wordWrap/>
              <w:overflowPunct/>
              <w:topLinePunct w:val="0"/>
              <w:bidi w:val="0"/>
              <w:snapToGrid/>
              <w:spacing w:line="240" w:lineRule="auto"/>
              <w:jc w:val="center"/>
              <w:rPr>
                <w:rFonts w:hint="eastAsia" w:ascii="宋体" w:hAnsi="宋体" w:cs="宋体"/>
                <w:b/>
                <w:color w:val="0000FF"/>
                <w:szCs w:val="21"/>
                <w:highlight w:val="none"/>
              </w:rPr>
            </w:pPr>
            <w:r>
              <w:rPr>
                <w:rFonts w:hint="eastAsia" w:ascii="宋体" w:hAnsi="宋体" w:cs="宋体"/>
                <w:b/>
                <w:color w:val="0000FF"/>
                <w:szCs w:val="21"/>
                <w:highlight w:val="none"/>
              </w:rPr>
              <w:t>9</w:t>
            </w:r>
          </w:p>
        </w:tc>
        <w:tc>
          <w:tcPr>
            <w:tcW w:w="1405" w:type="dxa"/>
            <w:vMerge w:val="restart"/>
            <w:vAlign w:val="center"/>
          </w:tcPr>
          <w:p w14:paraId="5372FA68">
            <w:pPr>
              <w:pageBreakBefore w:val="0"/>
              <w:kinsoku/>
              <w:wordWrap/>
              <w:overflowPunct/>
              <w:topLinePunct w:val="0"/>
              <w:bidi w:val="0"/>
              <w:snapToGrid/>
              <w:spacing w:line="240" w:lineRule="auto"/>
              <w:jc w:val="center"/>
              <w:rPr>
                <w:rFonts w:hint="eastAsia" w:ascii="宋体" w:hAnsi="宋体" w:cs="宋体"/>
                <w:b/>
                <w:color w:val="0000FF"/>
                <w:szCs w:val="21"/>
                <w:highlight w:val="none"/>
              </w:rPr>
            </w:pPr>
            <w:r>
              <w:rPr>
                <w:rFonts w:hint="eastAsia" w:ascii="宋体" w:hAnsi="宋体" w:cs="宋体"/>
                <w:b/>
                <w:color w:val="0000FF"/>
                <w:szCs w:val="21"/>
                <w:highlight w:val="none"/>
              </w:rPr>
              <w:t>项目（产品）要求</w:t>
            </w:r>
          </w:p>
        </w:tc>
        <w:tc>
          <w:tcPr>
            <w:tcW w:w="6314" w:type="dxa"/>
          </w:tcPr>
          <w:p w14:paraId="587BCDC0">
            <w:pPr>
              <w:pageBreakBefore w:val="0"/>
              <w:kinsoku/>
              <w:wordWrap/>
              <w:overflowPunct/>
              <w:topLinePunct w:val="0"/>
              <w:bidi w:val="0"/>
              <w:snapToGrid/>
              <w:spacing w:line="240" w:lineRule="auto"/>
              <w:rPr>
                <w:rFonts w:hint="eastAsia" w:ascii="宋体" w:hAnsi="宋体" w:cs="宋体"/>
                <w:color w:val="0000FF"/>
                <w:szCs w:val="21"/>
                <w:highlight w:val="none"/>
              </w:rPr>
            </w:pPr>
            <w:r>
              <w:rPr>
                <w:rFonts w:hint="eastAsia" w:ascii="宋体" w:hAnsi="宋体" w:cs="宋体"/>
                <w:b/>
                <w:color w:val="0000FF"/>
                <w:szCs w:val="21"/>
                <w:highlight w:val="none"/>
              </w:rPr>
              <w:t>9.1投标人所投产品具备相关主管部门要求的认证资料：所投产品为第一类医疗器械的，提供监督管理部门签发的有效的《医疗器械备案凭证》扫描件；所投产品为第二、三类医疗器械的，提供监督管理部门签发的涵盖所投产品的《医疗器械注册证》(有效期内)扫描件。</w:t>
            </w:r>
          </w:p>
        </w:tc>
      </w:tr>
      <w:tr w14:paraId="14008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8" w:type="dxa"/>
            <w:vMerge w:val="continue"/>
            <w:vAlign w:val="center"/>
          </w:tcPr>
          <w:p w14:paraId="5768ECD4">
            <w:pPr>
              <w:pageBreakBefore w:val="0"/>
              <w:kinsoku/>
              <w:wordWrap/>
              <w:overflowPunct/>
              <w:topLinePunct w:val="0"/>
              <w:bidi w:val="0"/>
              <w:snapToGrid/>
              <w:spacing w:line="240" w:lineRule="auto"/>
              <w:jc w:val="center"/>
              <w:rPr>
                <w:rFonts w:hint="eastAsia" w:ascii="宋体" w:hAnsi="宋体" w:cs="宋体"/>
                <w:b/>
                <w:color w:val="0000FF"/>
                <w:szCs w:val="21"/>
                <w:highlight w:val="none"/>
              </w:rPr>
            </w:pPr>
          </w:p>
        </w:tc>
        <w:tc>
          <w:tcPr>
            <w:tcW w:w="1405" w:type="dxa"/>
            <w:vMerge w:val="continue"/>
            <w:vAlign w:val="center"/>
          </w:tcPr>
          <w:p w14:paraId="142115AC">
            <w:pPr>
              <w:pageBreakBefore w:val="0"/>
              <w:kinsoku/>
              <w:wordWrap/>
              <w:overflowPunct/>
              <w:topLinePunct w:val="0"/>
              <w:bidi w:val="0"/>
              <w:snapToGrid/>
              <w:spacing w:line="240" w:lineRule="auto"/>
              <w:jc w:val="center"/>
              <w:rPr>
                <w:rFonts w:hint="eastAsia" w:ascii="宋体" w:hAnsi="宋体" w:cs="宋体"/>
                <w:b/>
                <w:color w:val="0000FF"/>
                <w:szCs w:val="21"/>
                <w:highlight w:val="none"/>
              </w:rPr>
            </w:pPr>
          </w:p>
        </w:tc>
        <w:tc>
          <w:tcPr>
            <w:tcW w:w="6314" w:type="dxa"/>
          </w:tcPr>
          <w:p w14:paraId="6BE1CFE5">
            <w:pPr>
              <w:pageBreakBefore w:val="0"/>
              <w:kinsoku/>
              <w:wordWrap/>
              <w:overflowPunct/>
              <w:topLinePunct w:val="0"/>
              <w:bidi w:val="0"/>
              <w:snapToGrid/>
              <w:spacing w:line="240" w:lineRule="auto"/>
              <w:rPr>
                <w:rFonts w:hint="eastAsia" w:ascii="宋体" w:hAnsi="宋体" w:cs="宋体"/>
                <w:b/>
                <w:color w:val="0000FF"/>
                <w:szCs w:val="21"/>
                <w:highlight w:val="none"/>
              </w:rPr>
            </w:pPr>
            <w:r>
              <w:rPr>
                <w:rFonts w:hint="eastAsia" w:ascii="宋体" w:hAnsi="宋体" w:cs="宋体"/>
                <w:color w:val="0000FF"/>
                <w:szCs w:val="21"/>
                <w:highlight w:val="none"/>
              </w:rPr>
              <w:t>9.2如供应商提供的相关货物（标的），属于按整套（成套）设备进行申请医疗器械注册证情形的，则投标人针对前述相关货物（标的）在投标时可提供整套（成套）设备的医疗器械注册证。</w:t>
            </w:r>
          </w:p>
        </w:tc>
      </w:tr>
      <w:tr w14:paraId="3A276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8" w:type="dxa"/>
            <w:vMerge w:val="continue"/>
            <w:vAlign w:val="center"/>
          </w:tcPr>
          <w:p w14:paraId="31E7244A">
            <w:pPr>
              <w:pageBreakBefore w:val="0"/>
              <w:kinsoku/>
              <w:wordWrap/>
              <w:overflowPunct/>
              <w:topLinePunct w:val="0"/>
              <w:bidi w:val="0"/>
              <w:snapToGrid/>
              <w:spacing w:line="240" w:lineRule="auto"/>
              <w:jc w:val="center"/>
              <w:rPr>
                <w:rFonts w:hint="eastAsia" w:ascii="宋体" w:hAnsi="宋体" w:cs="宋体"/>
                <w:b/>
                <w:color w:val="0000FF"/>
                <w:szCs w:val="21"/>
                <w:highlight w:val="none"/>
              </w:rPr>
            </w:pPr>
          </w:p>
        </w:tc>
        <w:tc>
          <w:tcPr>
            <w:tcW w:w="1405" w:type="dxa"/>
            <w:vMerge w:val="continue"/>
            <w:vAlign w:val="center"/>
          </w:tcPr>
          <w:p w14:paraId="37F64685">
            <w:pPr>
              <w:pageBreakBefore w:val="0"/>
              <w:kinsoku/>
              <w:wordWrap/>
              <w:overflowPunct/>
              <w:topLinePunct w:val="0"/>
              <w:bidi w:val="0"/>
              <w:snapToGrid/>
              <w:spacing w:line="240" w:lineRule="auto"/>
              <w:jc w:val="center"/>
              <w:rPr>
                <w:rFonts w:hint="eastAsia" w:ascii="宋体" w:hAnsi="宋体" w:cs="宋体"/>
                <w:b/>
                <w:color w:val="0000FF"/>
                <w:szCs w:val="21"/>
                <w:highlight w:val="none"/>
              </w:rPr>
            </w:pPr>
          </w:p>
        </w:tc>
        <w:tc>
          <w:tcPr>
            <w:tcW w:w="6314" w:type="dxa"/>
          </w:tcPr>
          <w:p w14:paraId="49F5AA75">
            <w:pPr>
              <w:pageBreakBefore w:val="0"/>
              <w:kinsoku/>
              <w:wordWrap/>
              <w:overflowPunct/>
              <w:topLinePunct w:val="0"/>
              <w:bidi w:val="0"/>
              <w:snapToGrid/>
              <w:spacing w:line="240" w:lineRule="auto"/>
              <w:rPr>
                <w:rFonts w:hint="eastAsia" w:ascii="宋体" w:hAnsi="宋体" w:cs="宋体"/>
                <w:color w:val="0000FF"/>
                <w:szCs w:val="21"/>
                <w:highlight w:val="none"/>
              </w:rPr>
            </w:pPr>
            <w:r>
              <w:rPr>
                <w:rFonts w:hint="eastAsia" w:ascii="宋体" w:hAnsi="宋体" w:cs="宋体"/>
                <w:color w:val="0000FF"/>
                <w:szCs w:val="21"/>
                <w:highlight w:val="none"/>
              </w:rPr>
              <w:t>9.3</w:t>
            </w:r>
            <w:r>
              <w:rPr>
                <w:rFonts w:hint="eastAsia" w:ascii="宋体" w:hAnsi="宋体" w:cs="宋体"/>
                <w:bCs/>
                <w:color w:val="0000FF"/>
                <w:highlight w:val="none"/>
              </w:rPr>
              <w:t>如若本购置项目需要提供交钥匙工程（内容包含但不限于预评、环评、控评、屏蔽、基座、线槽、机房配套基础设施、空调、视频监控系统、空气消毒机、除湿机等，具体以采购人实际需求为准）。</w:t>
            </w:r>
            <w:r>
              <w:rPr>
                <w:rFonts w:hint="eastAsia" w:ascii="宋体" w:hAnsi="宋体" w:cs="宋体"/>
                <w:bCs/>
                <w:color w:val="0000FF"/>
                <w:highlight w:val="none"/>
                <w:lang w:val="en-US" w:eastAsia="zh-CN"/>
              </w:rPr>
              <w:t>中标人</w:t>
            </w:r>
            <w:r>
              <w:rPr>
                <w:rFonts w:hint="eastAsia" w:ascii="宋体" w:hAnsi="宋体" w:cs="宋体"/>
                <w:bCs/>
                <w:color w:val="0000FF"/>
                <w:highlight w:val="none"/>
              </w:rPr>
              <w:t>负责装机后的放射诊疗许可证、辐射安全许可证等的办理，所涉及费用等均由</w:t>
            </w:r>
            <w:r>
              <w:rPr>
                <w:rFonts w:hint="eastAsia" w:ascii="宋体" w:hAnsi="宋体" w:cs="宋体"/>
                <w:bCs/>
                <w:color w:val="0000FF"/>
                <w:highlight w:val="none"/>
                <w:lang w:val="en-US" w:eastAsia="zh-CN"/>
              </w:rPr>
              <w:t>中标人</w:t>
            </w:r>
            <w:r>
              <w:rPr>
                <w:rFonts w:hint="eastAsia" w:ascii="宋体" w:hAnsi="宋体" w:cs="宋体"/>
                <w:bCs/>
                <w:color w:val="0000FF"/>
                <w:highlight w:val="none"/>
              </w:rPr>
              <w:t>负责。</w:t>
            </w:r>
          </w:p>
        </w:tc>
      </w:tr>
    </w:tbl>
    <w:p w14:paraId="58F9F432">
      <w:pPr>
        <w:pStyle w:val="3"/>
        <w:bidi w:val="0"/>
        <w:jc w:val="center"/>
        <w:rPr>
          <w:rFonts w:hint="eastAsia"/>
          <w:sz w:val="24"/>
          <w:szCs w:val="28"/>
          <w:highlight w:val="none"/>
        </w:rPr>
      </w:pPr>
      <w:r>
        <w:rPr>
          <w:rFonts w:hint="eastAsia"/>
          <w:sz w:val="24"/>
          <w:szCs w:val="28"/>
          <w:highlight w:val="none"/>
        </w:rPr>
        <w:t>六、其他重要条款</w:t>
      </w:r>
    </w:p>
    <w:p w14:paraId="28D4FA4A">
      <w:pPr>
        <w:ind w:firstLine="420" w:firstLineChars="20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009AC32B">
      <w:pPr>
        <w:ind w:firstLine="420" w:firstLineChars="20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2、投标人应充分了解项目的位置、情况、道路及任何其他足以影响投标报价的情况，任何因忽视或误解项目情况而导致的索赔或服务期限延长申请将不获批准。</w:t>
      </w:r>
    </w:p>
    <w:p w14:paraId="3B8CD25D">
      <w:pPr>
        <w:ind w:firstLine="420" w:firstLineChars="20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3、投标人不得期望通过索赔等方式获取补偿，否则，除可能遭到拒绝外，还可能将被作为不良行为记录在案，并可能影响其以后参加政府采购的项目投标。各投标人在投标报价时，应充分考虑投标报价的风险。</w:t>
      </w:r>
    </w:p>
    <w:p w14:paraId="4712805A">
      <w:pPr>
        <w:ind w:firstLine="420" w:firstLineChars="20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4、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14:paraId="65B31202">
      <w:pPr>
        <w:ind w:firstLine="420" w:firstLineChars="20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5、除采购合同继续履行将损害国家利益和社会公共利益外，双方当事人不得擅自变更、中止或者终止合同。</w:t>
      </w:r>
    </w:p>
    <w:p w14:paraId="6D4DB2E1">
      <w:pPr>
        <w:pStyle w:val="18"/>
        <w:rPr>
          <w:rFonts w:hint="eastAsia" w:ascii="宋体" w:hAnsi="宋体"/>
          <w:highlight w:val="none"/>
        </w:rPr>
      </w:pPr>
    </w:p>
    <w:p w14:paraId="17F701EB">
      <w:pPr>
        <w:widowControl/>
        <w:ind w:firstLine="422" w:firstLineChars="200"/>
        <w:jc w:val="right"/>
        <w:rPr>
          <w:rFonts w:hint="eastAsia" w:asciiTheme="minorEastAsia" w:hAnsiTheme="minorEastAsia" w:eastAsiaTheme="minorEastAsia" w:cstheme="minorEastAsia"/>
          <w:b/>
          <w:bCs/>
          <w:szCs w:val="21"/>
          <w:highlight w:val="none"/>
        </w:rPr>
      </w:pPr>
    </w:p>
    <w:p w14:paraId="04B1BAC6">
      <w:pPr>
        <w:widowControl/>
        <w:ind w:firstLine="420" w:firstLineChars="200"/>
        <w:jc w:val="left"/>
        <w:rPr>
          <w:rFonts w:hint="eastAsia" w:ascii="宋体" w:hAnsi="宋体"/>
          <w:b/>
          <w:bCs/>
          <w:sz w:val="24"/>
          <w:szCs w:val="20"/>
          <w:highlight w:val="none"/>
        </w:rPr>
      </w:pPr>
      <w:r>
        <w:rPr>
          <w:highlight w:val="none"/>
        </w:rPr>
        <w:br w:type="page"/>
      </w:r>
    </w:p>
    <w:p w14:paraId="5F56D13D">
      <w:pPr>
        <w:pStyle w:val="5"/>
        <w:rPr>
          <w:rFonts w:hint="eastAsia"/>
          <w:sz w:val="28"/>
          <w:szCs w:val="28"/>
          <w:highlight w:val="none"/>
        </w:rPr>
      </w:pPr>
      <w:r>
        <w:rPr>
          <w:rFonts w:hint="eastAsia"/>
          <w:sz w:val="28"/>
          <w:szCs w:val="28"/>
          <w:highlight w:val="none"/>
        </w:rPr>
        <w:t>第四章 投标文件组成要求及格式</w:t>
      </w:r>
    </w:p>
    <w:p w14:paraId="7A3E1440">
      <w:pPr>
        <w:rPr>
          <w:rFonts w:hint="eastAsia" w:ascii="宋体" w:hAnsi="宋体"/>
          <w:b/>
          <w:bCs/>
          <w:sz w:val="24"/>
          <w:highlight w:val="none"/>
        </w:rPr>
      </w:pPr>
      <w:r>
        <w:rPr>
          <w:rFonts w:hint="eastAsia" w:ascii="宋体" w:hAnsi="宋体"/>
          <w:b/>
          <w:bCs/>
          <w:sz w:val="24"/>
          <w:highlight w:val="none"/>
        </w:rPr>
        <w:t>投标文件组成，主要包括以下内容：</w:t>
      </w:r>
    </w:p>
    <w:p w14:paraId="0C10F599">
      <w:pPr>
        <w:ind w:firstLine="420" w:firstLineChars="200"/>
        <w:rPr>
          <w:szCs w:val="21"/>
          <w:highlight w:val="none"/>
        </w:rPr>
      </w:pPr>
      <w:r>
        <w:rPr>
          <w:rFonts w:hint="eastAsia"/>
          <w:szCs w:val="21"/>
          <w:highlight w:val="none"/>
        </w:rPr>
        <w:t>（1）</w:t>
      </w:r>
      <w:bookmarkStart w:id="34" w:name="_Hlk72070784"/>
      <w:r>
        <w:rPr>
          <w:rFonts w:hint="eastAsia"/>
          <w:szCs w:val="21"/>
          <w:highlight w:val="none"/>
        </w:rPr>
        <w:t>投标函</w:t>
      </w:r>
      <w:bookmarkEnd w:id="34"/>
    </w:p>
    <w:p w14:paraId="0E886DE8">
      <w:pPr>
        <w:ind w:firstLine="420" w:firstLineChars="200"/>
        <w:rPr>
          <w:szCs w:val="21"/>
          <w:highlight w:val="none"/>
        </w:rPr>
      </w:pPr>
      <w:r>
        <w:rPr>
          <w:rFonts w:hint="eastAsia"/>
          <w:szCs w:val="21"/>
          <w:highlight w:val="none"/>
        </w:rPr>
        <w:t>（2）采购投标及履约承诺函</w:t>
      </w:r>
    </w:p>
    <w:p w14:paraId="0EB68867">
      <w:pPr>
        <w:ind w:firstLine="420" w:firstLineChars="200"/>
        <w:rPr>
          <w:szCs w:val="21"/>
          <w:highlight w:val="none"/>
        </w:rPr>
      </w:pPr>
      <w:r>
        <w:rPr>
          <w:rFonts w:hint="eastAsia"/>
          <w:szCs w:val="21"/>
          <w:highlight w:val="none"/>
        </w:rPr>
        <w:t>（</w:t>
      </w:r>
      <w:r>
        <w:rPr>
          <w:szCs w:val="21"/>
          <w:highlight w:val="none"/>
        </w:rPr>
        <w:t>3</w:t>
      </w:r>
      <w:r>
        <w:rPr>
          <w:rFonts w:hint="eastAsia"/>
          <w:szCs w:val="21"/>
          <w:highlight w:val="none"/>
        </w:rPr>
        <w:t>）投标人情况及资格证明文件</w:t>
      </w:r>
    </w:p>
    <w:p w14:paraId="3CA89457">
      <w:pPr>
        <w:ind w:firstLine="420" w:firstLineChars="200"/>
        <w:rPr>
          <w:szCs w:val="21"/>
          <w:highlight w:val="none"/>
        </w:rPr>
      </w:pPr>
      <w:bookmarkStart w:id="35" w:name="_Hlk72257201"/>
      <w:r>
        <w:rPr>
          <w:rFonts w:hint="eastAsia"/>
          <w:szCs w:val="21"/>
          <w:highlight w:val="none"/>
        </w:rPr>
        <w:t>（</w:t>
      </w:r>
      <w:r>
        <w:rPr>
          <w:szCs w:val="21"/>
          <w:highlight w:val="none"/>
        </w:rPr>
        <w:t>4</w:t>
      </w:r>
      <w:r>
        <w:rPr>
          <w:rFonts w:hint="eastAsia"/>
          <w:szCs w:val="21"/>
          <w:highlight w:val="none"/>
        </w:rPr>
        <w:t>）项目详细报价</w:t>
      </w:r>
    </w:p>
    <w:bookmarkEnd w:id="35"/>
    <w:p w14:paraId="680BEF13">
      <w:pPr>
        <w:ind w:firstLine="420" w:firstLineChars="200"/>
        <w:rPr>
          <w:szCs w:val="21"/>
          <w:highlight w:val="none"/>
        </w:rPr>
      </w:pPr>
      <w:r>
        <w:rPr>
          <w:rFonts w:hint="eastAsia"/>
          <w:szCs w:val="21"/>
          <w:highlight w:val="none"/>
        </w:rPr>
        <w:t>（5）法定代表人（负责人）证明书</w:t>
      </w:r>
    </w:p>
    <w:p w14:paraId="16BCB278">
      <w:pPr>
        <w:ind w:firstLine="420" w:firstLineChars="200"/>
        <w:rPr>
          <w:szCs w:val="21"/>
          <w:highlight w:val="none"/>
        </w:rPr>
      </w:pPr>
      <w:r>
        <w:rPr>
          <w:rFonts w:hint="eastAsia"/>
          <w:szCs w:val="21"/>
          <w:highlight w:val="none"/>
        </w:rPr>
        <w:t>（6）投标文件签署授权委托书</w:t>
      </w:r>
    </w:p>
    <w:p w14:paraId="4B42FD7C">
      <w:pPr>
        <w:ind w:firstLine="420" w:firstLineChars="200"/>
        <w:rPr>
          <w:szCs w:val="21"/>
          <w:highlight w:val="none"/>
        </w:rPr>
      </w:pPr>
      <w:r>
        <w:rPr>
          <w:rFonts w:hint="eastAsia"/>
          <w:szCs w:val="21"/>
          <w:highlight w:val="none"/>
        </w:rPr>
        <w:t>（7）实质性条款响应情况表</w:t>
      </w:r>
    </w:p>
    <w:p w14:paraId="54393806">
      <w:pPr>
        <w:ind w:firstLine="420" w:firstLineChars="200"/>
        <w:rPr>
          <w:szCs w:val="21"/>
          <w:highlight w:val="none"/>
        </w:rPr>
      </w:pPr>
      <w:r>
        <w:rPr>
          <w:rFonts w:hint="eastAsia"/>
          <w:szCs w:val="21"/>
          <w:highlight w:val="none"/>
        </w:rPr>
        <w:t>（8）技术要求偏离表</w:t>
      </w:r>
    </w:p>
    <w:p w14:paraId="7EB53A64">
      <w:pPr>
        <w:ind w:firstLine="420" w:firstLineChars="200"/>
        <w:rPr>
          <w:szCs w:val="21"/>
          <w:highlight w:val="none"/>
        </w:rPr>
      </w:pPr>
      <w:r>
        <w:rPr>
          <w:rFonts w:hint="eastAsia"/>
          <w:szCs w:val="21"/>
          <w:highlight w:val="none"/>
        </w:rPr>
        <w:t>（9）商务要求偏离表</w:t>
      </w:r>
    </w:p>
    <w:p w14:paraId="7925C0A0">
      <w:pPr>
        <w:ind w:firstLine="422" w:firstLineChars="200"/>
        <w:rPr>
          <w:rFonts w:hint="eastAsia"/>
          <w:b/>
          <w:bCs/>
          <w:color w:val="0000FF"/>
          <w:szCs w:val="21"/>
          <w:highlight w:val="none"/>
        </w:rPr>
      </w:pPr>
      <w:r>
        <w:rPr>
          <w:rFonts w:hint="eastAsia"/>
          <w:b/>
          <w:bCs/>
          <w:color w:val="0000FF"/>
          <w:szCs w:val="21"/>
          <w:highlight w:val="none"/>
        </w:rPr>
        <w:t>（10）投标人承诺的售后服务内容和工作方案（格式自定）</w:t>
      </w:r>
    </w:p>
    <w:p w14:paraId="7D991329">
      <w:pPr>
        <w:ind w:firstLine="422" w:firstLineChars="200"/>
        <w:rPr>
          <w:b/>
          <w:bCs/>
          <w:color w:val="0000FF"/>
          <w:szCs w:val="21"/>
          <w:highlight w:val="none"/>
        </w:rPr>
      </w:pPr>
      <w:r>
        <w:rPr>
          <w:rFonts w:hint="eastAsia"/>
          <w:b/>
          <w:bCs/>
          <w:color w:val="0000FF"/>
          <w:szCs w:val="21"/>
          <w:highlight w:val="none"/>
        </w:rPr>
        <w:t>（</w:t>
      </w:r>
      <w:r>
        <w:rPr>
          <w:rFonts w:hint="eastAsia"/>
          <w:b/>
          <w:bCs/>
          <w:color w:val="0000FF"/>
          <w:szCs w:val="21"/>
          <w:highlight w:val="none"/>
          <w:lang w:val="en-US" w:eastAsia="zh-CN"/>
        </w:rPr>
        <w:t>11</w:t>
      </w:r>
      <w:r>
        <w:rPr>
          <w:rFonts w:hint="eastAsia"/>
          <w:b/>
          <w:bCs/>
          <w:color w:val="0000FF"/>
          <w:szCs w:val="21"/>
          <w:highlight w:val="none"/>
        </w:rPr>
        <w:t>）绿色采购情况（格式自定）</w:t>
      </w:r>
    </w:p>
    <w:p w14:paraId="541B097E">
      <w:pPr>
        <w:ind w:firstLine="422" w:firstLineChars="200"/>
        <w:rPr>
          <w:b/>
          <w:bCs/>
          <w:color w:val="0000FF"/>
          <w:szCs w:val="21"/>
          <w:highlight w:val="none"/>
        </w:rPr>
      </w:pPr>
      <w:r>
        <w:rPr>
          <w:rFonts w:hint="eastAsia"/>
          <w:b/>
          <w:bCs/>
          <w:color w:val="0000FF"/>
          <w:szCs w:val="21"/>
          <w:highlight w:val="none"/>
        </w:rPr>
        <w:t>（1</w:t>
      </w:r>
      <w:r>
        <w:rPr>
          <w:rFonts w:hint="eastAsia"/>
          <w:b/>
          <w:bCs/>
          <w:color w:val="0000FF"/>
          <w:szCs w:val="21"/>
          <w:highlight w:val="none"/>
          <w:lang w:val="en-US" w:eastAsia="zh-CN"/>
        </w:rPr>
        <w:t>2</w:t>
      </w:r>
      <w:r>
        <w:rPr>
          <w:rFonts w:hint="eastAsia"/>
          <w:b/>
          <w:bCs/>
          <w:color w:val="0000FF"/>
          <w:szCs w:val="21"/>
          <w:highlight w:val="none"/>
        </w:rPr>
        <w:t>）体系认证情况评价（格式自定）</w:t>
      </w:r>
    </w:p>
    <w:p w14:paraId="7DEC2144">
      <w:pPr>
        <w:ind w:firstLine="422" w:firstLineChars="200"/>
        <w:rPr>
          <w:b/>
          <w:bCs/>
          <w:color w:val="0000FF"/>
          <w:szCs w:val="21"/>
          <w:highlight w:val="none"/>
        </w:rPr>
      </w:pPr>
      <w:r>
        <w:rPr>
          <w:rFonts w:hint="eastAsia"/>
          <w:b/>
          <w:bCs/>
          <w:color w:val="0000FF"/>
          <w:szCs w:val="21"/>
          <w:highlight w:val="none"/>
        </w:rPr>
        <w:t>（1</w:t>
      </w:r>
      <w:r>
        <w:rPr>
          <w:rFonts w:hint="eastAsia"/>
          <w:b/>
          <w:bCs/>
          <w:color w:val="0000FF"/>
          <w:szCs w:val="21"/>
          <w:highlight w:val="none"/>
          <w:lang w:val="en-US" w:eastAsia="zh-CN"/>
        </w:rPr>
        <w:t>3</w:t>
      </w:r>
      <w:r>
        <w:rPr>
          <w:rFonts w:hint="eastAsia"/>
          <w:b/>
          <w:bCs/>
          <w:color w:val="0000FF"/>
          <w:szCs w:val="21"/>
          <w:highlight w:val="none"/>
        </w:rPr>
        <w:t>）项目经验评价（格式自定）</w:t>
      </w:r>
    </w:p>
    <w:p w14:paraId="21F7CCF2">
      <w:pPr>
        <w:ind w:firstLine="422" w:firstLineChars="200"/>
        <w:rPr>
          <w:b/>
          <w:bCs/>
          <w:color w:val="0000FF"/>
          <w:szCs w:val="21"/>
          <w:highlight w:val="none"/>
        </w:rPr>
      </w:pPr>
      <w:r>
        <w:rPr>
          <w:rFonts w:hint="eastAsia"/>
          <w:b/>
          <w:bCs/>
          <w:color w:val="0000FF"/>
          <w:szCs w:val="21"/>
          <w:highlight w:val="none"/>
        </w:rPr>
        <w:t>（1</w:t>
      </w:r>
      <w:r>
        <w:rPr>
          <w:rFonts w:hint="eastAsia"/>
          <w:b/>
          <w:bCs/>
          <w:color w:val="0000FF"/>
          <w:szCs w:val="21"/>
          <w:highlight w:val="none"/>
          <w:lang w:val="en-US" w:eastAsia="zh-CN"/>
        </w:rPr>
        <w:t>4</w:t>
      </w:r>
      <w:r>
        <w:rPr>
          <w:rFonts w:hint="eastAsia"/>
          <w:b/>
          <w:bCs/>
          <w:color w:val="0000FF"/>
          <w:szCs w:val="21"/>
          <w:highlight w:val="none"/>
        </w:rPr>
        <w:t>）投标人认为需要加以说明的其他内容（格式自定）</w:t>
      </w:r>
    </w:p>
    <w:p w14:paraId="6301CD1A">
      <w:pPr>
        <w:ind w:firstLine="420" w:firstLineChars="200"/>
        <w:rPr>
          <w:szCs w:val="21"/>
          <w:highlight w:val="none"/>
        </w:rPr>
      </w:pPr>
    </w:p>
    <w:p w14:paraId="7F046B3C">
      <w:pPr>
        <w:ind w:firstLine="426" w:firstLineChars="202"/>
        <w:rPr>
          <w:rFonts w:hint="eastAsia" w:ascii="宋体" w:hAnsi="宋体"/>
          <w:b/>
          <w:szCs w:val="21"/>
          <w:highlight w:val="none"/>
        </w:rPr>
      </w:pPr>
      <w:r>
        <w:rPr>
          <w:rFonts w:hint="eastAsia" w:ascii="宋体" w:hAnsi="宋体"/>
          <w:b/>
          <w:szCs w:val="21"/>
          <w:highlight w:val="none"/>
        </w:rPr>
        <w:t>备注：</w:t>
      </w:r>
    </w:p>
    <w:p w14:paraId="18B68B00">
      <w:pPr>
        <w:ind w:firstLine="426" w:firstLineChars="202"/>
        <w:rPr>
          <w:rFonts w:hint="eastAsia" w:ascii="宋体" w:hAnsi="宋体"/>
          <w:b/>
          <w:szCs w:val="21"/>
          <w:highlight w:val="none"/>
        </w:rPr>
      </w:pPr>
      <w:r>
        <w:rPr>
          <w:rFonts w:hint="eastAsia" w:ascii="宋体" w:hAnsi="宋体"/>
          <w:b/>
          <w:szCs w:val="21"/>
          <w:highlight w:val="none"/>
        </w:rPr>
        <w:t>1.本项目为网上电子投标项目，投标文件不需法人或授权委托人另行签字，无需加盖单位公章，招标文件专用条款另有规定的除外。</w:t>
      </w:r>
    </w:p>
    <w:p w14:paraId="5248910B">
      <w:pPr>
        <w:ind w:firstLine="426" w:firstLineChars="202"/>
        <w:rPr>
          <w:rFonts w:hint="eastAsia" w:ascii="宋体" w:hAnsi="宋体"/>
          <w:b/>
          <w:szCs w:val="21"/>
          <w:highlight w:val="none"/>
        </w:rPr>
      </w:pPr>
      <w:r>
        <w:rPr>
          <w:rFonts w:hint="eastAsia" w:ascii="宋体" w:hAnsi="宋体"/>
          <w:b/>
          <w:szCs w:val="21"/>
          <w:highlight w:val="none"/>
        </w:rPr>
        <w:t>2.关于填写“开标一览表”的说明：“开标一览表”中除“投标报价”外，其他信息不作评审依据。</w:t>
      </w:r>
    </w:p>
    <w:p w14:paraId="5BD6A471">
      <w:pPr>
        <w:jc w:val="left"/>
        <w:rPr>
          <w:rFonts w:hint="eastAsia" w:ascii="宋体" w:hAnsi="宋体"/>
          <w:b/>
          <w:color w:val="FF0000"/>
          <w:sz w:val="36"/>
          <w:szCs w:val="36"/>
          <w:highlight w:val="none"/>
        </w:rPr>
      </w:pPr>
      <w:r>
        <w:rPr>
          <w:rFonts w:hint="eastAsia" w:ascii="宋体" w:hAnsi="宋体"/>
          <w:b/>
          <w:color w:val="FF0000"/>
          <w:sz w:val="36"/>
          <w:szCs w:val="36"/>
          <w:highlight w:val="none"/>
        </w:rPr>
        <w:br w:type="page"/>
      </w:r>
    </w:p>
    <w:p w14:paraId="63658C8C">
      <w:pPr>
        <w:pStyle w:val="3"/>
        <w:jc w:val="center"/>
        <w:rPr>
          <w:rFonts w:hint="eastAsia" w:ascii="黑体" w:eastAsia="黑体"/>
          <w:b w:val="0"/>
          <w:kern w:val="0"/>
          <w:sz w:val="24"/>
          <w:highlight w:val="none"/>
        </w:rPr>
      </w:pPr>
      <w:r>
        <w:rPr>
          <w:rFonts w:hint="eastAsia" w:ascii="黑体" w:eastAsia="黑体"/>
          <w:b w:val="0"/>
          <w:kern w:val="0"/>
          <w:sz w:val="24"/>
          <w:highlight w:val="none"/>
        </w:rPr>
        <w:t>一、投标函</w:t>
      </w:r>
    </w:p>
    <w:p w14:paraId="75CF44F1">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szCs w:val="21"/>
          <w:highlight w:val="none"/>
        </w:rPr>
        <w:t>致：</w:t>
      </w:r>
      <w:r>
        <w:rPr>
          <w:rFonts w:hint="eastAsia" w:ascii="宋体" w:hAnsi="宋体"/>
          <w:szCs w:val="21"/>
          <w:highlight w:val="none"/>
          <w:u w:val="single"/>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eastAsia="zh-CN"/>
          <w14:textFill>
            <w14:solidFill>
              <w14:schemeClr w14:val="tx1"/>
            </w14:solidFill>
          </w14:textFill>
        </w:rPr>
        <w:t>深圳交易咨询集团有限公司</w:t>
      </w:r>
      <w:r>
        <w:rPr>
          <w:rFonts w:hint="eastAsia" w:ascii="宋体" w:hAnsi="宋体"/>
          <w:color w:val="000000" w:themeColor="text1"/>
          <w:szCs w:val="21"/>
          <w:highlight w:val="none"/>
          <w:u w:val="single"/>
          <w14:textFill>
            <w14:solidFill>
              <w14:schemeClr w14:val="tx1"/>
            </w14:solidFill>
          </w14:textFill>
        </w:rPr>
        <w:t xml:space="preserve">  </w:t>
      </w:r>
    </w:p>
    <w:p w14:paraId="21AE3FA7">
      <w:pPr>
        <w:ind w:firstLine="420" w:firstLineChars="200"/>
        <w:rPr>
          <w:rFonts w:hint="eastAsia" w:ascii="宋体" w:hAnsi="宋体"/>
          <w:szCs w:val="21"/>
          <w:highlight w:val="none"/>
        </w:rPr>
      </w:pPr>
      <w:bookmarkStart w:id="36" w:name="_Hlk73818812"/>
      <w:r>
        <w:rPr>
          <w:rFonts w:hint="eastAsia"/>
          <w:szCs w:val="21"/>
          <w:highlight w:val="none"/>
        </w:rPr>
        <w:t>1、根据已收到贵单位的项目编号为</w:t>
      </w:r>
      <w:r>
        <w:rPr>
          <w:szCs w:val="21"/>
          <w:highlight w:val="none"/>
          <w:u w:val="single"/>
        </w:rPr>
        <w:t xml:space="preserve">   </w:t>
      </w:r>
      <w:r>
        <w:rPr>
          <w:rFonts w:hint="eastAsia"/>
          <w:szCs w:val="21"/>
          <w:highlight w:val="none"/>
          <w:u w:val="single"/>
        </w:rPr>
        <w:t xml:space="preserve">     </w:t>
      </w:r>
      <w:r>
        <w:rPr>
          <w:rFonts w:hint="eastAsia"/>
          <w:szCs w:val="21"/>
          <w:highlight w:val="none"/>
        </w:rPr>
        <w:t>的</w:t>
      </w:r>
      <w:r>
        <w:rPr>
          <w:rFonts w:hint="eastAsia"/>
          <w:szCs w:val="21"/>
          <w:highlight w:val="none"/>
          <w:u w:val="single"/>
        </w:rPr>
        <w:t xml:space="preserve">               </w:t>
      </w:r>
      <w:r>
        <w:rPr>
          <w:rFonts w:hint="eastAsia"/>
          <w:szCs w:val="21"/>
          <w:highlight w:val="none"/>
        </w:rPr>
        <w:t>项目的招标文件，遵照《深圳经济特区政府采购条例》和《深圳网上政府采购管理暂行办法》等有关规定，我单位经研究上述招标文件的专用条款及通用条款后，</w:t>
      </w:r>
      <w:bookmarkStart w:id="37" w:name="_Hlk72263588"/>
      <w:r>
        <w:rPr>
          <w:rFonts w:hint="eastAsia"/>
          <w:szCs w:val="21"/>
          <w:highlight w:val="none"/>
        </w:rPr>
        <w:t>愿意按照招标文件要求承包上述项目并修补其任何缺陷。</w:t>
      </w:r>
      <w:bookmarkEnd w:id="37"/>
    </w:p>
    <w:p w14:paraId="5EE479A6">
      <w:pPr>
        <w:ind w:firstLine="420" w:firstLineChars="200"/>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、投标价格见</w:t>
      </w:r>
      <w:r>
        <w:rPr>
          <w:rFonts w:hint="eastAsia"/>
          <w:szCs w:val="21"/>
          <w:highlight w:val="none"/>
        </w:rPr>
        <w:t>投标书编制软件中《开标一览表》中填写的投标报价。</w:t>
      </w:r>
    </w:p>
    <w:p w14:paraId="6E51C5F2">
      <w:pPr>
        <w:ind w:firstLine="420" w:firstLineChars="200"/>
        <w:rPr>
          <w:rFonts w:hint="eastAsia" w:ascii="宋体" w:hAnsi="宋体"/>
          <w:szCs w:val="21"/>
          <w:highlight w:val="none"/>
        </w:rPr>
      </w:pPr>
      <w:r>
        <w:rPr>
          <w:rFonts w:hint="eastAsia" w:ascii="宋体" w:hAnsi="宋体"/>
          <w:szCs w:val="21"/>
          <w:highlight w:val="none"/>
        </w:rPr>
        <w:t>3、如果我单位中标，我单位将按照招标文件的要求提交履约担保。</w:t>
      </w:r>
    </w:p>
    <w:p w14:paraId="0ABFED02">
      <w:pPr>
        <w:ind w:firstLine="420" w:firstLineChars="200"/>
        <w:rPr>
          <w:rFonts w:hint="eastAsia" w:ascii="宋体" w:hAnsi="宋体"/>
          <w:szCs w:val="21"/>
          <w:highlight w:val="none"/>
        </w:rPr>
      </w:pPr>
      <w:r>
        <w:rPr>
          <w:rFonts w:hint="eastAsia" w:ascii="宋体" w:hAnsi="宋体"/>
          <w:szCs w:val="21"/>
          <w:highlight w:val="none"/>
        </w:rPr>
        <w:t>4、我单位同意所递交的投标文件在“对通用条款的补充内容”中明确的投标有效期内有效，在此期间内我单位的投标有可能中标，我方将受此约束。</w:t>
      </w:r>
    </w:p>
    <w:p w14:paraId="438214D1">
      <w:pPr>
        <w:ind w:firstLine="420" w:firstLineChars="200"/>
        <w:rPr>
          <w:rFonts w:hint="eastAsia" w:ascii="宋体" w:hAnsi="宋体"/>
          <w:szCs w:val="21"/>
          <w:highlight w:val="none"/>
        </w:rPr>
      </w:pPr>
      <w:r>
        <w:rPr>
          <w:rFonts w:hint="eastAsia" w:ascii="宋体" w:hAnsi="宋体"/>
          <w:szCs w:val="21"/>
          <w:highlight w:val="none"/>
        </w:rPr>
        <w:t>5、除非另外达成协议并生效，贵单位的中标通知书和本投标文件将构成合同的重要内容。</w:t>
      </w:r>
    </w:p>
    <w:p w14:paraId="57E39E4D">
      <w:pPr>
        <w:ind w:left="525" w:leftChars="200" w:hanging="105" w:hangingChars="50"/>
        <w:rPr>
          <w:rFonts w:hint="eastAsia" w:ascii="宋体" w:hAnsi="宋体"/>
          <w:szCs w:val="21"/>
          <w:highlight w:val="none"/>
        </w:rPr>
      </w:pPr>
      <w:r>
        <w:rPr>
          <w:rFonts w:hint="eastAsia" w:ascii="宋体" w:hAnsi="宋体"/>
          <w:szCs w:val="21"/>
          <w:highlight w:val="none"/>
        </w:rPr>
        <w:t>6、我单位理解贵单位将不受必须接受所收到的最低报价或其他任何投标文件的约束。</w:t>
      </w:r>
      <w:bookmarkEnd w:id="36"/>
    </w:p>
    <w:p w14:paraId="33BD4B58">
      <w:pPr>
        <w:ind w:firstLine="420" w:firstLineChars="200"/>
        <w:rPr>
          <w:rFonts w:hint="eastAsia" w:ascii="宋体" w:hAnsi="宋体"/>
          <w:szCs w:val="21"/>
          <w:highlight w:val="none"/>
        </w:rPr>
      </w:pPr>
      <w:r>
        <w:rPr>
          <w:rFonts w:hint="eastAsia" w:ascii="宋体" w:hAnsi="宋体"/>
          <w:szCs w:val="21"/>
          <w:highlight w:val="none"/>
        </w:rPr>
        <w:t>7、如我单位按项目要求提供样品，且未在规定时间内取回样品的，视同放弃取回，同意</w:t>
      </w:r>
      <w:r>
        <w:rPr>
          <w:rFonts w:hint="eastAsia" w:ascii="宋体" w:hAnsi="宋体"/>
          <w:szCs w:val="21"/>
          <w:highlight w:val="none"/>
          <w:lang w:eastAsia="zh-CN"/>
        </w:rPr>
        <w:t>深圳交易咨询集团有限公司</w:t>
      </w:r>
      <w:r>
        <w:rPr>
          <w:rFonts w:hint="eastAsia" w:ascii="宋体" w:hAnsi="宋体"/>
          <w:szCs w:val="21"/>
          <w:highlight w:val="none"/>
        </w:rPr>
        <w:t>对样品进行清理。</w:t>
      </w:r>
    </w:p>
    <w:p w14:paraId="36226908">
      <w:pPr>
        <w:ind w:left="420" w:leftChars="200" w:firstLine="210" w:firstLineChars="100"/>
        <w:rPr>
          <w:rFonts w:hint="eastAsia"/>
          <w:szCs w:val="21"/>
          <w:highlight w:val="none"/>
          <w:u w:val="none"/>
          <w:lang w:eastAsia="zh-CN"/>
        </w:rPr>
      </w:pPr>
      <w:r>
        <w:rPr>
          <w:rFonts w:hint="eastAsia"/>
          <w:szCs w:val="21"/>
          <w:highlight w:val="none"/>
        </w:rPr>
        <w:t>投标人：</w:t>
      </w:r>
      <w:r>
        <w:rPr>
          <w:rFonts w:hint="eastAsia"/>
          <w:szCs w:val="21"/>
          <w:highlight w:val="none"/>
          <w:u w:val="thick"/>
        </w:rPr>
        <w:t xml:space="preserve">       </w:t>
      </w:r>
      <w:r>
        <w:rPr>
          <w:rFonts w:hint="eastAsia" w:eastAsia="宋体"/>
          <w:szCs w:val="21"/>
          <w:highlight w:val="none"/>
          <w:lang w:eastAsia="zh-CN"/>
        </w:rPr>
        <w:t>；</w:t>
      </w:r>
      <w:r>
        <w:rPr>
          <w:rFonts w:hint="eastAsia"/>
          <w:szCs w:val="21"/>
          <w:highlight w:val="none"/>
        </w:rPr>
        <w:t xml:space="preserve">  单位地址：</w:t>
      </w:r>
      <w:r>
        <w:rPr>
          <w:rFonts w:hint="eastAsia"/>
          <w:szCs w:val="21"/>
          <w:highlight w:val="none"/>
          <w:u w:val="thick"/>
        </w:rPr>
        <w:t xml:space="preserve">       </w:t>
      </w:r>
      <w:r>
        <w:rPr>
          <w:rFonts w:hint="eastAsia" w:ascii="Times New Roman" w:eastAsia="宋体"/>
          <w:szCs w:val="21"/>
          <w:highlight w:val="none"/>
          <w:u w:val="thick"/>
          <w:lang w:val="en-US" w:eastAsia="zh-CN"/>
        </w:rPr>
        <w:t xml:space="preserve">             </w:t>
      </w:r>
      <w:r>
        <w:rPr>
          <w:rFonts w:hint="eastAsia" w:eastAsia="宋体"/>
          <w:szCs w:val="21"/>
          <w:highlight w:val="none"/>
          <w:u w:val="none"/>
          <w:lang w:eastAsia="zh-CN"/>
        </w:rPr>
        <w:t>；</w:t>
      </w:r>
    </w:p>
    <w:p w14:paraId="334D2185">
      <w:pPr>
        <w:ind w:left="420" w:leftChars="200" w:firstLine="210" w:firstLineChars="100"/>
        <w:rPr>
          <w:rFonts w:hint="eastAsia"/>
          <w:szCs w:val="21"/>
          <w:highlight w:val="none"/>
          <w:u w:val="none"/>
          <w:lang w:eastAsia="zh-CN"/>
        </w:rPr>
      </w:pPr>
      <w:r>
        <w:rPr>
          <w:rFonts w:hint="eastAsia"/>
          <w:szCs w:val="21"/>
          <w:highlight w:val="none"/>
        </w:rPr>
        <w:t>法定代表人（负责人）或其</w:t>
      </w:r>
      <w:r>
        <w:rPr>
          <w:rFonts w:hint="eastAsia" w:ascii="Times New Roman" w:eastAsia="宋体"/>
          <w:szCs w:val="21"/>
          <w:highlight w:val="none"/>
          <w:lang w:val="en-US" w:eastAsia="zh-CN"/>
        </w:rPr>
        <w:t>授权</w:t>
      </w:r>
      <w:r>
        <w:rPr>
          <w:rFonts w:hint="eastAsia"/>
          <w:szCs w:val="21"/>
          <w:highlight w:val="none"/>
        </w:rPr>
        <w:t>委托代理人：</w:t>
      </w:r>
      <w:r>
        <w:rPr>
          <w:rFonts w:hint="eastAsia"/>
          <w:szCs w:val="21"/>
          <w:highlight w:val="none"/>
          <w:u w:val="thick"/>
        </w:rPr>
        <w:t xml:space="preserve">         </w:t>
      </w:r>
      <w:r>
        <w:rPr>
          <w:rFonts w:hint="eastAsia" w:eastAsia="宋体"/>
          <w:szCs w:val="21"/>
          <w:highlight w:val="none"/>
          <w:u w:val="none"/>
          <w:lang w:eastAsia="zh-CN"/>
        </w:rPr>
        <w:t>；</w:t>
      </w:r>
    </w:p>
    <w:p w14:paraId="0EEB7F8A">
      <w:pPr>
        <w:ind w:left="420" w:leftChars="200" w:firstLine="210" w:firstLineChars="100"/>
        <w:rPr>
          <w:rFonts w:hint="eastAsia"/>
          <w:szCs w:val="21"/>
          <w:highlight w:val="none"/>
          <w:u w:val="none"/>
        </w:rPr>
      </w:pPr>
      <w:r>
        <w:rPr>
          <w:rFonts w:hint="eastAsia"/>
          <w:szCs w:val="21"/>
          <w:highlight w:val="none"/>
        </w:rPr>
        <w:t>电话</w:t>
      </w:r>
      <w:r>
        <w:rPr>
          <w:rFonts w:hint="eastAsia"/>
          <w:szCs w:val="21"/>
          <w:highlight w:val="none"/>
          <w:u w:val="none"/>
        </w:rPr>
        <w:t>：</w:t>
      </w:r>
      <w:r>
        <w:rPr>
          <w:rFonts w:hint="eastAsia"/>
          <w:szCs w:val="21"/>
          <w:highlight w:val="none"/>
          <w:u w:val="thick"/>
        </w:rPr>
        <w:t xml:space="preserve">         </w:t>
      </w:r>
      <w:r>
        <w:rPr>
          <w:rFonts w:hint="eastAsia"/>
          <w:szCs w:val="21"/>
          <w:highlight w:val="none"/>
        </w:rPr>
        <w:t xml:space="preserve"> </w:t>
      </w:r>
      <w:r>
        <w:rPr>
          <w:rFonts w:hint="eastAsia" w:eastAsia="宋体"/>
          <w:szCs w:val="21"/>
          <w:highlight w:val="none"/>
          <w:u w:val="none"/>
          <w:lang w:eastAsia="zh-CN"/>
        </w:rPr>
        <w:t>；</w:t>
      </w:r>
      <w:r>
        <w:rPr>
          <w:rFonts w:hint="eastAsia"/>
          <w:szCs w:val="21"/>
          <w:highlight w:val="none"/>
          <w:u w:val="none"/>
        </w:rPr>
        <w:t xml:space="preserve">     </w:t>
      </w:r>
    </w:p>
    <w:p w14:paraId="28B878C7">
      <w:pPr>
        <w:ind w:firstLine="539" w:firstLineChars="257"/>
        <w:rPr>
          <w:sz w:val="24"/>
          <w:highlight w:val="none"/>
        </w:rPr>
      </w:pPr>
      <w:r>
        <w:rPr>
          <w:rFonts w:hint="eastAsia" w:ascii="宋体" w:hAnsi="宋体"/>
          <w:szCs w:val="21"/>
          <w:highlight w:val="none"/>
        </w:rPr>
        <w:t>日期：</w:t>
      </w:r>
      <w:r>
        <w:rPr>
          <w:rFonts w:hint="eastAsia" w:ascii="宋体" w:hAnsi="宋体"/>
          <w:szCs w:val="21"/>
          <w:highlight w:val="none"/>
          <w:u w:val="thick"/>
        </w:rPr>
        <w:t xml:space="preserve">       </w:t>
      </w:r>
      <w:r>
        <w:rPr>
          <w:rFonts w:hint="eastAsia" w:ascii="宋体" w:hAnsi="宋体"/>
          <w:szCs w:val="21"/>
          <w:highlight w:val="none"/>
        </w:rPr>
        <w:t>年</w:t>
      </w:r>
      <w:r>
        <w:rPr>
          <w:rFonts w:hint="eastAsia" w:ascii="宋体" w:hAnsi="宋体"/>
          <w:szCs w:val="21"/>
          <w:highlight w:val="none"/>
          <w:u w:val="thick"/>
        </w:rPr>
        <w:t xml:space="preserve">     </w:t>
      </w:r>
      <w:r>
        <w:rPr>
          <w:rFonts w:hint="eastAsia" w:ascii="宋体" w:hAnsi="宋体"/>
          <w:szCs w:val="21"/>
          <w:highlight w:val="none"/>
        </w:rPr>
        <w:t>月</w:t>
      </w:r>
      <w:r>
        <w:rPr>
          <w:rFonts w:hint="eastAsia" w:ascii="宋体" w:hAnsi="宋体"/>
          <w:szCs w:val="21"/>
          <w:highlight w:val="none"/>
          <w:u w:val="thick"/>
        </w:rPr>
        <w:t xml:space="preserve">    </w:t>
      </w:r>
      <w:r>
        <w:rPr>
          <w:rFonts w:hint="eastAsia" w:ascii="宋体" w:hAnsi="宋体"/>
          <w:szCs w:val="21"/>
          <w:highlight w:val="none"/>
        </w:rPr>
        <w:t>日</w:t>
      </w:r>
      <w:r>
        <w:rPr>
          <w:rFonts w:hint="eastAsia"/>
          <w:sz w:val="24"/>
          <w:highlight w:val="none"/>
        </w:rPr>
        <w:t xml:space="preserve">                                 </w:t>
      </w:r>
    </w:p>
    <w:p w14:paraId="5B7883C7">
      <w:pPr>
        <w:rPr>
          <w:rFonts w:hint="eastAsia" w:ascii="黑体" w:hAnsi="宋体" w:eastAsia="黑体"/>
          <w:highlight w:val="none"/>
        </w:rPr>
      </w:pPr>
    </w:p>
    <w:p w14:paraId="40F75399">
      <w:pPr>
        <w:rPr>
          <w:rFonts w:hint="eastAsia" w:ascii="黑体" w:hAnsi="宋体" w:eastAsia="黑体"/>
          <w:highlight w:val="none"/>
        </w:rPr>
      </w:pPr>
    </w:p>
    <w:p w14:paraId="35BAB6D6">
      <w:pPr>
        <w:rPr>
          <w:rFonts w:hint="eastAsia" w:ascii="黑体" w:eastAsia="黑体"/>
          <w:b w:val="0"/>
          <w:kern w:val="0"/>
          <w:sz w:val="24"/>
          <w:highlight w:val="none"/>
        </w:rPr>
      </w:pPr>
      <w:r>
        <w:rPr>
          <w:rFonts w:hint="eastAsia" w:ascii="黑体" w:eastAsia="黑体"/>
          <w:b w:val="0"/>
          <w:kern w:val="0"/>
          <w:sz w:val="24"/>
          <w:highlight w:val="none"/>
        </w:rPr>
        <w:br w:type="page"/>
      </w:r>
    </w:p>
    <w:p w14:paraId="095563B3">
      <w:pPr>
        <w:pStyle w:val="3"/>
        <w:jc w:val="center"/>
        <w:rPr>
          <w:rFonts w:hint="eastAsia" w:ascii="黑体" w:eastAsia="黑体"/>
          <w:b w:val="0"/>
          <w:kern w:val="0"/>
          <w:sz w:val="24"/>
          <w:highlight w:val="none"/>
        </w:rPr>
      </w:pPr>
      <w:r>
        <w:rPr>
          <w:rFonts w:hint="eastAsia" w:ascii="黑体" w:eastAsia="黑体"/>
          <w:b w:val="0"/>
          <w:kern w:val="0"/>
          <w:sz w:val="24"/>
          <w:highlight w:val="none"/>
        </w:rPr>
        <w:t>二、采购投标及履约承诺函</w:t>
      </w:r>
    </w:p>
    <w:p w14:paraId="58447000">
      <w:pPr>
        <w:rPr>
          <w:rFonts w:hint="eastAsia" w:ascii="宋体" w:hAnsi="宋体"/>
          <w:sz w:val="24"/>
          <w:highlight w:val="none"/>
        </w:rPr>
      </w:pPr>
    </w:p>
    <w:p w14:paraId="680299C3">
      <w:pP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w:t>
      </w:r>
      <w:r>
        <w:rPr>
          <w:rFonts w:hint="eastAsia" w:ascii="宋体" w:hAnsi="宋体"/>
          <w:color w:val="000000" w:themeColor="text1"/>
          <w:szCs w:val="21"/>
          <w:highlight w:val="none"/>
          <w:u w:val="single"/>
          <w:lang w:eastAsia="zh-CN"/>
          <w14:textFill>
            <w14:solidFill>
              <w14:schemeClr w14:val="tx1"/>
            </w14:solidFill>
          </w14:textFill>
        </w:rPr>
        <w:t>深圳交易咨询集团有限公司</w:t>
      </w:r>
    </w:p>
    <w:p w14:paraId="4C9BF888">
      <w:pPr>
        <w:ind w:right="-815" w:firstLine="420" w:firstLineChars="200"/>
        <w:rPr>
          <w:rFonts w:hint="eastAsia" w:ascii="宋体" w:hAnsi="宋体"/>
          <w:szCs w:val="21"/>
          <w:highlight w:val="none"/>
        </w:rPr>
      </w:pPr>
      <w:r>
        <w:rPr>
          <w:rFonts w:hint="eastAsia" w:ascii="宋体" w:hAnsi="宋体"/>
          <w:szCs w:val="21"/>
          <w:highlight w:val="none"/>
        </w:rPr>
        <w:t>我单位承诺：</w:t>
      </w:r>
    </w:p>
    <w:p w14:paraId="0ABAC6BB">
      <w:pPr>
        <w:ind w:firstLine="420" w:firstLineChars="200"/>
        <w:rPr>
          <w:rFonts w:hint="eastAsia" w:ascii="宋体" w:hAnsi="宋体"/>
          <w:szCs w:val="21"/>
          <w:highlight w:val="none"/>
        </w:rPr>
      </w:pPr>
      <w:r>
        <w:rPr>
          <w:rFonts w:hint="eastAsia" w:ascii="宋体" w:hAnsi="宋体"/>
          <w:szCs w:val="21"/>
          <w:highlight w:val="none"/>
        </w:rPr>
        <w:t>1.我单位参与本项目</w:t>
      </w:r>
      <w:r>
        <w:rPr>
          <w:rFonts w:hint="eastAsia" w:ascii="宋体" w:hAnsi="宋体"/>
          <w:highlight w:val="none"/>
        </w:rPr>
        <w:t>所投标（响应）的货物、工程或服务，不存在侵犯知识产权的情况。</w:t>
      </w:r>
    </w:p>
    <w:p w14:paraId="4AE4F157">
      <w:pPr>
        <w:ind w:firstLine="420" w:firstLineChars="200"/>
        <w:rPr>
          <w:rFonts w:hint="eastAsia" w:ascii="宋体" w:hAnsi="宋体"/>
          <w:szCs w:val="21"/>
          <w:highlight w:val="none"/>
        </w:rPr>
      </w:pPr>
      <w:r>
        <w:rPr>
          <w:rFonts w:hint="eastAsia" w:ascii="宋体" w:hAnsi="宋体"/>
          <w:szCs w:val="21"/>
          <w:highlight w:val="none"/>
        </w:rPr>
        <w:t>2.我单位参与本项目</w:t>
      </w:r>
      <w:r>
        <w:rPr>
          <w:rFonts w:hint="eastAsia"/>
          <w:highlight w:val="none"/>
        </w:rPr>
        <w:t>采购活动时不存在被有关部门禁止参与政府采购活动且在有效期内的情况。符合招标文件关于联合体及进口产品的相关资格要求。</w:t>
      </w:r>
    </w:p>
    <w:p w14:paraId="6F0CF2C2">
      <w:pPr>
        <w:ind w:firstLine="420" w:firstLineChars="200"/>
        <w:rPr>
          <w:rFonts w:hint="eastAsia" w:ascii="宋体" w:hAnsi="宋体"/>
          <w:szCs w:val="21"/>
          <w:highlight w:val="none"/>
        </w:rPr>
      </w:pPr>
      <w:r>
        <w:rPr>
          <w:rFonts w:hint="eastAsia" w:ascii="宋体" w:hAnsi="宋体"/>
          <w:szCs w:val="21"/>
          <w:highlight w:val="none"/>
        </w:rPr>
        <w:t>3.我单位具备《中华人民共和国政府采购法》第二十二条第一款的条件。</w:t>
      </w:r>
    </w:p>
    <w:p w14:paraId="07F5D68A">
      <w:pPr>
        <w:ind w:firstLine="420" w:firstLineChars="200"/>
        <w:rPr>
          <w:highlight w:val="none"/>
        </w:rPr>
      </w:pPr>
      <w:r>
        <w:rPr>
          <w:rFonts w:hint="eastAsia" w:ascii="宋体" w:hAnsi="宋体"/>
          <w:szCs w:val="21"/>
          <w:highlight w:val="none"/>
        </w:rPr>
        <w:t>4.我单位</w:t>
      </w:r>
      <w:r>
        <w:rPr>
          <w:rFonts w:hint="eastAsia"/>
          <w:highlight w:val="none"/>
        </w:rPr>
        <w:t>未被列入失信被执行人、重大税收违法案件当事人名单、政府采购严重违法失信行为记录名单。</w:t>
      </w:r>
    </w:p>
    <w:p w14:paraId="49FBC92A">
      <w:pPr>
        <w:ind w:firstLine="420" w:firstLineChars="200"/>
        <w:rPr>
          <w:highlight w:val="none"/>
        </w:rPr>
      </w:pPr>
      <w:r>
        <w:rPr>
          <w:rFonts w:hint="eastAsia"/>
          <w:color w:val="FF0000"/>
          <w:highlight w:val="none"/>
        </w:rPr>
        <w:t>5.我单位不存在《深圳市财政局政府采购供应商信用信息管理办法》（深财规〔2023〕3号）列明的严重违法失信行为。</w:t>
      </w:r>
    </w:p>
    <w:p w14:paraId="66F4398B">
      <w:pPr>
        <w:ind w:firstLine="420" w:firstLineChars="200"/>
        <w:rPr>
          <w:rFonts w:hint="eastAsia" w:ascii="宋体" w:hAnsi="宋体"/>
          <w:szCs w:val="21"/>
          <w:highlight w:val="none"/>
        </w:rPr>
      </w:pPr>
      <w:r>
        <w:rPr>
          <w:rFonts w:hint="eastAsia" w:ascii="宋体" w:hAnsi="宋体"/>
          <w:szCs w:val="21"/>
          <w:highlight w:val="none"/>
        </w:rPr>
        <w:t>6.我单位参与该项目投标，严格遵守政府采购相关法律，不造假，不围标、串标、陪标。我单位已清楚，如违反上述要求，投标将作无效处理，被列入不良记录名单并在网上曝光，同时将被提请采购主管部门给予一定年限内禁止参与政府采购活动或其他处罚。</w:t>
      </w:r>
    </w:p>
    <w:p w14:paraId="05906CFA">
      <w:pPr>
        <w:ind w:firstLine="420" w:firstLineChars="200"/>
        <w:rPr>
          <w:rFonts w:hint="eastAsia" w:ascii="宋体" w:hAnsi="宋体"/>
          <w:szCs w:val="21"/>
          <w:highlight w:val="none"/>
        </w:rPr>
      </w:pPr>
      <w:r>
        <w:rPr>
          <w:rFonts w:hint="eastAsia" w:ascii="宋体" w:hAnsi="宋体"/>
          <w:szCs w:val="21"/>
          <w:highlight w:val="none"/>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67E6A80D">
      <w:pPr>
        <w:ind w:firstLine="420" w:firstLineChars="200"/>
        <w:rPr>
          <w:rFonts w:hint="eastAsia" w:ascii="宋体" w:hAnsi="宋体"/>
          <w:szCs w:val="21"/>
          <w:highlight w:val="none"/>
        </w:rPr>
      </w:pPr>
      <w:r>
        <w:rPr>
          <w:rFonts w:hint="eastAsia" w:ascii="宋体" w:hAnsi="宋体"/>
          <w:szCs w:val="21"/>
          <w:highlight w:val="none"/>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3382EB34">
      <w:pPr>
        <w:ind w:firstLine="420" w:firstLineChars="200"/>
        <w:rPr>
          <w:rFonts w:hint="eastAsia" w:ascii="宋体" w:hAnsi="宋体"/>
          <w:szCs w:val="21"/>
          <w:highlight w:val="none"/>
        </w:rPr>
      </w:pPr>
      <w:r>
        <w:rPr>
          <w:rFonts w:hint="eastAsia" w:ascii="宋体" w:hAnsi="宋体"/>
          <w:szCs w:val="21"/>
          <w:highlight w:val="none"/>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0AC35AEB">
      <w:pPr>
        <w:ind w:firstLine="420" w:firstLineChars="200"/>
        <w:rPr>
          <w:rFonts w:hint="eastAsia" w:ascii="宋体" w:hAnsi="宋体"/>
          <w:szCs w:val="21"/>
          <w:highlight w:val="none"/>
        </w:rPr>
      </w:pPr>
      <w:r>
        <w:rPr>
          <w:rFonts w:hint="eastAsia" w:ascii="宋体" w:hAnsi="宋体"/>
          <w:szCs w:val="21"/>
          <w:highlight w:val="none"/>
        </w:rPr>
        <w:t>9.我单位承诺中标后项目不转包，未经采购人同意不进行分包。</w:t>
      </w:r>
    </w:p>
    <w:p w14:paraId="23377354">
      <w:pPr>
        <w:ind w:firstLine="420" w:firstLineChars="200"/>
        <w:rPr>
          <w:rFonts w:hint="eastAsia" w:ascii="宋体" w:hAnsi="宋体"/>
          <w:highlight w:val="none"/>
        </w:rPr>
      </w:pPr>
      <w:r>
        <w:rPr>
          <w:rFonts w:hint="eastAsia" w:ascii="宋体" w:hAnsi="宋体"/>
          <w:szCs w:val="21"/>
          <w:highlight w:val="none"/>
        </w:rPr>
        <w:t>10</w:t>
      </w:r>
      <w:r>
        <w:rPr>
          <w:rFonts w:ascii="宋体" w:hAnsi="宋体"/>
          <w:szCs w:val="21"/>
          <w:highlight w:val="none"/>
        </w:rPr>
        <w:t>.</w:t>
      </w:r>
      <w:r>
        <w:rPr>
          <w:rFonts w:hint="eastAsia" w:ascii="宋体" w:hAnsi="宋体"/>
          <w:highlight w:val="none"/>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0F8C2170">
      <w:pPr>
        <w:ind w:firstLine="420" w:firstLineChars="200"/>
        <w:rPr>
          <w:rFonts w:hint="eastAsia" w:ascii="宋体" w:hAnsi="宋体" w:cs="宋体"/>
          <w:b/>
          <w:kern w:val="0"/>
          <w:szCs w:val="21"/>
          <w:highlight w:val="none"/>
        </w:rPr>
      </w:pPr>
      <w:r>
        <w:rPr>
          <w:rFonts w:hint="eastAsia" w:ascii="宋体" w:hAnsi="宋体"/>
          <w:highlight w:val="none"/>
        </w:rPr>
        <w:t>11</w:t>
      </w:r>
      <w:r>
        <w:rPr>
          <w:rFonts w:ascii="宋体" w:hAnsi="宋体"/>
          <w:highlight w:val="none"/>
        </w:rPr>
        <w:t>.</w:t>
      </w:r>
      <w:r>
        <w:rPr>
          <w:rFonts w:hint="eastAsia" w:ascii="宋体" w:hAnsi="宋体"/>
          <w:highlight w:val="none"/>
        </w:rPr>
        <w:t>我单位保证，若所投货物涉及</w:t>
      </w:r>
      <w:r>
        <w:rPr>
          <w:rFonts w:ascii="宋体" w:hAnsi="宋体"/>
          <w:highlight w:val="none"/>
        </w:rPr>
        <w:t>《</w:t>
      </w:r>
      <w:r>
        <w:rPr>
          <w:rFonts w:hint="eastAsia" w:ascii="宋体" w:hAnsi="宋体"/>
          <w:highlight w:val="none"/>
        </w:rPr>
        <w:t>财政部生态环境部关于印发节能产品政府采购品目清单的通知》（财库〔20</w:t>
      </w:r>
      <w:r>
        <w:rPr>
          <w:rFonts w:ascii="宋体" w:hAnsi="宋体"/>
          <w:highlight w:val="none"/>
        </w:rPr>
        <w:t>19</w:t>
      </w:r>
      <w:r>
        <w:rPr>
          <w:rFonts w:hint="eastAsia" w:ascii="宋体" w:hAnsi="宋体"/>
          <w:highlight w:val="none"/>
        </w:rPr>
        <w:t>〕</w:t>
      </w:r>
      <w:r>
        <w:rPr>
          <w:rFonts w:ascii="宋体" w:hAnsi="宋体"/>
          <w:highlight w:val="none"/>
        </w:rPr>
        <w:t>19</w:t>
      </w:r>
      <w:r>
        <w:rPr>
          <w:rFonts w:hint="eastAsia" w:ascii="宋体" w:hAnsi="宋体"/>
          <w:highlight w:val="none"/>
        </w:rPr>
        <w:t>号）列明的政府采购强制产品，则所投该产品符合节能产品的认证要求。若所投产品包括数据中心相关设备的，应满足</w:t>
      </w:r>
      <w:r>
        <w:rPr>
          <w:rFonts w:hint="eastAsia"/>
          <w:highlight w:val="none"/>
        </w:rPr>
        <w:t>《财政部 生态环境部 工业和信息化部关于印发&lt;绿色数据中心政府采购需求标准（试行）&gt;的通知》（财库〔2023〕7号）要求。若所投产品涉及国家强制性标准的，所投产品应符合国家强制性标准相关要求。</w:t>
      </w:r>
    </w:p>
    <w:p w14:paraId="17BD2CE8">
      <w:pPr>
        <w:ind w:firstLine="420" w:firstLineChars="200"/>
        <w:rPr>
          <w:rFonts w:hint="eastAsia" w:ascii="宋体" w:hAnsi="宋体"/>
          <w:bCs/>
          <w:highlight w:val="none"/>
        </w:rPr>
      </w:pPr>
      <w:r>
        <w:rPr>
          <w:rFonts w:hint="eastAsia" w:ascii="宋体" w:hAnsi="宋体" w:cs="宋体"/>
          <w:bCs/>
          <w:kern w:val="0"/>
          <w:szCs w:val="21"/>
          <w:highlight w:val="none"/>
        </w:rPr>
        <w:t>12.</w:t>
      </w:r>
      <w:r>
        <w:rPr>
          <w:rFonts w:hint="eastAsia" w:ascii="宋体" w:hAnsi="宋体"/>
          <w:bCs/>
          <w:highlight w:val="none"/>
        </w:rPr>
        <w:t>我单位已知悉并同意中标（成交）结果信息公示的内容。</w:t>
      </w:r>
    </w:p>
    <w:p w14:paraId="7AB8E0F5">
      <w:pPr>
        <w:ind w:firstLine="420" w:firstLineChars="200"/>
        <w:rPr>
          <w:rFonts w:hint="eastAsia" w:ascii="宋体" w:hAnsi="宋体"/>
          <w:bCs/>
          <w:highlight w:val="none"/>
        </w:rPr>
      </w:pPr>
      <w:r>
        <w:rPr>
          <w:rFonts w:hint="eastAsia" w:ascii="宋体" w:hAnsi="宋体"/>
          <w:bCs/>
          <w:highlight w:val="none"/>
        </w:rPr>
        <w:t>13.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bCs/>
          <w:color w:val="FF0000"/>
          <w:highlight w:val="none"/>
        </w:rPr>
        <w:t>若存在“不同供应商的董事、股东或其他高级管理人员为同一人的”情形的，我单位保证不存在串通投标、恶意串通或者视为串通投标的情形。</w:t>
      </w:r>
    </w:p>
    <w:p w14:paraId="77AE4AB1">
      <w:pPr>
        <w:ind w:firstLine="422" w:firstLineChars="200"/>
        <w:rPr>
          <w:rFonts w:hint="eastAsia" w:ascii="宋体" w:hAnsi="宋体"/>
          <w:b/>
          <w:highlight w:val="none"/>
        </w:rPr>
      </w:pPr>
      <w:r>
        <w:rPr>
          <w:rFonts w:hint="eastAsia" w:ascii="宋体" w:hAnsi="宋体"/>
          <w:b/>
          <w:highlight w:val="none"/>
        </w:rPr>
        <w:t>14.我单位清楚，如存在违反投标承诺行为情节严重的，将根据《深圳市财政局关于印发&lt;深圳市财政局政府采购供应商信用信息管理办法&gt;的通知》，依法被列入失信信息。</w:t>
      </w:r>
    </w:p>
    <w:p w14:paraId="53E0D99D">
      <w:pPr>
        <w:ind w:firstLine="420" w:firstLineChars="200"/>
        <w:rPr>
          <w:rFonts w:hint="eastAsia" w:ascii="宋体" w:hAnsi="宋体"/>
          <w:bCs/>
          <w:highlight w:val="none"/>
        </w:rPr>
      </w:pPr>
      <w:r>
        <w:rPr>
          <w:rFonts w:hint="eastAsia" w:ascii="宋体" w:hAnsi="宋体"/>
          <w:bCs/>
          <w:highlight w:val="none"/>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16DDE3DA">
      <w:pPr>
        <w:ind w:firstLine="420" w:firstLineChars="200"/>
        <w:rPr>
          <w:rFonts w:hint="eastAsia" w:ascii="宋体" w:hAnsi="宋体"/>
          <w:szCs w:val="21"/>
          <w:highlight w:val="none"/>
        </w:rPr>
      </w:pPr>
      <w:r>
        <w:rPr>
          <w:rFonts w:hint="eastAsia" w:ascii="宋体" w:hAnsi="宋体"/>
          <w:szCs w:val="21"/>
          <w:highlight w:val="none"/>
        </w:rPr>
        <w:t>以上承诺，如有违反，愿依照国家相关法律法规处理，并承担由此给采购人带来的损失。</w:t>
      </w:r>
    </w:p>
    <w:p w14:paraId="50F34EEA">
      <w:pPr>
        <w:ind w:firstLine="420" w:firstLineChars="200"/>
        <w:rPr>
          <w:rFonts w:hint="eastAsia" w:ascii="宋体" w:hAnsi="宋体"/>
          <w:szCs w:val="21"/>
          <w:highlight w:val="none"/>
        </w:rPr>
      </w:pPr>
    </w:p>
    <w:p w14:paraId="38F09F96">
      <w:pPr>
        <w:spacing w:before="78" w:beforeLines="25" w:after="78" w:afterLines="25"/>
        <w:ind w:firstLine="5460" w:firstLineChars="2600"/>
        <w:rPr>
          <w:rFonts w:hint="eastAsia" w:ascii="宋体" w:hAnsi="宋体"/>
          <w:szCs w:val="21"/>
          <w:highlight w:val="none"/>
        </w:rPr>
      </w:pPr>
      <w:r>
        <w:rPr>
          <w:rFonts w:hint="eastAsia" w:ascii="宋体" w:hAnsi="宋体"/>
          <w:szCs w:val="21"/>
          <w:highlight w:val="none"/>
        </w:rPr>
        <w:t xml:space="preserve">                                    </w:t>
      </w:r>
    </w:p>
    <w:p w14:paraId="24CFC391">
      <w:pPr>
        <w:spacing w:before="78" w:beforeLines="25" w:after="78" w:afterLines="25"/>
        <w:ind w:firstLine="5460" w:firstLineChars="2600"/>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w:t>
      </w:r>
      <w:r>
        <w:rPr>
          <w:rFonts w:hint="eastAsia"/>
          <w:color w:val="000000" w:themeColor="text1"/>
          <w:szCs w:val="21"/>
          <w:highlight w:val="none"/>
          <w:u w:val="single"/>
          <w14:textFill>
            <w14:solidFill>
              <w14:schemeClr w14:val="tx1"/>
            </w14:solidFill>
          </w14:textFill>
        </w:rPr>
        <w:t xml:space="preserve">              </w:t>
      </w:r>
    </w:p>
    <w:p w14:paraId="470AA548">
      <w:pPr>
        <w:ind w:firstLine="645"/>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日期：</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193C6DDC">
      <w:pPr>
        <w:rPr>
          <w:highlight w:val="none"/>
        </w:rPr>
      </w:pPr>
    </w:p>
    <w:p w14:paraId="5BE18B29">
      <w:pPr>
        <w:rPr>
          <w:highlight w:val="none"/>
        </w:rPr>
      </w:pPr>
    </w:p>
    <w:p w14:paraId="3A24D619">
      <w:pPr>
        <w:rPr>
          <w:rFonts w:hint="eastAsia" w:ascii="黑体" w:eastAsia="黑体"/>
          <w:b w:val="0"/>
          <w:kern w:val="0"/>
          <w:sz w:val="24"/>
          <w:highlight w:val="none"/>
        </w:rPr>
      </w:pPr>
      <w:r>
        <w:rPr>
          <w:rFonts w:hint="eastAsia" w:ascii="黑体" w:eastAsia="黑体"/>
          <w:b w:val="0"/>
          <w:kern w:val="0"/>
          <w:sz w:val="24"/>
          <w:highlight w:val="none"/>
        </w:rPr>
        <w:br w:type="page"/>
      </w:r>
    </w:p>
    <w:p w14:paraId="1116824B">
      <w:pPr>
        <w:pStyle w:val="3"/>
        <w:spacing w:before="120" w:after="120"/>
        <w:jc w:val="center"/>
        <w:rPr>
          <w:rFonts w:hint="eastAsia" w:ascii="黑体" w:eastAsia="黑体"/>
          <w:b w:val="0"/>
          <w:kern w:val="0"/>
          <w:sz w:val="24"/>
          <w:highlight w:val="none"/>
        </w:rPr>
      </w:pPr>
      <w:r>
        <w:rPr>
          <w:rFonts w:hint="eastAsia" w:ascii="黑体" w:eastAsia="黑体"/>
          <w:b w:val="0"/>
          <w:kern w:val="0"/>
          <w:sz w:val="24"/>
          <w:highlight w:val="none"/>
        </w:rPr>
        <w:t>三、投标人情况及资格证明文件</w:t>
      </w:r>
    </w:p>
    <w:p w14:paraId="4F24AC5E">
      <w:pPr>
        <w:outlineLvl w:val="3"/>
        <w:rPr>
          <w:rFonts w:hint="eastAsia" w:ascii="黑体" w:hAnsi="宋体" w:eastAsia="黑体"/>
          <w:bCs/>
          <w:kern w:val="0"/>
          <w:sz w:val="24"/>
          <w:szCs w:val="32"/>
          <w:highlight w:val="none"/>
        </w:rPr>
      </w:pPr>
      <w:r>
        <w:rPr>
          <w:rFonts w:hint="eastAsia" w:ascii="黑体" w:hAnsi="宋体" w:eastAsia="黑体"/>
          <w:bCs/>
          <w:kern w:val="0"/>
          <w:sz w:val="24"/>
          <w:szCs w:val="32"/>
          <w:highlight w:val="none"/>
        </w:rPr>
        <w:t>（一）投标人资格证明文件</w:t>
      </w:r>
    </w:p>
    <w:p w14:paraId="6C13AF24">
      <w:pPr>
        <w:spacing w:before="156" w:beforeLines="50"/>
        <w:ind w:firstLine="422" w:firstLineChars="200"/>
        <w:rPr>
          <w:b/>
          <w:bCs/>
          <w:color w:val="FF0000"/>
          <w:highlight w:val="none"/>
        </w:rPr>
      </w:pPr>
      <w:r>
        <w:rPr>
          <w:rFonts w:hint="eastAsia"/>
          <w:b/>
          <w:bCs/>
          <w:color w:val="FF0000"/>
          <w:highlight w:val="none"/>
        </w:rPr>
        <w:t>（特别提示：投标人须按本招标文件第一册第一章招标公告 “投标人的资格要求”（即投标人资格要求）提供相关的资格证明资料，未提供或提供不完整、不符合要求的，将作投标无效处理，其中要求提供《采购投标及履约承诺函》且已在“二、采购投标及履约承诺函”章节中提供了，此处可不重复提供。）</w:t>
      </w:r>
    </w:p>
    <w:p w14:paraId="0E86B369">
      <w:pPr>
        <w:outlineLvl w:val="3"/>
        <w:rPr>
          <w:rFonts w:hint="eastAsia" w:ascii="黑体" w:hAnsi="宋体" w:eastAsia="黑体"/>
          <w:bCs/>
          <w:kern w:val="0"/>
          <w:sz w:val="24"/>
          <w:szCs w:val="32"/>
          <w:highlight w:val="none"/>
        </w:rPr>
      </w:pPr>
      <w:r>
        <w:rPr>
          <w:rFonts w:hint="eastAsia" w:ascii="黑体" w:hAnsi="宋体" w:eastAsia="黑体"/>
          <w:bCs/>
          <w:kern w:val="0"/>
          <w:sz w:val="24"/>
          <w:szCs w:val="32"/>
          <w:highlight w:val="none"/>
        </w:rPr>
        <w:t>（</w:t>
      </w:r>
      <w:r>
        <w:rPr>
          <w:rFonts w:hint="eastAsia" w:ascii="黑体" w:hAnsi="宋体" w:eastAsia="黑体"/>
          <w:bCs/>
          <w:kern w:val="0"/>
          <w:sz w:val="24"/>
          <w:szCs w:val="32"/>
          <w:highlight w:val="none"/>
          <w:lang w:val="en-US" w:eastAsia="zh-CN"/>
        </w:rPr>
        <w:t>二</w:t>
      </w:r>
      <w:r>
        <w:rPr>
          <w:rFonts w:hint="eastAsia" w:ascii="黑体" w:hAnsi="宋体" w:eastAsia="黑体"/>
          <w:bCs/>
          <w:kern w:val="0"/>
          <w:sz w:val="24"/>
          <w:szCs w:val="32"/>
          <w:highlight w:val="none"/>
        </w:rPr>
        <w:t>）《供应商基本情况表》</w:t>
      </w:r>
    </w:p>
    <w:p w14:paraId="007D247E">
      <w:pPr>
        <w:jc w:val="center"/>
        <w:rPr>
          <w:rFonts w:hint="eastAsia"/>
          <w:szCs w:val="21"/>
          <w:highlight w:val="none"/>
        </w:rPr>
      </w:pPr>
      <w:r>
        <w:rPr>
          <w:rFonts w:hint="eastAsia" w:ascii="黑体" w:hAnsi="宋体" w:eastAsia="黑体"/>
          <w:bCs/>
          <w:kern w:val="0"/>
          <w:sz w:val="24"/>
          <w:szCs w:val="32"/>
          <w:highlight w:val="none"/>
        </w:rPr>
        <w:t>供应商基本情况表</w:t>
      </w:r>
    </w:p>
    <w:p w14:paraId="2B9DCF91">
      <w:pPr>
        <w:jc w:val="left"/>
        <w:rPr>
          <w:color w:val="000000" w:themeColor="text1"/>
          <w:szCs w:val="21"/>
          <w:highlight w:val="none"/>
          <w14:textFill>
            <w14:solidFill>
              <w14:schemeClr w14:val="tx1"/>
            </w14:solidFill>
          </w14:textFill>
        </w:rPr>
      </w:pPr>
      <w:r>
        <w:rPr>
          <w:rFonts w:hint="eastAsia"/>
          <w:szCs w:val="21"/>
          <w:highlight w:val="none"/>
        </w:rPr>
        <w:t>填表单</w:t>
      </w:r>
      <w:r>
        <w:rPr>
          <w:rFonts w:hint="eastAsia"/>
          <w:color w:val="000000" w:themeColor="text1"/>
          <w:szCs w:val="21"/>
          <w:highlight w:val="none"/>
          <w14:textFill>
            <w14:solidFill>
              <w14:schemeClr w14:val="tx1"/>
            </w14:solidFill>
          </w14:textFill>
        </w:rPr>
        <w:t>位（加盖单位公章）：</w:t>
      </w:r>
      <w:r>
        <w:rPr>
          <w:rFonts w:hint="eastAsia"/>
          <w:color w:val="000000" w:themeColor="text1"/>
          <w:szCs w:val="21"/>
          <w:highlight w:val="none"/>
          <w:lang w:val="en-US"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填表日期：        年     月      日</w:t>
      </w:r>
    </w:p>
    <w:p w14:paraId="17BE2646">
      <w:pPr>
        <w:spacing w:line="75" w:lineRule="exact"/>
        <w:rPr>
          <w:rFonts w:hint="eastAsia" w:ascii="宋体" w:hAnsi="宋体" w:cs="宋体"/>
          <w:color w:val="000000" w:themeColor="text1"/>
          <w:szCs w:val="21"/>
          <w:highlight w:val="none"/>
          <w14:textFill>
            <w14:solidFill>
              <w14:schemeClr w14:val="tx1"/>
            </w14:solidFill>
          </w14:textFill>
        </w:rPr>
      </w:pPr>
    </w:p>
    <w:tbl>
      <w:tblPr>
        <w:tblStyle w:val="204"/>
        <w:tblW w:w="831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4"/>
        <w:gridCol w:w="629"/>
        <w:gridCol w:w="1487"/>
        <w:gridCol w:w="878"/>
        <w:gridCol w:w="735"/>
        <w:gridCol w:w="1108"/>
        <w:gridCol w:w="1390"/>
        <w:gridCol w:w="1405"/>
      </w:tblGrid>
      <w:tr w14:paraId="1944A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13" w:type="dxa"/>
            <w:gridSpan w:val="2"/>
            <w:vAlign w:val="center"/>
          </w:tcPr>
          <w:p w14:paraId="77445772">
            <w:pPr>
              <w:pStyle w:val="20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pacing w:val="-4"/>
                <w:sz w:val="21"/>
                <w:szCs w:val="21"/>
                <w:highlight w:val="none"/>
                <w:lang w:eastAsia="zh-CN"/>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采购人</w:t>
            </w:r>
          </w:p>
        </w:tc>
        <w:tc>
          <w:tcPr>
            <w:tcW w:w="2365" w:type="dxa"/>
            <w:gridSpan w:val="2"/>
            <w:vAlign w:val="center"/>
          </w:tcPr>
          <w:p w14:paraId="4D7045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843" w:type="dxa"/>
            <w:gridSpan w:val="2"/>
            <w:vAlign w:val="center"/>
          </w:tcPr>
          <w:p w14:paraId="3620EDDE">
            <w:pPr>
              <w:pStyle w:val="20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pacing w:val="-4"/>
                <w:sz w:val="21"/>
                <w:szCs w:val="21"/>
                <w:highlight w:val="none"/>
                <w:lang w:eastAsia="zh-CN"/>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项目名称</w:t>
            </w:r>
          </w:p>
        </w:tc>
        <w:tc>
          <w:tcPr>
            <w:tcW w:w="2795" w:type="dxa"/>
            <w:gridSpan w:val="2"/>
            <w:vAlign w:val="center"/>
          </w:tcPr>
          <w:p w14:paraId="321FD0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r>
      <w:tr w14:paraId="10645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13" w:type="dxa"/>
            <w:gridSpan w:val="2"/>
            <w:vAlign w:val="center"/>
          </w:tcPr>
          <w:p w14:paraId="7AD65E6D">
            <w:pPr>
              <w:pStyle w:val="20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pacing w:val="-4"/>
                <w:sz w:val="21"/>
                <w:szCs w:val="21"/>
                <w:highlight w:val="none"/>
                <w:lang w:eastAsia="zh-CN"/>
                <w14:textFill>
                  <w14:solidFill>
                    <w14:schemeClr w14:val="tx1"/>
                  </w14:solidFill>
                </w14:textFill>
              </w:rPr>
            </w:pPr>
            <w:r>
              <w:rPr>
                <w:rFonts w:hint="eastAsia" w:ascii="宋体" w:hAnsi="宋体" w:eastAsia="宋体" w:cs="宋体"/>
                <w:color w:val="000000" w:themeColor="text1"/>
                <w:spacing w:val="-4"/>
                <w:sz w:val="21"/>
                <w:szCs w:val="21"/>
                <w:highlight w:val="none"/>
                <w:lang w:eastAsia="zh-CN"/>
                <w14:textFill>
                  <w14:solidFill>
                    <w14:schemeClr w14:val="tx1"/>
                  </w14:solidFill>
                </w14:textFill>
              </w:rPr>
              <w:t>投标（响应）供应商</w:t>
            </w:r>
          </w:p>
        </w:tc>
        <w:tc>
          <w:tcPr>
            <w:tcW w:w="2365" w:type="dxa"/>
            <w:gridSpan w:val="2"/>
            <w:vAlign w:val="center"/>
          </w:tcPr>
          <w:p w14:paraId="039B82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843" w:type="dxa"/>
            <w:gridSpan w:val="2"/>
            <w:vAlign w:val="center"/>
          </w:tcPr>
          <w:p w14:paraId="74C231F6">
            <w:pPr>
              <w:pStyle w:val="20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pacing w:val="-4"/>
                <w:sz w:val="21"/>
                <w:szCs w:val="21"/>
                <w:highlight w:val="none"/>
                <w:lang w:eastAsia="zh-CN"/>
                <w14:textFill>
                  <w14:solidFill>
                    <w14:schemeClr w14:val="tx1"/>
                  </w14:solidFill>
                </w14:textFill>
              </w:rPr>
            </w:pPr>
            <w:r>
              <w:rPr>
                <w:rFonts w:hint="eastAsia" w:ascii="宋体" w:hAnsi="宋体" w:eastAsia="宋体" w:cs="宋体"/>
                <w:color w:val="000000" w:themeColor="text1"/>
                <w:spacing w:val="-4"/>
                <w:sz w:val="21"/>
                <w:szCs w:val="21"/>
                <w:highlight w:val="none"/>
                <w:lang w:eastAsia="zh-CN"/>
                <w14:textFill>
                  <w14:solidFill>
                    <w14:schemeClr w14:val="tx1"/>
                  </w14:solidFill>
                </w14:textFill>
              </w:rPr>
              <w:t>供应商统一社会信用代码</w:t>
            </w:r>
          </w:p>
        </w:tc>
        <w:tc>
          <w:tcPr>
            <w:tcW w:w="2795" w:type="dxa"/>
            <w:gridSpan w:val="2"/>
            <w:vAlign w:val="center"/>
          </w:tcPr>
          <w:p w14:paraId="0B6740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r>
      <w:tr w14:paraId="6A091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316" w:type="dxa"/>
            <w:gridSpan w:val="8"/>
            <w:vAlign w:val="center"/>
          </w:tcPr>
          <w:p w14:paraId="0F8EB8AC">
            <w:pPr>
              <w:pStyle w:val="203"/>
              <w:keepNext w:val="0"/>
              <w:keepLines w:val="0"/>
              <w:pageBreakBefore w:val="0"/>
              <w:widowControl w:val="0"/>
              <w:kinsoku/>
              <w:wordWrap/>
              <w:overflowPunct/>
              <w:topLinePunct w:val="0"/>
              <w:autoSpaceDE/>
              <w:autoSpaceDN/>
              <w:bidi w:val="0"/>
              <w:adjustRightInd/>
              <w:snapToGrid/>
              <w:spacing w:line="240" w:lineRule="auto"/>
              <w:ind w:left="2683"/>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投标（响应）供应商相关人员情况</w:t>
            </w:r>
          </w:p>
        </w:tc>
      </w:tr>
      <w:tr w14:paraId="6FA9A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84" w:type="dxa"/>
            <w:vAlign w:val="center"/>
          </w:tcPr>
          <w:p w14:paraId="094F4A62">
            <w:pPr>
              <w:pStyle w:val="203"/>
              <w:keepNext w:val="0"/>
              <w:keepLines w:val="0"/>
              <w:pageBreakBefore w:val="0"/>
              <w:widowControl w:val="0"/>
              <w:kinsoku/>
              <w:wordWrap/>
              <w:overflowPunct/>
              <w:topLinePunct w:val="0"/>
              <w:autoSpaceDE/>
              <w:autoSpaceDN/>
              <w:bidi w:val="0"/>
              <w:adjustRightInd/>
              <w:snapToGrid/>
              <w:spacing w:line="240" w:lineRule="auto"/>
              <w:ind w:left="145"/>
              <w:jc w:val="center"/>
              <w:textAlignment w:val="auto"/>
              <w:rPr>
                <w:rFonts w:hint="eastAsia" w:ascii="宋体" w:hAnsi="宋体" w:eastAsia="宋体" w:cs="宋体"/>
                <w:color w:val="000000" w:themeColor="text1"/>
                <w:spacing w:val="-5"/>
                <w:sz w:val="21"/>
                <w:szCs w:val="21"/>
                <w:highlight w:val="none"/>
                <w:lang w:eastAsia="zh-CN"/>
                <w14:textFill>
                  <w14:solidFill>
                    <w14:schemeClr w14:val="tx1"/>
                  </w14:solidFill>
                </w14:textFill>
              </w:rPr>
            </w:pPr>
            <w:r>
              <w:rPr>
                <w:rFonts w:hint="eastAsia" w:ascii="宋体" w:hAnsi="宋体" w:eastAsia="宋体" w:cs="宋体"/>
                <w:color w:val="000000" w:themeColor="text1"/>
                <w:spacing w:val="-5"/>
                <w:sz w:val="21"/>
                <w:szCs w:val="21"/>
                <w:highlight w:val="none"/>
                <w:lang w:eastAsia="zh-CN"/>
                <w14:textFill>
                  <w14:solidFill>
                    <w14:schemeClr w14:val="tx1"/>
                  </w14:solidFill>
                </w14:textFill>
              </w:rPr>
              <w:t>序号</w:t>
            </w:r>
          </w:p>
        </w:tc>
        <w:tc>
          <w:tcPr>
            <w:tcW w:w="2116" w:type="dxa"/>
            <w:gridSpan w:val="2"/>
            <w:vAlign w:val="center"/>
          </w:tcPr>
          <w:p w14:paraId="0D515D8D">
            <w:pPr>
              <w:pStyle w:val="203"/>
              <w:keepNext w:val="0"/>
              <w:keepLines w:val="0"/>
              <w:pageBreakBefore w:val="0"/>
              <w:widowControl w:val="0"/>
              <w:kinsoku/>
              <w:wordWrap/>
              <w:overflowPunct/>
              <w:topLinePunct w:val="0"/>
              <w:autoSpaceDE/>
              <w:autoSpaceDN/>
              <w:bidi w:val="0"/>
              <w:adjustRightInd/>
              <w:snapToGrid/>
              <w:spacing w:line="240" w:lineRule="auto"/>
              <w:ind w:left="916"/>
              <w:jc w:val="center"/>
              <w:textAlignment w:val="auto"/>
              <w:rPr>
                <w:rFonts w:hint="eastAsia" w:ascii="宋体" w:hAnsi="宋体" w:eastAsia="宋体" w:cs="宋体"/>
                <w:color w:val="000000" w:themeColor="text1"/>
                <w:spacing w:val="-6"/>
                <w:sz w:val="21"/>
                <w:szCs w:val="21"/>
                <w:highlight w:val="none"/>
                <w:lang w:eastAsia="zh-CN"/>
                <w14:textFill>
                  <w14:solidFill>
                    <w14:schemeClr w14:val="tx1"/>
                  </w14:solidFill>
                </w14:textFill>
              </w:rPr>
            </w:pPr>
            <w:r>
              <w:rPr>
                <w:rFonts w:hint="eastAsia" w:ascii="宋体" w:hAnsi="宋体" w:eastAsia="宋体" w:cs="宋体"/>
                <w:color w:val="000000" w:themeColor="text1"/>
                <w:spacing w:val="-6"/>
                <w:sz w:val="21"/>
                <w:szCs w:val="21"/>
                <w:highlight w:val="none"/>
                <w:lang w:eastAsia="zh-CN"/>
                <w14:textFill>
                  <w14:solidFill>
                    <w14:schemeClr w14:val="tx1"/>
                  </w14:solidFill>
                </w14:textFill>
              </w:rPr>
              <w:t>职务</w:t>
            </w:r>
          </w:p>
        </w:tc>
        <w:tc>
          <w:tcPr>
            <w:tcW w:w="878" w:type="dxa"/>
            <w:vAlign w:val="center"/>
          </w:tcPr>
          <w:p w14:paraId="5A097980">
            <w:pPr>
              <w:pStyle w:val="203"/>
              <w:keepNext w:val="0"/>
              <w:keepLines w:val="0"/>
              <w:pageBreakBefore w:val="0"/>
              <w:widowControl w:val="0"/>
              <w:kinsoku/>
              <w:wordWrap/>
              <w:overflowPunct/>
              <w:topLinePunct w:val="0"/>
              <w:autoSpaceDE/>
              <w:autoSpaceDN/>
              <w:bidi w:val="0"/>
              <w:adjustRightInd/>
              <w:snapToGrid/>
              <w:spacing w:line="240" w:lineRule="auto"/>
              <w:ind w:left="245"/>
              <w:jc w:val="center"/>
              <w:textAlignment w:val="auto"/>
              <w:rPr>
                <w:rFonts w:hint="eastAsia" w:ascii="宋体" w:hAnsi="宋体" w:eastAsia="宋体" w:cs="宋体"/>
                <w:color w:val="000000" w:themeColor="text1"/>
                <w:spacing w:val="-4"/>
                <w:sz w:val="21"/>
                <w:szCs w:val="21"/>
                <w:highlight w:val="none"/>
                <w:lang w:eastAsia="zh-CN"/>
                <w14:textFill>
                  <w14:solidFill>
                    <w14:schemeClr w14:val="tx1"/>
                  </w14:solidFill>
                </w14:textFill>
              </w:rPr>
            </w:pPr>
            <w:r>
              <w:rPr>
                <w:rFonts w:hint="eastAsia" w:ascii="宋体" w:hAnsi="宋体" w:eastAsia="宋体" w:cs="宋体"/>
                <w:color w:val="000000" w:themeColor="text1"/>
                <w:spacing w:val="-4"/>
                <w:sz w:val="21"/>
                <w:szCs w:val="21"/>
                <w:highlight w:val="none"/>
                <w:lang w:eastAsia="zh-CN"/>
                <w14:textFill>
                  <w14:solidFill>
                    <w14:schemeClr w14:val="tx1"/>
                  </w14:solidFill>
                </w14:textFill>
              </w:rPr>
              <w:t>姓名</w:t>
            </w:r>
          </w:p>
        </w:tc>
        <w:tc>
          <w:tcPr>
            <w:tcW w:w="1843" w:type="dxa"/>
            <w:gridSpan w:val="2"/>
            <w:vAlign w:val="center"/>
          </w:tcPr>
          <w:p w14:paraId="681E3757">
            <w:pPr>
              <w:pStyle w:val="203"/>
              <w:keepNext w:val="0"/>
              <w:keepLines w:val="0"/>
              <w:pageBreakBefore w:val="0"/>
              <w:widowControl w:val="0"/>
              <w:kinsoku/>
              <w:wordWrap/>
              <w:overflowPunct/>
              <w:topLinePunct w:val="0"/>
              <w:autoSpaceDE/>
              <w:autoSpaceDN/>
              <w:bidi w:val="0"/>
              <w:adjustRightInd/>
              <w:snapToGrid/>
              <w:spacing w:line="240" w:lineRule="auto"/>
              <w:ind w:left="410"/>
              <w:jc w:val="center"/>
              <w:textAlignment w:val="auto"/>
              <w:rPr>
                <w:rFonts w:hint="eastAsia" w:ascii="宋体" w:hAnsi="宋体" w:eastAsia="宋体" w:cs="宋体"/>
                <w:color w:val="000000" w:themeColor="text1"/>
                <w:spacing w:val="-3"/>
                <w:sz w:val="21"/>
                <w:szCs w:val="21"/>
                <w:highlight w:val="none"/>
                <w:lang w:eastAsia="zh-CN"/>
                <w14:textFill>
                  <w14:solidFill>
                    <w14:schemeClr w14:val="tx1"/>
                  </w14:solidFill>
                </w14:textFill>
              </w:rPr>
            </w:pPr>
            <w:r>
              <w:rPr>
                <w:rFonts w:hint="eastAsia" w:ascii="宋体" w:hAnsi="宋体" w:eastAsia="宋体" w:cs="宋体"/>
                <w:color w:val="000000" w:themeColor="text1"/>
                <w:spacing w:val="-3"/>
                <w:sz w:val="21"/>
                <w:szCs w:val="21"/>
                <w:highlight w:val="none"/>
                <w:lang w:eastAsia="zh-CN"/>
                <w14:textFill>
                  <w14:solidFill>
                    <w14:schemeClr w14:val="tx1"/>
                  </w14:solidFill>
                </w14:textFill>
              </w:rPr>
              <w:t>身份证号码</w:t>
            </w:r>
          </w:p>
        </w:tc>
        <w:tc>
          <w:tcPr>
            <w:tcW w:w="1390" w:type="dxa"/>
            <w:vAlign w:val="center"/>
          </w:tcPr>
          <w:p w14:paraId="2B22BF1B">
            <w:pPr>
              <w:pStyle w:val="203"/>
              <w:keepNext w:val="0"/>
              <w:keepLines w:val="0"/>
              <w:pageBreakBefore w:val="0"/>
              <w:widowControl w:val="0"/>
              <w:kinsoku/>
              <w:wordWrap/>
              <w:overflowPunct/>
              <w:topLinePunct w:val="0"/>
              <w:autoSpaceDE/>
              <w:autoSpaceDN/>
              <w:bidi w:val="0"/>
              <w:adjustRightInd/>
              <w:snapToGrid/>
              <w:spacing w:line="240" w:lineRule="auto"/>
              <w:ind w:left="288" w:right="266" w:firstLine="5"/>
              <w:jc w:val="center"/>
              <w:textAlignment w:val="auto"/>
              <w:rPr>
                <w:rFonts w:hint="eastAsia" w:ascii="宋体" w:hAnsi="宋体" w:eastAsia="宋体" w:cs="宋体"/>
                <w:color w:val="000000" w:themeColor="text1"/>
                <w:spacing w:val="-7"/>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劳动合同</w:t>
            </w:r>
          </w:p>
          <w:p w14:paraId="2C24600B">
            <w:pPr>
              <w:pStyle w:val="203"/>
              <w:keepNext w:val="0"/>
              <w:keepLines w:val="0"/>
              <w:pageBreakBefore w:val="0"/>
              <w:widowControl w:val="0"/>
              <w:kinsoku/>
              <w:wordWrap/>
              <w:overflowPunct/>
              <w:topLinePunct w:val="0"/>
              <w:autoSpaceDE/>
              <w:autoSpaceDN/>
              <w:bidi w:val="0"/>
              <w:adjustRightInd/>
              <w:snapToGrid/>
              <w:spacing w:line="240" w:lineRule="auto"/>
              <w:ind w:left="288" w:right="266" w:firstLine="5"/>
              <w:jc w:val="center"/>
              <w:textAlignment w:val="auto"/>
              <w:rPr>
                <w:rFonts w:hint="eastAsia" w:ascii="宋体" w:hAnsi="宋体" w:eastAsia="宋体" w:cs="宋体"/>
                <w:color w:val="000000" w:themeColor="text1"/>
                <w:spacing w:val="-7"/>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关系单位</w:t>
            </w:r>
          </w:p>
        </w:tc>
        <w:tc>
          <w:tcPr>
            <w:tcW w:w="1405" w:type="dxa"/>
            <w:vAlign w:val="center"/>
          </w:tcPr>
          <w:p w14:paraId="28CDFD4C">
            <w:pPr>
              <w:pStyle w:val="203"/>
              <w:keepNext w:val="0"/>
              <w:keepLines w:val="0"/>
              <w:pageBreakBefore w:val="0"/>
              <w:widowControl w:val="0"/>
              <w:kinsoku/>
              <w:wordWrap/>
              <w:overflowPunct/>
              <w:topLinePunct w:val="0"/>
              <w:autoSpaceDE/>
              <w:autoSpaceDN/>
              <w:bidi w:val="0"/>
              <w:adjustRightInd/>
              <w:snapToGrid/>
              <w:spacing w:line="240" w:lineRule="auto"/>
              <w:ind w:left="271" w:right="262" w:firstLine="8"/>
              <w:jc w:val="center"/>
              <w:textAlignment w:val="auto"/>
              <w:rPr>
                <w:rFonts w:hint="eastAsia" w:ascii="宋体" w:hAnsi="宋体" w:eastAsia="宋体" w:cs="宋体"/>
                <w:color w:val="000000" w:themeColor="text1"/>
                <w:spacing w:val="-5"/>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缴纳社会保险单位</w:t>
            </w:r>
          </w:p>
        </w:tc>
      </w:tr>
      <w:tr w14:paraId="133A6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84" w:type="dxa"/>
            <w:vAlign w:val="center"/>
          </w:tcPr>
          <w:p w14:paraId="06929A82">
            <w:pPr>
              <w:pStyle w:val="203"/>
              <w:keepNext w:val="0"/>
              <w:keepLines w:val="0"/>
              <w:pageBreakBefore w:val="0"/>
              <w:widowControl w:val="0"/>
              <w:kinsoku/>
              <w:wordWrap/>
              <w:overflowPunct/>
              <w:topLinePunct w:val="0"/>
              <w:autoSpaceDE/>
              <w:autoSpaceDN/>
              <w:bidi w:val="0"/>
              <w:adjustRightInd/>
              <w:snapToGrid/>
              <w:spacing w:line="240" w:lineRule="auto"/>
              <w:ind w:left="321"/>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116" w:type="dxa"/>
            <w:gridSpan w:val="2"/>
            <w:vAlign w:val="center"/>
          </w:tcPr>
          <w:p w14:paraId="57E11E5F">
            <w:pPr>
              <w:pStyle w:val="20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pacing w:val="-4"/>
                <w:sz w:val="21"/>
                <w:szCs w:val="21"/>
                <w:highlight w:val="none"/>
                <w:lang w:eastAsia="zh-CN"/>
                <w14:textFill>
                  <w14:solidFill>
                    <w14:schemeClr w14:val="tx1"/>
                  </w14:solidFill>
                </w14:textFill>
              </w:rPr>
            </w:pPr>
            <w:r>
              <w:rPr>
                <w:rFonts w:hint="eastAsia" w:ascii="宋体" w:hAnsi="宋体" w:eastAsia="宋体" w:cs="宋体"/>
                <w:color w:val="000000" w:themeColor="text1"/>
                <w:spacing w:val="-4"/>
                <w:sz w:val="21"/>
                <w:szCs w:val="21"/>
                <w:highlight w:val="none"/>
                <w:lang w:eastAsia="zh-CN"/>
                <w14:textFill>
                  <w14:solidFill>
                    <w14:schemeClr w14:val="tx1"/>
                  </w14:solidFill>
                </w14:textFill>
              </w:rPr>
              <w:t>法定代表人/单位负责人/主要经营负责人</w:t>
            </w:r>
          </w:p>
        </w:tc>
        <w:tc>
          <w:tcPr>
            <w:tcW w:w="878" w:type="dxa"/>
            <w:vAlign w:val="center"/>
          </w:tcPr>
          <w:p w14:paraId="12B269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843" w:type="dxa"/>
            <w:gridSpan w:val="2"/>
            <w:vAlign w:val="center"/>
          </w:tcPr>
          <w:p w14:paraId="10D724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390" w:type="dxa"/>
            <w:vAlign w:val="center"/>
          </w:tcPr>
          <w:p w14:paraId="24A4C6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405" w:type="dxa"/>
            <w:vAlign w:val="center"/>
          </w:tcPr>
          <w:p w14:paraId="2CB4E2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r>
      <w:tr w14:paraId="397C1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84" w:type="dxa"/>
            <w:vAlign w:val="center"/>
          </w:tcPr>
          <w:p w14:paraId="62E6D364">
            <w:pPr>
              <w:pStyle w:val="203"/>
              <w:keepNext w:val="0"/>
              <w:keepLines w:val="0"/>
              <w:pageBreakBefore w:val="0"/>
              <w:widowControl w:val="0"/>
              <w:kinsoku/>
              <w:wordWrap/>
              <w:overflowPunct/>
              <w:topLinePunct w:val="0"/>
              <w:autoSpaceDE/>
              <w:autoSpaceDN/>
              <w:bidi w:val="0"/>
              <w:adjustRightInd/>
              <w:snapToGrid/>
              <w:spacing w:line="240" w:lineRule="auto"/>
              <w:ind w:left="322"/>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2116" w:type="dxa"/>
            <w:gridSpan w:val="2"/>
            <w:vAlign w:val="center"/>
          </w:tcPr>
          <w:p w14:paraId="3515EE89">
            <w:pPr>
              <w:pStyle w:val="20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pacing w:val="-4"/>
                <w:sz w:val="21"/>
                <w:szCs w:val="21"/>
                <w:highlight w:val="none"/>
                <w:lang w:eastAsia="zh-CN"/>
                <w14:textFill>
                  <w14:solidFill>
                    <w14:schemeClr w14:val="tx1"/>
                  </w14:solidFill>
                </w14:textFill>
              </w:rPr>
            </w:pPr>
            <w:r>
              <w:rPr>
                <w:rFonts w:hint="eastAsia" w:ascii="宋体" w:hAnsi="宋体" w:eastAsia="宋体" w:cs="宋体"/>
                <w:color w:val="000000" w:themeColor="text1"/>
                <w:spacing w:val="-4"/>
                <w:sz w:val="21"/>
                <w:szCs w:val="21"/>
                <w:highlight w:val="none"/>
                <w:lang w:eastAsia="zh-CN"/>
                <w14:textFill>
                  <w14:solidFill>
                    <w14:schemeClr w14:val="tx1"/>
                  </w14:solidFill>
                </w14:textFill>
              </w:rPr>
              <w:t>项目投标授权代表人</w:t>
            </w:r>
          </w:p>
        </w:tc>
        <w:tc>
          <w:tcPr>
            <w:tcW w:w="878" w:type="dxa"/>
            <w:vAlign w:val="center"/>
          </w:tcPr>
          <w:p w14:paraId="7C9E03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843" w:type="dxa"/>
            <w:gridSpan w:val="2"/>
            <w:vAlign w:val="center"/>
          </w:tcPr>
          <w:p w14:paraId="6A2F77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390" w:type="dxa"/>
            <w:vAlign w:val="center"/>
          </w:tcPr>
          <w:p w14:paraId="549FF0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405" w:type="dxa"/>
            <w:vAlign w:val="center"/>
          </w:tcPr>
          <w:p w14:paraId="6368FA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r>
      <w:tr w14:paraId="259FD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84" w:type="dxa"/>
            <w:vAlign w:val="center"/>
          </w:tcPr>
          <w:p w14:paraId="7F5480A0">
            <w:pPr>
              <w:pStyle w:val="203"/>
              <w:keepNext w:val="0"/>
              <w:keepLines w:val="0"/>
              <w:pageBreakBefore w:val="0"/>
              <w:widowControl w:val="0"/>
              <w:kinsoku/>
              <w:wordWrap/>
              <w:overflowPunct/>
              <w:topLinePunct w:val="0"/>
              <w:autoSpaceDE/>
              <w:autoSpaceDN/>
              <w:bidi w:val="0"/>
              <w:adjustRightInd/>
              <w:snapToGrid/>
              <w:spacing w:line="240" w:lineRule="auto"/>
              <w:ind w:left="321"/>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2116" w:type="dxa"/>
            <w:gridSpan w:val="2"/>
            <w:vAlign w:val="center"/>
          </w:tcPr>
          <w:p w14:paraId="6CCB6DE4">
            <w:pPr>
              <w:pStyle w:val="20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3"/>
                <w:sz w:val="21"/>
                <w:szCs w:val="21"/>
                <w:highlight w:val="none"/>
                <w:lang w:eastAsia="zh-CN"/>
                <w14:textFill>
                  <w14:solidFill>
                    <w14:schemeClr w14:val="tx1"/>
                  </w14:solidFill>
                </w14:textFill>
              </w:rPr>
              <w:t>项目负责人</w:t>
            </w:r>
          </w:p>
        </w:tc>
        <w:tc>
          <w:tcPr>
            <w:tcW w:w="878" w:type="dxa"/>
            <w:vAlign w:val="center"/>
          </w:tcPr>
          <w:p w14:paraId="244525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843" w:type="dxa"/>
            <w:gridSpan w:val="2"/>
            <w:vAlign w:val="center"/>
          </w:tcPr>
          <w:p w14:paraId="4D14B4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390" w:type="dxa"/>
            <w:vAlign w:val="center"/>
          </w:tcPr>
          <w:p w14:paraId="513037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405" w:type="dxa"/>
            <w:vAlign w:val="center"/>
          </w:tcPr>
          <w:p w14:paraId="04C568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r>
      <w:tr w14:paraId="3B3357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84" w:type="dxa"/>
            <w:vAlign w:val="center"/>
          </w:tcPr>
          <w:p w14:paraId="6AF2FC32">
            <w:pPr>
              <w:pStyle w:val="203"/>
              <w:keepNext w:val="0"/>
              <w:keepLines w:val="0"/>
              <w:pageBreakBefore w:val="0"/>
              <w:widowControl w:val="0"/>
              <w:kinsoku/>
              <w:wordWrap/>
              <w:overflowPunct/>
              <w:topLinePunct w:val="0"/>
              <w:autoSpaceDE/>
              <w:autoSpaceDN/>
              <w:bidi w:val="0"/>
              <w:adjustRightInd/>
              <w:snapToGrid/>
              <w:spacing w:line="240" w:lineRule="auto"/>
              <w:ind w:left="314"/>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2116" w:type="dxa"/>
            <w:gridSpan w:val="2"/>
            <w:vAlign w:val="center"/>
          </w:tcPr>
          <w:p w14:paraId="2F7F9A49">
            <w:pPr>
              <w:pStyle w:val="20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4"/>
                <w:sz w:val="21"/>
                <w:szCs w:val="21"/>
                <w:highlight w:val="none"/>
                <w:lang w:eastAsia="zh-CN"/>
                <w14:textFill>
                  <w14:solidFill>
                    <w14:schemeClr w14:val="tx1"/>
                  </w14:solidFill>
                </w14:textFill>
              </w:rPr>
              <w:t>主要技术人员</w:t>
            </w:r>
          </w:p>
        </w:tc>
        <w:tc>
          <w:tcPr>
            <w:tcW w:w="878" w:type="dxa"/>
            <w:vAlign w:val="center"/>
          </w:tcPr>
          <w:p w14:paraId="77A1B3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843" w:type="dxa"/>
            <w:gridSpan w:val="2"/>
            <w:vAlign w:val="center"/>
          </w:tcPr>
          <w:p w14:paraId="3C7590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390" w:type="dxa"/>
            <w:vAlign w:val="center"/>
          </w:tcPr>
          <w:p w14:paraId="558320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405" w:type="dxa"/>
            <w:vAlign w:val="center"/>
          </w:tcPr>
          <w:p w14:paraId="17FA69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r>
      <w:tr w14:paraId="664B6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84" w:type="dxa"/>
            <w:vAlign w:val="center"/>
          </w:tcPr>
          <w:p w14:paraId="5F36D8D2">
            <w:pPr>
              <w:pStyle w:val="203"/>
              <w:keepNext w:val="0"/>
              <w:keepLines w:val="0"/>
              <w:pageBreakBefore w:val="0"/>
              <w:widowControl w:val="0"/>
              <w:kinsoku/>
              <w:wordWrap/>
              <w:overflowPunct/>
              <w:topLinePunct w:val="0"/>
              <w:autoSpaceDE/>
              <w:autoSpaceDN/>
              <w:bidi w:val="0"/>
              <w:adjustRightInd/>
              <w:snapToGrid/>
              <w:spacing w:line="240" w:lineRule="auto"/>
              <w:ind w:left="325"/>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2116" w:type="dxa"/>
            <w:gridSpan w:val="2"/>
            <w:vAlign w:val="center"/>
          </w:tcPr>
          <w:p w14:paraId="3D4E5EB8">
            <w:pPr>
              <w:pStyle w:val="20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4"/>
                <w:sz w:val="21"/>
                <w:szCs w:val="21"/>
                <w:highlight w:val="none"/>
                <w:lang w:eastAsia="zh-CN"/>
                <w14:textFill>
                  <w14:solidFill>
                    <w14:schemeClr w14:val="tx1"/>
                  </w14:solidFill>
                </w14:textFill>
              </w:rPr>
              <w:t>投标文件编制人员</w:t>
            </w:r>
          </w:p>
        </w:tc>
        <w:tc>
          <w:tcPr>
            <w:tcW w:w="878" w:type="dxa"/>
            <w:vAlign w:val="center"/>
          </w:tcPr>
          <w:p w14:paraId="6164E3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843" w:type="dxa"/>
            <w:gridSpan w:val="2"/>
            <w:vAlign w:val="center"/>
          </w:tcPr>
          <w:p w14:paraId="12D5F1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390" w:type="dxa"/>
            <w:vAlign w:val="center"/>
          </w:tcPr>
          <w:p w14:paraId="46AFAA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405" w:type="dxa"/>
            <w:vAlign w:val="center"/>
          </w:tcPr>
          <w:p w14:paraId="2BB9CD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r>
      <w:tr w14:paraId="5D25A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316" w:type="dxa"/>
            <w:gridSpan w:val="8"/>
            <w:vAlign w:val="center"/>
          </w:tcPr>
          <w:p w14:paraId="38699F51">
            <w:pPr>
              <w:pStyle w:val="203"/>
              <w:keepNext w:val="0"/>
              <w:keepLines w:val="0"/>
              <w:pageBreakBefore w:val="0"/>
              <w:widowControl w:val="0"/>
              <w:kinsoku/>
              <w:wordWrap/>
              <w:overflowPunct/>
              <w:topLinePunct w:val="0"/>
              <w:autoSpaceDE/>
              <w:autoSpaceDN/>
              <w:bidi w:val="0"/>
              <w:adjustRightInd/>
              <w:snapToGrid/>
              <w:spacing w:line="240" w:lineRule="auto"/>
              <w:ind w:left="120"/>
              <w:jc w:val="center"/>
              <w:textAlignment w:val="auto"/>
              <w:rPr>
                <w:rFonts w:hint="eastAsia" w:ascii="宋体" w:hAnsi="宋体" w:eastAsia="宋体" w:cs="宋体"/>
                <w:color w:val="000000" w:themeColor="text1"/>
                <w:spacing w:val="-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说明：</w:t>
            </w:r>
          </w:p>
          <w:p w14:paraId="16EF5415">
            <w:pPr>
              <w:pStyle w:val="203"/>
              <w:keepNext w:val="0"/>
              <w:keepLines w:val="0"/>
              <w:pageBreakBefore w:val="0"/>
              <w:widowControl w:val="0"/>
              <w:kinsoku/>
              <w:wordWrap/>
              <w:overflowPunct/>
              <w:topLinePunct w:val="0"/>
              <w:autoSpaceDE/>
              <w:autoSpaceDN/>
              <w:bidi w:val="0"/>
              <w:adjustRightInd/>
              <w:snapToGrid/>
              <w:spacing w:line="240" w:lineRule="auto"/>
              <w:ind w:left="12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1.同一职务有多人担任（如主要技术人员</w:t>
            </w:r>
            <w:r>
              <w:rPr>
                <w:rFonts w:hint="eastAsia" w:ascii="宋体" w:hAnsi="宋体" w:eastAsia="宋体" w:cs="宋体"/>
                <w:color w:val="000000" w:themeColor="text1"/>
                <w:spacing w:val="-42"/>
                <w:w w:val="95"/>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应分行填写。</w:t>
            </w:r>
          </w:p>
        </w:tc>
      </w:tr>
      <w:tr w14:paraId="17B0B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316" w:type="dxa"/>
            <w:gridSpan w:val="8"/>
            <w:vAlign w:val="center"/>
          </w:tcPr>
          <w:p w14:paraId="29BA6099">
            <w:pPr>
              <w:pStyle w:val="203"/>
              <w:keepNext w:val="0"/>
              <w:keepLines w:val="0"/>
              <w:pageBreakBefore w:val="0"/>
              <w:widowControl w:val="0"/>
              <w:kinsoku/>
              <w:wordWrap/>
              <w:overflowPunct/>
              <w:topLinePunct w:val="0"/>
              <w:autoSpaceDE/>
              <w:autoSpaceDN/>
              <w:bidi w:val="0"/>
              <w:adjustRightInd/>
              <w:snapToGrid/>
              <w:spacing w:line="240" w:lineRule="auto"/>
              <w:ind w:left="2683"/>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投标（响应）供应商关联关系情况</w:t>
            </w:r>
          </w:p>
        </w:tc>
      </w:tr>
      <w:tr w14:paraId="51C48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84" w:type="dxa"/>
            <w:vAlign w:val="center"/>
          </w:tcPr>
          <w:p w14:paraId="0F96EC97">
            <w:pPr>
              <w:pStyle w:val="203"/>
              <w:keepNext w:val="0"/>
              <w:keepLines w:val="0"/>
              <w:pageBreakBefore w:val="0"/>
              <w:widowControl w:val="0"/>
              <w:kinsoku/>
              <w:wordWrap/>
              <w:overflowPunct/>
              <w:topLinePunct w:val="0"/>
              <w:autoSpaceDE/>
              <w:autoSpaceDN/>
              <w:bidi w:val="0"/>
              <w:adjustRightInd/>
              <w:snapToGrid/>
              <w:spacing w:line="240" w:lineRule="auto"/>
              <w:ind w:left="145"/>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5"/>
                <w:sz w:val="21"/>
                <w:szCs w:val="21"/>
                <w:highlight w:val="none"/>
                <w14:textFill>
                  <w14:solidFill>
                    <w14:schemeClr w14:val="tx1"/>
                  </w14:solidFill>
                </w14:textFill>
              </w:rPr>
              <w:t>序号</w:t>
            </w:r>
          </w:p>
        </w:tc>
        <w:tc>
          <w:tcPr>
            <w:tcW w:w="2116" w:type="dxa"/>
            <w:gridSpan w:val="2"/>
            <w:vAlign w:val="center"/>
          </w:tcPr>
          <w:p w14:paraId="21710BD5">
            <w:pPr>
              <w:pStyle w:val="203"/>
              <w:keepNext w:val="0"/>
              <w:keepLines w:val="0"/>
              <w:pageBreakBefore w:val="0"/>
              <w:widowControl w:val="0"/>
              <w:kinsoku/>
              <w:wordWrap/>
              <w:overflowPunct/>
              <w:topLinePunct w:val="0"/>
              <w:autoSpaceDE/>
              <w:autoSpaceDN/>
              <w:bidi w:val="0"/>
              <w:adjustRightInd/>
              <w:snapToGrid/>
              <w:spacing w:line="240" w:lineRule="auto"/>
              <w:ind w:left="436"/>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3"/>
                <w:sz w:val="21"/>
                <w:szCs w:val="21"/>
                <w:highlight w:val="none"/>
                <w14:textFill>
                  <w14:solidFill>
                    <w14:schemeClr w14:val="tx1"/>
                  </w14:solidFill>
                </w14:textFill>
              </w:rPr>
              <w:t>关联关系类型</w:t>
            </w:r>
          </w:p>
        </w:tc>
        <w:tc>
          <w:tcPr>
            <w:tcW w:w="1613" w:type="dxa"/>
            <w:gridSpan w:val="2"/>
            <w:vAlign w:val="center"/>
          </w:tcPr>
          <w:p w14:paraId="0B624C18">
            <w:pPr>
              <w:pStyle w:val="203"/>
              <w:keepNext w:val="0"/>
              <w:keepLines w:val="0"/>
              <w:pageBreakBefore w:val="0"/>
              <w:widowControl w:val="0"/>
              <w:kinsoku/>
              <w:wordWrap/>
              <w:overflowPunct/>
              <w:topLinePunct w:val="0"/>
              <w:autoSpaceDE/>
              <w:autoSpaceDN/>
              <w:bidi w:val="0"/>
              <w:adjustRightInd/>
              <w:snapToGrid/>
              <w:spacing w:line="240" w:lineRule="auto"/>
              <w:ind w:left="166"/>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3"/>
                <w:sz w:val="21"/>
                <w:szCs w:val="21"/>
                <w:highlight w:val="none"/>
                <w14:textFill>
                  <w14:solidFill>
                    <w14:schemeClr w14:val="tx1"/>
                  </w14:solidFill>
                </w14:textFill>
              </w:rPr>
              <w:t>关联主体名称</w:t>
            </w:r>
          </w:p>
        </w:tc>
        <w:tc>
          <w:tcPr>
            <w:tcW w:w="3903" w:type="dxa"/>
            <w:gridSpan w:val="3"/>
            <w:vAlign w:val="center"/>
          </w:tcPr>
          <w:p w14:paraId="55BDCBB7">
            <w:pPr>
              <w:pStyle w:val="203"/>
              <w:keepNext w:val="0"/>
              <w:keepLines w:val="0"/>
              <w:pageBreakBefore w:val="0"/>
              <w:widowControl w:val="0"/>
              <w:kinsoku/>
              <w:wordWrap/>
              <w:overflowPunct/>
              <w:topLinePunct w:val="0"/>
              <w:autoSpaceDE/>
              <w:autoSpaceDN/>
              <w:bidi w:val="0"/>
              <w:adjustRightInd/>
              <w:snapToGrid/>
              <w:spacing w:line="240" w:lineRule="auto"/>
              <w:ind w:left="1862"/>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备注</w:t>
            </w:r>
          </w:p>
        </w:tc>
      </w:tr>
      <w:tr w14:paraId="2819E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84" w:type="dxa"/>
            <w:vAlign w:val="center"/>
          </w:tcPr>
          <w:p w14:paraId="5AB5E56B">
            <w:pPr>
              <w:pStyle w:val="203"/>
              <w:keepNext w:val="0"/>
              <w:keepLines w:val="0"/>
              <w:pageBreakBefore w:val="0"/>
              <w:widowControl w:val="0"/>
              <w:kinsoku/>
              <w:wordWrap/>
              <w:overflowPunct/>
              <w:topLinePunct w:val="0"/>
              <w:autoSpaceDE/>
              <w:autoSpaceDN/>
              <w:bidi w:val="0"/>
              <w:adjustRightInd/>
              <w:snapToGrid/>
              <w:spacing w:line="240" w:lineRule="auto"/>
              <w:ind w:left="321"/>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116" w:type="dxa"/>
            <w:gridSpan w:val="2"/>
            <w:vAlign w:val="center"/>
          </w:tcPr>
          <w:p w14:paraId="51784D8F">
            <w:pPr>
              <w:pStyle w:val="20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控股股东</w:t>
            </w:r>
          </w:p>
        </w:tc>
        <w:tc>
          <w:tcPr>
            <w:tcW w:w="1613" w:type="dxa"/>
            <w:gridSpan w:val="2"/>
            <w:vAlign w:val="center"/>
          </w:tcPr>
          <w:p w14:paraId="03E4C3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3903" w:type="dxa"/>
            <w:gridSpan w:val="3"/>
            <w:vAlign w:val="center"/>
          </w:tcPr>
          <w:p w14:paraId="4A3331CB">
            <w:pPr>
              <w:pStyle w:val="20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指出资额（或持有股份）占投标（响应）供应商资</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本总额（或股本总额）50%以上的股东，以及出资额</w:t>
            </w:r>
            <w:r>
              <w:rPr>
                <w:rFonts w:hint="eastAsia" w:ascii="宋体" w:hAnsi="宋体" w:eastAsia="宋体" w:cs="宋体"/>
                <w:color w:val="000000" w:themeColor="text1"/>
                <w:spacing w:val="-5"/>
                <w:sz w:val="21"/>
                <w:szCs w:val="21"/>
                <w:highlight w:val="none"/>
                <w:lang w:eastAsia="zh-CN"/>
                <w14:textFill>
                  <w14:solidFill>
                    <w14:schemeClr w14:val="tx1"/>
                  </w14:solidFill>
                </w14:textFill>
              </w:rPr>
              <w:t>（或持有股份）的比例虽然不足50%，但依</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其出资</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额（或持有股份）所享有的表决权已足以对投标（响</w:t>
            </w:r>
            <w:r>
              <w:rPr>
                <w:rFonts w:hint="eastAsia" w:ascii="宋体" w:hAnsi="宋体" w:eastAsia="宋体" w:cs="宋体"/>
                <w:color w:val="000000" w:themeColor="text1"/>
                <w:sz w:val="21"/>
                <w:szCs w:val="21"/>
                <w:highlight w:val="none"/>
                <w:lang w:eastAsia="zh-CN"/>
                <w14:textFill>
                  <w14:solidFill>
                    <w14:schemeClr w14:val="tx1"/>
                  </w14:solidFill>
                </w14:textFill>
              </w:rPr>
              <w:t>应）供应商股东会（或股东大会）的决议产生重要</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影响的股东。</w:t>
            </w:r>
          </w:p>
        </w:tc>
      </w:tr>
      <w:tr w14:paraId="28C6D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84" w:type="dxa"/>
            <w:vAlign w:val="center"/>
          </w:tcPr>
          <w:p w14:paraId="497B6FF2">
            <w:pPr>
              <w:pStyle w:val="203"/>
              <w:keepNext w:val="0"/>
              <w:keepLines w:val="0"/>
              <w:pageBreakBefore w:val="0"/>
              <w:widowControl w:val="0"/>
              <w:kinsoku/>
              <w:wordWrap/>
              <w:overflowPunct/>
              <w:topLinePunct w:val="0"/>
              <w:autoSpaceDE/>
              <w:autoSpaceDN/>
              <w:bidi w:val="0"/>
              <w:adjustRightInd/>
              <w:snapToGrid/>
              <w:spacing w:line="240" w:lineRule="auto"/>
              <w:ind w:left="322"/>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2116" w:type="dxa"/>
            <w:gridSpan w:val="2"/>
            <w:vAlign w:val="center"/>
          </w:tcPr>
          <w:p w14:paraId="378F9790">
            <w:pPr>
              <w:pStyle w:val="20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lang w:eastAsia="zh-CN"/>
              </w:rPr>
            </w:pPr>
            <w:r>
              <w:rPr>
                <w:rFonts w:hint="eastAsia" w:ascii="宋体" w:hAnsi="宋体" w:eastAsia="宋体" w:cs="宋体"/>
                <w:spacing w:val="-5"/>
                <w:sz w:val="21"/>
                <w:szCs w:val="21"/>
                <w:highlight w:val="none"/>
                <w:lang w:eastAsia="zh-CN"/>
              </w:rPr>
              <w:t>管理关系</w:t>
            </w:r>
          </w:p>
        </w:tc>
        <w:tc>
          <w:tcPr>
            <w:tcW w:w="1613" w:type="dxa"/>
            <w:gridSpan w:val="2"/>
            <w:vAlign w:val="center"/>
          </w:tcPr>
          <w:p w14:paraId="3451D0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Cs w:val="21"/>
                <w:highlight w:val="none"/>
              </w:rPr>
            </w:pPr>
          </w:p>
        </w:tc>
        <w:tc>
          <w:tcPr>
            <w:tcW w:w="3903" w:type="dxa"/>
            <w:gridSpan w:val="3"/>
            <w:vAlign w:val="center"/>
          </w:tcPr>
          <w:p w14:paraId="67BE3926">
            <w:pPr>
              <w:pStyle w:val="203"/>
              <w:keepNext w:val="0"/>
              <w:keepLines w:val="0"/>
              <w:pageBreakBefore w:val="0"/>
              <w:widowControl w:val="0"/>
              <w:kinsoku/>
              <w:wordWrap/>
              <w:overflowPunct/>
              <w:topLinePunct w:val="0"/>
              <w:autoSpaceDE/>
              <w:autoSpaceDN/>
              <w:bidi w:val="0"/>
              <w:adjustRightInd/>
              <w:snapToGrid/>
              <w:spacing w:line="240" w:lineRule="auto"/>
              <w:ind w:left="120" w:right="24"/>
              <w:jc w:val="center"/>
              <w:textAlignment w:val="auto"/>
              <w:rPr>
                <w:rFonts w:hint="eastAsia" w:ascii="宋体" w:hAnsi="宋体" w:eastAsia="宋体" w:cs="宋体"/>
                <w:sz w:val="21"/>
                <w:szCs w:val="21"/>
                <w:highlight w:val="none"/>
                <w:lang w:eastAsia="zh-CN"/>
              </w:rPr>
            </w:pPr>
            <w:r>
              <w:rPr>
                <w:rFonts w:hint="eastAsia" w:ascii="宋体" w:hAnsi="宋体" w:eastAsia="宋体" w:cs="宋体"/>
                <w:spacing w:val="-8"/>
                <w:sz w:val="21"/>
                <w:szCs w:val="21"/>
                <w:highlight w:val="none"/>
                <w:lang w:eastAsia="zh-CN"/>
              </w:rPr>
              <w:t>指对投标（响应）供应商不具有出资持</w:t>
            </w:r>
            <w:r>
              <w:rPr>
                <w:rFonts w:hint="eastAsia" w:ascii="宋体" w:hAnsi="宋体" w:eastAsia="宋体" w:cs="宋体"/>
                <w:spacing w:val="-3"/>
                <w:sz w:val="21"/>
                <w:szCs w:val="21"/>
                <w:highlight w:val="none"/>
                <w:lang w:eastAsia="zh-CN"/>
              </w:rPr>
              <w:t>股关系，但对其存在管理关系的主体。</w:t>
            </w:r>
          </w:p>
        </w:tc>
      </w:tr>
      <w:tr w14:paraId="3B123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316" w:type="dxa"/>
            <w:gridSpan w:val="8"/>
            <w:vAlign w:val="center"/>
          </w:tcPr>
          <w:p w14:paraId="0D384CAB">
            <w:pPr>
              <w:pStyle w:val="203"/>
              <w:keepNext w:val="0"/>
              <w:keepLines w:val="0"/>
              <w:pageBreakBefore w:val="0"/>
              <w:widowControl w:val="0"/>
              <w:kinsoku/>
              <w:wordWrap/>
              <w:overflowPunct/>
              <w:topLinePunct w:val="0"/>
              <w:autoSpaceDE/>
              <w:autoSpaceDN/>
              <w:bidi w:val="0"/>
              <w:adjustRightInd/>
              <w:snapToGrid/>
              <w:spacing w:line="240" w:lineRule="auto"/>
              <w:ind w:left="120"/>
              <w:jc w:val="center"/>
              <w:textAlignment w:val="auto"/>
              <w:rPr>
                <w:rFonts w:hint="eastAsia" w:ascii="宋体" w:hAnsi="宋体" w:eastAsia="宋体" w:cs="宋体"/>
                <w:sz w:val="21"/>
                <w:szCs w:val="21"/>
                <w:highlight w:val="none"/>
                <w:lang w:eastAsia="zh-CN"/>
              </w:rPr>
            </w:pPr>
            <w:r>
              <w:rPr>
                <w:rFonts w:hint="eastAsia" w:ascii="宋体" w:hAnsi="宋体" w:eastAsia="宋体" w:cs="宋体"/>
                <w:b/>
                <w:bCs/>
                <w:spacing w:val="-1"/>
                <w:sz w:val="21"/>
                <w:szCs w:val="21"/>
                <w:highlight w:val="none"/>
                <w:lang w:eastAsia="zh-CN"/>
              </w:rPr>
              <w:t>说明：同一关联关系类型有多个主体的，应分行填写。</w:t>
            </w:r>
          </w:p>
        </w:tc>
      </w:tr>
    </w:tbl>
    <w:p w14:paraId="30DB771D">
      <w:pPr>
        <w:rPr>
          <w:rFonts w:hint="eastAsia" w:ascii="黑体" w:hAnsi="宋体" w:eastAsia="黑体"/>
          <w:bCs/>
          <w:kern w:val="0"/>
          <w:sz w:val="24"/>
          <w:szCs w:val="32"/>
          <w:highlight w:val="none"/>
        </w:rPr>
      </w:pPr>
      <w:r>
        <w:rPr>
          <w:rFonts w:hint="eastAsia" w:ascii="黑体" w:hAnsi="宋体" w:eastAsia="黑体"/>
          <w:bCs/>
          <w:kern w:val="0"/>
          <w:sz w:val="24"/>
          <w:szCs w:val="32"/>
          <w:highlight w:val="none"/>
        </w:rPr>
        <w:br w:type="page"/>
      </w:r>
    </w:p>
    <w:p w14:paraId="0C4ED0D3">
      <w:pPr>
        <w:outlineLvl w:val="3"/>
        <w:rPr>
          <w:rFonts w:hint="eastAsia" w:ascii="黑体" w:hAnsi="宋体" w:eastAsia="黑体"/>
          <w:bCs/>
          <w:kern w:val="0"/>
          <w:sz w:val="24"/>
          <w:szCs w:val="32"/>
          <w:highlight w:val="none"/>
        </w:rPr>
      </w:pPr>
      <w:r>
        <w:rPr>
          <w:rFonts w:hint="eastAsia" w:ascii="黑体" w:hAnsi="宋体" w:eastAsia="黑体"/>
          <w:bCs/>
          <w:kern w:val="0"/>
          <w:sz w:val="24"/>
          <w:szCs w:val="32"/>
          <w:highlight w:val="none"/>
        </w:rPr>
        <w:t>（二）中小企业声明函、残疾人福利性单位声明函及监狱企业声明函</w:t>
      </w:r>
    </w:p>
    <w:p w14:paraId="36C88C27">
      <w:pPr>
        <w:ind w:firstLine="420" w:firstLineChars="200"/>
        <w:rPr>
          <w:rFonts w:hint="eastAsia" w:ascii="黑体" w:hAnsi="黑体" w:eastAsia="黑体" w:cs="黑体"/>
          <w:color w:val="FF0000"/>
          <w:highlight w:val="none"/>
        </w:rPr>
      </w:pPr>
      <w:r>
        <w:rPr>
          <w:rFonts w:hint="eastAsia" w:ascii="黑体" w:hAnsi="黑体" w:eastAsia="黑体" w:cs="黑体"/>
          <w:color w:val="FF0000"/>
          <w:highlight w:val="none"/>
        </w:rPr>
        <w:t>填写指引：</w:t>
      </w:r>
    </w:p>
    <w:p w14:paraId="5B74C246">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黑体" w:eastAsia="黑体"/>
          <w:color w:val="FF0000"/>
          <w:szCs w:val="21"/>
          <w:highlight w:val="none"/>
        </w:rPr>
      </w:pPr>
      <w:r>
        <w:rPr>
          <w:rFonts w:hint="eastAsia" w:ascii="黑体" w:hAnsi="宋体" w:eastAsia="黑体"/>
          <w:bCs/>
          <w:color w:val="FF0000"/>
          <w:kern w:val="0"/>
          <w:szCs w:val="21"/>
          <w:highlight w:val="none"/>
        </w:rPr>
        <w:t>1、该部分内容由供应商根据自身实际情况填写，</w:t>
      </w:r>
      <w:r>
        <w:rPr>
          <w:rFonts w:hint="eastAsia" w:ascii="黑体" w:hAnsi="黑体" w:eastAsia="黑体"/>
          <w:color w:val="FF0000"/>
          <w:szCs w:val="21"/>
          <w:highlight w:val="none"/>
        </w:rPr>
        <w:t>投标（响应）供应商对《中小企业声明函》的真实性负责。投标（响应）供应商应当核实投标（响应）的货物制造商的相关信息，如对相关信息了解不充分，或者不能确定相关信息真实、准确的，不建议出具《中小企业声明函》；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5C4DD0D">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黑体" w:eastAsia="黑体"/>
          <w:color w:val="FF0000"/>
          <w:szCs w:val="21"/>
          <w:highlight w:val="none"/>
        </w:rPr>
      </w:pPr>
      <w:r>
        <w:rPr>
          <w:rFonts w:hint="eastAsia" w:ascii="黑体" w:hAnsi="黑体" w:eastAsia="黑体"/>
          <w:color w:val="FF0000"/>
          <w:szCs w:val="21"/>
          <w:highlight w:val="none"/>
        </w:rPr>
        <w:t>2、该部分内容填写需要参考的相关文件：</w:t>
      </w:r>
    </w:p>
    <w:p w14:paraId="3AA429E1">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黑体" w:eastAsia="黑体"/>
          <w:color w:val="FF0000"/>
          <w:szCs w:val="21"/>
          <w:highlight w:val="none"/>
        </w:rPr>
      </w:pPr>
      <w:r>
        <w:rPr>
          <w:rFonts w:hint="eastAsia" w:ascii="黑体" w:hAnsi="黑体" w:eastAsia="黑体"/>
          <w:color w:val="FF0000"/>
          <w:szCs w:val="21"/>
          <w:highlight w:val="none"/>
        </w:rPr>
        <w:t>(</w:t>
      </w:r>
      <w:r>
        <w:rPr>
          <w:rFonts w:ascii="黑体" w:hAnsi="黑体" w:eastAsia="黑体"/>
          <w:color w:val="FF0000"/>
          <w:szCs w:val="21"/>
          <w:highlight w:val="none"/>
        </w:rPr>
        <w:t>1</w:t>
      </w:r>
      <w:r>
        <w:rPr>
          <w:rFonts w:hint="eastAsia" w:ascii="黑体" w:hAnsi="黑体" w:eastAsia="黑体"/>
          <w:color w:val="FF0000"/>
          <w:szCs w:val="21"/>
          <w:highlight w:val="none"/>
        </w:rPr>
        <w:t>)财政部《政府采购促进中小企业发展管理办法》（财库〔2020〕46号）；</w:t>
      </w:r>
    </w:p>
    <w:p w14:paraId="088B0229">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黑体" w:eastAsia="黑体"/>
          <w:color w:val="FF0000"/>
          <w:szCs w:val="21"/>
          <w:highlight w:val="none"/>
        </w:rPr>
      </w:pPr>
      <w:r>
        <w:rPr>
          <w:rFonts w:hint="eastAsia" w:ascii="黑体" w:hAnsi="黑体" w:eastAsia="黑体"/>
          <w:color w:val="FF0000"/>
          <w:szCs w:val="21"/>
          <w:highlight w:val="none"/>
        </w:rPr>
        <w:t>(</w:t>
      </w:r>
      <w:r>
        <w:rPr>
          <w:rFonts w:ascii="黑体" w:hAnsi="黑体" w:eastAsia="黑体"/>
          <w:color w:val="FF0000"/>
          <w:szCs w:val="21"/>
          <w:highlight w:val="none"/>
        </w:rPr>
        <w:t>2</w:t>
      </w:r>
      <w:r>
        <w:rPr>
          <w:rFonts w:hint="eastAsia" w:ascii="黑体" w:hAnsi="黑体" w:eastAsia="黑体"/>
          <w:color w:val="FF0000"/>
          <w:szCs w:val="21"/>
          <w:highlight w:val="none"/>
        </w:rPr>
        <w:t>)《工业和信息化部、国家统计局、国家发展和改革委员会、财政部关于印发中小企业划型标准规定的通知》（工信部联企业〔2011〕300 号，以下简称3</w:t>
      </w:r>
      <w:r>
        <w:rPr>
          <w:rFonts w:ascii="黑体" w:hAnsi="黑体" w:eastAsia="黑体"/>
          <w:color w:val="FF0000"/>
          <w:szCs w:val="21"/>
          <w:highlight w:val="none"/>
        </w:rPr>
        <w:t>00</w:t>
      </w:r>
      <w:r>
        <w:rPr>
          <w:rFonts w:hint="eastAsia" w:ascii="黑体" w:hAnsi="黑体" w:eastAsia="黑体"/>
          <w:color w:val="FF0000"/>
          <w:szCs w:val="21"/>
          <w:highlight w:val="none"/>
        </w:rPr>
        <w:t>号文）；</w:t>
      </w:r>
    </w:p>
    <w:p w14:paraId="46ECB340">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黑体" w:eastAsia="黑体"/>
          <w:color w:val="FF0000"/>
          <w:szCs w:val="21"/>
          <w:highlight w:val="none"/>
        </w:rPr>
      </w:pPr>
      <w:r>
        <w:rPr>
          <w:rFonts w:hint="eastAsia" w:ascii="黑体" w:hAnsi="黑体" w:eastAsia="黑体"/>
          <w:color w:val="FF0000"/>
          <w:szCs w:val="21"/>
          <w:highlight w:val="none"/>
        </w:rPr>
        <w:t>(3)《统计上大中小微型企业划分办法(2017)》（国统字〔2017〕213 号）；</w:t>
      </w:r>
    </w:p>
    <w:p w14:paraId="5257DDEF">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黑体" w:eastAsia="黑体"/>
          <w:color w:val="FF0000"/>
          <w:szCs w:val="21"/>
          <w:highlight w:val="none"/>
        </w:rPr>
      </w:pPr>
      <w:r>
        <w:rPr>
          <w:rFonts w:hint="eastAsia" w:ascii="黑体" w:hAnsi="黑体" w:eastAsia="黑体"/>
          <w:color w:val="FF0000"/>
          <w:szCs w:val="21"/>
          <w:highlight w:val="none"/>
        </w:rPr>
        <w:t>(4)《关于促进残疾人就业政府采购政策的通知》（财库〔2017〕141号）；</w:t>
      </w:r>
    </w:p>
    <w:p w14:paraId="01447F11">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黑体" w:eastAsia="黑体"/>
          <w:color w:val="FF0000"/>
          <w:szCs w:val="21"/>
          <w:highlight w:val="none"/>
        </w:rPr>
      </w:pPr>
      <w:r>
        <w:rPr>
          <w:rFonts w:hint="eastAsia" w:ascii="黑体" w:hAnsi="黑体" w:eastAsia="黑体"/>
          <w:color w:val="FF0000"/>
          <w:szCs w:val="21"/>
          <w:highlight w:val="none"/>
        </w:rPr>
        <w:t>(5)《关于政府采购支持监狱企业发展有关问题的通知》（财库〔2014〕68号）</w:t>
      </w:r>
    </w:p>
    <w:p w14:paraId="08123E05">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3、请依照提供的格式和内容填写声明函，不要随意变更格式；声明函不需要盖章或签字；</w:t>
      </w:r>
      <w:r>
        <w:rPr>
          <w:rFonts w:hint="eastAsia" w:ascii="黑体" w:hAnsi="黑体" w:eastAsia="黑体"/>
          <w:color w:val="FF0000"/>
          <w:szCs w:val="21"/>
          <w:highlight w:val="none"/>
        </w:rPr>
        <w:t>满足多项优惠政策的投标人，不重复享受多项价格扣除政策。</w:t>
      </w:r>
    </w:p>
    <w:p w14:paraId="1575B11F">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4、声明函具体填写要求：</w:t>
      </w:r>
    </w:p>
    <w:p w14:paraId="0A5F1211">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（1）声明是中小企业须填写《中小企业声明函》的以下内容：</w:t>
      </w:r>
    </w:p>
    <w:p w14:paraId="10622C46">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第一处，在“单位名称”下划线处应填写采购人名称（</w:t>
      </w:r>
      <w:r>
        <w:rPr>
          <w:rFonts w:hint="eastAsia" w:ascii="黑体" w:hAnsi="宋体" w:eastAsia="黑体"/>
          <w:bCs/>
          <w:color w:val="FF0000"/>
          <w:kern w:val="0"/>
          <w:szCs w:val="21"/>
          <w:highlight w:val="none"/>
          <w:lang w:eastAsia="zh-CN"/>
        </w:rPr>
        <w:t>深圳交易咨询集团有限公司</w:t>
      </w:r>
      <w:r>
        <w:rPr>
          <w:rFonts w:hint="eastAsia" w:ascii="黑体" w:hAnsi="宋体" w:eastAsia="黑体"/>
          <w:bCs/>
          <w:color w:val="FF0000"/>
          <w:kern w:val="0"/>
          <w:szCs w:val="21"/>
          <w:highlight w:val="none"/>
        </w:rPr>
        <w:t>不是本项目的采购人，而是组织实施机构）；</w:t>
      </w:r>
    </w:p>
    <w:p w14:paraId="07BC09A2">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第二处，在“项目名称”下划线处应按照采购文件中确定的项目名称填写。对于分包方式面向中小企业采购的项目，应标明中小企业的具体分包内容；对于以联合体方式面向中小企业采购的项目，应标明联合体中中小企业所承担的具体内容；</w:t>
      </w:r>
    </w:p>
    <w:p w14:paraId="058E6C2A">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第三处，在“标的名称”下划线处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52B84568">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第四处，在“采购文件中明确的所属行业”下划线处应填写采购文件中明确的采购标的所属行业，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承担部分采购标的涉及的货物制造商本身的所属行业保持一致；</w:t>
      </w:r>
    </w:p>
    <w:p w14:paraId="53209053">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第五处，在“企业名称”下划线处应填写投标（响应）的货物制造商。对于分包方式面向中小企业采购的项目，“企业名称”应填写分包部分采购标的对应的货物制造商。对于以联合体方式面向中小企业采购的项目，“企业名称”应填写联合体中中小企业承担采购标的对应的货物制造商。</w:t>
      </w:r>
    </w:p>
    <w:p w14:paraId="566DEC1C">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 xml:space="preserve">（2）从业人员、资产总额指标以上年度末数据为依据，营业收入指标以上年度累计数据为依据。无上年度数据的新成立企业可不填报。 </w:t>
      </w:r>
    </w:p>
    <w:p w14:paraId="2BF5E0F9">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（3）“中型企业/小型企业/微型企业”部分，供应商应依据企业上年度从业人员、营业收入、资产总额等指标，按照《中小企业划型标准规定》（工信部联企业〔2011〕300 号）、《金融业企业划型标准规定》（银发〔2015〕309号），判断《中小企业声明函》载明的货物制造商是否属于采购文件所属行业的中型企业/小型企业/微型企业。</w:t>
      </w:r>
    </w:p>
    <w:p w14:paraId="4E5778CE">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4）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5078B12E">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（5）声明是残疾人福利性单位须填写《残疾人福利性单位声明函》的相关内容，具体参照以上《中小企业声明函》填写要求执行。</w:t>
      </w:r>
    </w:p>
    <w:p w14:paraId="6102556F">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仿宋_GB2312" w:hAnsi="仿宋_GB2312" w:eastAsia="仿宋_GB2312" w:cs="仿宋_GB2312"/>
          <w:color w:val="000000"/>
          <w:kern w:val="0"/>
          <w:sz w:val="31"/>
          <w:szCs w:val="31"/>
          <w:highlight w:val="none"/>
          <w:lang w:bidi="ar"/>
        </w:rPr>
      </w:pPr>
      <w:r>
        <w:rPr>
          <w:rFonts w:hint="eastAsia" w:ascii="黑体" w:hAnsi="宋体" w:eastAsia="黑体"/>
          <w:bCs/>
          <w:color w:val="FF0000"/>
          <w:kern w:val="0"/>
          <w:szCs w:val="21"/>
          <w:highlight w:val="none"/>
        </w:rPr>
        <w:t>（6）声明是监狱企业须填写《监狱企业声明函》的三项内容（填写位置的字体已加粗），具体参照以上《中小企业声明函》填写要求执行。</w:t>
      </w:r>
    </w:p>
    <w:p w14:paraId="6259EE66">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highlight w:val="none"/>
        </w:rPr>
      </w:pPr>
      <w:r>
        <w:rPr>
          <w:rFonts w:hint="eastAsia" w:ascii="黑体" w:hAnsi="宋体" w:eastAsia="黑体"/>
          <w:bCs/>
          <w:color w:val="FF0000"/>
          <w:kern w:val="0"/>
          <w:szCs w:val="21"/>
          <w:highlight w:val="none"/>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1B8CDB39">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黑体" w:eastAsia="黑体" w:cs="黑体"/>
          <w:color w:val="FF0000"/>
          <w:highlight w:val="none"/>
        </w:rPr>
      </w:pPr>
    </w:p>
    <w:p w14:paraId="0BB53E39">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highlight w:val="none"/>
        </w:rPr>
      </w:pPr>
    </w:p>
    <w:p w14:paraId="3138FE7B">
      <w:pPr>
        <w:keepNext w:val="0"/>
        <w:keepLines w:val="0"/>
        <w:pageBreakBefore w:val="0"/>
        <w:widowControl w:val="0"/>
        <w:kinsoku/>
        <w:wordWrap/>
        <w:overflowPunct/>
        <w:topLinePunct w:val="0"/>
        <w:autoSpaceDE/>
        <w:autoSpaceDN/>
        <w:bidi w:val="0"/>
        <w:adjustRightInd/>
        <w:snapToGrid/>
        <w:jc w:val="center"/>
        <w:textAlignment w:val="auto"/>
        <w:outlineLvl w:val="9"/>
        <w:rPr>
          <w:b/>
          <w:sz w:val="24"/>
          <w:highlight w:val="none"/>
        </w:rPr>
      </w:pPr>
      <w:r>
        <w:rPr>
          <w:rFonts w:hint="eastAsia"/>
          <w:b/>
          <w:sz w:val="24"/>
          <w:highlight w:val="none"/>
        </w:rPr>
        <w:t>1、</w:t>
      </w:r>
      <w:r>
        <w:rPr>
          <w:b/>
          <w:sz w:val="24"/>
          <w:highlight w:val="none"/>
        </w:rPr>
        <w:t>中小企业声明函</w:t>
      </w:r>
      <w:r>
        <w:rPr>
          <w:rFonts w:hint="eastAsia"/>
          <w:b/>
          <w:sz w:val="24"/>
          <w:highlight w:val="none"/>
        </w:rPr>
        <w:t>（货物）</w:t>
      </w:r>
    </w:p>
    <w:p w14:paraId="03D4258F">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szCs w:val="21"/>
          <w:highlight w:val="none"/>
        </w:rPr>
      </w:pPr>
      <w:r>
        <w:rPr>
          <w:rFonts w:ascii="宋体" w:hAnsi="宋体"/>
          <w:szCs w:val="21"/>
          <w:highlight w:val="none"/>
        </w:rPr>
        <w:t>本</w:t>
      </w:r>
      <w:r>
        <w:rPr>
          <w:rFonts w:hint="eastAsia" w:ascii="宋体" w:hAnsi="宋体"/>
          <w:szCs w:val="21"/>
          <w:highlight w:val="none"/>
        </w:rPr>
        <w:t>公司（联合体）</w:t>
      </w:r>
      <w:r>
        <w:rPr>
          <w:rFonts w:ascii="宋体" w:hAnsi="宋体"/>
          <w:szCs w:val="21"/>
          <w:highlight w:val="none"/>
        </w:rPr>
        <w:t>郑重声明，根据《政府采购促进中小企业发展管理办法》（财库</w:t>
      </w:r>
      <w:r>
        <w:rPr>
          <w:rFonts w:hint="eastAsia" w:ascii="宋体" w:hAnsi="宋体" w:cs="微软雅黑"/>
          <w:szCs w:val="21"/>
          <w:highlight w:val="none"/>
        </w:rPr>
        <w:t>﹝</w:t>
      </w:r>
      <w:r>
        <w:rPr>
          <w:rFonts w:ascii="宋体" w:hAnsi="宋体"/>
          <w:szCs w:val="21"/>
          <w:highlight w:val="none"/>
        </w:rPr>
        <w:t>2020</w:t>
      </w:r>
      <w:r>
        <w:rPr>
          <w:rFonts w:hint="eastAsia" w:ascii="宋体" w:hAnsi="宋体" w:cs="微软雅黑"/>
          <w:szCs w:val="21"/>
          <w:highlight w:val="none"/>
        </w:rPr>
        <w:t>﹞</w:t>
      </w:r>
      <w:r>
        <w:rPr>
          <w:rFonts w:ascii="宋体" w:hAnsi="宋体"/>
          <w:szCs w:val="21"/>
          <w:highlight w:val="none"/>
        </w:rPr>
        <w:t>46号）的规定，本</w:t>
      </w:r>
      <w:r>
        <w:rPr>
          <w:rFonts w:hint="eastAsia" w:ascii="宋体" w:hAnsi="宋体"/>
          <w:szCs w:val="21"/>
          <w:highlight w:val="none"/>
        </w:rPr>
        <w:t>公司（联合体）</w:t>
      </w:r>
      <w:r>
        <w:rPr>
          <w:rFonts w:ascii="宋体" w:hAnsi="宋体"/>
          <w:szCs w:val="21"/>
          <w:highlight w:val="none"/>
        </w:rPr>
        <w:t>参加</w:t>
      </w:r>
      <w:r>
        <w:rPr>
          <w:rFonts w:hint="eastAsia" w:ascii="宋体" w:hAnsi="宋体"/>
          <w:szCs w:val="21"/>
          <w:highlight w:val="none"/>
          <w:u w:val="single"/>
        </w:rPr>
        <w:t xml:space="preserve">       </w:t>
      </w:r>
      <w:r>
        <w:rPr>
          <w:rFonts w:ascii="宋体" w:hAnsi="宋体"/>
          <w:b/>
          <w:bCs/>
          <w:i/>
          <w:iCs/>
          <w:szCs w:val="21"/>
          <w:highlight w:val="none"/>
          <w:u w:val="single"/>
        </w:rPr>
        <w:t>（</w:t>
      </w:r>
      <w:r>
        <w:rPr>
          <w:rFonts w:hint="eastAsia" w:ascii="宋体" w:hAnsi="宋体"/>
          <w:b/>
          <w:bCs/>
          <w:i/>
          <w:iCs/>
          <w:szCs w:val="21"/>
          <w:highlight w:val="none"/>
          <w:u w:val="single"/>
        </w:rPr>
        <w:t>单位</w:t>
      </w:r>
      <w:r>
        <w:rPr>
          <w:rFonts w:ascii="宋体" w:hAnsi="宋体"/>
          <w:b/>
          <w:bCs/>
          <w:i/>
          <w:iCs/>
          <w:szCs w:val="21"/>
          <w:highlight w:val="none"/>
          <w:u w:val="single"/>
        </w:rPr>
        <w:t>名称）</w:t>
      </w:r>
      <w:r>
        <w:rPr>
          <w:rFonts w:ascii="宋体" w:hAnsi="宋体"/>
          <w:szCs w:val="21"/>
          <w:highlight w:val="none"/>
        </w:rPr>
        <w:t>的</w:t>
      </w:r>
      <w:r>
        <w:rPr>
          <w:rFonts w:hint="eastAsia" w:ascii="宋体" w:hAnsi="宋体"/>
          <w:b/>
          <w:bCs/>
          <w:szCs w:val="21"/>
          <w:highlight w:val="none"/>
          <w:u w:val="single"/>
        </w:rPr>
        <w:t xml:space="preserve">     </w:t>
      </w:r>
      <w:r>
        <w:rPr>
          <w:rFonts w:hint="eastAsia" w:ascii="宋体" w:hAnsi="宋体"/>
          <w:b/>
          <w:bCs/>
          <w:i/>
          <w:iCs/>
          <w:szCs w:val="21"/>
          <w:highlight w:val="none"/>
          <w:u w:val="single"/>
        </w:rPr>
        <w:t xml:space="preserve"> </w:t>
      </w:r>
      <w:r>
        <w:rPr>
          <w:rFonts w:ascii="宋体" w:hAnsi="宋体"/>
          <w:b/>
          <w:bCs/>
          <w:i/>
          <w:iCs/>
          <w:szCs w:val="21"/>
          <w:highlight w:val="none"/>
          <w:u w:val="single"/>
        </w:rPr>
        <w:t>（项目名称）</w:t>
      </w:r>
      <w:r>
        <w:rPr>
          <w:rFonts w:hint="eastAsia" w:ascii="宋体" w:hAnsi="宋体"/>
          <w:szCs w:val="21"/>
          <w:highlight w:val="none"/>
        </w:rPr>
        <w:t>采购活动，提供的货物全部由符合政策要求的中小企业制造。相关企业（含联合体中的中小企业、签订分包意向协议的中小企业）的具体情况如下</w:t>
      </w:r>
      <w:r>
        <w:rPr>
          <w:rFonts w:ascii="宋体" w:hAnsi="宋体"/>
          <w:szCs w:val="21"/>
          <w:highlight w:val="none"/>
        </w:rPr>
        <w:t>：</w:t>
      </w:r>
    </w:p>
    <w:p w14:paraId="3F189D86">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w:t>
      </w:r>
      <w:r>
        <w:rPr>
          <w:rFonts w:hint="eastAsia" w:asciiTheme="minorEastAsia" w:hAnsiTheme="minorEastAsia" w:eastAsiaTheme="minorEastAsia" w:cstheme="minorEastAsia"/>
          <w:b/>
          <w:bCs/>
          <w:i/>
          <w:iCs/>
          <w:szCs w:val="21"/>
          <w:highlight w:val="none"/>
          <w:u w:val="single"/>
        </w:rPr>
        <w:t xml:space="preserve">    （标的名称）     </w:t>
      </w:r>
      <w:r>
        <w:rPr>
          <w:rFonts w:hint="eastAsia" w:asciiTheme="minorEastAsia" w:hAnsiTheme="minorEastAsia" w:eastAsiaTheme="minorEastAsia" w:cstheme="minorEastAsia"/>
          <w:szCs w:val="21"/>
          <w:highlight w:val="none"/>
        </w:rPr>
        <w:t>，属于</w:t>
      </w:r>
      <w:r>
        <w:rPr>
          <w:rFonts w:hint="eastAsia" w:asciiTheme="minorEastAsia" w:hAnsiTheme="minorEastAsia" w:eastAsiaTheme="minorEastAsia" w:cstheme="minorEastAsia"/>
          <w:b/>
          <w:bCs/>
          <w:i/>
          <w:iCs/>
          <w:szCs w:val="21"/>
          <w:highlight w:val="none"/>
          <w:u w:val="single"/>
        </w:rPr>
        <w:t xml:space="preserve">    （采购文件中明确的所属行业）    </w:t>
      </w:r>
      <w:r>
        <w:rPr>
          <w:rFonts w:hint="eastAsia" w:asciiTheme="minorEastAsia" w:hAnsiTheme="minorEastAsia" w:eastAsiaTheme="minorEastAsia" w:cstheme="minorEastAsia"/>
          <w:szCs w:val="21"/>
          <w:highlight w:val="none"/>
        </w:rPr>
        <w:t>行业；制造商为</w:t>
      </w:r>
      <w:r>
        <w:rPr>
          <w:rFonts w:hint="eastAsia" w:asciiTheme="minorEastAsia" w:hAnsiTheme="minorEastAsia" w:eastAsiaTheme="minorEastAsia" w:cstheme="minorEastAsia"/>
          <w:b/>
          <w:bCs/>
          <w:i/>
          <w:iCs/>
          <w:szCs w:val="21"/>
          <w:highlight w:val="none"/>
          <w:u w:val="single"/>
        </w:rPr>
        <w:t xml:space="preserve">    （企业名称，要求制造商本身所属行业应当与招标文件要求的行业相一致）    </w:t>
      </w:r>
      <w:r>
        <w:rPr>
          <w:rFonts w:hint="eastAsia" w:asciiTheme="minorEastAsia" w:hAnsiTheme="minorEastAsia" w:eastAsiaTheme="minorEastAsia" w:cstheme="minorEastAsia"/>
          <w:szCs w:val="21"/>
          <w:highlight w:val="none"/>
        </w:rPr>
        <w:t>，从业人员</w:t>
      </w:r>
      <w:r>
        <w:rPr>
          <w:rFonts w:hint="eastAsia" w:asciiTheme="minorEastAsia" w:hAnsiTheme="minorEastAsia" w:eastAsiaTheme="minorEastAsia" w:cstheme="minorEastAsia"/>
          <w:b/>
          <w:bCs/>
          <w:i/>
          <w:iCs/>
          <w:szCs w:val="21"/>
          <w:highlight w:val="none"/>
          <w:u w:val="single"/>
        </w:rPr>
        <w:t xml:space="preserve">        </w:t>
      </w:r>
      <w:r>
        <w:rPr>
          <w:rFonts w:hint="eastAsia" w:asciiTheme="minorEastAsia" w:hAnsiTheme="minorEastAsia" w:eastAsiaTheme="minorEastAsia" w:cstheme="minorEastAsia"/>
          <w:szCs w:val="21"/>
          <w:highlight w:val="none"/>
        </w:rPr>
        <w:t>人，营业收入为</w:t>
      </w:r>
      <w:r>
        <w:rPr>
          <w:rFonts w:hint="eastAsia" w:asciiTheme="minorEastAsia" w:hAnsiTheme="minorEastAsia" w:eastAsiaTheme="minorEastAsia" w:cstheme="minorEastAsia"/>
          <w:b/>
          <w:bCs/>
          <w:i/>
          <w:iCs/>
          <w:szCs w:val="21"/>
          <w:highlight w:val="none"/>
          <w:u w:val="single"/>
        </w:rPr>
        <w:t xml:space="preserve">         </w:t>
      </w:r>
      <w:r>
        <w:rPr>
          <w:rFonts w:hint="eastAsia" w:asciiTheme="minorEastAsia" w:hAnsiTheme="minorEastAsia" w:eastAsiaTheme="minorEastAsia" w:cstheme="minorEastAsia"/>
          <w:szCs w:val="21"/>
          <w:highlight w:val="none"/>
        </w:rPr>
        <w:t>万元，资产总额为</w:t>
      </w:r>
      <w:r>
        <w:rPr>
          <w:rFonts w:hint="eastAsia" w:asciiTheme="minorEastAsia" w:hAnsiTheme="minorEastAsia" w:eastAsiaTheme="minorEastAsia" w:cstheme="minorEastAsia"/>
          <w:b/>
          <w:bCs/>
          <w:i/>
          <w:iCs/>
          <w:szCs w:val="21"/>
          <w:highlight w:val="none"/>
          <w:u w:val="single"/>
        </w:rPr>
        <w:t xml:space="preserve">         </w:t>
      </w:r>
      <w:r>
        <w:rPr>
          <w:rFonts w:hint="eastAsia" w:asciiTheme="minorEastAsia" w:hAnsiTheme="minorEastAsia" w:eastAsiaTheme="minorEastAsia" w:cstheme="minorEastAsia"/>
          <w:szCs w:val="21"/>
          <w:highlight w:val="none"/>
        </w:rPr>
        <w:t>万元，属于</w:t>
      </w:r>
      <w:r>
        <w:rPr>
          <w:rFonts w:hint="eastAsia" w:asciiTheme="minorEastAsia" w:hAnsiTheme="minorEastAsia" w:eastAsiaTheme="minorEastAsia" w:cstheme="minorEastAsia"/>
          <w:b/>
          <w:bCs/>
          <w:i/>
          <w:iCs/>
          <w:szCs w:val="21"/>
          <w:highlight w:val="none"/>
          <w:u w:val="single"/>
        </w:rPr>
        <w:t xml:space="preserve">    （中型企业、小型企业、微型企业）    </w:t>
      </w:r>
      <w:r>
        <w:rPr>
          <w:rFonts w:hint="eastAsia" w:asciiTheme="minorEastAsia" w:hAnsiTheme="minorEastAsia" w:eastAsiaTheme="minorEastAsia" w:cstheme="minorEastAsia"/>
          <w:szCs w:val="21"/>
          <w:highlight w:val="none"/>
        </w:rPr>
        <w:t>；</w:t>
      </w:r>
    </w:p>
    <w:p w14:paraId="78552394">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w:t>
      </w:r>
      <w:r>
        <w:rPr>
          <w:rFonts w:hint="eastAsia" w:asciiTheme="minorEastAsia" w:hAnsiTheme="minorEastAsia" w:eastAsiaTheme="minorEastAsia" w:cstheme="minorEastAsia"/>
          <w:b/>
          <w:bCs/>
          <w:i/>
          <w:iCs/>
          <w:szCs w:val="21"/>
          <w:highlight w:val="none"/>
          <w:u w:val="single"/>
        </w:rPr>
        <w:t xml:space="preserve">    （标的名称）     </w:t>
      </w:r>
      <w:r>
        <w:rPr>
          <w:rFonts w:hint="eastAsia" w:asciiTheme="minorEastAsia" w:hAnsiTheme="minorEastAsia" w:eastAsiaTheme="minorEastAsia" w:cstheme="minorEastAsia"/>
          <w:szCs w:val="21"/>
          <w:highlight w:val="none"/>
        </w:rPr>
        <w:t>，属于</w:t>
      </w:r>
      <w:r>
        <w:rPr>
          <w:rFonts w:hint="eastAsia" w:asciiTheme="minorEastAsia" w:hAnsiTheme="minorEastAsia" w:eastAsiaTheme="minorEastAsia" w:cstheme="minorEastAsia"/>
          <w:b/>
          <w:bCs/>
          <w:i/>
          <w:iCs/>
          <w:szCs w:val="21"/>
          <w:highlight w:val="none"/>
          <w:u w:val="single"/>
        </w:rPr>
        <w:t xml:space="preserve">    （采购文件中明确的所属行业）    </w:t>
      </w:r>
      <w:r>
        <w:rPr>
          <w:rFonts w:hint="eastAsia" w:asciiTheme="minorEastAsia" w:hAnsiTheme="minorEastAsia" w:eastAsiaTheme="minorEastAsia" w:cstheme="minorEastAsia"/>
          <w:szCs w:val="21"/>
          <w:highlight w:val="none"/>
        </w:rPr>
        <w:t>行业；制造商为</w:t>
      </w:r>
      <w:r>
        <w:rPr>
          <w:rFonts w:hint="eastAsia" w:asciiTheme="minorEastAsia" w:hAnsiTheme="minorEastAsia" w:eastAsiaTheme="minorEastAsia" w:cstheme="minorEastAsia"/>
          <w:b/>
          <w:bCs/>
          <w:i/>
          <w:iCs/>
          <w:szCs w:val="21"/>
          <w:highlight w:val="none"/>
          <w:u w:val="single"/>
        </w:rPr>
        <w:t xml:space="preserve">    （企业名称，要求制造商本身所属行业应当与招标文件要求的行业相一致）    </w:t>
      </w:r>
      <w:r>
        <w:rPr>
          <w:rFonts w:hint="eastAsia" w:asciiTheme="minorEastAsia" w:hAnsiTheme="minorEastAsia" w:eastAsiaTheme="minorEastAsia" w:cstheme="minorEastAsia"/>
          <w:szCs w:val="21"/>
          <w:highlight w:val="none"/>
        </w:rPr>
        <w:t>，从业人员</w:t>
      </w:r>
      <w:r>
        <w:rPr>
          <w:rFonts w:hint="eastAsia" w:asciiTheme="minorEastAsia" w:hAnsiTheme="minorEastAsia" w:eastAsiaTheme="minorEastAsia" w:cstheme="minorEastAsia"/>
          <w:b/>
          <w:bCs/>
          <w:i/>
          <w:iCs/>
          <w:szCs w:val="21"/>
          <w:highlight w:val="none"/>
          <w:u w:val="single"/>
        </w:rPr>
        <w:t xml:space="preserve">        </w:t>
      </w:r>
      <w:r>
        <w:rPr>
          <w:rFonts w:hint="eastAsia" w:asciiTheme="minorEastAsia" w:hAnsiTheme="minorEastAsia" w:eastAsiaTheme="minorEastAsia" w:cstheme="minorEastAsia"/>
          <w:szCs w:val="21"/>
          <w:highlight w:val="none"/>
        </w:rPr>
        <w:t>人，营业收入为</w:t>
      </w:r>
      <w:r>
        <w:rPr>
          <w:rFonts w:hint="eastAsia" w:asciiTheme="minorEastAsia" w:hAnsiTheme="minorEastAsia" w:eastAsiaTheme="minorEastAsia" w:cstheme="minorEastAsia"/>
          <w:b/>
          <w:bCs/>
          <w:i/>
          <w:iCs/>
          <w:szCs w:val="21"/>
          <w:highlight w:val="none"/>
          <w:u w:val="single"/>
        </w:rPr>
        <w:t xml:space="preserve">         </w:t>
      </w:r>
      <w:r>
        <w:rPr>
          <w:rFonts w:hint="eastAsia" w:asciiTheme="minorEastAsia" w:hAnsiTheme="minorEastAsia" w:eastAsiaTheme="minorEastAsia" w:cstheme="minorEastAsia"/>
          <w:szCs w:val="21"/>
          <w:highlight w:val="none"/>
        </w:rPr>
        <w:t>万元，资产总额为</w:t>
      </w:r>
      <w:r>
        <w:rPr>
          <w:rFonts w:hint="eastAsia" w:asciiTheme="minorEastAsia" w:hAnsiTheme="minorEastAsia" w:eastAsiaTheme="minorEastAsia" w:cstheme="minorEastAsia"/>
          <w:b/>
          <w:bCs/>
          <w:i/>
          <w:iCs/>
          <w:szCs w:val="21"/>
          <w:highlight w:val="none"/>
          <w:u w:val="single"/>
        </w:rPr>
        <w:t xml:space="preserve">         </w:t>
      </w:r>
      <w:r>
        <w:rPr>
          <w:rFonts w:hint="eastAsia" w:asciiTheme="minorEastAsia" w:hAnsiTheme="minorEastAsia" w:eastAsiaTheme="minorEastAsia" w:cstheme="minorEastAsia"/>
          <w:szCs w:val="21"/>
          <w:highlight w:val="none"/>
        </w:rPr>
        <w:t>万元，属于</w:t>
      </w:r>
      <w:r>
        <w:rPr>
          <w:rFonts w:hint="eastAsia" w:asciiTheme="minorEastAsia" w:hAnsiTheme="minorEastAsia" w:eastAsiaTheme="minorEastAsia" w:cstheme="minorEastAsia"/>
          <w:b/>
          <w:bCs/>
          <w:i/>
          <w:iCs/>
          <w:szCs w:val="21"/>
          <w:highlight w:val="none"/>
          <w:u w:val="single"/>
        </w:rPr>
        <w:t xml:space="preserve">    （中型企业、小型企业、微型企业）    </w:t>
      </w:r>
      <w:r>
        <w:rPr>
          <w:rFonts w:hint="eastAsia" w:asciiTheme="minorEastAsia" w:hAnsiTheme="minorEastAsia" w:eastAsiaTheme="minorEastAsia" w:cstheme="minorEastAsia"/>
          <w:szCs w:val="21"/>
          <w:highlight w:val="none"/>
        </w:rPr>
        <w:t>；</w:t>
      </w:r>
    </w:p>
    <w:p w14:paraId="7AED2E2F">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w:t>
      </w:r>
    </w:p>
    <w:p w14:paraId="3CE843B2">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Theme="minorEastAsia" w:hAnsiTheme="minorEastAsia" w:eastAsiaTheme="minorEastAsia" w:cstheme="minorEastAsia"/>
          <w:szCs w:val="21"/>
          <w:highlight w:val="none"/>
        </w:rPr>
      </w:pPr>
    </w:p>
    <w:p w14:paraId="280D4541">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以上企业，不属于大企业的分支机构，不存在控股股东为大企业的情形，也不存在与大企业的负责人为同一人的情形。</w:t>
      </w:r>
    </w:p>
    <w:p w14:paraId="4D19FEBF">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Theme="minorEastAsia" w:hAnsiTheme="minorEastAsia" w:eastAsiaTheme="minorEastAsia" w:cstheme="minorEastAsia"/>
          <w:szCs w:val="21"/>
          <w:highlight w:val="none"/>
        </w:rPr>
      </w:pPr>
      <w:bookmarkStart w:id="38" w:name="_Hlk73562203"/>
      <w:r>
        <w:rPr>
          <w:rFonts w:hint="eastAsia" w:asciiTheme="minorEastAsia" w:hAnsiTheme="minorEastAsia" w:eastAsiaTheme="minorEastAsia" w:cstheme="minorEastAsia"/>
          <w:szCs w:val="21"/>
          <w:highlight w:val="none"/>
        </w:rPr>
        <w:t>本投标人对上述声明内容的真实性负责。如有虚假，将依法承担相应责任。</w:t>
      </w:r>
    </w:p>
    <w:p w14:paraId="26BAE012">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sz w:val="24"/>
          <w:highlight w:val="none"/>
        </w:rPr>
      </w:pPr>
      <w:r>
        <w:rPr>
          <w:rFonts w:hint="eastAsia" w:asciiTheme="minorEastAsia" w:hAnsiTheme="minorEastAsia" w:eastAsiaTheme="minorEastAsia" w:cstheme="minorEastAsia"/>
          <w:szCs w:val="21"/>
          <w:highlight w:val="none"/>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38"/>
    </w:p>
    <w:p w14:paraId="7A9589EB">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bCs/>
          <w:color w:val="FF0000"/>
          <w:kern w:val="0"/>
          <w:szCs w:val="21"/>
          <w:highlight w:val="none"/>
        </w:rPr>
      </w:pPr>
    </w:p>
    <w:p w14:paraId="054E723D">
      <w:pPr>
        <w:keepNext w:val="0"/>
        <w:keepLines w:val="0"/>
        <w:pageBreakBefore w:val="0"/>
        <w:widowControl w:val="0"/>
        <w:kinsoku/>
        <w:wordWrap/>
        <w:overflowPunct/>
        <w:topLinePunct w:val="0"/>
        <w:autoSpaceDE/>
        <w:autoSpaceDN/>
        <w:bidi w:val="0"/>
        <w:adjustRightInd/>
        <w:snapToGrid/>
        <w:textAlignment w:val="auto"/>
        <w:outlineLvl w:val="9"/>
        <w:rPr>
          <w:highlight w:val="none"/>
        </w:rPr>
      </w:pPr>
    </w:p>
    <w:p w14:paraId="6D7E8925">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highlight w:val="none"/>
        </w:rPr>
      </w:pPr>
    </w:p>
    <w:p w14:paraId="0F4E1E78">
      <w:pPr>
        <w:keepNext w:val="0"/>
        <w:keepLines w:val="0"/>
        <w:pageBreakBefore w:val="0"/>
        <w:widowControl w:val="0"/>
        <w:kinsoku/>
        <w:wordWrap/>
        <w:overflowPunct/>
        <w:topLinePunct w:val="0"/>
        <w:autoSpaceDE/>
        <w:autoSpaceDN/>
        <w:bidi w:val="0"/>
        <w:adjustRightInd/>
        <w:snapToGrid/>
        <w:jc w:val="center"/>
        <w:textAlignment w:val="auto"/>
        <w:outlineLvl w:val="9"/>
        <w:rPr>
          <w:b/>
          <w:sz w:val="24"/>
          <w:highlight w:val="none"/>
        </w:rPr>
      </w:pPr>
      <w:r>
        <w:rPr>
          <w:rFonts w:hint="eastAsia"/>
          <w:b/>
          <w:sz w:val="24"/>
          <w:highlight w:val="none"/>
        </w:rPr>
        <w:t>2、残疾人福利性单位声明函（货物类）</w:t>
      </w:r>
    </w:p>
    <w:p w14:paraId="33C88972">
      <w:pPr>
        <w:keepNext w:val="0"/>
        <w:keepLines w:val="0"/>
        <w:pageBreakBefore w:val="0"/>
        <w:widowControl w:val="0"/>
        <w:kinsoku/>
        <w:wordWrap/>
        <w:overflowPunct/>
        <w:topLinePunct w:val="0"/>
        <w:autoSpaceDE/>
        <w:autoSpaceDN/>
        <w:bidi w:val="0"/>
        <w:adjustRightInd/>
        <w:snapToGrid/>
        <w:textAlignment w:val="auto"/>
        <w:outlineLvl w:val="9"/>
        <w:rPr>
          <w:b/>
          <w:bCs/>
          <w:highlight w:val="none"/>
        </w:rPr>
      </w:pPr>
    </w:p>
    <w:p w14:paraId="03446289">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Theme="minorEastAsia" w:hAnsiTheme="minorEastAsia" w:eastAsiaTheme="minorEastAsia" w:cstheme="minorEastAsia"/>
          <w:szCs w:val="21"/>
          <w:highlight w:val="none"/>
        </w:rPr>
      </w:pPr>
      <w:bookmarkStart w:id="39" w:name="_Hlk73562331"/>
      <w:bookmarkStart w:id="40" w:name="_Hlk73562245"/>
      <w:r>
        <w:rPr>
          <w:rFonts w:hint="eastAsia" w:asciiTheme="minorEastAsia" w:hAnsiTheme="minorEastAsia" w:eastAsiaTheme="minorEastAsia" w:cstheme="minorEastAsia"/>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Cs w:val="21"/>
          <w:highlight w:val="none"/>
          <w:u w:val="single"/>
        </w:rPr>
        <w:t xml:space="preserve">    （单位名称）    </w:t>
      </w:r>
      <w:r>
        <w:rPr>
          <w:rFonts w:hint="eastAsia" w:asciiTheme="minorEastAsia" w:hAnsiTheme="minorEastAsia" w:eastAsiaTheme="minorEastAsia" w:cstheme="minorEastAsia"/>
          <w:szCs w:val="21"/>
          <w:highlight w:val="none"/>
        </w:rPr>
        <w:t>单位的</w:t>
      </w:r>
      <w:r>
        <w:rPr>
          <w:rFonts w:hint="eastAsia" w:asciiTheme="minorEastAsia" w:hAnsiTheme="minorEastAsia" w:eastAsiaTheme="minorEastAsia" w:cstheme="minorEastAsia"/>
          <w:b/>
          <w:bCs/>
          <w:i/>
          <w:iCs/>
          <w:szCs w:val="21"/>
          <w:highlight w:val="none"/>
          <w:u w:val="single"/>
        </w:rPr>
        <w:t xml:space="preserve">    （项目名称）    </w:t>
      </w:r>
      <w:r>
        <w:rPr>
          <w:rFonts w:hint="eastAsia" w:asciiTheme="minorEastAsia" w:hAnsiTheme="minorEastAsia" w:eastAsiaTheme="minorEastAsia" w:cstheme="minorEastAsia"/>
          <w:szCs w:val="21"/>
          <w:highlight w:val="none"/>
        </w:rPr>
        <w:t>项目采购活动提供本单位制造的货物（由本单位承担工程/提供服务），或者提供其他残疾人福利性单位制造的货物（不包括使用非残疾人福利性单位注册商标的货物）。</w:t>
      </w:r>
    </w:p>
    <w:p w14:paraId="527AA4A9">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本单位对上述声明的真实性负责。如有虚假，将依法承担相应责任。</w:t>
      </w:r>
    </w:p>
    <w:p w14:paraId="7F78CF0D">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本投标人已知悉《财政部民政部中国残疾人联合会关于促进残疾人就业政府采购政策的通知》（财库〔2017〕141号）的规定，承诺提供的声明函内容是真实的，如提供声明函内容不实，则依法追究相关法律责任。</w:t>
      </w:r>
      <w:bookmarkEnd w:id="39"/>
    </w:p>
    <w:bookmarkEnd w:id="40"/>
    <w:p w14:paraId="007AAAD7">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szCs w:val="21"/>
          <w:highlight w:val="none"/>
        </w:rPr>
      </w:pPr>
    </w:p>
    <w:p w14:paraId="5F15E2A0">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szCs w:val="21"/>
          <w:highlight w:val="none"/>
        </w:rPr>
      </w:pPr>
    </w:p>
    <w:p w14:paraId="64830C4A">
      <w:pPr>
        <w:keepNext w:val="0"/>
        <w:keepLines w:val="0"/>
        <w:pageBreakBefore w:val="0"/>
        <w:widowControl w:val="0"/>
        <w:kinsoku/>
        <w:wordWrap/>
        <w:overflowPunct/>
        <w:topLinePunct w:val="0"/>
        <w:autoSpaceDE/>
        <w:autoSpaceDN/>
        <w:bidi w:val="0"/>
        <w:adjustRightInd/>
        <w:snapToGrid/>
        <w:jc w:val="center"/>
        <w:textAlignment w:val="auto"/>
        <w:outlineLvl w:val="9"/>
        <w:rPr>
          <w:b/>
          <w:sz w:val="24"/>
          <w:highlight w:val="none"/>
        </w:rPr>
      </w:pPr>
      <w:r>
        <w:rPr>
          <w:rFonts w:hint="eastAsia"/>
          <w:b/>
          <w:sz w:val="24"/>
          <w:highlight w:val="none"/>
        </w:rPr>
        <w:t>3、监狱企业声明函【货物类，提供监狱企业货物的供应商如需享受优惠政策，还须另行提供省级以上监狱管理局、戒毒管理局（含新疆生产建设兵团）出具的监狱企业证明文件】</w:t>
      </w:r>
    </w:p>
    <w:p w14:paraId="69A18235">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szCs w:val="21"/>
          <w:highlight w:val="none"/>
        </w:rPr>
      </w:pPr>
      <w:r>
        <w:rPr>
          <w:rFonts w:hint="eastAsia" w:ascii="宋体" w:hAnsi="宋体"/>
          <w:szCs w:val="21"/>
          <w:highlight w:val="none"/>
        </w:rPr>
        <w:t>本投标人郑重声明，根据《财政部司法部关于政府采购支持监狱企业发展有关问题的通知》（财库〔</w:t>
      </w:r>
      <w:r>
        <w:rPr>
          <w:rFonts w:ascii="宋体" w:hAnsi="宋体"/>
          <w:szCs w:val="21"/>
          <w:highlight w:val="none"/>
        </w:rPr>
        <w:t>2014</w:t>
      </w:r>
      <w:r>
        <w:rPr>
          <w:rFonts w:hint="eastAsia" w:ascii="宋体" w:hAnsi="宋体"/>
          <w:szCs w:val="21"/>
          <w:highlight w:val="none"/>
        </w:rPr>
        <w:t>〕</w:t>
      </w:r>
      <w:r>
        <w:rPr>
          <w:rFonts w:ascii="宋体" w:hAnsi="宋体"/>
          <w:szCs w:val="21"/>
          <w:highlight w:val="none"/>
        </w:rPr>
        <w:t>68</w:t>
      </w:r>
      <w:r>
        <w:rPr>
          <w:rFonts w:hint="eastAsia" w:ascii="宋体" w:hAnsi="宋体"/>
          <w:szCs w:val="21"/>
          <w:highlight w:val="none"/>
        </w:rPr>
        <w:t>号）的规定，本投标人</w:t>
      </w:r>
      <w:r>
        <w:rPr>
          <w:rFonts w:ascii="宋体" w:hAnsi="宋体" w:cstheme="minorBidi"/>
          <w:szCs w:val="21"/>
          <w:highlight w:val="none"/>
        </w:rPr>
        <w:t>参加</w:t>
      </w:r>
      <w:r>
        <w:rPr>
          <w:rFonts w:ascii="宋体" w:hAnsi="宋体"/>
          <w:b/>
          <w:bCs/>
          <w:i/>
          <w:iCs/>
          <w:szCs w:val="21"/>
          <w:highlight w:val="none"/>
          <w:u w:val="single"/>
        </w:rPr>
        <w:t>（</w:t>
      </w:r>
      <w:r>
        <w:rPr>
          <w:rFonts w:hint="eastAsia" w:ascii="宋体" w:hAnsi="宋体"/>
          <w:b/>
          <w:bCs/>
          <w:i/>
          <w:iCs/>
          <w:szCs w:val="21"/>
          <w:highlight w:val="none"/>
          <w:u w:val="single"/>
        </w:rPr>
        <w:t>采购人</w:t>
      </w:r>
      <w:r>
        <w:rPr>
          <w:rFonts w:ascii="宋体" w:hAnsi="宋体"/>
          <w:b/>
          <w:bCs/>
          <w:i/>
          <w:iCs/>
          <w:szCs w:val="21"/>
          <w:highlight w:val="none"/>
          <w:u w:val="single"/>
        </w:rPr>
        <w:t>名称）</w:t>
      </w:r>
      <w:r>
        <w:rPr>
          <w:rFonts w:ascii="宋体" w:hAnsi="宋体"/>
          <w:szCs w:val="21"/>
          <w:highlight w:val="none"/>
        </w:rPr>
        <w:t>的</w:t>
      </w:r>
      <w:r>
        <w:rPr>
          <w:rFonts w:ascii="宋体" w:hAnsi="宋体"/>
          <w:b/>
          <w:bCs/>
          <w:i/>
          <w:iCs/>
          <w:szCs w:val="21"/>
          <w:highlight w:val="none"/>
          <w:u w:val="single"/>
        </w:rPr>
        <w:t>（项目名称）</w:t>
      </w:r>
      <w:r>
        <w:rPr>
          <w:rFonts w:ascii="宋体" w:hAnsi="宋体"/>
          <w:szCs w:val="21"/>
          <w:highlight w:val="none"/>
        </w:rPr>
        <w:t>采购活动，提供的货物全部由符合政策要求的</w:t>
      </w:r>
      <w:r>
        <w:rPr>
          <w:rFonts w:hint="eastAsia" w:ascii="宋体" w:hAnsi="宋体"/>
          <w:szCs w:val="21"/>
          <w:highlight w:val="none"/>
        </w:rPr>
        <w:t>监狱企业</w:t>
      </w:r>
      <w:r>
        <w:rPr>
          <w:rFonts w:ascii="宋体" w:hAnsi="宋体"/>
          <w:szCs w:val="21"/>
          <w:highlight w:val="none"/>
        </w:rPr>
        <w:t>制造。相关</w:t>
      </w:r>
      <w:r>
        <w:rPr>
          <w:rFonts w:hint="eastAsia" w:ascii="宋体" w:hAnsi="宋体"/>
          <w:szCs w:val="21"/>
          <w:highlight w:val="none"/>
        </w:rPr>
        <w:t>监狱企业</w:t>
      </w:r>
      <w:r>
        <w:rPr>
          <w:rFonts w:ascii="宋体" w:hAnsi="宋体"/>
          <w:szCs w:val="21"/>
          <w:highlight w:val="none"/>
        </w:rPr>
        <w:t>的具体情况如下：</w:t>
      </w:r>
    </w:p>
    <w:p w14:paraId="6EBCCB34">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szCs w:val="21"/>
          <w:highlight w:val="none"/>
        </w:rPr>
      </w:pPr>
      <w:r>
        <w:rPr>
          <w:rFonts w:ascii="宋体" w:hAnsi="宋体"/>
          <w:szCs w:val="21"/>
          <w:highlight w:val="none"/>
        </w:rPr>
        <w:t>1.</w:t>
      </w:r>
      <w:r>
        <w:rPr>
          <w:rFonts w:ascii="宋体" w:hAnsi="宋体"/>
          <w:b/>
          <w:bCs/>
          <w:i/>
          <w:iCs/>
          <w:szCs w:val="21"/>
          <w:highlight w:val="none"/>
          <w:u w:val="single"/>
        </w:rPr>
        <w:t xml:space="preserve"> </w:t>
      </w:r>
      <w:r>
        <w:rPr>
          <w:rFonts w:hint="eastAsia" w:ascii="宋体" w:hAnsi="宋体"/>
          <w:b/>
          <w:bCs/>
          <w:i/>
          <w:iCs/>
          <w:szCs w:val="21"/>
          <w:highlight w:val="none"/>
          <w:u w:val="single"/>
        </w:rPr>
        <w:t xml:space="preserve">   </w:t>
      </w:r>
      <w:r>
        <w:rPr>
          <w:rFonts w:ascii="宋体" w:hAnsi="宋体"/>
          <w:b/>
          <w:bCs/>
          <w:i/>
          <w:iCs/>
          <w:szCs w:val="21"/>
          <w:highlight w:val="none"/>
          <w:u w:val="single"/>
        </w:rPr>
        <w:t>（标的名称）</w:t>
      </w:r>
      <w:r>
        <w:rPr>
          <w:rFonts w:hint="eastAsia" w:ascii="宋体" w:hAnsi="宋体"/>
          <w:b/>
          <w:bCs/>
          <w:i/>
          <w:iCs/>
          <w:szCs w:val="21"/>
          <w:highlight w:val="none"/>
          <w:u w:val="single"/>
        </w:rPr>
        <w:t xml:space="preserve">    </w:t>
      </w:r>
      <w:r>
        <w:rPr>
          <w:rFonts w:hint="eastAsia" w:ascii="宋体" w:hAnsi="宋体"/>
          <w:szCs w:val="21"/>
          <w:highlight w:val="none"/>
        </w:rPr>
        <w:t>，</w:t>
      </w:r>
      <w:r>
        <w:rPr>
          <w:rFonts w:ascii="宋体" w:hAnsi="宋体"/>
          <w:szCs w:val="21"/>
          <w:highlight w:val="none"/>
        </w:rPr>
        <w:t>制造商为</w:t>
      </w:r>
      <w:r>
        <w:rPr>
          <w:rFonts w:hint="eastAsia" w:ascii="宋体" w:hAnsi="宋体"/>
          <w:szCs w:val="21"/>
          <w:highlight w:val="none"/>
          <w:u w:val="single"/>
        </w:rPr>
        <w:t xml:space="preserve">    </w:t>
      </w:r>
      <w:r>
        <w:rPr>
          <w:rFonts w:ascii="宋体" w:hAnsi="宋体"/>
          <w:b/>
          <w:bCs/>
          <w:i/>
          <w:iCs/>
          <w:szCs w:val="21"/>
          <w:highlight w:val="none"/>
          <w:u w:val="single"/>
        </w:rPr>
        <w:t>（</w:t>
      </w:r>
      <w:r>
        <w:rPr>
          <w:rFonts w:hint="eastAsia" w:ascii="宋体" w:hAnsi="宋体"/>
          <w:b/>
          <w:bCs/>
          <w:i/>
          <w:iCs/>
          <w:szCs w:val="21"/>
          <w:highlight w:val="none"/>
          <w:u w:val="single"/>
        </w:rPr>
        <w:t>企业</w:t>
      </w:r>
      <w:r>
        <w:rPr>
          <w:rFonts w:ascii="宋体" w:hAnsi="宋体"/>
          <w:b/>
          <w:bCs/>
          <w:i/>
          <w:iCs/>
          <w:szCs w:val="21"/>
          <w:highlight w:val="none"/>
          <w:u w:val="single"/>
        </w:rPr>
        <w:t>名称）</w:t>
      </w:r>
      <w:r>
        <w:rPr>
          <w:rFonts w:hint="eastAsia" w:ascii="宋体" w:hAnsi="宋体"/>
          <w:b/>
          <w:bCs/>
          <w:i/>
          <w:iCs/>
          <w:szCs w:val="21"/>
          <w:highlight w:val="none"/>
          <w:u w:val="single"/>
        </w:rPr>
        <w:t xml:space="preserve">    </w:t>
      </w:r>
      <w:r>
        <w:rPr>
          <w:rFonts w:ascii="宋体" w:hAnsi="宋体"/>
          <w:szCs w:val="21"/>
          <w:highlight w:val="none"/>
        </w:rPr>
        <w:t>，属于</w:t>
      </w:r>
      <w:r>
        <w:rPr>
          <w:rFonts w:hint="eastAsia" w:ascii="宋体" w:hAnsi="宋体"/>
          <w:szCs w:val="21"/>
          <w:highlight w:val="none"/>
          <w:u w:val="single"/>
        </w:rPr>
        <w:t xml:space="preserve">  </w:t>
      </w:r>
      <w:r>
        <w:rPr>
          <w:rFonts w:hint="eastAsia" w:ascii="宋体" w:hAnsi="宋体"/>
          <w:b/>
          <w:bCs/>
          <w:szCs w:val="21"/>
          <w:highlight w:val="none"/>
          <w:u w:val="single"/>
        </w:rPr>
        <w:t xml:space="preserve">监狱企业  </w:t>
      </w:r>
      <w:r>
        <w:rPr>
          <w:rFonts w:ascii="宋体" w:hAnsi="宋体"/>
          <w:szCs w:val="21"/>
          <w:highlight w:val="none"/>
        </w:rPr>
        <w:t>；</w:t>
      </w:r>
    </w:p>
    <w:p w14:paraId="54509E12">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szCs w:val="21"/>
          <w:highlight w:val="none"/>
        </w:rPr>
      </w:pPr>
      <w:r>
        <w:rPr>
          <w:rFonts w:ascii="宋体" w:hAnsi="宋体"/>
          <w:szCs w:val="21"/>
          <w:highlight w:val="none"/>
        </w:rPr>
        <w:t>2.</w:t>
      </w:r>
      <w:r>
        <w:rPr>
          <w:rFonts w:ascii="宋体" w:hAnsi="宋体"/>
          <w:b/>
          <w:bCs/>
          <w:i/>
          <w:iCs/>
          <w:szCs w:val="21"/>
          <w:highlight w:val="none"/>
          <w:u w:val="single"/>
        </w:rPr>
        <w:t xml:space="preserve"> </w:t>
      </w:r>
      <w:r>
        <w:rPr>
          <w:rFonts w:hint="eastAsia" w:ascii="宋体" w:hAnsi="宋体"/>
          <w:b/>
          <w:bCs/>
          <w:i/>
          <w:iCs/>
          <w:szCs w:val="21"/>
          <w:highlight w:val="none"/>
          <w:u w:val="single"/>
        </w:rPr>
        <w:t xml:space="preserve">   </w:t>
      </w:r>
      <w:r>
        <w:rPr>
          <w:rFonts w:ascii="宋体" w:hAnsi="宋体"/>
          <w:b/>
          <w:bCs/>
          <w:i/>
          <w:iCs/>
          <w:szCs w:val="21"/>
          <w:highlight w:val="none"/>
          <w:u w:val="single"/>
        </w:rPr>
        <w:t>（标的名称）</w:t>
      </w:r>
      <w:r>
        <w:rPr>
          <w:rFonts w:hint="eastAsia" w:ascii="宋体" w:hAnsi="宋体"/>
          <w:b/>
          <w:bCs/>
          <w:i/>
          <w:iCs/>
          <w:szCs w:val="21"/>
          <w:highlight w:val="none"/>
          <w:u w:val="single"/>
        </w:rPr>
        <w:t xml:space="preserve">    </w:t>
      </w:r>
      <w:r>
        <w:rPr>
          <w:rFonts w:hint="eastAsia" w:ascii="宋体" w:hAnsi="宋体"/>
          <w:szCs w:val="21"/>
          <w:highlight w:val="none"/>
        </w:rPr>
        <w:t>，</w:t>
      </w:r>
      <w:r>
        <w:rPr>
          <w:rFonts w:ascii="宋体" w:hAnsi="宋体"/>
          <w:szCs w:val="21"/>
          <w:highlight w:val="none"/>
        </w:rPr>
        <w:t>制造商为</w:t>
      </w:r>
      <w:r>
        <w:rPr>
          <w:rFonts w:hint="eastAsia" w:ascii="宋体" w:hAnsi="宋体"/>
          <w:szCs w:val="21"/>
          <w:highlight w:val="none"/>
          <w:u w:val="single"/>
        </w:rPr>
        <w:t xml:space="preserve">    </w:t>
      </w:r>
      <w:r>
        <w:rPr>
          <w:rFonts w:ascii="宋体" w:hAnsi="宋体"/>
          <w:b/>
          <w:bCs/>
          <w:i/>
          <w:iCs/>
          <w:szCs w:val="21"/>
          <w:highlight w:val="none"/>
          <w:u w:val="single"/>
        </w:rPr>
        <w:t>（</w:t>
      </w:r>
      <w:r>
        <w:rPr>
          <w:rFonts w:hint="eastAsia" w:ascii="宋体" w:hAnsi="宋体"/>
          <w:b/>
          <w:bCs/>
          <w:i/>
          <w:iCs/>
          <w:szCs w:val="21"/>
          <w:highlight w:val="none"/>
          <w:u w:val="single"/>
        </w:rPr>
        <w:t>企业</w:t>
      </w:r>
      <w:r>
        <w:rPr>
          <w:rFonts w:ascii="宋体" w:hAnsi="宋体"/>
          <w:b/>
          <w:bCs/>
          <w:i/>
          <w:iCs/>
          <w:szCs w:val="21"/>
          <w:highlight w:val="none"/>
          <w:u w:val="single"/>
        </w:rPr>
        <w:t>名称）</w:t>
      </w:r>
      <w:r>
        <w:rPr>
          <w:rFonts w:hint="eastAsia" w:ascii="宋体" w:hAnsi="宋体"/>
          <w:b/>
          <w:bCs/>
          <w:i/>
          <w:iCs/>
          <w:szCs w:val="21"/>
          <w:highlight w:val="none"/>
          <w:u w:val="single"/>
        </w:rPr>
        <w:t xml:space="preserve">    </w:t>
      </w:r>
      <w:r>
        <w:rPr>
          <w:rFonts w:ascii="宋体" w:hAnsi="宋体"/>
          <w:szCs w:val="21"/>
          <w:highlight w:val="none"/>
        </w:rPr>
        <w:t>，属于</w:t>
      </w:r>
      <w:r>
        <w:rPr>
          <w:rFonts w:hint="eastAsia" w:ascii="宋体" w:hAnsi="宋体"/>
          <w:szCs w:val="21"/>
          <w:highlight w:val="none"/>
          <w:u w:val="single"/>
        </w:rPr>
        <w:t xml:space="preserve">  </w:t>
      </w:r>
      <w:r>
        <w:rPr>
          <w:rFonts w:hint="eastAsia" w:ascii="宋体" w:hAnsi="宋体"/>
          <w:b/>
          <w:bCs/>
          <w:szCs w:val="21"/>
          <w:highlight w:val="none"/>
          <w:u w:val="single"/>
        </w:rPr>
        <w:t xml:space="preserve">监狱企业  </w:t>
      </w:r>
      <w:r>
        <w:rPr>
          <w:rFonts w:hint="eastAsia" w:ascii="宋体" w:hAnsi="宋体"/>
          <w:szCs w:val="21"/>
          <w:highlight w:val="none"/>
        </w:rPr>
        <w:t>。</w:t>
      </w:r>
    </w:p>
    <w:p w14:paraId="40C1EE55">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szCs w:val="21"/>
          <w:highlight w:val="none"/>
        </w:rPr>
      </w:pPr>
      <w:r>
        <w:rPr>
          <w:rFonts w:ascii="宋体" w:hAnsi="宋体"/>
          <w:szCs w:val="21"/>
          <w:highlight w:val="none"/>
        </w:rPr>
        <w:t xml:space="preserve">…… </w:t>
      </w:r>
    </w:p>
    <w:p w14:paraId="4B2DBB35">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szCs w:val="21"/>
          <w:highlight w:val="none"/>
        </w:rPr>
      </w:pPr>
      <w:r>
        <w:rPr>
          <w:rFonts w:ascii="宋体" w:hAnsi="宋体" w:cstheme="minorBidi"/>
          <w:szCs w:val="21"/>
          <w:highlight w:val="none"/>
        </w:rPr>
        <w:t>本</w:t>
      </w:r>
      <w:r>
        <w:rPr>
          <w:rFonts w:hint="eastAsia" w:ascii="宋体" w:hAnsi="宋体" w:cstheme="minorBidi"/>
          <w:szCs w:val="21"/>
          <w:highlight w:val="none"/>
        </w:rPr>
        <w:t>投标人</w:t>
      </w:r>
      <w:r>
        <w:rPr>
          <w:rFonts w:ascii="宋体" w:hAnsi="宋体"/>
          <w:szCs w:val="21"/>
          <w:highlight w:val="none"/>
        </w:rPr>
        <w:t>对上述声明内容的真实性负责。如有虚假，将依法承担相应责任。</w:t>
      </w:r>
    </w:p>
    <w:p w14:paraId="6B66BBBF">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szCs w:val="21"/>
          <w:highlight w:val="none"/>
        </w:rPr>
      </w:pPr>
      <w:r>
        <w:rPr>
          <w:rFonts w:hint="eastAsia" w:ascii="宋体" w:hAnsi="宋体"/>
          <w:szCs w:val="21"/>
          <w:highlight w:val="none"/>
        </w:rPr>
        <w:t xml:space="preserve">附：省级以上监狱管理局、戒毒管理局（含新疆生产建设兵团）出具的监狱企业证明文件。    </w:t>
      </w:r>
    </w:p>
    <w:p w14:paraId="263767A1">
      <w:pPr>
        <w:pStyle w:val="18"/>
        <w:keepNext w:val="0"/>
        <w:keepLines w:val="0"/>
        <w:pageBreakBefore w:val="0"/>
        <w:widowControl w:val="0"/>
        <w:kinsoku/>
        <w:wordWrap/>
        <w:overflowPunct/>
        <w:topLinePunct w:val="0"/>
        <w:autoSpaceDE/>
        <w:autoSpaceDN/>
        <w:bidi w:val="0"/>
        <w:adjustRightInd/>
        <w:snapToGrid/>
        <w:textAlignment w:val="auto"/>
        <w:outlineLvl w:val="9"/>
        <w:rPr>
          <w:highlight w:val="none"/>
        </w:rPr>
      </w:pPr>
    </w:p>
    <w:p w14:paraId="1660AD06">
      <w:pPr>
        <w:rPr>
          <w:rFonts w:hint="eastAsia" w:ascii="黑体" w:hAnsi="宋体" w:eastAsia="黑体"/>
          <w:bCs/>
          <w:kern w:val="0"/>
          <w:sz w:val="24"/>
          <w:szCs w:val="32"/>
          <w:highlight w:val="none"/>
        </w:rPr>
      </w:pPr>
      <w:r>
        <w:rPr>
          <w:rFonts w:hint="eastAsia" w:ascii="黑体" w:hAnsi="宋体" w:eastAsia="黑体"/>
          <w:bCs/>
          <w:kern w:val="0"/>
          <w:sz w:val="24"/>
          <w:szCs w:val="32"/>
          <w:highlight w:val="none"/>
        </w:rPr>
        <w:br w:type="page"/>
      </w:r>
    </w:p>
    <w:p w14:paraId="415FD6B7">
      <w:pPr>
        <w:rPr>
          <w:rFonts w:hint="eastAsia" w:ascii="黑体" w:eastAsia="黑体"/>
          <w:b w:val="0"/>
          <w:sz w:val="24"/>
          <w:szCs w:val="24"/>
          <w:highlight w:val="none"/>
        </w:rPr>
      </w:pPr>
    </w:p>
    <w:p w14:paraId="25FE0F83">
      <w:pPr>
        <w:pStyle w:val="3"/>
        <w:jc w:val="center"/>
        <w:rPr>
          <w:rFonts w:hint="eastAsia" w:ascii="黑体" w:eastAsia="黑体"/>
          <w:b w:val="0"/>
          <w:sz w:val="24"/>
          <w:szCs w:val="24"/>
          <w:highlight w:val="none"/>
        </w:rPr>
      </w:pPr>
      <w:r>
        <w:rPr>
          <w:rFonts w:hint="eastAsia" w:ascii="黑体" w:eastAsia="黑体"/>
          <w:b w:val="0"/>
          <w:sz w:val="24"/>
          <w:szCs w:val="24"/>
          <w:highlight w:val="none"/>
        </w:rPr>
        <w:t>四、项目详细报价</w:t>
      </w:r>
    </w:p>
    <w:p w14:paraId="2350424A">
      <w:pPr>
        <w:tabs>
          <w:tab w:val="left" w:pos="720"/>
        </w:tabs>
        <w:ind w:firstLine="3132" w:firstLineChars="1300"/>
        <w:rPr>
          <w:b/>
          <w:sz w:val="24"/>
          <w:highlight w:val="none"/>
        </w:rPr>
      </w:pPr>
      <w:r>
        <w:rPr>
          <w:rFonts w:hint="eastAsia"/>
          <w:b/>
          <w:sz w:val="24"/>
          <w:highlight w:val="none"/>
        </w:rPr>
        <w:t>（一）分项报价表</w:t>
      </w:r>
    </w:p>
    <w:tbl>
      <w:tblPr>
        <w:tblStyle w:val="42"/>
        <w:tblW w:w="9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595"/>
        <w:gridCol w:w="703"/>
        <w:gridCol w:w="703"/>
        <w:gridCol w:w="612"/>
        <w:gridCol w:w="726"/>
        <w:gridCol w:w="462"/>
        <w:gridCol w:w="427"/>
        <w:gridCol w:w="571"/>
        <w:gridCol w:w="678"/>
        <w:gridCol w:w="859"/>
        <w:gridCol w:w="859"/>
      </w:tblGrid>
      <w:tr w14:paraId="31A0D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vAlign w:val="center"/>
          </w:tcPr>
          <w:p w14:paraId="772EDB15">
            <w:pPr>
              <w:jc w:val="center"/>
              <w:rPr>
                <w:bCs/>
                <w:szCs w:val="21"/>
                <w:highlight w:val="none"/>
              </w:rPr>
            </w:pPr>
            <w:r>
              <w:rPr>
                <w:rFonts w:hint="eastAsia"/>
                <w:bCs/>
                <w:szCs w:val="21"/>
                <w:highlight w:val="none"/>
              </w:rPr>
              <w:t>序号</w:t>
            </w:r>
          </w:p>
        </w:tc>
        <w:tc>
          <w:tcPr>
            <w:tcW w:w="1595" w:type="dxa"/>
            <w:vAlign w:val="center"/>
          </w:tcPr>
          <w:p w14:paraId="5D8BC273">
            <w:pPr>
              <w:jc w:val="center"/>
              <w:rPr>
                <w:bCs/>
                <w:szCs w:val="21"/>
                <w:highlight w:val="none"/>
              </w:rPr>
            </w:pPr>
            <w:r>
              <w:rPr>
                <w:rFonts w:hint="eastAsia"/>
                <w:bCs/>
                <w:szCs w:val="21"/>
                <w:highlight w:val="none"/>
              </w:rPr>
              <w:t>货物名称</w:t>
            </w:r>
          </w:p>
        </w:tc>
        <w:tc>
          <w:tcPr>
            <w:tcW w:w="703" w:type="dxa"/>
            <w:vAlign w:val="center"/>
          </w:tcPr>
          <w:p w14:paraId="4783DFAD">
            <w:pPr>
              <w:jc w:val="center"/>
              <w:rPr>
                <w:bCs/>
                <w:szCs w:val="21"/>
                <w:highlight w:val="none"/>
              </w:rPr>
            </w:pPr>
            <w:r>
              <w:rPr>
                <w:rFonts w:hint="eastAsia"/>
                <w:szCs w:val="21"/>
                <w:highlight w:val="none"/>
              </w:rPr>
              <w:t>品牌</w:t>
            </w:r>
          </w:p>
        </w:tc>
        <w:tc>
          <w:tcPr>
            <w:tcW w:w="703" w:type="dxa"/>
            <w:vAlign w:val="center"/>
          </w:tcPr>
          <w:p w14:paraId="13F66A67">
            <w:pPr>
              <w:jc w:val="center"/>
              <w:rPr>
                <w:bCs/>
                <w:szCs w:val="21"/>
                <w:highlight w:val="none"/>
              </w:rPr>
            </w:pPr>
            <w:r>
              <w:rPr>
                <w:rFonts w:hint="eastAsia"/>
                <w:szCs w:val="21"/>
                <w:highlight w:val="none"/>
              </w:rPr>
              <w:t>规格/型号</w:t>
            </w:r>
          </w:p>
        </w:tc>
        <w:tc>
          <w:tcPr>
            <w:tcW w:w="612" w:type="dxa"/>
            <w:vAlign w:val="center"/>
          </w:tcPr>
          <w:p w14:paraId="0E560259">
            <w:pPr>
              <w:jc w:val="center"/>
              <w:rPr>
                <w:bCs/>
                <w:szCs w:val="21"/>
                <w:highlight w:val="none"/>
              </w:rPr>
            </w:pPr>
            <w:r>
              <w:rPr>
                <w:rFonts w:hint="eastAsia"/>
                <w:b/>
                <w:color w:val="FF0000"/>
                <w:szCs w:val="21"/>
                <w:highlight w:val="none"/>
              </w:rPr>
              <w:t>原产地</w:t>
            </w:r>
          </w:p>
        </w:tc>
        <w:tc>
          <w:tcPr>
            <w:tcW w:w="726" w:type="dxa"/>
            <w:vAlign w:val="center"/>
          </w:tcPr>
          <w:p w14:paraId="3BBBD5CC">
            <w:pPr>
              <w:jc w:val="center"/>
              <w:rPr>
                <w:bCs/>
                <w:szCs w:val="21"/>
                <w:highlight w:val="none"/>
              </w:rPr>
            </w:pPr>
            <w:r>
              <w:rPr>
                <w:rFonts w:hint="eastAsia"/>
                <w:szCs w:val="21"/>
                <w:highlight w:val="none"/>
              </w:rPr>
              <w:t>制造商名称</w:t>
            </w:r>
          </w:p>
        </w:tc>
        <w:tc>
          <w:tcPr>
            <w:tcW w:w="462" w:type="dxa"/>
            <w:vAlign w:val="center"/>
          </w:tcPr>
          <w:p w14:paraId="76FFCA74">
            <w:pPr>
              <w:jc w:val="center"/>
              <w:rPr>
                <w:bCs/>
                <w:szCs w:val="21"/>
                <w:highlight w:val="none"/>
              </w:rPr>
            </w:pPr>
            <w:r>
              <w:rPr>
                <w:rFonts w:hint="eastAsia"/>
                <w:bCs/>
                <w:szCs w:val="21"/>
                <w:highlight w:val="none"/>
              </w:rPr>
              <w:t>数量</w:t>
            </w:r>
          </w:p>
        </w:tc>
        <w:tc>
          <w:tcPr>
            <w:tcW w:w="427" w:type="dxa"/>
            <w:vAlign w:val="center"/>
          </w:tcPr>
          <w:p w14:paraId="62089B65">
            <w:pPr>
              <w:jc w:val="center"/>
              <w:rPr>
                <w:bCs/>
                <w:szCs w:val="21"/>
                <w:highlight w:val="none"/>
              </w:rPr>
            </w:pPr>
            <w:r>
              <w:rPr>
                <w:rFonts w:hint="eastAsia"/>
                <w:bCs/>
                <w:szCs w:val="21"/>
                <w:highlight w:val="none"/>
              </w:rPr>
              <w:t>单位</w:t>
            </w:r>
          </w:p>
        </w:tc>
        <w:tc>
          <w:tcPr>
            <w:tcW w:w="571" w:type="dxa"/>
            <w:vAlign w:val="center"/>
          </w:tcPr>
          <w:p w14:paraId="3BCC1513">
            <w:pPr>
              <w:jc w:val="center"/>
              <w:rPr>
                <w:bCs/>
                <w:szCs w:val="21"/>
                <w:highlight w:val="none"/>
              </w:rPr>
            </w:pPr>
            <w:r>
              <w:rPr>
                <w:rFonts w:hint="eastAsia"/>
                <w:szCs w:val="21"/>
                <w:highlight w:val="none"/>
              </w:rPr>
              <w:t>单价(元)</w:t>
            </w:r>
          </w:p>
        </w:tc>
        <w:tc>
          <w:tcPr>
            <w:tcW w:w="678" w:type="dxa"/>
            <w:vAlign w:val="center"/>
          </w:tcPr>
          <w:p w14:paraId="1C1F3CD8">
            <w:pPr>
              <w:jc w:val="center"/>
              <w:rPr>
                <w:bCs/>
                <w:szCs w:val="21"/>
                <w:highlight w:val="none"/>
              </w:rPr>
            </w:pPr>
            <w:r>
              <w:rPr>
                <w:rFonts w:hint="eastAsia"/>
                <w:szCs w:val="21"/>
                <w:highlight w:val="none"/>
              </w:rPr>
              <w:t>合价(元)</w:t>
            </w:r>
          </w:p>
        </w:tc>
        <w:tc>
          <w:tcPr>
            <w:tcW w:w="859" w:type="dxa"/>
            <w:vAlign w:val="center"/>
          </w:tcPr>
          <w:p w14:paraId="0F73A7E1">
            <w:pPr>
              <w:jc w:val="center"/>
              <w:rPr>
                <w:rFonts w:hint="eastAsia"/>
                <w:szCs w:val="21"/>
                <w:highlight w:val="none"/>
              </w:rPr>
            </w:pPr>
            <w:r>
              <w:rPr>
                <w:rFonts w:hint="eastAsia" w:ascii="宋体" w:hAnsi="宋体" w:eastAsia="宋体" w:cs="宋体"/>
                <w:b/>
                <w:bCs w:val="0"/>
                <w:color w:val="0000FF"/>
                <w:sz w:val="21"/>
                <w:szCs w:val="21"/>
                <w:highlight w:val="none"/>
              </w:rPr>
              <w:t>★</w:t>
            </w:r>
            <w:r>
              <w:rPr>
                <w:rFonts w:hint="eastAsia" w:ascii="宋体" w:hAnsi="宋体" w:eastAsia="宋体" w:cs="宋体"/>
                <w:b/>
                <w:bCs w:val="0"/>
                <w:color w:val="0000FF"/>
                <w:sz w:val="21"/>
                <w:szCs w:val="21"/>
                <w:highlight w:val="none"/>
                <w:lang w:val="en-US" w:eastAsia="zh-CN"/>
              </w:rPr>
              <w:t>单套控制金额（万元）</w:t>
            </w:r>
          </w:p>
        </w:tc>
        <w:tc>
          <w:tcPr>
            <w:tcW w:w="859" w:type="dxa"/>
            <w:vAlign w:val="center"/>
          </w:tcPr>
          <w:p w14:paraId="18F6BCF6">
            <w:pPr>
              <w:jc w:val="center"/>
              <w:rPr>
                <w:szCs w:val="21"/>
                <w:highlight w:val="none"/>
              </w:rPr>
            </w:pPr>
            <w:r>
              <w:rPr>
                <w:rFonts w:hint="eastAsia" w:ascii="宋体" w:hAnsi="宋体" w:eastAsia="宋体" w:cs="宋体"/>
                <w:b/>
                <w:bCs w:val="0"/>
                <w:color w:val="0000FF"/>
                <w:sz w:val="21"/>
                <w:szCs w:val="21"/>
                <w:highlight w:val="none"/>
              </w:rPr>
              <w:t>预算金额（</w:t>
            </w:r>
            <w:r>
              <w:rPr>
                <w:rFonts w:hint="eastAsia" w:ascii="宋体" w:hAnsi="宋体" w:eastAsia="宋体" w:cs="宋体"/>
                <w:b/>
                <w:bCs w:val="0"/>
                <w:color w:val="0000FF"/>
                <w:sz w:val="21"/>
                <w:szCs w:val="21"/>
                <w:highlight w:val="none"/>
                <w:lang w:val="en-US" w:eastAsia="zh-CN"/>
              </w:rPr>
              <w:t>万</w:t>
            </w:r>
            <w:r>
              <w:rPr>
                <w:rFonts w:hint="eastAsia" w:ascii="宋体" w:hAnsi="宋体" w:eastAsia="宋体" w:cs="宋体"/>
                <w:b/>
                <w:bCs w:val="0"/>
                <w:color w:val="0000FF"/>
                <w:sz w:val="21"/>
                <w:szCs w:val="21"/>
                <w:highlight w:val="none"/>
              </w:rPr>
              <w:t>元）</w:t>
            </w:r>
          </w:p>
        </w:tc>
      </w:tr>
      <w:tr w14:paraId="08B2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vAlign w:val="center"/>
          </w:tcPr>
          <w:p w14:paraId="30D94A17">
            <w:pPr>
              <w:jc w:val="center"/>
              <w:rPr>
                <w:bCs/>
                <w:szCs w:val="21"/>
                <w:highlight w:val="none"/>
              </w:rPr>
            </w:pPr>
            <w:r>
              <w:rPr>
                <w:rFonts w:hint="eastAsia"/>
                <w:bCs/>
                <w:szCs w:val="21"/>
                <w:highlight w:val="none"/>
              </w:rPr>
              <w:t>1</w:t>
            </w:r>
          </w:p>
        </w:tc>
        <w:tc>
          <w:tcPr>
            <w:tcW w:w="1595" w:type="dxa"/>
            <w:vAlign w:val="center"/>
          </w:tcPr>
          <w:p w14:paraId="7BD858EB">
            <w:pPr>
              <w:jc w:val="center"/>
              <w:rPr>
                <w:bCs/>
                <w:szCs w:val="21"/>
                <w:highlight w:val="none"/>
              </w:rPr>
            </w:pPr>
            <w:r>
              <w:rPr>
                <w:rFonts w:hint="eastAsia" w:ascii="宋体" w:hAnsi="宋体" w:cs="宋体"/>
                <w:bCs/>
                <w:color w:val="0000FF"/>
                <w:sz w:val="21"/>
                <w:szCs w:val="21"/>
                <w:highlight w:val="none"/>
                <w:lang w:eastAsia="zh-CN"/>
              </w:rPr>
              <w:t>口腔颌面锥形束计算机体层摄影设备(CBCT)</w:t>
            </w:r>
          </w:p>
        </w:tc>
        <w:tc>
          <w:tcPr>
            <w:tcW w:w="703" w:type="dxa"/>
            <w:vAlign w:val="center"/>
          </w:tcPr>
          <w:p w14:paraId="4624701C">
            <w:pPr>
              <w:jc w:val="center"/>
              <w:rPr>
                <w:bCs/>
                <w:szCs w:val="21"/>
                <w:highlight w:val="none"/>
              </w:rPr>
            </w:pPr>
          </w:p>
        </w:tc>
        <w:tc>
          <w:tcPr>
            <w:tcW w:w="703" w:type="dxa"/>
            <w:vAlign w:val="center"/>
          </w:tcPr>
          <w:p w14:paraId="5DA12152">
            <w:pPr>
              <w:jc w:val="center"/>
              <w:rPr>
                <w:bCs/>
                <w:szCs w:val="21"/>
                <w:highlight w:val="none"/>
              </w:rPr>
            </w:pPr>
          </w:p>
        </w:tc>
        <w:tc>
          <w:tcPr>
            <w:tcW w:w="612" w:type="dxa"/>
            <w:vAlign w:val="center"/>
          </w:tcPr>
          <w:p w14:paraId="574C7730">
            <w:pPr>
              <w:jc w:val="center"/>
              <w:rPr>
                <w:bCs/>
                <w:szCs w:val="21"/>
                <w:highlight w:val="none"/>
              </w:rPr>
            </w:pPr>
          </w:p>
        </w:tc>
        <w:tc>
          <w:tcPr>
            <w:tcW w:w="726" w:type="dxa"/>
            <w:vAlign w:val="center"/>
          </w:tcPr>
          <w:p w14:paraId="4A8261D3">
            <w:pPr>
              <w:jc w:val="center"/>
              <w:rPr>
                <w:bCs/>
                <w:szCs w:val="21"/>
                <w:highlight w:val="none"/>
              </w:rPr>
            </w:pPr>
          </w:p>
        </w:tc>
        <w:tc>
          <w:tcPr>
            <w:tcW w:w="462" w:type="dxa"/>
            <w:vAlign w:val="center"/>
          </w:tcPr>
          <w:p w14:paraId="606DAB58">
            <w:pPr>
              <w:jc w:val="center"/>
              <w:rPr>
                <w:bCs/>
                <w:szCs w:val="21"/>
                <w:highlight w:val="none"/>
              </w:rPr>
            </w:pPr>
            <w:r>
              <w:rPr>
                <w:rFonts w:hint="eastAsia"/>
                <w:bCs/>
                <w:color w:val="0000FF"/>
                <w:szCs w:val="21"/>
                <w:highlight w:val="none"/>
                <w:lang w:val="en-US" w:eastAsia="zh-CN"/>
              </w:rPr>
              <w:t>1</w:t>
            </w:r>
          </w:p>
        </w:tc>
        <w:tc>
          <w:tcPr>
            <w:tcW w:w="427" w:type="dxa"/>
            <w:vAlign w:val="center"/>
          </w:tcPr>
          <w:p w14:paraId="3669953A">
            <w:pPr>
              <w:jc w:val="center"/>
              <w:rPr>
                <w:bCs/>
                <w:szCs w:val="21"/>
                <w:highlight w:val="none"/>
              </w:rPr>
            </w:pPr>
            <w:r>
              <w:rPr>
                <w:rFonts w:hint="eastAsia"/>
                <w:bCs/>
                <w:color w:val="0000FF"/>
                <w:szCs w:val="21"/>
                <w:highlight w:val="none"/>
                <w:lang w:val="en-US" w:eastAsia="zh-CN"/>
              </w:rPr>
              <w:t>套</w:t>
            </w:r>
          </w:p>
        </w:tc>
        <w:tc>
          <w:tcPr>
            <w:tcW w:w="571" w:type="dxa"/>
            <w:vAlign w:val="center"/>
          </w:tcPr>
          <w:p w14:paraId="6ADDC15B">
            <w:pPr>
              <w:jc w:val="center"/>
              <w:rPr>
                <w:bCs/>
                <w:szCs w:val="21"/>
                <w:highlight w:val="none"/>
              </w:rPr>
            </w:pPr>
          </w:p>
        </w:tc>
        <w:tc>
          <w:tcPr>
            <w:tcW w:w="678" w:type="dxa"/>
            <w:vAlign w:val="center"/>
          </w:tcPr>
          <w:p w14:paraId="160F4F50">
            <w:pPr>
              <w:jc w:val="center"/>
              <w:rPr>
                <w:bCs/>
                <w:szCs w:val="21"/>
                <w:highlight w:val="none"/>
              </w:rPr>
            </w:pPr>
          </w:p>
        </w:tc>
        <w:tc>
          <w:tcPr>
            <w:tcW w:w="859" w:type="dxa"/>
            <w:vAlign w:val="center"/>
          </w:tcPr>
          <w:p w14:paraId="52426496">
            <w:pPr>
              <w:jc w:val="center"/>
              <w:rPr>
                <w:rFonts w:hint="default"/>
                <w:bCs/>
                <w:szCs w:val="21"/>
                <w:highlight w:val="none"/>
                <w:lang w:val="en-US"/>
              </w:rPr>
            </w:pPr>
            <w:r>
              <w:rPr>
                <w:rFonts w:hint="eastAsia" w:ascii="宋体" w:hAnsi="宋体" w:cs="宋体"/>
                <w:b/>
                <w:bCs w:val="0"/>
                <w:color w:val="0000FF"/>
                <w:sz w:val="21"/>
                <w:szCs w:val="21"/>
                <w:highlight w:val="none"/>
                <w:lang w:val="en-US" w:eastAsia="zh-CN"/>
              </w:rPr>
              <w:t>49</w:t>
            </w:r>
          </w:p>
        </w:tc>
        <w:tc>
          <w:tcPr>
            <w:tcW w:w="859" w:type="dxa"/>
            <w:vAlign w:val="center"/>
          </w:tcPr>
          <w:p w14:paraId="5BDC0ABB">
            <w:pPr>
              <w:jc w:val="center"/>
              <w:rPr>
                <w:rFonts w:hint="default"/>
                <w:b/>
                <w:bCs/>
                <w:szCs w:val="21"/>
                <w:highlight w:val="none"/>
                <w:lang w:val="en-US"/>
              </w:rPr>
            </w:pPr>
            <w:r>
              <w:rPr>
                <w:rFonts w:hint="eastAsia" w:ascii="宋体" w:hAnsi="宋体" w:cs="宋体"/>
                <w:b/>
                <w:bCs w:val="0"/>
                <w:color w:val="0000FF"/>
                <w:sz w:val="21"/>
                <w:szCs w:val="21"/>
                <w:highlight w:val="none"/>
                <w:lang w:val="en-US" w:eastAsia="zh-CN"/>
              </w:rPr>
              <w:t>50</w:t>
            </w:r>
          </w:p>
        </w:tc>
      </w:tr>
      <w:tr w14:paraId="39D73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5" w:type="dxa"/>
            <w:gridSpan w:val="12"/>
            <w:vAlign w:val="center"/>
          </w:tcPr>
          <w:p w14:paraId="0A11598B">
            <w:pPr>
              <w:jc w:val="center"/>
              <w:rPr>
                <w:rFonts w:hint="eastAsia"/>
                <w:bCs/>
                <w:szCs w:val="21"/>
                <w:highlight w:val="none"/>
              </w:rPr>
            </w:pPr>
            <w:r>
              <w:rPr>
                <w:rFonts w:hint="eastAsia"/>
                <w:bCs/>
                <w:szCs w:val="21"/>
                <w:highlight w:val="none"/>
              </w:rPr>
              <w:t>合计（即投标总价；币种：人民币；单位：元） 小写：            大写：</w:t>
            </w:r>
          </w:p>
        </w:tc>
      </w:tr>
    </w:tbl>
    <w:p w14:paraId="6835A9AA">
      <w:pPr>
        <w:ind w:firstLine="482" w:firstLineChars="200"/>
        <w:rPr>
          <w:rFonts w:hint="eastAsia" w:ascii="宋体" w:hAnsi="宋体"/>
          <w:b/>
          <w:sz w:val="24"/>
          <w:highlight w:val="none"/>
        </w:rPr>
      </w:pPr>
      <w:r>
        <w:rPr>
          <w:rFonts w:hint="eastAsia" w:ascii="宋体" w:hAnsi="宋体"/>
          <w:b/>
          <w:sz w:val="24"/>
          <w:highlight w:val="none"/>
        </w:rPr>
        <w:t>注：1.本表可按同样格式扩展。</w:t>
      </w:r>
    </w:p>
    <w:p w14:paraId="19C9A82F">
      <w:pPr>
        <w:ind w:firstLine="472" w:firstLineChars="196"/>
        <w:rPr>
          <w:rFonts w:hint="eastAsia" w:ascii="宋体" w:hAnsi="宋体"/>
          <w:b/>
          <w:sz w:val="24"/>
          <w:highlight w:val="none"/>
        </w:rPr>
      </w:pPr>
      <w:r>
        <w:rPr>
          <w:rFonts w:hint="eastAsia" w:ascii="宋体" w:hAnsi="宋体"/>
          <w:b/>
          <w:sz w:val="24"/>
          <w:highlight w:val="none"/>
        </w:rPr>
        <w:t>2</w:t>
      </w:r>
      <w:r>
        <w:rPr>
          <w:rFonts w:ascii="宋体" w:hAnsi="宋体"/>
          <w:b/>
          <w:sz w:val="24"/>
          <w:highlight w:val="none"/>
        </w:rPr>
        <w:t>.</w:t>
      </w:r>
      <w:r>
        <w:rPr>
          <w:rFonts w:hint="eastAsia" w:ascii="宋体" w:hAnsi="宋体"/>
          <w:b/>
          <w:sz w:val="24"/>
          <w:highlight w:val="none"/>
        </w:rPr>
        <w:t>“品牌”可以与商标一致，也可以填写便于区分其他公司商品的制造商简称或者制造商认可的品牌名称。</w:t>
      </w:r>
    </w:p>
    <w:p w14:paraId="514A0C24">
      <w:pPr>
        <w:ind w:firstLine="472" w:firstLineChars="196"/>
        <w:rPr>
          <w:b/>
          <w:sz w:val="24"/>
          <w:highlight w:val="none"/>
        </w:rPr>
      </w:pPr>
      <w:r>
        <w:rPr>
          <w:rFonts w:hint="eastAsia" w:ascii="宋体" w:hAnsi="宋体"/>
          <w:b/>
          <w:sz w:val="24"/>
          <w:highlight w:val="none"/>
        </w:rPr>
        <w:t>3.如所投货物属于定制类的非量产货物或无具体型号的货物，可以在“规格/型号”栏目仅填写规格信息而不填型号信息（型号信息用“定制”描述即可）；</w:t>
      </w:r>
      <w:bookmarkStart w:id="41" w:name="_Hlk73646428"/>
      <w:r>
        <w:rPr>
          <w:rFonts w:hint="eastAsia" w:ascii="宋体" w:hAnsi="宋体"/>
          <w:b/>
          <w:sz w:val="24"/>
          <w:highlight w:val="none"/>
        </w:rPr>
        <w:t>此类填写错误或缺漏（所投货物为定制类的非量产货物但供应商却错误填报了型号）的不利后果</w:t>
      </w:r>
      <w:r>
        <w:rPr>
          <w:rFonts w:hint="eastAsia"/>
          <w:b/>
          <w:sz w:val="24"/>
          <w:highlight w:val="none"/>
        </w:rPr>
        <w:t>由供应商承担。经评审委员会认定，在使用综合评分法的项目中一项此类填写错误或缺漏将按照一项普通招标技术要求（一般参数/普通参数）负偏离扣分处理。</w:t>
      </w:r>
      <w:bookmarkEnd w:id="41"/>
    </w:p>
    <w:p w14:paraId="7B6885A8">
      <w:pPr>
        <w:ind w:firstLine="472" w:firstLineChars="196"/>
        <w:rPr>
          <w:rFonts w:hint="eastAsia" w:ascii="宋体" w:hAnsi="宋体"/>
          <w:b/>
          <w:sz w:val="24"/>
          <w:highlight w:val="none"/>
        </w:rPr>
      </w:pPr>
      <w:r>
        <w:rPr>
          <w:rFonts w:ascii="宋体" w:hAnsi="宋体"/>
          <w:b/>
          <w:sz w:val="24"/>
          <w:highlight w:val="none"/>
        </w:rPr>
        <w:t>3</w:t>
      </w:r>
      <w:r>
        <w:rPr>
          <w:rFonts w:hint="eastAsia" w:ascii="宋体" w:hAnsi="宋体"/>
          <w:b/>
          <w:sz w:val="24"/>
          <w:highlight w:val="none"/>
        </w:rPr>
        <w:t>.“原产地”是指货物的实际生产加工地，非品牌所在地</w:t>
      </w:r>
    </w:p>
    <w:p w14:paraId="37959815">
      <w:pPr>
        <w:ind w:firstLine="472" w:firstLineChars="196"/>
        <w:rPr>
          <w:rFonts w:hint="eastAsia" w:ascii="宋体" w:hAnsi="宋体"/>
          <w:b/>
          <w:sz w:val="24"/>
          <w:highlight w:val="none"/>
        </w:rPr>
      </w:pPr>
      <w:r>
        <w:rPr>
          <w:rFonts w:ascii="宋体" w:hAnsi="宋体"/>
          <w:b/>
          <w:sz w:val="24"/>
          <w:highlight w:val="none"/>
        </w:rPr>
        <w:t>4</w:t>
      </w:r>
      <w:r>
        <w:rPr>
          <w:rFonts w:hint="eastAsia" w:ascii="宋体" w:hAnsi="宋体"/>
          <w:b/>
          <w:sz w:val="24"/>
          <w:highlight w:val="none"/>
        </w:rPr>
        <w:t>.所投货物均应填写制造商名称，“制造商”是指产品品牌厂商，产品代工制造的，应填写接受委托生产制造的制造商。</w:t>
      </w:r>
    </w:p>
    <w:p w14:paraId="16BF21A6">
      <w:pPr>
        <w:ind w:firstLine="482" w:firstLineChars="200"/>
        <w:rPr>
          <w:rFonts w:hint="eastAsia" w:ascii="宋体" w:hAnsi="宋体"/>
          <w:b/>
          <w:sz w:val="24"/>
          <w:highlight w:val="none"/>
        </w:rPr>
      </w:pPr>
      <w:r>
        <w:rPr>
          <w:rFonts w:ascii="宋体" w:hAnsi="宋体"/>
          <w:b/>
          <w:sz w:val="24"/>
          <w:highlight w:val="none"/>
        </w:rPr>
        <w:t>5</w:t>
      </w:r>
      <w:r>
        <w:rPr>
          <w:rFonts w:hint="eastAsia" w:ascii="宋体" w:hAnsi="宋体"/>
          <w:b/>
          <w:sz w:val="24"/>
          <w:highlight w:val="none"/>
        </w:rPr>
        <w:t>.以上分项报价表的投标总价应当与开标一览表的投标总价一致。</w:t>
      </w:r>
    </w:p>
    <w:p w14:paraId="1DDA5659">
      <w:pPr>
        <w:ind w:firstLine="482" w:firstLineChars="200"/>
        <w:rPr>
          <w:rFonts w:hint="eastAsia" w:ascii="宋体" w:hAnsi="宋体"/>
          <w:b/>
          <w:sz w:val="24"/>
          <w:highlight w:val="none"/>
        </w:rPr>
      </w:pPr>
      <w:r>
        <w:rPr>
          <w:rFonts w:ascii="宋体" w:hAnsi="宋体"/>
          <w:b/>
          <w:sz w:val="24"/>
          <w:highlight w:val="none"/>
        </w:rPr>
        <w:t>6</w:t>
      </w:r>
      <w:r>
        <w:rPr>
          <w:rFonts w:hint="eastAsia" w:ascii="宋体" w:hAnsi="宋体"/>
          <w:b/>
          <w:sz w:val="24"/>
          <w:highlight w:val="none"/>
        </w:rPr>
        <w:t>.单价、合价和投标总价为包干价，即三者均应包含货物的价款、包装、运输、装卸、安装、调试、技术指导、培训、咨询、服务、保险、税费、检测、验收合格交付使用之前以及技术和售后服务等其他各项有关费用。</w:t>
      </w:r>
    </w:p>
    <w:p w14:paraId="3FCDFA7E">
      <w:pPr>
        <w:ind w:firstLine="482" w:firstLineChars="200"/>
        <w:rPr>
          <w:rFonts w:hint="eastAsia" w:ascii="宋体" w:hAnsi="宋体"/>
          <w:b/>
          <w:sz w:val="24"/>
          <w:highlight w:val="none"/>
        </w:rPr>
      </w:pPr>
      <w:r>
        <w:rPr>
          <w:rFonts w:ascii="宋体" w:hAnsi="宋体"/>
          <w:b/>
          <w:sz w:val="24"/>
          <w:highlight w:val="none"/>
        </w:rPr>
        <w:t>7</w:t>
      </w:r>
      <w:r>
        <w:rPr>
          <w:rFonts w:hint="eastAsia" w:ascii="宋体" w:hAnsi="宋体"/>
          <w:b/>
          <w:sz w:val="24"/>
          <w:highlight w:val="none"/>
        </w:rPr>
        <w:t>.所有价格应按“招标文件”中规定的货币单位填写；投标总价应为以上各分项价格之和；投标总价和项目报价表中单个采购预算条目报价均不得超过对应的预算金额（或设定的预算金额下的最高限价），否则将导致投标无效。</w:t>
      </w:r>
    </w:p>
    <w:p w14:paraId="340687A4">
      <w:pPr>
        <w:ind w:firstLine="482" w:firstLineChars="200"/>
        <w:rPr>
          <w:rFonts w:hint="eastAsia" w:ascii="宋体" w:hAnsi="宋体"/>
          <w:b/>
          <w:color w:val="FF0000"/>
          <w:sz w:val="24"/>
          <w:highlight w:val="none"/>
        </w:rPr>
      </w:pPr>
    </w:p>
    <w:p w14:paraId="50448F34">
      <w:pPr>
        <w:ind w:firstLine="482" w:firstLineChars="200"/>
        <w:rPr>
          <w:rFonts w:hint="eastAsia" w:ascii="宋体" w:hAnsi="宋体"/>
          <w:b/>
          <w:color w:val="FF0000"/>
          <w:sz w:val="24"/>
          <w:highlight w:val="none"/>
        </w:rPr>
      </w:pPr>
    </w:p>
    <w:p w14:paraId="03D7C189">
      <w:pPr>
        <w:tabs>
          <w:tab w:val="left" w:pos="720"/>
        </w:tabs>
        <w:jc w:val="center"/>
        <w:rPr>
          <w:b/>
          <w:sz w:val="24"/>
          <w:highlight w:val="none"/>
        </w:rPr>
      </w:pPr>
      <w:r>
        <w:rPr>
          <w:rFonts w:hint="eastAsia"/>
          <w:b/>
          <w:sz w:val="24"/>
          <w:highlight w:val="none"/>
        </w:rPr>
        <w:t>（二）核心产品品牌</w:t>
      </w:r>
    </w:p>
    <w:p w14:paraId="75215A7F">
      <w:pPr>
        <w:ind w:firstLine="482" w:firstLineChars="200"/>
        <w:rPr>
          <w:rFonts w:hint="eastAsia" w:ascii="宋体" w:hAnsi="宋体"/>
          <w:b/>
          <w:color w:val="FF0000"/>
          <w:sz w:val="24"/>
          <w:highlight w:val="none"/>
        </w:rPr>
      </w:pPr>
    </w:p>
    <w:p w14:paraId="5A0A2C49">
      <w:pPr>
        <w:ind w:firstLine="482" w:firstLineChars="200"/>
        <w:rPr>
          <w:rFonts w:hint="eastAsia" w:ascii="宋体" w:hAnsi="宋体"/>
          <w:b/>
          <w:sz w:val="24"/>
          <w:highlight w:val="none"/>
        </w:rPr>
      </w:pPr>
      <w:r>
        <w:rPr>
          <w:rFonts w:hint="eastAsia"/>
          <w:b/>
          <w:sz w:val="24"/>
          <w:highlight w:val="none"/>
        </w:rPr>
        <w:t>我单位所投核心产品的品牌为：</w:t>
      </w:r>
      <w:r>
        <w:rPr>
          <w:rFonts w:hint="eastAsia"/>
          <w:b/>
          <w:sz w:val="24"/>
          <w:highlight w:val="none"/>
          <w:u w:val="single"/>
        </w:rPr>
        <w:t xml:space="preserve">               </w:t>
      </w:r>
      <w:r>
        <w:rPr>
          <w:rFonts w:hint="eastAsia"/>
          <w:b/>
          <w:sz w:val="24"/>
          <w:highlight w:val="none"/>
        </w:rPr>
        <w:t>。</w:t>
      </w:r>
    </w:p>
    <w:p w14:paraId="13698ECE">
      <w:pPr>
        <w:ind w:firstLine="480" w:firstLineChars="200"/>
        <w:rPr>
          <w:rFonts w:hint="eastAsia" w:ascii="宋体" w:hAnsi="宋体"/>
          <w:sz w:val="24"/>
          <w:highlight w:val="none"/>
        </w:rPr>
      </w:pPr>
      <w:r>
        <w:rPr>
          <w:rFonts w:hint="eastAsia" w:ascii="宋体" w:hAnsi="宋体"/>
          <w:sz w:val="24"/>
          <w:highlight w:val="none"/>
        </w:rPr>
        <w:t>备注：单一产品采购项目，核心产品即为该单一产品。</w:t>
      </w:r>
    </w:p>
    <w:p w14:paraId="2AE880C8">
      <w:pPr>
        <w:rPr>
          <w:b/>
          <w:sz w:val="24"/>
          <w:highlight w:val="none"/>
        </w:rPr>
      </w:pPr>
    </w:p>
    <w:p w14:paraId="667C0933">
      <w:pPr>
        <w:tabs>
          <w:tab w:val="left" w:pos="720"/>
        </w:tabs>
        <w:ind w:firstLine="1928" w:firstLineChars="800"/>
        <w:rPr>
          <w:b/>
          <w:sz w:val="24"/>
          <w:highlight w:val="none"/>
        </w:rPr>
      </w:pPr>
      <w:r>
        <w:rPr>
          <w:rFonts w:hint="eastAsia"/>
          <w:b/>
          <w:sz w:val="24"/>
          <w:highlight w:val="none"/>
        </w:rPr>
        <w:t>（三）可选配件报价清单（不包括在总报价内）</w:t>
      </w:r>
    </w:p>
    <w:p w14:paraId="22568992">
      <w:pPr>
        <w:ind w:firstLine="422" w:firstLineChars="200"/>
        <w:rPr>
          <w:rFonts w:hint="eastAsia" w:hAnsi="宋体"/>
          <w:b/>
          <w:bCs/>
          <w:szCs w:val="21"/>
          <w:highlight w:val="none"/>
        </w:rPr>
      </w:pPr>
      <w:r>
        <w:rPr>
          <w:rFonts w:hint="eastAsia" w:hAnsi="宋体"/>
          <w:b/>
          <w:bCs/>
          <w:szCs w:val="21"/>
          <w:highlight w:val="none"/>
        </w:rPr>
        <w:t>注：格式可以参照《（一）分项报价表》表格，并提供相应的品牌/规格/型号、原产地、制造商信息（没有品牌、型号的，用“定制”描述即可）、单价等详细信息</w:t>
      </w:r>
    </w:p>
    <w:p w14:paraId="3545996E">
      <w:pPr>
        <w:ind w:firstLine="482" w:firstLineChars="200"/>
        <w:rPr>
          <w:rFonts w:hint="eastAsia" w:hAnsi="宋体"/>
          <w:b/>
          <w:bCs/>
          <w:sz w:val="24"/>
          <w:highlight w:val="none"/>
        </w:rPr>
      </w:pPr>
    </w:p>
    <w:p w14:paraId="2F23477E">
      <w:pPr>
        <w:tabs>
          <w:tab w:val="left" w:pos="720"/>
        </w:tabs>
        <w:jc w:val="center"/>
        <w:rPr>
          <w:b/>
          <w:sz w:val="24"/>
          <w:highlight w:val="none"/>
        </w:rPr>
      </w:pPr>
      <w:r>
        <w:rPr>
          <w:rFonts w:hint="eastAsia"/>
          <w:b/>
          <w:sz w:val="24"/>
          <w:highlight w:val="none"/>
        </w:rPr>
        <w:t>（四）</w:t>
      </w:r>
      <w:bookmarkStart w:id="42" w:name="_Hlk72073235"/>
      <w:r>
        <w:rPr>
          <w:rFonts w:hint="eastAsia"/>
          <w:b/>
          <w:sz w:val="24"/>
          <w:highlight w:val="none"/>
        </w:rPr>
        <w:t>投标人认为需要涉及的其他内容报价清单</w:t>
      </w:r>
      <w:bookmarkEnd w:id="42"/>
    </w:p>
    <w:p w14:paraId="5F540D30">
      <w:pPr>
        <w:pStyle w:val="3"/>
        <w:jc w:val="center"/>
        <w:rPr>
          <w:rFonts w:hint="eastAsia" w:ascii="黑体" w:eastAsia="黑体"/>
          <w:b w:val="0"/>
          <w:sz w:val="24"/>
          <w:highlight w:val="none"/>
        </w:rPr>
      </w:pPr>
      <w:r>
        <w:rPr>
          <w:rFonts w:hint="eastAsia" w:ascii="黑体" w:eastAsia="黑体"/>
          <w:b w:val="0"/>
          <w:sz w:val="24"/>
          <w:highlight w:val="none"/>
        </w:rPr>
        <w:t>五、</w:t>
      </w:r>
      <w:bookmarkStart w:id="43" w:name="_Hlk72092499"/>
      <w:r>
        <w:rPr>
          <w:rFonts w:hint="eastAsia" w:ascii="黑体" w:eastAsia="黑体"/>
          <w:b w:val="0"/>
          <w:sz w:val="24"/>
          <w:highlight w:val="none"/>
        </w:rPr>
        <w:t>法定代表人（负责人）证明书</w:t>
      </w:r>
      <w:bookmarkEnd w:id="43"/>
    </w:p>
    <w:p w14:paraId="473DA1EC">
      <w:pPr>
        <w:rPr>
          <w:sz w:val="24"/>
          <w:highlight w:val="none"/>
        </w:rPr>
      </w:pPr>
    </w:p>
    <w:p w14:paraId="4979D47D">
      <w:pPr>
        <w:ind w:firstLine="420" w:firstLineChars="200"/>
        <w:rPr>
          <w:szCs w:val="21"/>
          <w:highlight w:val="none"/>
        </w:rPr>
      </w:pPr>
      <w:r>
        <w:rPr>
          <w:rFonts w:hint="eastAsia"/>
          <w:szCs w:val="21"/>
          <w:highlight w:val="none"/>
        </w:rPr>
        <w:t xml:space="preserve">  </w:t>
      </w:r>
      <w:r>
        <w:rPr>
          <w:rFonts w:hint="eastAsia"/>
          <w:szCs w:val="21"/>
          <w:highlight w:val="none"/>
          <w:u w:val="single"/>
        </w:rPr>
        <w:t xml:space="preserve">                 </w:t>
      </w:r>
      <w:r>
        <w:rPr>
          <w:rFonts w:hint="eastAsia"/>
          <w:szCs w:val="21"/>
          <w:highlight w:val="none"/>
        </w:rPr>
        <w:t>（姓名），现任我单位</w:t>
      </w:r>
      <w:r>
        <w:rPr>
          <w:rFonts w:hint="eastAsia"/>
          <w:szCs w:val="21"/>
          <w:highlight w:val="none"/>
          <w:u w:val="single"/>
        </w:rPr>
        <w:t xml:space="preserve">             </w:t>
      </w:r>
      <w:r>
        <w:rPr>
          <w:rFonts w:hint="eastAsia"/>
          <w:szCs w:val="21"/>
          <w:highlight w:val="none"/>
        </w:rPr>
        <w:t>职务，为法定代表人（负责人），身份证件号为：</w:t>
      </w:r>
      <w:r>
        <w:rPr>
          <w:rFonts w:hint="eastAsia"/>
          <w:szCs w:val="21"/>
          <w:highlight w:val="none"/>
          <w:u w:val="single"/>
        </w:rPr>
        <w:t xml:space="preserve">                                     </w:t>
      </w:r>
      <w:r>
        <w:rPr>
          <w:rFonts w:hint="eastAsia"/>
          <w:szCs w:val="21"/>
          <w:highlight w:val="none"/>
        </w:rPr>
        <w:t>，联系电话：</w:t>
      </w:r>
      <w:r>
        <w:rPr>
          <w:rFonts w:hint="eastAsia"/>
          <w:szCs w:val="21"/>
          <w:highlight w:val="none"/>
          <w:u w:val="single"/>
        </w:rPr>
        <w:t xml:space="preserve">                </w:t>
      </w:r>
      <w:r>
        <w:rPr>
          <w:rFonts w:hint="eastAsia"/>
          <w:szCs w:val="21"/>
          <w:highlight w:val="none"/>
        </w:rPr>
        <w:t>。</w:t>
      </w:r>
    </w:p>
    <w:p w14:paraId="3E2791A7">
      <w:pPr>
        <w:ind w:firstLine="420" w:firstLineChars="200"/>
        <w:rPr>
          <w:szCs w:val="21"/>
          <w:highlight w:val="none"/>
        </w:rPr>
      </w:pPr>
      <w:r>
        <w:rPr>
          <w:rFonts w:hint="eastAsia"/>
          <w:szCs w:val="21"/>
          <w:highlight w:val="none"/>
        </w:rPr>
        <w:t>特此证明。</w:t>
      </w:r>
    </w:p>
    <w:p w14:paraId="704CB025">
      <w:pPr>
        <w:ind w:firstLine="420" w:firstLineChars="200"/>
        <w:rPr>
          <w:szCs w:val="21"/>
          <w:highlight w:val="none"/>
        </w:rPr>
      </w:pPr>
      <w:r>
        <w:rPr>
          <w:rFonts w:hint="eastAsia"/>
          <w:szCs w:val="21"/>
          <w:highlight w:val="none"/>
        </w:rPr>
        <w:t>说明：1、法定代表人为投标人（企业事业单位、国家机关、社会团体）的主要行政负责人。</w:t>
      </w:r>
    </w:p>
    <w:p w14:paraId="1CC93F62">
      <w:pPr>
        <w:numPr>
          <w:ilvl w:val="0"/>
          <w:numId w:val="8"/>
        </w:numPr>
        <w:ind w:firstLine="420" w:firstLineChars="200"/>
        <w:rPr>
          <w:szCs w:val="21"/>
          <w:highlight w:val="none"/>
        </w:rPr>
      </w:pPr>
      <w:r>
        <w:rPr>
          <w:rFonts w:hint="eastAsia"/>
          <w:szCs w:val="21"/>
          <w:highlight w:val="none"/>
          <w:lang w:eastAsia="zh-Hans"/>
        </w:rPr>
        <w:t>本证明书要供法定代表人（负责人）</w:t>
      </w:r>
      <w:r>
        <w:rPr>
          <w:rFonts w:hint="eastAsia"/>
          <w:szCs w:val="21"/>
          <w:highlight w:val="none"/>
        </w:rPr>
        <w:t>相关身份证明文件：身份证扫描件（正反两面）；港澳台居民可提供来往通行证扫描件；非中国国籍管辖范围人员，可提供公安部门认可的身份证明材料扫描件。</w:t>
      </w:r>
    </w:p>
    <w:p w14:paraId="4819EECC">
      <w:pPr>
        <w:numPr>
          <w:ilvl w:val="0"/>
          <w:numId w:val="8"/>
        </w:numPr>
        <w:ind w:firstLine="420" w:firstLineChars="200"/>
        <w:rPr>
          <w:szCs w:val="21"/>
          <w:highlight w:val="none"/>
        </w:rPr>
      </w:pPr>
      <w:r>
        <w:rPr>
          <w:rFonts w:hint="eastAsia"/>
          <w:szCs w:val="21"/>
          <w:highlight w:val="none"/>
          <w:lang w:eastAsia="zh-Hans"/>
        </w:rPr>
        <w:t>本项目投标授权代表为法定代表人（负责人）的，无需提供</w:t>
      </w:r>
      <w:r>
        <w:rPr>
          <w:rFonts w:hint="eastAsia"/>
          <w:szCs w:val="21"/>
          <w:highlight w:val="none"/>
        </w:rPr>
        <w:t>《投标文件签署授权委托书》</w:t>
      </w:r>
      <w:r>
        <w:rPr>
          <w:rFonts w:hint="eastAsia"/>
          <w:szCs w:val="21"/>
          <w:highlight w:val="none"/>
          <w:lang w:eastAsia="zh-Hans"/>
        </w:rPr>
        <w:t>。</w:t>
      </w:r>
    </w:p>
    <w:p w14:paraId="1736C5E4">
      <w:pPr>
        <w:numPr>
          <w:ilvl w:val="0"/>
          <w:numId w:val="8"/>
        </w:numPr>
        <w:ind w:firstLine="420" w:firstLineChars="200"/>
        <w:rPr>
          <w:szCs w:val="21"/>
          <w:highlight w:val="none"/>
        </w:rPr>
      </w:pPr>
      <w:r>
        <w:rPr>
          <w:rFonts w:hint="eastAsia"/>
          <w:szCs w:val="21"/>
          <w:highlight w:val="none"/>
        </w:rPr>
        <w:t>内容必须填写真实、清楚，涂改无效，不得转让、买卖。</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F460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1" w:hRule="atLeast"/>
        </w:trPr>
        <w:tc>
          <w:tcPr>
            <w:tcW w:w="4264" w:type="dxa"/>
          </w:tcPr>
          <w:p w14:paraId="438E690D">
            <w:pPr>
              <w:jc w:val="center"/>
              <w:rPr>
                <w:highlight w:val="none"/>
              </w:rPr>
            </w:pPr>
            <w:r>
              <w:rPr>
                <w:rFonts w:hint="eastAsia"/>
                <w:highlight w:val="none"/>
              </w:rPr>
              <w:t>证件扫描件正面</w:t>
            </w:r>
          </w:p>
          <w:p w14:paraId="5CAB1AB3">
            <w:pPr>
              <w:pStyle w:val="18"/>
              <w:spacing w:line="240" w:lineRule="auto"/>
              <w:jc w:val="center"/>
              <w:rPr>
                <w:highlight w:val="none"/>
              </w:rPr>
            </w:pPr>
          </w:p>
          <w:p w14:paraId="6F7C2481">
            <w:pPr>
              <w:pStyle w:val="35"/>
              <w:spacing w:line="240" w:lineRule="auto"/>
              <w:jc w:val="center"/>
              <w:rPr>
                <w:highlight w:val="none"/>
              </w:rPr>
            </w:pPr>
          </w:p>
        </w:tc>
        <w:tc>
          <w:tcPr>
            <w:tcW w:w="4265" w:type="dxa"/>
          </w:tcPr>
          <w:p w14:paraId="7DFF62DA">
            <w:pPr>
              <w:jc w:val="center"/>
              <w:rPr>
                <w:highlight w:val="none"/>
              </w:rPr>
            </w:pPr>
            <w:r>
              <w:rPr>
                <w:rFonts w:hint="eastAsia"/>
                <w:highlight w:val="none"/>
              </w:rPr>
              <w:t>证件扫描件反面</w:t>
            </w:r>
          </w:p>
          <w:p w14:paraId="40D20C4C">
            <w:pPr>
              <w:pStyle w:val="18"/>
              <w:spacing w:line="240" w:lineRule="auto"/>
              <w:jc w:val="center"/>
              <w:rPr>
                <w:highlight w:val="none"/>
              </w:rPr>
            </w:pPr>
          </w:p>
          <w:p w14:paraId="4138D273">
            <w:pPr>
              <w:pStyle w:val="35"/>
              <w:spacing w:line="240" w:lineRule="auto"/>
              <w:jc w:val="center"/>
              <w:rPr>
                <w:highlight w:val="none"/>
              </w:rPr>
            </w:pPr>
          </w:p>
        </w:tc>
      </w:tr>
    </w:tbl>
    <w:p w14:paraId="692E12D3">
      <w:pPr>
        <w:ind w:firstLine="480" w:firstLineChars="200"/>
        <w:rPr>
          <w:sz w:val="24"/>
          <w:highlight w:val="none"/>
        </w:rPr>
      </w:pPr>
    </w:p>
    <w:p w14:paraId="56B5DE63">
      <w:pPr>
        <w:rPr>
          <w:b/>
          <w:bCs/>
          <w:sz w:val="24"/>
          <w:highlight w:val="none"/>
        </w:rPr>
      </w:pPr>
    </w:p>
    <w:p w14:paraId="6630D472">
      <w:pPr>
        <w:pStyle w:val="3"/>
        <w:spacing w:before="120" w:after="120"/>
        <w:jc w:val="center"/>
        <w:rPr>
          <w:rFonts w:hint="eastAsia" w:ascii="黑体" w:eastAsia="黑体"/>
          <w:b w:val="0"/>
          <w:sz w:val="24"/>
          <w:highlight w:val="none"/>
        </w:rPr>
      </w:pPr>
      <w:r>
        <w:rPr>
          <w:rFonts w:hint="eastAsia" w:ascii="黑体" w:eastAsia="黑体"/>
          <w:b w:val="0"/>
          <w:sz w:val="24"/>
          <w:highlight w:val="none"/>
        </w:rPr>
        <w:t>六、投标文件签署授权委托书</w:t>
      </w:r>
    </w:p>
    <w:p w14:paraId="3AD20029">
      <w:pPr>
        <w:ind w:firstLine="420" w:firstLineChars="200"/>
        <w:rPr>
          <w:szCs w:val="21"/>
          <w:highlight w:val="none"/>
        </w:rPr>
      </w:pPr>
      <w:r>
        <w:rPr>
          <w:rFonts w:hint="eastAsia"/>
          <w:szCs w:val="21"/>
          <w:highlight w:val="none"/>
        </w:rPr>
        <w:t>本授权委托书声明：我</w:t>
      </w:r>
      <w:r>
        <w:rPr>
          <w:rFonts w:hint="eastAsia"/>
          <w:szCs w:val="21"/>
          <w:highlight w:val="none"/>
          <w:u w:val="single"/>
        </w:rPr>
        <w:t xml:space="preserve">           </w:t>
      </w:r>
      <w:r>
        <w:rPr>
          <w:rFonts w:hint="eastAsia"/>
          <w:szCs w:val="21"/>
          <w:highlight w:val="none"/>
        </w:rPr>
        <w:t>（姓名）系</w:t>
      </w:r>
      <w:r>
        <w:rPr>
          <w:rFonts w:hint="eastAsia"/>
          <w:szCs w:val="21"/>
          <w:highlight w:val="none"/>
          <w:u w:val="single"/>
        </w:rPr>
        <w:t xml:space="preserve">             </w:t>
      </w:r>
      <w:r>
        <w:rPr>
          <w:rFonts w:hint="eastAsia"/>
          <w:szCs w:val="21"/>
          <w:highlight w:val="none"/>
        </w:rPr>
        <w:t>（投标人名称）的法定代表人（负责人），现授权委托</w:t>
      </w:r>
      <w:r>
        <w:rPr>
          <w:rFonts w:hint="eastAsia"/>
          <w:szCs w:val="21"/>
          <w:highlight w:val="none"/>
          <w:u w:val="single"/>
        </w:rPr>
        <w:t xml:space="preserve">            </w:t>
      </w:r>
      <w:r>
        <w:rPr>
          <w:rFonts w:hint="eastAsia"/>
          <w:szCs w:val="21"/>
          <w:highlight w:val="none"/>
        </w:rPr>
        <w:t>（姓名）为我单位签署本项目已递交的投标文件的法定代表人（负责人）的授权委托代理人，代理人全权代表我所签署的本项目已递交的投标文件内容我均承认。</w:t>
      </w:r>
    </w:p>
    <w:p w14:paraId="34089D9F">
      <w:pPr>
        <w:ind w:firstLine="420" w:firstLineChars="200"/>
        <w:rPr>
          <w:szCs w:val="21"/>
          <w:highlight w:val="none"/>
        </w:rPr>
      </w:pPr>
      <w:r>
        <w:rPr>
          <w:rFonts w:hint="eastAsia"/>
          <w:szCs w:val="21"/>
          <w:highlight w:val="none"/>
        </w:rPr>
        <w:t>代理人无转委托权，特此委托。</w:t>
      </w:r>
    </w:p>
    <w:p w14:paraId="44767686">
      <w:pPr>
        <w:ind w:firstLine="420" w:firstLineChars="200"/>
        <w:rPr>
          <w:szCs w:val="21"/>
          <w:highlight w:val="none"/>
        </w:rPr>
      </w:pPr>
    </w:p>
    <w:p w14:paraId="6202D067">
      <w:pPr>
        <w:ind w:firstLine="420" w:firstLineChars="200"/>
        <w:rPr>
          <w:szCs w:val="21"/>
          <w:highlight w:val="none"/>
        </w:rPr>
      </w:pPr>
      <w:r>
        <w:rPr>
          <w:rFonts w:hint="eastAsia"/>
          <w:szCs w:val="21"/>
          <w:highlight w:val="none"/>
        </w:rPr>
        <w:t>代理人：</w:t>
      </w:r>
      <w:r>
        <w:rPr>
          <w:rFonts w:hint="eastAsia"/>
          <w:szCs w:val="21"/>
          <w:highlight w:val="none"/>
          <w:u w:val="single"/>
        </w:rPr>
        <w:t xml:space="preserve">              </w:t>
      </w:r>
      <w:r>
        <w:rPr>
          <w:rFonts w:hint="eastAsia"/>
          <w:szCs w:val="21"/>
          <w:highlight w:val="none"/>
        </w:rPr>
        <w:t>；</w:t>
      </w:r>
    </w:p>
    <w:p w14:paraId="44F89312">
      <w:pPr>
        <w:ind w:firstLine="420" w:firstLineChars="200"/>
        <w:rPr>
          <w:szCs w:val="21"/>
          <w:highlight w:val="none"/>
        </w:rPr>
      </w:pPr>
      <w:r>
        <w:rPr>
          <w:rFonts w:hint="eastAsia"/>
          <w:szCs w:val="21"/>
          <w:highlight w:val="none"/>
        </w:rPr>
        <w:t>身份证件号：</w:t>
      </w:r>
      <w:r>
        <w:rPr>
          <w:rFonts w:hint="eastAsia"/>
          <w:szCs w:val="21"/>
          <w:highlight w:val="none"/>
          <w:u w:val="single"/>
        </w:rPr>
        <w:t xml:space="preserve">                        </w:t>
      </w:r>
      <w:r>
        <w:rPr>
          <w:rFonts w:hint="eastAsia"/>
          <w:szCs w:val="21"/>
          <w:highlight w:val="none"/>
        </w:rPr>
        <w:t>，职务：</w:t>
      </w:r>
      <w:r>
        <w:rPr>
          <w:rFonts w:hint="eastAsia"/>
          <w:szCs w:val="21"/>
          <w:highlight w:val="none"/>
          <w:u w:val="single"/>
        </w:rPr>
        <w:t xml:space="preserve">                </w:t>
      </w:r>
      <w:r>
        <w:rPr>
          <w:rFonts w:hint="eastAsia"/>
          <w:szCs w:val="21"/>
          <w:highlight w:val="none"/>
        </w:rPr>
        <w:t>；</w:t>
      </w:r>
    </w:p>
    <w:p w14:paraId="7E38800F">
      <w:pPr>
        <w:ind w:firstLine="420" w:firstLineChars="200"/>
        <w:rPr>
          <w:szCs w:val="21"/>
          <w:highlight w:val="none"/>
        </w:rPr>
      </w:pPr>
      <w:r>
        <w:rPr>
          <w:rFonts w:hint="eastAsia"/>
          <w:szCs w:val="21"/>
          <w:highlight w:val="none"/>
        </w:rPr>
        <w:t>联系电话：</w:t>
      </w:r>
      <w:r>
        <w:rPr>
          <w:rFonts w:hint="eastAsia"/>
          <w:szCs w:val="21"/>
          <w:highlight w:val="none"/>
          <w:u w:val="single"/>
        </w:rPr>
        <w:t xml:space="preserve">         </w:t>
      </w:r>
      <w:r>
        <w:rPr>
          <w:rFonts w:hint="eastAsia"/>
          <w:szCs w:val="21"/>
          <w:highlight w:val="none"/>
        </w:rPr>
        <w:t>，手机：</w:t>
      </w:r>
      <w:r>
        <w:rPr>
          <w:rFonts w:hint="eastAsia"/>
          <w:szCs w:val="21"/>
          <w:highlight w:val="none"/>
          <w:u w:val="single"/>
        </w:rPr>
        <w:t xml:space="preserve">                </w:t>
      </w:r>
      <w:r>
        <w:rPr>
          <w:rFonts w:hint="eastAsia"/>
          <w:szCs w:val="21"/>
          <w:highlight w:val="none"/>
        </w:rPr>
        <w:t>，电子邮箱：</w:t>
      </w:r>
      <w:r>
        <w:rPr>
          <w:rFonts w:hint="eastAsia"/>
          <w:szCs w:val="21"/>
          <w:highlight w:val="none"/>
          <w:u w:val="single"/>
        </w:rPr>
        <w:t xml:space="preserve">                     </w:t>
      </w:r>
      <w:r>
        <w:rPr>
          <w:rFonts w:hint="eastAsia"/>
          <w:szCs w:val="21"/>
          <w:highlight w:val="none"/>
        </w:rPr>
        <w:t>；</w:t>
      </w:r>
    </w:p>
    <w:p w14:paraId="123B4A49">
      <w:pPr>
        <w:ind w:firstLine="420" w:firstLineChars="200"/>
        <w:rPr>
          <w:szCs w:val="21"/>
          <w:highlight w:val="none"/>
        </w:rPr>
      </w:pPr>
      <w:r>
        <w:rPr>
          <w:rFonts w:hint="eastAsia"/>
          <w:szCs w:val="21"/>
          <w:highlight w:val="none"/>
        </w:rPr>
        <w:t>授权委托日期：</w:t>
      </w:r>
      <w:r>
        <w:rPr>
          <w:rFonts w:hint="eastAsia"/>
          <w:szCs w:val="21"/>
          <w:highlight w:val="none"/>
          <w:u w:val="single"/>
        </w:rPr>
        <w:t xml:space="preserve">         </w:t>
      </w:r>
      <w:r>
        <w:rPr>
          <w:rFonts w:hint="eastAsia"/>
          <w:szCs w:val="21"/>
          <w:highlight w:val="none"/>
        </w:rPr>
        <w:t>年</w:t>
      </w:r>
      <w:r>
        <w:rPr>
          <w:rFonts w:hint="eastAsia"/>
          <w:szCs w:val="21"/>
          <w:highlight w:val="none"/>
          <w:u w:val="single"/>
        </w:rPr>
        <w:t xml:space="preserve">     </w:t>
      </w:r>
      <w:r>
        <w:rPr>
          <w:rFonts w:hint="eastAsia"/>
          <w:szCs w:val="21"/>
          <w:highlight w:val="none"/>
        </w:rPr>
        <w:t xml:space="preserve">月 </w:t>
      </w:r>
      <w:r>
        <w:rPr>
          <w:rFonts w:hint="eastAsia"/>
          <w:szCs w:val="21"/>
          <w:highlight w:val="none"/>
          <w:u w:val="single"/>
        </w:rPr>
        <w:t xml:space="preserve">      </w:t>
      </w:r>
      <w:r>
        <w:rPr>
          <w:rFonts w:hint="eastAsia"/>
          <w:szCs w:val="21"/>
          <w:highlight w:val="none"/>
        </w:rPr>
        <w:t>日。</w:t>
      </w:r>
    </w:p>
    <w:p w14:paraId="44D5C73D">
      <w:pPr>
        <w:ind w:firstLine="422" w:firstLineChars="200"/>
        <w:rPr>
          <w:b/>
          <w:color w:val="FF0000"/>
          <w:szCs w:val="21"/>
          <w:highlight w:val="none"/>
        </w:rPr>
      </w:pPr>
      <w:r>
        <w:rPr>
          <w:rFonts w:hint="eastAsia"/>
          <w:b/>
          <w:color w:val="FF0000"/>
          <w:szCs w:val="21"/>
          <w:highlight w:val="none"/>
        </w:rPr>
        <w:t>附：请提供代理人身份证扫描件（正反两面）；港澳台居民可提供来往通行证扫描件；非中国国籍管辖范围人员，可提供公安部门认可的身份证明材料扫描件。</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30DA2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trPr>
        <w:tc>
          <w:tcPr>
            <w:tcW w:w="4264" w:type="dxa"/>
          </w:tcPr>
          <w:p w14:paraId="379CCCCE">
            <w:pPr>
              <w:jc w:val="center"/>
              <w:rPr>
                <w:highlight w:val="none"/>
              </w:rPr>
            </w:pPr>
            <w:r>
              <w:rPr>
                <w:rFonts w:hint="eastAsia"/>
                <w:highlight w:val="none"/>
              </w:rPr>
              <w:t>证件扫描件正面</w:t>
            </w:r>
          </w:p>
          <w:p w14:paraId="3E96B96E">
            <w:pPr>
              <w:pStyle w:val="18"/>
              <w:spacing w:line="240" w:lineRule="auto"/>
              <w:jc w:val="center"/>
              <w:rPr>
                <w:highlight w:val="none"/>
              </w:rPr>
            </w:pPr>
          </w:p>
          <w:p w14:paraId="35B4C4FD">
            <w:pPr>
              <w:pStyle w:val="35"/>
              <w:spacing w:line="240" w:lineRule="auto"/>
              <w:jc w:val="center"/>
              <w:rPr>
                <w:highlight w:val="none"/>
              </w:rPr>
            </w:pPr>
          </w:p>
        </w:tc>
        <w:tc>
          <w:tcPr>
            <w:tcW w:w="4265" w:type="dxa"/>
          </w:tcPr>
          <w:p w14:paraId="40BD0ED6">
            <w:pPr>
              <w:jc w:val="center"/>
              <w:rPr>
                <w:highlight w:val="none"/>
              </w:rPr>
            </w:pPr>
            <w:r>
              <w:rPr>
                <w:rFonts w:hint="eastAsia"/>
                <w:highlight w:val="none"/>
              </w:rPr>
              <w:t>证件扫描件反面</w:t>
            </w:r>
          </w:p>
          <w:p w14:paraId="00045344">
            <w:pPr>
              <w:pStyle w:val="18"/>
              <w:spacing w:line="240" w:lineRule="auto"/>
              <w:jc w:val="center"/>
              <w:rPr>
                <w:highlight w:val="none"/>
              </w:rPr>
            </w:pPr>
          </w:p>
          <w:p w14:paraId="10F90775">
            <w:pPr>
              <w:pStyle w:val="35"/>
              <w:spacing w:line="240" w:lineRule="auto"/>
              <w:jc w:val="center"/>
              <w:rPr>
                <w:highlight w:val="none"/>
              </w:rPr>
            </w:pPr>
          </w:p>
        </w:tc>
      </w:tr>
    </w:tbl>
    <w:p w14:paraId="6646FF4E">
      <w:pPr>
        <w:rPr>
          <w:rFonts w:hint="eastAsia" w:ascii="黑体" w:eastAsia="黑体"/>
          <w:b w:val="0"/>
          <w:kern w:val="0"/>
          <w:sz w:val="24"/>
          <w:szCs w:val="24"/>
          <w:highlight w:val="none"/>
        </w:rPr>
      </w:pPr>
      <w:r>
        <w:rPr>
          <w:rFonts w:hint="eastAsia" w:ascii="黑体" w:eastAsia="黑体"/>
          <w:b w:val="0"/>
          <w:kern w:val="0"/>
          <w:sz w:val="24"/>
          <w:szCs w:val="24"/>
          <w:highlight w:val="none"/>
        </w:rPr>
        <w:br w:type="page"/>
      </w:r>
    </w:p>
    <w:p w14:paraId="166A8AFD">
      <w:pPr>
        <w:pStyle w:val="3"/>
        <w:jc w:val="center"/>
        <w:rPr>
          <w:rFonts w:hint="eastAsia" w:ascii="黑体" w:eastAsia="黑体"/>
          <w:b w:val="0"/>
          <w:kern w:val="0"/>
          <w:sz w:val="24"/>
          <w:szCs w:val="24"/>
          <w:highlight w:val="none"/>
        </w:rPr>
      </w:pPr>
      <w:r>
        <w:rPr>
          <w:rFonts w:hint="eastAsia" w:ascii="黑体" w:eastAsia="黑体"/>
          <w:b w:val="0"/>
          <w:kern w:val="0"/>
          <w:sz w:val="24"/>
          <w:szCs w:val="24"/>
          <w:highlight w:val="none"/>
        </w:rPr>
        <w:t>七、</w:t>
      </w:r>
      <w:bookmarkStart w:id="44" w:name="_Hlk72092634"/>
      <w:r>
        <w:rPr>
          <w:rFonts w:hint="eastAsia" w:ascii="黑体" w:eastAsia="黑体"/>
          <w:b w:val="0"/>
          <w:kern w:val="0"/>
          <w:sz w:val="24"/>
          <w:szCs w:val="24"/>
          <w:highlight w:val="none"/>
        </w:rPr>
        <w:t>实质性条款响应情况表</w:t>
      </w:r>
      <w:bookmarkEnd w:id="44"/>
    </w:p>
    <w:tbl>
      <w:tblPr>
        <w:tblStyle w:val="42"/>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514"/>
        <w:gridCol w:w="1559"/>
        <w:gridCol w:w="1276"/>
        <w:gridCol w:w="1163"/>
      </w:tblGrid>
      <w:tr w14:paraId="7280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129447B8">
            <w:pPr>
              <w:adjustRightInd w:val="0"/>
              <w:snapToGrid w:val="0"/>
              <w:spacing w:line="360" w:lineRule="auto"/>
              <w:jc w:val="center"/>
              <w:rPr>
                <w:rFonts w:hint="eastAsia" w:ascii="宋体" w:hAnsi="宋体"/>
                <w:kern w:val="0"/>
                <w:szCs w:val="21"/>
                <w:highlight w:val="none"/>
              </w:rPr>
            </w:pPr>
            <w:bookmarkStart w:id="45" w:name="_Hlk72092651"/>
            <w:r>
              <w:rPr>
                <w:rFonts w:hint="eastAsia" w:ascii="宋体" w:hAnsi="宋体"/>
                <w:kern w:val="0"/>
                <w:szCs w:val="21"/>
                <w:highlight w:val="none"/>
              </w:rPr>
              <w:t>序号</w:t>
            </w:r>
          </w:p>
        </w:tc>
        <w:tc>
          <w:tcPr>
            <w:tcW w:w="3514" w:type="dxa"/>
            <w:vAlign w:val="center"/>
          </w:tcPr>
          <w:p w14:paraId="647CECF9">
            <w:pPr>
              <w:adjustRightInd w:val="0"/>
              <w:snapToGrid w:val="0"/>
              <w:spacing w:line="360" w:lineRule="auto"/>
              <w:jc w:val="center"/>
              <w:rPr>
                <w:rFonts w:hint="eastAsia" w:ascii="宋体" w:hAnsi="宋体"/>
                <w:kern w:val="0"/>
                <w:szCs w:val="21"/>
                <w:highlight w:val="none"/>
              </w:rPr>
            </w:pPr>
            <w:r>
              <w:rPr>
                <w:rFonts w:hint="eastAsia" w:ascii="宋体" w:hAnsi="宋体"/>
                <w:kern w:val="0"/>
                <w:szCs w:val="21"/>
                <w:highlight w:val="none"/>
              </w:rPr>
              <w:t>实质性条款具体内容</w:t>
            </w:r>
          </w:p>
        </w:tc>
        <w:tc>
          <w:tcPr>
            <w:tcW w:w="1559" w:type="dxa"/>
            <w:vAlign w:val="center"/>
          </w:tcPr>
          <w:p w14:paraId="2454EFA6">
            <w:pPr>
              <w:adjustRightInd w:val="0"/>
              <w:snapToGrid w:val="0"/>
              <w:spacing w:line="360" w:lineRule="auto"/>
              <w:jc w:val="center"/>
              <w:rPr>
                <w:rFonts w:hint="eastAsia" w:ascii="宋体" w:hAnsi="宋体"/>
                <w:kern w:val="0"/>
                <w:szCs w:val="21"/>
                <w:highlight w:val="none"/>
              </w:rPr>
            </w:pPr>
            <w:r>
              <w:rPr>
                <w:rFonts w:hint="eastAsia"/>
                <w:highlight w:val="none"/>
              </w:rPr>
              <w:t>投标响应</w:t>
            </w:r>
          </w:p>
        </w:tc>
        <w:tc>
          <w:tcPr>
            <w:tcW w:w="1276" w:type="dxa"/>
            <w:vAlign w:val="center"/>
          </w:tcPr>
          <w:p w14:paraId="24FCDA1E">
            <w:pPr>
              <w:adjustRightInd w:val="0"/>
              <w:snapToGrid w:val="0"/>
              <w:spacing w:line="360" w:lineRule="auto"/>
              <w:jc w:val="center"/>
              <w:rPr>
                <w:rFonts w:hint="eastAsia" w:ascii="宋体" w:hAnsi="宋体"/>
                <w:kern w:val="0"/>
                <w:szCs w:val="21"/>
                <w:highlight w:val="none"/>
              </w:rPr>
            </w:pPr>
            <w:r>
              <w:rPr>
                <w:rFonts w:hint="eastAsia"/>
                <w:highlight w:val="none"/>
              </w:rPr>
              <w:t>偏离情况</w:t>
            </w:r>
          </w:p>
        </w:tc>
        <w:tc>
          <w:tcPr>
            <w:tcW w:w="1163" w:type="dxa"/>
            <w:vAlign w:val="center"/>
          </w:tcPr>
          <w:p w14:paraId="4D1F6BFD">
            <w:pPr>
              <w:adjustRightInd w:val="0"/>
              <w:snapToGrid w:val="0"/>
              <w:spacing w:line="360" w:lineRule="auto"/>
              <w:jc w:val="center"/>
              <w:rPr>
                <w:rFonts w:hint="eastAsia" w:ascii="宋体" w:hAnsi="宋体"/>
                <w:kern w:val="0"/>
                <w:szCs w:val="21"/>
                <w:highlight w:val="none"/>
              </w:rPr>
            </w:pPr>
            <w:r>
              <w:rPr>
                <w:rFonts w:hint="eastAsia"/>
                <w:highlight w:val="none"/>
              </w:rPr>
              <w:t>说明</w:t>
            </w:r>
          </w:p>
        </w:tc>
      </w:tr>
      <w:bookmarkEnd w:id="45"/>
      <w:tr w14:paraId="07376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2FAEF48F">
            <w:pPr>
              <w:adjustRightInd w:val="0"/>
              <w:snapToGrid w:val="0"/>
              <w:spacing w:line="360" w:lineRule="auto"/>
              <w:jc w:val="center"/>
              <w:rPr>
                <w:rFonts w:hint="eastAsia" w:ascii="宋体" w:hAnsi="宋体"/>
                <w:kern w:val="0"/>
                <w:szCs w:val="21"/>
                <w:highlight w:val="none"/>
              </w:rPr>
            </w:pPr>
            <w:r>
              <w:rPr>
                <w:rFonts w:hint="eastAsia" w:ascii="宋体" w:hAnsi="宋体"/>
                <w:kern w:val="0"/>
                <w:szCs w:val="21"/>
                <w:highlight w:val="none"/>
              </w:rPr>
              <w:t>1</w:t>
            </w:r>
          </w:p>
        </w:tc>
        <w:tc>
          <w:tcPr>
            <w:tcW w:w="3514" w:type="dxa"/>
          </w:tcPr>
          <w:p w14:paraId="0E3284BB">
            <w:pPr>
              <w:adjustRightInd w:val="0"/>
              <w:snapToGrid w:val="0"/>
              <w:spacing w:line="360" w:lineRule="auto"/>
              <w:jc w:val="left"/>
              <w:rPr>
                <w:rFonts w:hint="eastAsia" w:hAnsi="宋体"/>
                <w:kern w:val="0"/>
                <w:szCs w:val="21"/>
                <w:highlight w:val="none"/>
              </w:rPr>
            </w:pPr>
            <w:r>
              <w:rPr>
                <w:rFonts w:hint="eastAsia"/>
                <w:highlight w:val="none"/>
              </w:rPr>
              <w:t>满足本项目标★的条款要求</w:t>
            </w:r>
          </w:p>
        </w:tc>
        <w:tc>
          <w:tcPr>
            <w:tcW w:w="1559" w:type="dxa"/>
          </w:tcPr>
          <w:p w14:paraId="07A98D98">
            <w:pPr>
              <w:adjustRightInd w:val="0"/>
              <w:snapToGrid w:val="0"/>
              <w:spacing w:line="360" w:lineRule="auto"/>
              <w:rPr>
                <w:rFonts w:hint="eastAsia" w:ascii="宋体" w:hAnsi="宋体"/>
                <w:kern w:val="0"/>
                <w:szCs w:val="21"/>
                <w:highlight w:val="none"/>
              </w:rPr>
            </w:pPr>
          </w:p>
        </w:tc>
        <w:tc>
          <w:tcPr>
            <w:tcW w:w="1276" w:type="dxa"/>
          </w:tcPr>
          <w:p w14:paraId="2C8D26ED">
            <w:pPr>
              <w:adjustRightInd w:val="0"/>
              <w:snapToGrid w:val="0"/>
              <w:spacing w:line="360" w:lineRule="auto"/>
              <w:rPr>
                <w:rFonts w:hint="eastAsia" w:ascii="宋体" w:hAnsi="宋体"/>
                <w:kern w:val="0"/>
                <w:szCs w:val="21"/>
                <w:highlight w:val="none"/>
              </w:rPr>
            </w:pPr>
          </w:p>
        </w:tc>
        <w:tc>
          <w:tcPr>
            <w:tcW w:w="1163" w:type="dxa"/>
          </w:tcPr>
          <w:p w14:paraId="7D9A2955">
            <w:pPr>
              <w:adjustRightInd w:val="0"/>
              <w:snapToGrid w:val="0"/>
              <w:spacing w:line="360" w:lineRule="auto"/>
              <w:rPr>
                <w:rFonts w:hint="eastAsia" w:ascii="宋体" w:hAnsi="宋体"/>
                <w:kern w:val="0"/>
                <w:szCs w:val="21"/>
                <w:highlight w:val="none"/>
              </w:rPr>
            </w:pPr>
          </w:p>
        </w:tc>
      </w:tr>
    </w:tbl>
    <w:p w14:paraId="6EBC4174">
      <w:pPr>
        <w:ind w:firstLine="482" w:firstLineChars="200"/>
        <w:rPr>
          <w:b/>
          <w:sz w:val="24"/>
          <w:szCs w:val="22"/>
          <w:highlight w:val="none"/>
        </w:rPr>
      </w:pPr>
      <w:r>
        <w:rPr>
          <w:rFonts w:hint="eastAsia"/>
          <w:b/>
          <w:sz w:val="24"/>
          <w:szCs w:val="22"/>
          <w:highlight w:val="none"/>
        </w:rPr>
        <w:t>注：1.上表所列各项均为不可负偏离条款。</w:t>
      </w:r>
    </w:p>
    <w:p w14:paraId="639DE90F">
      <w:pPr>
        <w:ind w:firstLine="482" w:firstLineChars="200"/>
        <w:rPr>
          <w:b/>
          <w:sz w:val="24"/>
          <w:szCs w:val="22"/>
          <w:highlight w:val="none"/>
        </w:rPr>
      </w:pPr>
      <w:r>
        <w:rPr>
          <w:rFonts w:hint="eastAsia"/>
          <w:b/>
          <w:sz w:val="24"/>
          <w:szCs w:val="22"/>
          <w:highlight w:val="none"/>
        </w:rPr>
        <w:t>2.“投标响应”一栏应当详细填写投标人自身响应情况，而不能不合理照搬照抄招实质性条款具体内容。</w:t>
      </w:r>
    </w:p>
    <w:p w14:paraId="30FDCCE4">
      <w:pPr>
        <w:ind w:firstLine="482" w:firstLineChars="200"/>
        <w:rPr>
          <w:b/>
          <w:sz w:val="24"/>
          <w:szCs w:val="22"/>
          <w:highlight w:val="none"/>
        </w:rPr>
      </w:pPr>
      <w:r>
        <w:rPr>
          <w:rFonts w:hint="eastAsia"/>
          <w:b/>
          <w:sz w:val="24"/>
          <w:szCs w:val="22"/>
          <w:highlight w:val="none"/>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14:paraId="304C9EB4">
      <w:pPr>
        <w:ind w:firstLine="482" w:firstLineChars="200"/>
        <w:rPr>
          <w:b/>
          <w:sz w:val="24"/>
          <w:szCs w:val="22"/>
          <w:highlight w:val="none"/>
        </w:rPr>
      </w:pPr>
      <w:r>
        <w:rPr>
          <w:rFonts w:hint="eastAsia"/>
          <w:b/>
          <w:sz w:val="24"/>
          <w:szCs w:val="22"/>
          <w:highlight w:val="none"/>
        </w:rPr>
        <w:t>4.评审委员会有权对投标响应情况作出判断（作出评审结论）。</w:t>
      </w:r>
    </w:p>
    <w:p w14:paraId="72ED169B">
      <w:pPr>
        <w:ind w:firstLine="482" w:firstLineChars="200"/>
        <w:rPr>
          <w:b/>
          <w:sz w:val="24"/>
          <w:szCs w:val="22"/>
          <w:highlight w:val="none"/>
        </w:rPr>
      </w:pPr>
      <w:r>
        <w:rPr>
          <w:rFonts w:hint="eastAsia"/>
          <w:b/>
          <w:sz w:val="24"/>
          <w:szCs w:val="22"/>
          <w:highlight w:val="none"/>
        </w:rPr>
        <w:t>5.实质性响应条款“投标响应情况”与投标文件其他内容冲突的，以实质性响应条款“投标响应情况”为准。</w:t>
      </w:r>
    </w:p>
    <w:p w14:paraId="4B1AF2C8">
      <w:pPr>
        <w:ind w:firstLine="482" w:firstLineChars="200"/>
        <w:rPr>
          <w:b/>
          <w:sz w:val="24"/>
          <w:highlight w:val="none"/>
        </w:rPr>
      </w:pPr>
      <w:r>
        <w:rPr>
          <w:rFonts w:hint="eastAsia"/>
          <w:b/>
          <w:sz w:val="24"/>
          <w:szCs w:val="22"/>
          <w:highlight w:val="none"/>
        </w:rPr>
        <w:t>6.要求提供证明资料，在“说明”一栏中列明证明资料的位置,以便评审；未要求提供证明材料的，投标人可以不提供</w:t>
      </w:r>
      <w:r>
        <w:rPr>
          <w:rFonts w:hint="eastAsia"/>
          <w:b/>
          <w:sz w:val="24"/>
          <w:highlight w:val="none"/>
        </w:rPr>
        <w:t>。</w:t>
      </w:r>
    </w:p>
    <w:p w14:paraId="20E3EDBF">
      <w:pPr>
        <w:rPr>
          <w:b/>
          <w:bCs/>
          <w:sz w:val="24"/>
          <w:highlight w:val="none"/>
        </w:rPr>
      </w:pPr>
    </w:p>
    <w:p w14:paraId="1714FAD5">
      <w:pPr>
        <w:rPr>
          <w:rFonts w:hint="eastAsia" w:ascii="黑体" w:eastAsia="黑体"/>
          <w:b w:val="0"/>
          <w:sz w:val="24"/>
          <w:szCs w:val="24"/>
          <w:highlight w:val="none"/>
        </w:rPr>
      </w:pPr>
      <w:r>
        <w:rPr>
          <w:rFonts w:hint="eastAsia" w:ascii="黑体" w:eastAsia="黑体"/>
          <w:b w:val="0"/>
          <w:sz w:val="24"/>
          <w:szCs w:val="24"/>
          <w:highlight w:val="none"/>
        </w:rPr>
        <w:br w:type="page"/>
      </w:r>
    </w:p>
    <w:p w14:paraId="17D4B156">
      <w:pPr>
        <w:pStyle w:val="3"/>
        <w:jc w:val="center"/>
        <w:rPr>
          <w:rFonts w:hint="eastAsia"/>
          <w:sz w:val="24"/>
          <w:highlight w:val="none"/>
        </w:rPr>
      </w:pPr>
      <w:r>
        <w:rPr>
          <w:rFonts w:hint="eastAsia" w:ascii="黑体" w:eastAsia="黑体"/>
          <w:b w:val="0"/>
          <w:sz w:val="24"/>
          <w:szCs w:val="24"/>
          <w:highlight w:val="none"/>
        </w:rPr>
        <w:t>八、技术要求偏离表</w:t>
      </w:r>
    </w:p>
    <w:tbl>
      <w:tblPr>
        <w:tblStyle w:val="4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1"/>
        <w:gridCol w:w="5400"/>
        <w:gridCol w:w="955"/>
        <w:gridCol w:w="725"/>
        <w:gridCol w:w="328"/>
      </w:tblGrid>
      <w:tr w14:paraId="067A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1" w:type="dxa"/>
            <w:vAlign w:val="center"/>
          </w:tcPr>
          <w:p w14:paraId="48D5EDCA">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bookmarkStart w:id="46" w:name="_Hlk72095977"/>
            <w:r>
              <w:rPr>
                <w:rFonts w:hint="eastAsia" w:ascii="宋体" w:hAnsi="宋体" w:eastAsia="宋体" w:cs="宋体"/>
                <w:color w:val="0000FF"/>
                <w:sz w:val="21"/>
                <w:szCs w:val="21"/>
                <w:highlight w:val="none"/>
              </w:rPr>
              <w:t>序号</w:t>
            </w:r>
          </w:p>
        </w:tc>
        <w:tc>
          <w:tcPr>
            <w:tcW w:w="5400" w:type="dxa"/>
            <w:vAlign w:val="center"/>
          </w:tcPr>
          <w:p w14:paraId="44EAF66A">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招标技术要求</w:t>
            </w:r>
          </w:p>
        </w:tc>
        <w:tc>
          <w:tcPr>
            <w:tcW w:w="955" w:type="dxa"/>
            <w:vAlign w:val="center"/>
          </w:tcPr>
          <w:p w14:paraId="2250BFEF">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投标技术响应</w:t>
            </w:r>
          </w:p>
        </w:tc>
        <w:tc>
          <w:tcPr>
            <w:tcW w:w="725" w:type="dxa"/>
            <w:vAlign w:val="center"/>
          </w:tcPr>
          <w:p w14:paraId="5E055533">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偏离情况</w:t>
            </w:r>
          </w:p>
        </w:tc>
        <w:tc>
          <w:tcPr>
            <w:tcW w:w="328" w:type="dxa"/>
            <w:vAlign w:val="center"/>
          </w:tcPr>
          <w:p w14:paraId="4DA41BCF">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说明</w:t>
            </w:r>
          </w:p>
        </w:tc>
      </w:tr>
      <w:tr w14:paraId="682EC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1" w:type="dxa"/>
            <w:vAlign w:val="center"/>
          </w:tcPr>
          <w:p w14:paraId="0F41701B">
            <w:pPr>
              <w:keepNext w:val="0"/>
              <w:keepLines w:val="0"/>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1</w:t>
            </w:r>
          </w:p>
        </w:tc>
        <w:tc>
          <w:tcPr>
            <w:tcW w:w="5400" w:type="dxa"/>
            <w:vAlign w:val="center"/>
          </w:tcPr>
          <w:p w14:paraId="2F971EC6">
            <w:pPr>
              <w:keepNext w:val="0"/>
              <w:keepLines w:val="0"/>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技术全面性：适用于成人及儿童口腔系统的X线诊断分析，具备CBCT、全景、头颅扫描等拍摄功能；提供配套口腔数字化影像软件1套和正畸处理软件1套。</w:t>
            </w:r>
          </w:p>
        </w:tc>
        <w:tc>
          <w:tcPr>
            <w:tcW w:w="955" w:type="dxa"/>
            <w:vAlign w:val="center"/>
          </w:tcPr>
          <w:p w14:paraId="4A4280E4">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725" w:type="dxa"/>
            <w:vAlign w:val="center"/>
          </w:tcPr>
          <w:p w14:paraId="100153CE">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328" w:type="dxa"/>
            <w:vAlign w:val="center"/>
          </w:tcPr>
          <w:p w14:paraId="0EDC4929">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r>
      <w:tr w14:paraId="2DEB6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1" w:type="dxa"/>
            <w:vAlign w:val="center"/>
          </w:tcPr>
          <w:p w14:paraId="686DFBB2">
            <w:pPr>
              <w:keepNext w:val="0"/>
              <w:keepLines w:val="0"/>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w:t>
            </w:r>
          </w:p>
        </w:tc>
        <w:tc>
          <w:tcPr>
            <w:tcW w:w="5400" w:type="dxa"/>
            <w:vAlign w:val="center"/>
          </w:tcPr>
          <w:p w14:paraId="6C917E32">
            <w:pPr>
              <w:keepNext w:val="0"/>
              <w:keepLines w:val="0"/>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主要功能要求与技术参数</w:t>
            </w:r>
          </w:p>
        </w:tc>
        <w:tc>
          <w:tcPr>
            <w:tcW w:w="955" w:type="dxa"/>
            <w:vAlign w:val="center"/>
          </w:tcPr>
          <w:p w14:paraId="07B2D24E">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725" w:type="dxa"/>
            <w:vAlign w:val="center"/>
          </w:tcPr>
          <w:p w14:paraId="60673D78">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328" w:type="dxa"/>
            <w:vAlign w:val="center"/>
          </w:tcPr>
          <w:p w14:paraId="1AAD7112">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r>
      <w:tr w14:paraId="12029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1" w:type="dxa"/>
            <w:vAlign w:val="center"/>
          </w:tcPr>
          <w:p w14:paraId="5CB2D681">
            <w:pPr>
              <w:keepNext w:val="0"/>
              <w:keepLines w:val="0"/>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2.1</w:t>
            </w:r>
          </w:p>
        </w:tc>
        <w:tc>
          <w:tcPr>
            <w:tcW w:w="5400" w:type="dxa"/>
            <w:vAlign w:val="center"/>
          </w:tcPr>
          <w:p w14:paraId="1D30ACE6">
            <w:pPr>
              <w:keepNext w:val="0"/>
              <w:keepLines w:val="0"/>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X射线发生及相关性能指标</w:t>
            </w:r>
          </w:p>
        </w:tc>
        <w:tc>
          <w:tcPr>
            <w:tcW w:w="955" w:type="dxa"/>
            <w:vAlign w:val="center"/>
          </w:tcPr>
          <w:p w14:paraId="01EDD737">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725" w:type="dxa"/>
            <w:vAlign w:val="center"/>
          </w:tcPr>
          <w:p w14:paraId="6C75E6DA">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328" w:type="dxa"/>
            <w:vAlign w:val="center"/>
          </w:tcPr>
          <w:p w14:paraId="252F08AF">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r>
      <w:tr w14:paraId="2559A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1" w:type="dxa"/>
            <w:vAlign w:val="center"/>
          </w:tcPr>
          <w:p w14:paraId="7E72DE4B">
            <w:pPr>
              <w:keepNext w:val="0"/>
              <w:keepLines w:val="0"/>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2.1.1</w:t>
            </w:r>
          </w:p>
        </w:tc>
        <w:tc>
          <w:tcPr>
            <w:tcW w:w="5400" w:type="dxa"/>
            <w:vAlign w:val="center"/>
          </w:tcPr>
          <w:p w14:paraId="45E35A3E">
            <w:pPr>
              <w:keepNext w:val="0"/>
              <w:keepLines w:val="0"/>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X射线束类型：锥形束</w:t>
            </w:r>
          </w:p>
        </w:tc>
        <w:tc>
          <w:tcPr>
            <w:tcW w:w="955" w:type="dxa"/>
            <w:vAlign w:val="center"/>
          </w:tcPr>
          <w:p w14:paraId="10687F94">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725" w:type="dxa"/>
            <w:vAlign w:val="center"/>
          </w:tcPr>
          <w:p w14:paraId="01D8FF81">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328" w:type="dxa"/>
            <w:vAlign w:val="center"/>
          </w:tcPr>
          <w:p w14:paraId="1C351558">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r>
      <w:tr w14:paraId="50459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1" w:type="dxa"/>
            <w:vAlign w:val="center"/>
          </w:tcPr>
          <w:p w14:paraId="35BE9008">
            <w:pPr>
              <w:keepNext w:val="0"/>
              <w:keepLines w:val="0"/>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2.1.2</w:t>
            </w:r>
          </w:p>
        </w:tc>
        <w:tc>
          <w:tcPr>
            <w:tcW w:w="5400" w:type="dxa"/>
            <w:vAlign w:val="center"/>
          </w:tcPr>
          <w:p w14:paraId="1E002C18">
            <w:pPr>
              <w:keepNext w:val="0"/>
              <w:keepLines w:val="0"/>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阳极类型：固定阳极</w:t>
            </w:r>
          </w:p>
        </w:tc>
        <w:tc>
          <w:tcPr>
            <w:tcW w:w="955" w:type="dxa"/>
            <w:vAlign w:val="center"/>
          </w:tcPr>
          <w:p w14:paraId="798A806E">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725" w:type="dxa"/>
            <w:vAlign w:val="center"/>
          </w:tcPr>
          <w:p w14:paraId="0465AEA9">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328" w:type="dxa"/>
            <w:vAlign w:val="center"/>
          </w:tcPr>
          <w:p w14:paraId="195BC168">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r>
      <w:tr w14:paraId="1B211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1" w:type="dxa"/>
            <w:vAlign w:val="center"/>
          </w:tcPr>
          <w:p w14:paraId="504441E0">
            <w:pPr>
              <w:keepNext w:val="0"/>
              <w:keepLines w:val="0"/>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2.1.3</w:t>
            </w:r>
          </w:p>
        </w:tc>
        <w:tc>
          <w:tcPr>
            <w:tcW w:w="5400" w:type="dxa"/>
            <w:vAlign w:val="center"/>
          </w:tcPr>
          <w:p w14:paraId="51DB9B7B">
            <w:pPr>
              <w:keepNext w:val="0"/>
              <w:keepLines w:val="0"/>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最小焦点：≤0.5 mm</w:t>
            </w:r>
          </w:p>
        </w:tc>
        <w:tc>
          <w:tcPr>
            <w:tcW w:w="955" w:type="dxa"/>
            <w:vAlign w:val="center"/>
          </w:tcPr>
          <w:p w14:paraId="4302E782">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725" w:type="dxa"/>
            <w:vAlign w:val="center"/>
          </w:tcPr>
          <w:p w14:paraId="7080B363">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328" w:type="dxa"/>
            <w:vAlign w:val="center"/>
          </w:tcPr>
          <w:p w14:paraId="7A7E7BBE">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r>
      <w:tr w14:paraId="79096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1" w:type="dxa"/>
            <w:vAlign w:val="center"/>
          </w:tcPr>
          <w:p w14:paraId="79477CCB">
            <w:pPr>
              <w:keepNext w:val="0"/>
              <w:keepLines w:val="0"/>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2.1.4</w:t>
            </w:r>
          </w:p>
        </w:tc>
        <w:tc>
          <w:tcPr>
            <w:tcW w:w="5400" w:type="dxa"/>
            <w:vAlign w:val="center"/>
          </w:tcPr>
          <w:p w14:paraId="4D8BE6C4">
            <w:pPr>
              <w:keepNext w:val="0"/>
              <w:keepLines w:val="0"/>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最低管电压：≥60 kV；</w:t>
            </w:r>
          </w:p>
        </w:tc>
        <w:tc>
          <w:tcPr>
            <w:tcW w:w="955" w:type="dxa"/>
            <w:vAlign w:val="center"/>
          </w:tcPr>
          <w:p w14:paraId="76F14AC8">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725" w:type="dxa"/>
            <w:vAlign w:val="center"/>
          </w:tcPr>
          <w:p w14:paraId="6932A9DE">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328" w:type="dxa"/>
            <w:vAlign w:val="center"/>
          </w:tcPr>
          <w:p w14:paraId="22B7ADFE">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r>
      <w:tr w14:paraId="384F7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1" w:type="dxa"/>
            <w:vAlign w:val="center"/>
          </w:tcPr>
          <w:p w14:paraId="5BA0DD33">
            <w:pPr>
              <w:keepNext w:val="0"/>
              <w:keepLines w:val="0"/>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2.1.5</w:t>
            </w:r>
          </w:p>
        </w:tc>
        <w:tc>
          <w:tcPr>
            <w:tcW w:w="5400" w:type="dxa"/>
            <w:vAlign w:val="center"/>
          </w:tcPr>
          <w:p w14:paraId="438419EF">
            <w:pPr>
              <w:keepNext w:val="0"/>
              <w:keepLines w:val="0"/>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最高管电压：≥100 kV</w:t>
            </w:r>
          </w:p>
        </w:tc>
        <w:tc>
          <w:tcPr>
            <w:tcW w:w="955" w:type="dxa"/>
            <w:vAlign w:val="center"/>
          </w:tcPr>
          <w:p w14:paraId="60DCA59E">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725" w:type="dxa"/>
            <w:vAlign w:val="center"/>
          </w:tcPr>
          <w:p w14:paraId="76027DC5">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328" w:type="dxa"/>
            <w:vAlign w:val="center"/>
          </w:tcPr>
          <w:p w14:paraId="4EC2B441">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r>
      <w:tr w14:paraId="58FF2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1" w:type="dxa"/>
            <w:vAlign w:val="center"/>
          </w:tcPr>
          <w:p w14:paraId="16924D28">
            <w:pPr>
              <w:keepNext w:val="0"/>
              <w:keepLines w:val="0"/>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w:t>
            </w:r>
            <w:r>
              <w:rPr>
                <w:rFonts w:hint="eastAsia" w:ascii="宋体" w:hAnsi="宋体" w:eastAsia="宋体" w:cs="宋体"/>
                <w:b/>
                <w:bCs/>
                <w:color w:val="0000FF"/>
                <w:sz w:val="21"/>
                <w:szCs w:val="21"/>
                <w:highlight w:val="none"/>
              </w:rPr>
              <w:t>2.1.6</w:t>
            </w:r>
          </w:p>
        </w:tc>
        <w:tc>
          <w:tcPr>
            <w:tcW w:w="5400" w:type="dxa"/>
            <w:vAlign w:val="center"/>
          </w:tcPr>
          <w:p w14:paraId="1217CFC6">
            <w:pPr>
              <w:pStyle w:val="16"/>
              <w:keepNext w:val="0"/>
              <w:keepLines w:val="0"/>
              <w:pageBreakBefore w:val="0"/>
              <w:kinsoku/>
              <w:wordWrap/>
              <w:overflowPunct/>
              <w:topLinePunct w:val="0"/>
              <w:bidi w:val="0"/>
              <w:snapToGrid/>
              <w:spacing w:line="240" w:lineRule="auto"/>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最小管电流：≤2mA；</w:t>
            </w:r>
            <w:r>
              <w:rPr>
                <w:rFonts w:hint="eastAsia" w:ascii="宋体" w:hAnsi="宋体" w:eastAsia="宋体" w:cs="宋体"/>
                <w:color w:val="0000FF"/>
                <w:sz w:val="21"/>
                <w:szCs w:val="21"/>
                <w:highlight w:val="none"/>
              </w:rPr>
              <w:t>（投标时需提供检验检测报告或产品技术白皮书或说明书扫描件或产品彩页，注：对应参数在技术说明书中进行标注，原件备查。检验检测报告要求：①由第三方检验检测机构出具并加盖（或带有）CMA标志的检验检测报告扫描件，原件备查；②上述检验检测报告在全国认证认可信息公共服务平台（认e 云）（http://cx.cnca.cn/）的信息查询记录截图。如检验检测报告中明确备注说明相关检验检测项不在检验检测机构CMA 资质许可（认定）范围内的，不符合招标文件要求。）</w:t>
            </w:r>
          </w:p>
        </w:tc>
        <w:tc>
          <w:tcPr>
            <w:tcW w:w="955" w:type="dxa"/>
            <w:vAlign w:val="center"/>
          </w:tcPr>
          <w:p w14:paraId="2D6DD3E6">
            <w:pPr>
              <w:keepNext w:val="0"/>
              <w:keepLines w:val="0"/>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p>
        </w:tc>
        <w:tc>
          <w:tcPr>
            <w:tcW w:w="725" w:type="dxa"/>
            <w:vAlign w:val="center"/>
          </w:tcPr>
          <w:p w14:paraId="7BC665DE">
            <w:pPr>
              <w:keepNext w:val="0"/>
              <w:keepLines w:val="0"/>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p>
        </w:tc>
        <w:tc>
          <w:tcPr>
            <w:tcW w:w="328" w:type="dxa"/>
            <w:vAlign w:val="center"/>
          </w:tcPr>
          <w:p w14:paraId="501BE05C">
            <w:pPr>
              <w:keepNext w:val="0"/>
              <w:keepLines w:val="0"/>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p>
        </w:tc>
      </w:tr>
      <w:tr w14:paraId="235E5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1" w:type="dxa"/>
            <w:vAlign w:val="center"/>
          </w:tcPr>
          <w:p w14:paraId="11B90645">
            <w:pPr>
              <w:keepNext w:val="0"/>
              <w:keepLines w:val="0"/>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2.1.7</w:t>
            </w:r>
          </w:p>
        </w:tc>
        <w:tc>
          <w:tcPr>
            <w:tcW w:w="5400" w:type="dxa"/>
            <w:vAlign w:val="center"/>
          </w:tcPr>
          <w:p w14:paraId="5160D8BF">
            <w:pPr>
              <w:keepNext w:val="0"/>
              <w:keepLines w:val="0"/>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最高管电流：≥10mA</w:t>
            </w:r>
          </w:p>
        </w:tc>
        <w:tc>
          <w:tcPr>
            <w:tcW w:w="955" w:type="dxa"/>
            <w:vAlign w:val="center"/>
          </w:tcPr>
          <w:p w14:paraId="4EF6E9CE">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725" w:type="dxa"/>
            <w:vAlign w:val="center"/>
          </w:tcPr>
          <w:p w14:paraId="2E007A14">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328" w:type="dxa"/>
            <w:vAlign w:val="center"/>
          </w:tcPr>
          <w:p w14:paraId="541F4363">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r>
      <w:tr w14:paraId="30938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1" w:type="dxa"/>
            <w:vAlign w:val="center"/>
          </w:tcPr>
          <w:p w14:paraId="5E724D57">
            <w:pPr>
              <w:keepNext w:val="0"/>
              <w:keepLines w:val="0"/>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2.1.8</w:t>
            </w:r>
          </w:p>
        </w:tc>
        <w:tc>
          <w:tcPr>
            <w:tcW w:w="5400" w:type="dxa"/>
            <w:vAlign w:val="center"/>
          </w:tcPr>
          <w:p w14:paraId="5743F37B">
            <w:pPr>
              <w:keepNext w:val="0"/>
              <w:keepLines w:val="0"/>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最小加载（曝光）时间</w:t>
            </w:r>
          </w:p>
        </w:tc>
        <w:tc>
          <w:tcPr>
            <w:tcW w:w="955" w:type="dxa"/>
            <w:vAlign w:val="center"/>
          </w:tcPr>
          <w:p w14:paraId="58D75344">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725" w:type="dxa"/>
            <w:vAlign w:val="center"/>
          </w:tcPr>
          <w:p w14:paraId="7B3ECE92">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328" w:type="dxa"/>
            <w:vAlign w:val="center"/>
          </w:tcPr>
          <w:p w14:paraId="4D8534F3">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r>
      <w:tr w14:paraId="48DA6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1" w:type="dxa"/>
            <w:vAlign w:val="center"/>
          </w:tcPr>
          <w:p w14:paraId="46EC72FB">
            <w:pPr>
              <w:keepNext w:val="0"/>
              <w:keepLines w:val="0"/>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2.1.8.1</w:t>
            </w:r>
          </w:p>
        </w:tc>
        <w:tc>
          <w:tcPr>
            <w:tcW w:w="5400" w:type="dxa"/>
            <w:vAlign w:val="center"/>
          </w:tcPr>
          <w:p w14:paraId="5AD846A0">
            <w:pPr>
              <w:keepNext w:val="0"/>
              <w:keepLines w:val="0"/>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CT成像最小加载（曝光）时间：≤9.5秒</w:t>
            </w:r>
          </w:p>
        </w:tc>
        <w:tc>
          <w:tcPr>
            <w:tcW w:w="955" w:type="dxa"/>
            <w:vAlign w:val="center"/>
          </w:tcPr>
          <w:p w14:paraId="4A9D33E7">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725" w:type="dxa"/>
            <w:vAlign w:val="center"/>
          </w:tcPr>
          <w:p w14:paraId="1A9DF425">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328" w:type="dxa"/>
            <w:vAlign w:val="center"/>
          </w:tcPr>
          <w:p w14:paraId="69733112">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r>
      <w:tr w14:paraId="2EC74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1" w:type="dxa"/>
            <w:vAlign w:val="center"/>
          </w:tcPr>
          <w:p w14:paraId="2D0E07B6">
            <w:pPr>
              <w:keepNext w:val="0"/>
              <w:keepLines w:val="0"/>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2.1.8.2</w:t>
            </w:r>
          </w:p>
        </w:tc>
        <w:tc>
          <w:tcPr>
            <w:tcW w:w="5400" w:type="dxa"/>
            <w:vAlign w:val="center"/>
          </w:tcPr>
          <w:p w14:paraId="315FF24D">
            <w:pPr>
              <w:keepNext w:val="0"/>
              <w:keepLines w:val="0"/>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全景成像最小加载（曝光）时间：≤8.5秒</w:t>
            </w:r>
          </w:p>
        </w:tc>
        <w:tc>
          <w:tcPr>
            <w:tcW w:w="955" w:type="dxa"/>
            <w:vAlign w:val="center"/>
          </w:tcPr>
          <w:p w14:paraId="0A82D8AE">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725" w:type="dxa"/>
            <w:vAlign w:val="center"/>
          </w:tcPr>
          <w:p w14:paraId="674AB397">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328" w:type="dxa"/>
            <w:vAlign w:val="center"/>
          </w:tcPr>
          <w:p w14:paraId="6EF06D0A">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r>
      <w:tr w14:paraId="12A5A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1" w:type="dxa"/>
            <w:vAlign w:val="center"/>
          </w:tcPr>
          <w:p w14:paraId="214EA727">
            <w:pPr>
              <w:keepNext w:val="0"/>
              <w:keepLines w:val="0"/>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2.1.8.3</w:t>
            </w:r>
          </w:p>
        </w:tc>
        <w:tc>
          <w:tcPr>
            <w:tcW w:w="5400" w:type="dxa"/>
            <w:vAlign w:val="center"/>
          </w:tcPr>
          <w:p w14:paraId="3C8BBE8B">
            <w:pPr>
              <w:keepNext w:val="0"/>
              <w:keepLines w:val="0"/>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头颅成像最小加载（曝光）时间：≤7.5秒</w:t>
            </w:r>
          </w:p>
        </w:tc>
        <w:tc>
          <w:tcPr>
            <w:tcW w:w="955" w:type="dxa"/>
            <w:vAlign w:val="center"/>
          </w:tcPr>
          <w:p w14:paraId="5672868E">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725" w:type="dxa"/>
            <w:vAlign w:val="center"/>
          </w:tcPr>
          <w:p w14:paraId="4EBD820A">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328" w:type="dxa"/>
            <w:vAlign w:val="center"/>
          </w:tcPr>
          <w:p w14:paraId="588F31B7">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r>
      <w:tr w14:paraId="553F8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1" w:type="dxa"/>
            <w:vAlign w:val="center"/>
          </w:tcPr>
          <w:p w14:paraId="30F8B59F">
            <w:pPr>
              <w:keepNext w:val="0"/>
              <w:keepLines w:val="0"/>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2.2</w:t>
            </w:r>
          </w:p>
        </w:tc>
        <w:tc>
          <w:tcPr>
            <w:tcW w:w="5400" w:type="dxa"/>
            <w:vAlign w:val="center"/>
          </w:tcPr>
          <w:p w14:paraId="19F6FB1B">
            <w:pPr>
              <w:keepNext w:val="0"/>
              <w:keepLines w:val="0"/>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探测器及相关成像性能</w:t>
            </w:r>
          </w:p>
        </w:tc>
        <w:tc>
          <w:tcPr>
            <w:tcW w:w="955" w:type="dxa"/>
            <w:vAlign w:val="center"/>
          </w:tcPr>
          <w:p w14:paraId="4C2B72D6">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725" w:type="dxa"/>
            <w:vAlign w:val="center"/>
          </w:tcPr>
          <w:p w14:paraId="35217B18">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328" w:type="dxa"/>
            <w:vAlign w:val="center"/>
          </w:tcPr>
          <w:p w14:paraId="53F5BA9C">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r>
      <w:tr w14:paraId="5976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1" w:type="dxa"/>
            <w:vAlign w:val="center"/>
          </w:tcPr>
          <w:p w14:paraId="5C4C4B94">
            <w:pPr>
              <w:keepNext w:val="0"/>
              <w:keepLines w:val="0"/>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2.2.1</w:t>
            </w:r>
          </w:p>
        </w:tc>
        <w:tc>
          <w:tcPr>
            <w:tcW w:w="5400" w:type="dxa"/>
            <w:vAlign w:val="center"/>
          </w:tcPr>
          <w:p w14:paraId="6A2BD334">
            <w:pPr>
              <w:keepNext w:val="0"/>
              <w:keepLines w:val="0"/>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探测器数量：≥2（在全景拍摄和CT扫描模式探测器自动切换，无需手动拆装，拍摄头侧时不需要拆卸平板探测器）</w:t>
            </w:r>
          </w:p>
        </w:tc>
        <w:tc>
          <w:tcPr>
            <w:tcW w:w="955" w:type="dxa"/>
            <w:vAlign w:val="center"/>
          </w:tcPr>
          <w:p w14:paraId="3732F0CF">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725" w:type="dxa"/>
            <w:vAlign w:val="center"/>
          </w:tcPr>
          <w:p w14:paraId="571CB8DC">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328" w:type="dxa"/>
            <w:vAlign w:val="center"/>
          </w:tcPr>
          <w:p w14:paraId="39B1798B">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r>
      <w:tr w14:paraId="419A4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1" w:type="dxa"/>
            <w:vAlign w:val="center"/>
          </w:tcPr>
          <w:p w14:paraId="554BD15F">
            <w:pPr>
              <w:keepNext w:val="0"/>
              <w:keepLines w:val="0"/>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2.2.2</w:t>
            </w:r>
          </w:p>
        </w:tc>
        <w:tc>
          <w:tcPr>
            <w:tcW w:w="5400" w:type="dxa"/>
            <w:vAlign w:val="center"/>
          </w:tcPr>
          <w:p w14:paraId="4F996670">
            <w:pPr>
              <w:keepNext w:val="0"/>
              <w:keepLines w:val="0"/>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CT探测器类型：CSI+非晶硅探测器</w:t>
            </w:r>
          </w:p>
        </w:tc>
        <w:tc>
          <w:tcPr>
            <w:tcW w:w="955" w:type="dxa"/>
            <w:vAlign w:val="center"/>
          </w:tcPr>
          <w:p w14:paraId="25C18245">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725" w:type="dxa"/>
            <w:vAlign w:val="center"/>
          </w:tcPr>
          <w:p w14:paraId="0370FDC4">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328" w:type="dxa"/>
            <w:vAlign w:val="center"/>
          </w:tcPr>
          <w:p w14:paraId="3563A1C1">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r>
      <w:tr w14:paraId="36D1F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1" w:type="dxa"/>
            <w:vAlign w:val="center"/>
          </w:tcPr>
          <w:p w14:paraId="015027D6">
            <w:pPr>
              <w:keepNext w:val="0"/>
              <w:keepLines w:val="0"/>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2.2.3</w:t>
            </w:r>
          </w:p>
        </w:tc>
        <w:tc>
          <w:tcPr>
            <w:tcW w:w="5400" w:type="dxa"/>
            <w:vAlign w:val="center"/>
          </w:tcPr>
          <w:p w14:paraId="6B3D5435">
            <w:pPr>
              <w:keepNext w:val="0"/>
              <w:keepLines w:val="0"/>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CT探测器位数（灰阶）：≥16bit</w:t>
            </w:r>
          </w:p>
        </w:tc>
        <w:tc>
          <w:tcPr>
            <w:tcW w:w="955" w:type="dxa"/>
            <w:vAlign w:val="center"/>
          </w:tcPr>
          <w:p w14:paraId="785EA5FC">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725" w:type="dxa"/>
            <w:vAlign w:val="center"/>
          </w:tcPr>
          <w:p w14:paraId="6A0051C9">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328" w:type="dxa"/>
            <w:vAlign w:val="center"/>
          </w:tcPr>
          <w:p w14:paraId="77B9624B">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r>
      <w:tr w14:paraId="43BC6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1" w:type="dxa"/>
            <w:vAlign w:val="center"/>
          </w:tcPr>
          <w:p w14:paraId="32054064">
            <w:pPr>
              <w:keepNext w:val="0"/>
              <w:keepLines w:val="0"/>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2.2.4</w:t>
            </w:r>
          </w:p>
        </w:tc>
        <w:tc>
          <w:tcPr>
            <w:tcW w:w="5400" w:type="dxa"/>
            <w:vAlign w:val="center"/>
          </w:tcPr>
          <w:p w14:paraId="517C3822">
            <w:pPr>
              <w:keepNext w:val="0"/>
              <w:keepLines w:val="0"/>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CT最大可视空间(FOV)：≥16cm（宽）×10cm（高），一次成像非拼接非融合，且包含多视野选择≥3个，以滤线栅调节成像视野（非算法调节），以满足不同临床需求，降低辐射剂量。</w:t>
            </w:r>
          </w:p>
        </w:tc>
        <w:tc>
          <w:tcPr>
            <w:tcW w:w="955" w:type="dxa"/>
            <w:vAlign w:val="center"/>
          </w:tcPr>
          <w:p w14:paraId="4BC6F677">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725" w:type="dxa"/>
            <w:vAlign w:val="center"/>
          </w:tcPr>
          <w:p w14:paraId="5961DA5C">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328" w:type="dxa"/>
            <w:vAlign w:val="center"/>
          </w:tcPr>
          <w:p w14:paraId="35004A05">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r>
      <w:tr w14:paraId="386B6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1" w:type="dxa"/>
            <w:vAlign w:val="center"/>
          </w:tcPr>
          <w:p w14:paraId="3FB75132">
            <w:pPr>
              <w:keepNext w:val="0"/>
              <w:keepLines w:val="0"/>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2.2.5</w:t>
            </w:r>
          </w:p>
        </w:tc>
        <w:tc>
          <w:tcPr>
            <w:tcW w:w="5400" w:type="dxa"/>
            <w:vAlign w:val="center"/>
          </w:tcPr>
          <w:p w14:paraId="2298399C">
            <w:pPr>
              <w:keepNext w:val="0"/>
              <w:keepLines w:val="0"/>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CT的图像重建时间：≤60s（各视野均可达到）</w:t>
            </w:r>
          </w:p>
        </w:tc>
        <w:tc>
          <w:tcPr>
            <w:tcW w:w="955" w:type="dxa"/>
            <w:vAlign w:val="center"/>
          </w:tcPr>
          <w:p w14:paraId="6B3FD1E5">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725" w:type="dxa"/>
            <w:vAlign w:val="center"/>
          </w:tcPr>
          <w:p w14:paraId="7DAE8D52">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328" w:type="dxa"/>
            <w:vAlign w:val="center"/>
          </w:tcPr>
          <w:p w14:paraId="7CEAC72E">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r>
      <w:tr w14:paraId="57B31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1" w:type="dxa"/>
            <w:vAlign w:val="center"/>
          </w:tcPr>
          <w:p w14:paraId="66271F9E">
            <w:pPr>
              <w:keepNext w:val="0"/>
              <w:keepLines w:val="0"/>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w:t>
            </w:r>
            <w:r>
              <w:rPr>
                <w:rFonts w:hint="eastAsia" w:ascii="宋体" w:hAnsi="宋体" w:eastAsia="宋体" w:cs="宋体"/>
                <w:b/>
                <w:bCs/>
                <w:color w:val="0000FF"/>
                <w:sz w:val="21"/>
                <w:szCs w:val="21"/>
                <w:highlight w:val="none"/>
              </w:rPr>
              <w:t>2.2.6</w:t>
            </w:r>
          </w:p>
        </w:tc>
        <w:tc>
          <w:tcPr>
            <w:tcW w:w="5400" w:type="dxa"/>
            <w:vAlign w:val="center"/>
          </w:tcPr>
          <w:p w14:paraId="576BA21B">
            <w:pPr>
              <w:pStyle w:val="16"/>
              <w:keepNext w:val="0"/>
              <w:keepLines w:val="0"/>
              <w:pageBreakBefore w:val="0"/>
              <w:kinsoku/>
              <w:wordWrap/>
              <w:overflowPunct/>
              <w:topLinePunct w:val="0"/>
              <w:bidi w:val="0"/>
              <w:snapToGrid/>
              <w:spacing w:line="240" w:lineRule="auto"/>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CT图像最小体素尺寸：≤50μm</w:t>
            </w:r>
            <w:r>
              <w:rPr>
                <w:rFonts w:hint="eastAsia" w:ascii="宋体" w:hAnsi="宋体" w:eastAsia="宋体" w:cs="宋体"/>
                <w:color w:val="0000FF"/>
                <w:sz w:val="21"/>
                <w:szCs w:val="21"/>
                <w:highlight w:val="none"/>
              </w:rPr>
              <w:t>（投标时需提供检验检测报告或产品技术白皮书或说明书扫描件或产品彩页，注：对应参数在技术说明书中进行标注，原件备查。检验检测报告要求：①由第三方检验检测机构出具并加盖（或带有）CMA标志的检验检测报告扫描件，原件备查；②上述检验检测报告在全国认证认可信息公共服务平台（认e 云）（http://cx.cnca.cn/）的信息查询记录截图。如检验检测报告中明确备注说明相关检验检测项不在检验检测机构CMA 资质许可（认定）范围内的，不符合招标文件要求。）</w:t>
            </w:r>
          </w:p>
        </w:tc>
        <w:tc>
          <w:tcPr>
            <w:tcW w:w="955" w:type="dxa"/>
            <w:vAlign w:val="center"/>
          </w:tcPr>
          <w:p w14:paraId="408F3C8A">
            <w:pPr>
              <w:pStyle w:val="16"/>
              <w:keepNext w:val="0"/>
              <w:keepLines w:val="0"/>
              <w:pageBreakBefore w:val="0"/>
              <w:kinsoku/>
              <w:wordWrap/>
              <w:overflowPunct/>
              <w:topLinePunct w:val="0"/>
              <w:bidi w:val="0"/>
              <w:snapToGrid/>
              <w:spacing w:line="240" w:lineRule="auto"/>
              <w:rPr>
                <w:rStyle w:val="156"/>
                <w:rFonts w:hint="eastAsia" w:ascii="宋体" w:hAnsi="宋体" w:eastAsia="宋体" w:cs="宋体"/>
                <w:color w:val="0000FF"/>
                <w:sz w:val="21"/>
                <w:szCs w:val="21"/>
                <w:highlight w:val="none"/>
                <w:lang w:bidi="ar"/>
              </w:rPr>
            </w:pPr>
          </w:p>
        </w:tc>
        <w:tc>
          <w:tcPr>
            <w:tcW w:w="725" w:type="dxa"/>
            <w:vAlign w:val="center"/>
          </w:tcPr>
          <w:p w14:paraId="3252BB60">
            <w:pPr>
              <w:pStyle w:val="16"/>
              <w:keepNext w:val="0"/>
              <w:keepLines w:val="0"/>
              <w:pageBreakBefore w:val="0"/>
              <w:kinsoku/>
              <w:wordWrap/>
              <w:overflowPunct/>
              <w:topLinePunct w:val="0"/>
              <w:bidi w:val="0"/>
              <w:snapToGrid/>
              <w:spacing w:line="240" w:lineRule="auto"/>
              <w:rPr>
                <w:rStyle w:val="156"/>
                <w:rFonts w:hint="eastAsia" w:ascii="宋体" w:hAnsi="宋体" w:eastAsia="宋体" w:cs="宋体"/>
                <w:color w:val="0000FF"/>
                <w:sz w:val="21"/>
                <w:szCs w:val="21"/>
                <w:highlight w:val="none"/>
                <w:lang w:bidi="ar"/>
              </w:rPr>
            </w:pPr>
          </w:p>
        </w:tc>
        <w:tc>
          <w:tcPr>
            <w:tcW w:w="328" w:type="dxa"/>
            <w:vAlign w:val="center"/>
          </w:tcPr>
          <w:p w14:paraId="7C4EAD3C">
            <w:pPr>
              <w:pStyle w:val="16"/>
              <w:keepNext w:val="0"/>
              <w:keepLines w:val="0"/>
              <w:pageBreakBefore w:val="0"/>
              <w:kinsoku/>
              <w:wordWrap/>
              <w:overflowPunct/>
              <w:topLinePunct w:val="0"/>
              <w:bidi w:val="0"/>
              <w:snapToGrid/>
              <w:spacing w:line="240" w:lineRule="auto"/>
              <w:rPr>
                <w:rStyle w:val="156"/>
                <w:rFonts w:hint="eastAsia" w:ascii="宋体" w:hAnsi="宋体" w:eastAsia="宋体" w:cs="宋体"/>
                <w:color w:val="0000FF"/>
                <w:sz w:val="21"/>
                <w:szCs w:val="21"/>
                <w:highlight w:val="none"/>
                <w:lang w:bidi="ar"/>
              </w:rPr>
            </w:pPr>
          </w:p>
        </w:tc>
      </w:tr>
      <w:tr w14:paraId="6762A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1" w:type="dxa"/>
            <w:vAlign w:val="center"/>
          </w:tcPr>
          <w:p w14:paraId="0876679C">
            <w:pPr>
              <w:keepNext w:val="0"/>
              <w:keepLines w:val="0"/>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w:t>
            </w:r>
            <w:r>
              <w:rPr>
                <w:rFonts w:hint="eastAsia" w:ascii="宋体" w:hAnsi="宋体" w:eastAsia="宋体" w:cs="宋体"/>
                <w:b/>
                <w:bCs/>
                <w:color w:val="0000FF"/>
                <w:sz w:val="21"/>
                <w:szCs w:val="21"/>
                <w:highlight w:val="none"/>
              </w:rPr>
              <w:t>2.2.7</w:t>
            </w:r>
          </w:p>
        </w:tc>
        <w:tc>
          <w:tcPr>
            <w:tcW w:w="5400" w:type="dxa"/>
            <w:vAlign w:val="center"/>
          </w:tcPr>
          <w:p w14:paraId="71E3F710">
            <w:pPr>
              <w:pStyle w:val="16"/>
              <w:keepNext w:val="0"/>
              <w:keepLines w:val="0"/>
              <w:pageBreakBefore w:val="0"/>
              <w:kinsoku/>
              <w:wordWrap/>
              <w:overflowPunct/>
              <w:topLinePunct w:val="0"/>
              <w:bidi w:val="0"/>
              <w:snapToGrid/>
              <w:spacing w:line="240" w:lineRule="auto"/>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CT成像空间分辨率：≥2.0 lp/mm</w:t>
            </w:r>
            <w:r>
              <w:rPr>
                <w:rFonts w:hint="eastAsia" w:ascii="宋体" w:hAnsi="宋体" w:eastAsia="宋体" w:cs="宋体"/>
                <w:color w:val="0000FF"/>
                <w:sz w:val="21"/>
                <w:szCs w:val="21"/>
                <w:highlight w:val="none"/>
              </w:rPr>
              <w:t>（投标时需提供检验检测报告或产品技术白皮书或说明书扫描件或产品彩页，注：对应参数在技术说明书中进行标注，原件备查。检验检测报告要求：①由第三方检验检测机构出具并加盖（或带有）CMA标志的检验检测报告扫描件，原件备查；②上述检验检测报告在全国认证认可信息公共服务平台（认e 云）（http://cx.cnca.cn/）的信息查询记录截图。如检验检测报告中明确备注说明相关检验检测项不在检验检测机构CMA 资质许可（认定）范围内的，不符合招标文件要求。）</w:t>
            </w:r>
          </w:p>
        </w:tc>
        <w:tc>
          <w:tcPr>
            <w:tcW w:w="955" w:type="dxa"/>
            <w:vAlign w:val="center"/>
          </w:tcPr>
          <w:p w14:paraId="392C4E65">
            <w:pPr>
              <w:pStyle w:val="16"/>
              <w:keepNext w:val="0"/>
              <w:keepLines w:val="0"/>
              <w:pageBreakBefore w:val="0"/>
              <w:kinsoku/>
              <w:wordWrap/>
              <w:overflowPunct/>
              <w:topLinePunct w:val="0"/>
              <w:bidi w:val="0"/>
              <w:snapToGrid/>
              <w:spacing w:line="240" w:lineRule="auto"/>
              <w:rPr>
                <w:rStyle w:val="156"/>
                <w:rFonts w:hint="eastAsia" w:ascii="宋体" w:hAnsi="宋体" w:eastAsia="宋体" w:cs="宋体"/>
                <w:color w:val="0000FF"/>
                <w:sz w:val="21"/>
                <w:szCs w:val="21"/>
                <w:highlight w:val="none"/>
                <w:lang w:bidi="ar"/>
              </w:rPr>
            </w:pPr>
          </w:p>
        </w:tc>
        <w:tc>
          <w:tcPr>
            <w:tcW w:w="725" w:type="dxa"/>
            <w:vAlign w:val="center"/>
          </w:tcPr>
          <w:p w14:paraId="47BC5084">
            <w:pPr>
              <w:pStyle w:val="16"/>
              <w:keepNext w:val="0"/>
              <w:keepLines w:val="0"/>
              <w:pageBreakBefore w:val="0"/>
              <w:kinsoku/>
              <w:wordWrap/>
              <w:overflowPunct/>
              <w:topLinePunct w:val="0"/>
              <w:bidi w:val="0"/>
              <w:snapToGrid/>
              <w:spacing w:line="240" w:lineRule="auto"/>
              <w:rPr>
                <w:rStyle w:val="156"/>
                <w:rFonts w:hint="eastAsia" w:ascii="宋体" w:hAnsi="宋体" w:eastAsia="宋体" w:cs="宋体"/>
                <w:color w:val="0000FF"/>
                <w:sz w:val="21"/>
                <w:szCs w:val="21"/>
                <w:highlight w:val="none"/>
                <w:lang w:bidi="ar"/>
              </w:rPr>
            </w:pPr>
          </w:p>
        </w:tc>
        <w:tc>
          <w:tcPr>
            <w:tcW w:w="328" w:type="dxa"/>
            <w:vAlign w:val="center"/>
          </w:tcPr>
          <w:p w14:paraId="73F28EA5">
            <w:pPr>
              <w:pStyle w:val="16"/>
              <w:keepNext w:val="0"/>
              <w:keepLines w:val="0"/>
              <w:pageBreakBefore w:val="0"/>
              <w:kinsoku/>
              <w:wordWrap/>
              <w:overflowPunct/>
              <w:topLinePunct w:val="0"/>
              <w:bidi w:val="0"/>
              <w:snapToGrid/>
              <w:spacing w:line="240" w:lineRule="auto"/>
              <w:rPr>
                <w:rStyle w:val="156"/>
                <w:rFonts w:hint="eastAsia" w:ascii="宋体" w:hAnsi="宋体" w:eastAsia="宋体" w:cs="宋体"/>
                <w:color w:val="0000FF"/>
                <w:sz w:val="21"/>
                <w:szCs w:val="21"/>
                <w:highlight w:val="none"/>
                <w:lang w:bidi="ar"/>
              </w:rPr>
            </w:pPr>
          </w:p>
        </w:tc>
      </w:tr>
      <w:tr w14:paraId="00835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1" w:type="dxa"/>
            <w:vAlign w:val="center"/>
          </w:tcPr>
          <w:p w14:paraId="4D3D1CDA">
            <w:pPr>
              <w:keepNext w:val="0"/>
              <w:keepLines w:val="0"/>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2.2.8</w:t>
            </w:r>
          </w:p>
        </w:tc>
        <w:tc>
          <w:tcPr>
            <w:tcW w:w="5400" w:type="dxa"/>
            <w:vAlign w:val="center"/>
          </w:tcPr>
          <w:p w14:paraId="15771A4E">
            <w:pPr>
              <w:keepNext w:val="0"/>
              <w:keepLines w:val="0"/>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全景成像空间分辨率 ≥3.0 lp/mm</w:t>
            </w:r>
          </w:p>
        </w:tc>
        <w:tc>
          <w:tcPr>
            <w:tcW w:w="955" w:type="dxa"/>
            <w:vAlign w:val="center"/>
          </w:tcPr>
          <w:p w14:paraId="329BD486">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725" w:type="dxa"/>
            <w:vAlign w:val="center"/>
          </w:tcPr>
          <w:p w14:paraId="456EB9B7">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328" w:type="dxa"/>
            <w:vAlign w:val="center"/>
          </w:tcPr>
          <w:p w14:paraId="49F6B449">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r>
      <w:tr w14:paraId="5CB4D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1" w:type="dxa"/>
            <w:vAlign w:val="center"/>
          </w:tcPr>
          <w:p w14:paraId="5FD2023A">
            <w:pPr>
              <w:keepNext w:val="0"/>
              <w:keepLines w:val="0"/>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2.2.9</w:t>
            </w:r>
          </w:p>
        </w:tc>
        <w:tc>
          <w:tcPr>
            <w:tcW w:w="5400" w:type="dxa"/>
            <w:vAlign w:val="center"/>
          </w:tcPr>
          <w:p w14:paraId="42F5E4FA">
            <w:pPr>
              <w:keepNext w:val="0"/>
              <w:keepLines w:val="0"/>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头颅成像空间分辨率 ≥3.0 lp/mm</w:t>
            </w:r>
          </w:p>
        </w:tc>
        <w:tc>
          <w:tcPr>
            <w:tcW w:w="955" w:type="dxa"/>
            <w:vAlign w:val="center"/>
          </w:tcPr>
          <w:p w14:paraId="62DCCAD6">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725" w:type="dxa"/>
            <w:vAlign w:val="center"/>
          </w:tcPr>
          <w:p w14:paraId="67D23289">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328" w:type="dxa"/>
            <w:vAlign w:val="center"/>
          </w:tcPr>
          <w:p w14:paraId="10D46D81">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r>
      <w:tr w14:paraId="11890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1" w:type="dxa"/>
            <w:vAlign w:val="center"/>
          </w:tcPr>
          <w:p w14:paraId="4D09A2F7">
            <w:pPr>
              <w:keepNext w:val="0"/>
              <w:keepLines w:val="0"/>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2.2.10</w:t>
            </w:r>
          </w:p>
        </w:tc>
        <w:tc>
          <w:tcPr>
            <w:tcW w:w="5400" w:type="dxa"/>
            <w:vAlign w:val="center"/>
          </w:tcPr>
          <w:p w14:paraId="309E765E">
            <w:pPr>
              <w:keepNext w:val="0"/>
              <w:keepLines w:val="0"/>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头颅侧位探测器类型：CSI+CMOS探测器</w:t>
            </w:r>
          </w:p>
        </w:tc>
        <w:tc>
          <w:tcPr>
            <w:tcW w:w="955" w:type="dxa"/>
            <w:vAlign w:val="center"/>
          </w:tcPr>
          <w:p w14:paraId="60F52237">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725" w:type="dxa"/>
            <w:vAlign w:val="center"/>
          </w:tcPr>
          <w:p w14:paraId="5A84DC73">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328" w:type="dxa"/>
            <w:vAlign w:val="center"/>
          </w:tcPr>
          <w:p w14:paraId="6DFB67D3">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r>
      <w:tr w14:paraId="3A5B6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1" w:type="dxa"/>
            <w:vAlign w:val="center"/>
          </w:tcPr>
          <w:p w14:paraId="60CB4825">
            <w:pPr>
              <w:keepNext w:val="0"/>
              <w:keepLines w:val="0"/>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2.2.11</w:t>
            </w:r>
          </w:p>
        </w:tc>
        <w:tc>
          <w:tcPr>
            <w:tcW w:w="5400" w:type="dxa"/>
            <w:vAlign w:val="center"/>
          </w:tcPr>
          <w:p w14:paraId="256280B1">
            <w:pPr>
              <w:keepNext w:val="0"/>
              <w:keepLines w:val="0"/>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头颅探测器最小像素尺寸：≤100μm</w:t>
            </w:r>
          </w:p>
        </w:tc>
        <w:tc>
          <w:tcPr>
            <w:tcW w:w="955" w:type="dxa"/>
            <w:vAlign w:val="center"/>
          </w:tcPr>
          <w:p w14:paraId="5763B53D">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725" w:type="dxa"/>
            <w:vAlign w:val="center"/>
          </w:tcPr>
          <w:p w14:paraId="15E68A09">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328" w:type="dxa"/>
            <w:vAlign w:val="center"/>
          </w:tcPr>
          <w:p w14:paraId="2CD2B7F6">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r>
      <w:tr w14:paraId="67421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1" w:type="dxa"/>
            <w:vAlign w:val="center"/>
          </w:tcPr>
          <w:p w14:paraId="6784365F">
            <w:pPr>
              <w:keepNext w:val="0"/>
              <w:keepLines w:val="0"/>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2.3</w:t>
            </w:r>
          </w:p>
        </w:tc>
        <w:tc>
          <w:tcPr>
            <w:tcW w:w="5400" w:type="dxa"/>
            <w:vAlign w:val="center"/>
          </w:tcPr>
          <w:p w14:paraId="749B1A93">
            <w:pPr>
              <w:keepNext w:val="0"/>
              <w:keepLines w:val="0"/>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机械装置性能及其他要求</w:t>
            </w:r>
          </w:p>
        </w:tc>
        <w:tc>
          <w:tcPr>
            <w:tcW w:w="955" w:type="dxa"/>
            <w:vAlign w:val="center"/>
          </w:tcPr>
          <w:p w14:paraId="4E45D48F">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725" w:type="dxa"/>
            <w:vAlign w:val="center"/>
          </w:tcPr>
          <w:p w14:paraId="0E0310DA">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328" w:type="dxa"/>
            <w:vAlign w:val="center"/>
          </w:tcPr>
          <w:p w14:paraId="4BE23336">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r>
      <w:tr w14:paraId="2A67E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1" w:type="dxa"/>
            <w:vAlign w:val="center"/>
          </w:tcPr>
          <w:p w14:paraId="224E1EE6">
            <w:pPr>
              <w:keepNext w:val="0"/>
              <w:keepLines w:val="0"/>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2.3.1</w:t>
            </w:r>
          </w:p>
        </w:tc>
        <w:tc>
          <w:tcPr>
            <w:tcW w:w="5400" w:type="dxa"/>
            <w:vAlign w:val="center"/>
          </w:tcPr>
          <w:p w14:paraId="3A4DB988">
            <w:pPr>
              <w:keepNext w:val="0"/>
              <w:keepLines w:val="0"/>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整机（含外壳）重量：≤250kg</w:t>
            </w:r>
          </w:p>
        </w:tc>
        <w:tc>
          <w:tcPr>
            <w:tcW w:w="955" w:type="dxa"/>
            <w:vAlign w:val="center"/>
          </w:tcPr>
          <w:p w14:paraId="75FED9C3">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725" w:type="dxa"/>
            <w:vAlign w:val="center"/>
          </w:tcPr>
          <w:p w14:paraId="1BDF6780">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328" w:type="dxa"/>
            <w:vAlign w:val="center"/>
          </w:tcPr>
          <w:p w14:paraId="33A4DED5">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r>
      <w:tr w14:paraId="50B4A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1" w:type="dxa"/>
            <w:vAlign w:val="center"/>
          </w:tcPr>
          <w:p w14:paraId="738A6814">
            <w:pPr>
              <w:keepNext w:val="0"/>
              <w:keepLines w:val="0"/>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w:t>
            </w:r>
            <w:r>
              <w:rPr>
                <w:rFonts w:hint="eastAsia" w:ascii="宋体" w:hAnsi="宋体" w:eastAsia="宋体" w:cs="宋体"/>
                <w:b/>
                <w:bCs/>
                <w:color w:val="0000FF"/>
                <w:sz w:val="21"/>
                <w:szCs w:val="21"/>
                <w:highlight w:val="none"/>
              </w:rPr>
              <w:t>2.3.2</w:t>
            </w:r>
          </w:p>
        </w:tc>
        <w:tc>
          <w:tcPr>
            <w:tcW w:w="5400" w:type="dxa"/>
            <w:vAlign w:val="center"/>
          </w:tcPr>
          <w:p w14:paraId="41E6F4B4">
            <w:pPr>
              <w:pStyle w:val="16"/>
              <w:keepNext w:val="0"/>
              <w:keepLines w:val="0"/>
              <w:pageBreakBefore w:val="0"/>
              <w:kinsoku/>
              <w:wordWrap/>
              <w:overflowPunct/>
              <w:topLinePunct w:val="0"/>
              <w:bidi w:val="0"/>
              <w:snapToGrid/>
              <w:spacing w:line="240" w:lineRule="auto"/>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机架底座：X型底座（非U型）设计，方便轮椅患者进行拍摄。</w:t>
            </w:r>
            <w:r>
              <w:rPr>
                <w:rFonts w:hint="eastAsia" w:ascii="宋体" w:hAnsi="宋体" w:eastAsia="宋体" w:cs="宋体"/>
                <w:color w:val="0000FF"/>
                <w:sz w:val="21"/>
                <w:szCs w:val="21"/>
                <w:highlight w:val="none"/>
              </w:rPr>
              <w:t>（投标时需提供检验检测报告或产品技术白皮书或说明书扫描件或产品彩页，注：对应参数在技术说明书中进行标注，原件备查。检验检测报告要求：①由第三方检验检测机构出具并加盖（或带有）CMA标志的检验检测报告扫描件，原件备查；②上述检验检测报告在全国认证认可信息公共服务平台（认e 云）（http://cx.cnca.cn/）的信息查询记录截图。如检验检测报告中明确备注说明相关检验检测项不在检验检测机构CMA 资质许可（认定）范围内的，不符合招标文件要求。）</w:t>
            </w:r>
          </w:p>
        </w:tc>
        <w:tc>
          <w:tcPr>
            <w:tcW w:w="955" w:type="dxa"/>
            <w:vAlign w:val="center"/>
          </w:tcPr>
          <w:p w14:paraId="070FC656">
            <w:pPr>
              <w:pStyle w:val="16"/>
              <w:keepNext w:val="0"/>
              <w:keepLines w:val="0"/>
              <w:pageBreakBefore w:val="0"/>
              <w:kinsoku/>
              <w:wordWrap/>
              <w:overflowPunct/>
              <w:topLinePunct w:val="0"/>
              <w:bidi w:val="0"/>
              <w:snapToGrid/>
              <w:spacing w:line="240" w:lineRule="auto"/>
              <w:rPr>
                <w:rStyle w:val="156"/>
                <w:rFonts w:hint="eastAsia" w:ascii="宋体" w:hAnsi="宋体" w:eastAsia="宋体" w:cs="宋体"/>
                <w:color w:val="0000FF"/>
                <w:sz w:val="21"/>
                <w:szCs w:val="21"/>
                <w:highlight w:val="none"/>
                <w:lang w:bidi="ar"/>
              </w:rPr>
            </w:pPr>
          </w:p>
        </w:tc>
        <w:tc>
          <w:tcPr>
            <w:tcW w:w="725" w:type="dxa"/>
            <w:vAlign w:val="center"/>
          </w:tcPr>
          <w:p w14:paraId="5B609195">
            <w:pPr>
              <w:pStyle w:val="16"/>
              <w:keepNext w:val="0"/>
              <w:keepLines w:val="0"/>
              <w:pageBreakBefore w:val="0"/>
              <w:kinsoku/>
              <w:wordWrap/>
              <w:overflowPunct/>
              <w:topLinePunct w:val="0"/>
              <w:bidi w:val="0"/>
              <w:snapToGrid/>
              <w:spacing w:line="240" w:lineRule="auto"/>
              <w:rPr>
                <w:rStyle w:val="156"/>
                <w:rFonts w:hint="eastAsia" w:ascii="宋体" w:hAnsi="宋体" w:eastAsia="宋体" w:cs="宋体"/>
                <w:color w:val="0000FF"/>
                <w:sz w:val="21"/>
                <w:szCs w:val="21"/>
                <w:highlight w:val="none"/>
                <w:lang w:bidi="ar"/>
              </w:rPr>
            </w:pPr>
          </w:p>
        </w:tc>
        <w:tc>
          <w:tcPr>
            <w:tcW w:w="328" w:type="dxa"/>
            <w:vAlign w:val="center"/>
          </w:tcPr>
          <w:p w14:paraId="7EBA612E">
            <w:pPr>
              <w:pStyle w:val="16"/>
              <w:keepNext w:val="0"/>
              <w:keepLines w:val="0"/>
              <w:pageBreakBefore w:val="0"/>
              <w:kinsoku/>
              <w:wordWrap/>
              <w:overflowPunct/>
              <w:topLinePunct w:val="0"/>
              <w:bidi w:val="0"/>
              <w:snapToGrid/>
              <w:spacing w:line="240" w:lineRule="auto"/>
              <w:rPr>
                <w:rStyle w:val="156"/>
                <w:rFonts w:hint="eastAsia" w:ascii="宋体" w:hAnsi="宋体" w:eastAsia="宋体" w:cs="宋体"/>
                <w:color w:val="0000FF"/>
                <w:sz w:val="21"/>
                <w:szCs w:val="21"/>
                <w:highlight w:val="none"/>
                <w:lang w:bidi="ar"/>
              </w:rPr>
            </w:pPr>
          </w:p>
        </w:tc>
      </w:tr>
      <w:tr w14:paraId="6CC77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1" w:type="dxa"/>
            <w:vAlign w:val="center"/>
          </w:tcPr>
          <w:p w14:paraId="098A241F">
            <w:pPr>
              <w:keepNext w:val="0"/>
              <w:keepLines w:val="0"/>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2.3.3</w:t>
            </w:r>
          </w:p>
        </w:tc>
        <w:tc>
          <w:tcPr>
            <w:tcW w:w="5400" w:type="dxa"/>
            <w:vAlign w:val="center"/>
          </w:tcPr>
          <w:p w14:paraId="289E1A09">
            <w:pPr>
              <w:keepNext w:val="0"/>
              <w:keepLines w:val="0"/>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立柱升降距离：≤700mm</w:t>
            </w:r>
          </w:p>
        </w:tc>
        <w:tc>
          <w:tcPr>
            <w:tcW w:w="955" w:type="dxa"/>
            <w:vAlign w:val="center"/>
          </w:tcPr>
          <w:p w14:paraId="212AD1E7">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725" w:type="dxa"/>
            <w:vAlign w:val="center"/>
          </w:tcPr>
          <w:p w14:paraId="767578BD">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328" w:type="dxa"/>
            <w:vAlign w:val="center"/>
          </w:tcPr>
          <w:p w14:paraId="46B00BF6">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r>
      <w:tr w14:paraId="5E2E9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1" w:type="dxa"/>
            <w:vAlign w:val="center"/>
          </w:tcPr>
          <w:p w14:paraId="448E7346">
            <w:pPr>
              <w:keepNext w:val="0"/>
              <w:keepLines w:val="0"/>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2.3.4</w:t>
            </w:r>
          </w:p>
        </w:tc>
        <w:tc>
          <w:tcPr>
            <w:tcW w:w="5400" w:type="dxa"/>
            <w:vAlign w:val="center"/>
          </w:tcPr>
          <w:p w14:paraId="172806BD">
            <w:pPr>
              <w:keepNext w:val="0"/>
              <w:keepLines w:val="0"/>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摆位及扫描：摆位时设备控制面板与技师均位于受检者正前方，使技师可正面观察定位激光线在受检者面部位置，确保准确定位；CT扫描过程中受检者侧对立柱（非面向立柱站立），以缓解紧张情绪。</w:t>
            </w:r>
          </w:p>
        </w:tc>
        <w:tc>
          <w:tcPr>
            <w:tcW w:w="955" w:type="dxa"/>
            <w:vAlign w:val="center"/>
          </w:tcPr>
          <w:p w14:paraId="6B6DFED5">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725" w:type="dxa"/>
            <w:vAlign w:val="center"/>
          </w:tcPr>
          <w:p w14:paraId="42432192">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328" w:type="dxa"/>
            <w:vAlign w:val="center"/>
          </w:tcPr>
          <w:p w14:paraId="10AAF26A">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r>
      <w:tr w14:paraId="3C5EA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1" w:type="dxa"/>
            <w:vAlign w:val="center"/>
          </w:tcPr>
          <w:p w14:paraId="34055FCB">
            <w:pPr>
              <w:keepNext w:val="0"/>
              <w:keepLines w:val="0"/>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2.3.5</w:t>
            </w:r>
          </w:p>
        </w:tc>
        <w:tc>
          <w:tcPr>
            <w:tcW w:w="5400" w:type="dxa"/>
            <w:vAlign w:val="center"/>
          </w:tcPr>
          <w:p w14:paraId="75909B68">
            <w:pPr>
              <w:keepNext w:val="0"/>
              <w:keepLines w:val="0"/>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激光线定位线数量：≥6</w:t>
            </w:r>
          </w:p>
        </w:tc>
        <w:tc>
          <w:tcPr>
            <w:tcW w:w="955" w:type="dxa"/>
            <w:vAlign w:val="center"/>
          </w:tcPr>
          <w:p w14:paraId="3BEFCB64">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725" w:type="dxa"/>
            <w:vAlign w:val="center"/>
          </w:tcPr>
          <w:p w14:paraId="3E0A6B40">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328" w:type="dxa"/>
            <w:vAlign w:val="center"/>
          </w:tcPr>
          <w:p w14:paraId="63AE5A5C">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r>
      <w:tr w14:paraId="4316D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1" w:type="dxa"/>
            <w:vAlign w:val="center"/>
          </w:tcPr>
          <w:p w14:paraId="5D2FBB9F">
            <w:pPr>
              <w:keepNext w:val="0"/>
              <w:keepLines w:val="0"/>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2.3.6</w:t>
            </w:r>
          </w:p>
        </w:tc>
        <w:tc>
          <w:tcPr>
            <w:tcW w:w="5400" w:type="dxa"/>
            <w:vAlign w:val="center"/>
          </w:tcPr>
          <w:p w14:paraId="1FCA1A3F">
            <w:pPr>
              <w:keepNext w:val="0"/>
              <w:keepLines w:val="0"/>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触控式控制面板：具备；尺寸：≥10寸</w:t>
            </w:r>
          </w:p>
        </w:tc>
        <w:tc>
          <w:tcPr>
            <w:tcW w:w="955" w:type="dxa"/>
            <w:vAlign w:val="center"/>
          </w:tcPr>
          <w:p w14:paraId="710E46B0">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725" w:type="dxa"/>
            <w:vAlign w:val="center"/>
          </w:tcPr>
          <w:p w14:paraId="3C7FEF71">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328" w:type="dxa"/>
            <w:vAlign w:val="center"/>
          </w:tcPr>
          <w:p w14:paraId="1A0A8404">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r>
      <w:tr w14:paraId="2D4C2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1" w:type="dxa"/>
            <w:vAlign w:val="center"/>
          </w:tcPr>
          <w:p w14:paraId="6F1F0F86">
            <w:pPr>
              <w:keepNext w:val="0"/>
              <w:keepLines w:val="0"/>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w:t>
            </w:r>
            <w:r>
              <w:rPr>
                <w:rFonts w:hint="eastAsia" w:ascii="宋体" w:hAnsi="宋体" w:eastAsia="宋体" w:cs="宋体"/>
                <w:b/>
                <w:bCs/>
                <w:color w:val="0000FF"/>
                <w:sz w:val="21"/>
                <w:szCs w:val="21"/>
                <w:highlight w:val="none"/>
              </w:rPr>
              <w:t>2.3.7</w:t>
            </w:r>
          </w:p>
        </w:tc>
        <w:tc>
          <w:tcPr>
            <w:tcW w:w="5400" w:type="dxa"/>
            <w:vAlign w:val="center"/>
          </w:tcPr>
          <w:p w14:paraId="1CD78A06">
            <w:pPr>
              <w:pStyle w:val="16"/>
              <w:keepNext w:val="0"/>
              <w:keepLines w:val="0"/>
              <w:pageBreakBefore w:val="0"/>
              <w:kinsoku/>
              <w:wordWrap/>
              <w:overflowPunct/>
              <w:topLinePunct w:val="0"/>
              <w:bidi w:val="0"/>
              <w:snapToGrid/>
              <w:spacing w:line="240" w:lineRule="auto"/>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设备具备可在同一机房中完成牙科摄影功能的升级能力（最小机房面积≤5㎡），要求CBCT装置与牙科摄影功能可在一套控制系统中完成（同一注册证），且具备联锁功能（不可同时曝光）。</w:t>
            </w:r>
            <w:r>
              <w:rPr>
                <w:rFonts w:hint="eastAsia" w:ascii="宋体" w:hAnsi="宋体" w:eastAsia="宋体" w:cs="宋体"/>
                <w:color w:val="0000FF"/>
                <w:sz w:val="21"/>
                <w:szCs w:val="21"/>
                <w:highlight w:val="none"/>
              </w:rPr>
              <w:t>（投标时需提供检验检测报告或产品技术白皮书或说明书扫描件或产品彩页，注：对应参数在技术说明书中进行标注，原件备查。检验检测报告要求：①由第三方检验检测机构出具并加盖（或带有）CMA标志的检验检测报告扫描件，原件备查；②上述检验检测报告在全国认证认可信息公共服务平台（认e 云）（http://cx.cnca.cn/）的信息查询记录截图。如检验检测报告中明确备注说明相关检验检测项不在检验检测机构CMA 资质许可（认定）范围内的，不符合招标文件要求。）</w:t>
            </w:r>
          </w:p>
        </w:tc>
        <w:tc>
          <w:tcPr>
            <w:tcW w:w="955" w:type="dxa"/>
            <w:vAlign w:val="center"/>
          </w:tcPr>
          <w:p w14:paraId="2D5C4B52">
            <w:pPr>
              <w:pStyle w:val="16"/>
              <w:keepNext w:val="0"/>
              <w:keepLines w:val="0"/>
              <w:pageBreakBefore w:val="0"/>
              <w:kinsoku/>
              <w:wordWrap/>
              <w:overflowPunct/>
              <w:topLinePunct w:val="0"/>
              <w:bidi w:val="0"/>
              <w:snapToGrid/>
              <w:spacing w:line="240" w:lineRule="auto"/>
              <w:rPr>
                <w:rStyle w:val="156"/>
                <w:rFonts w:hint="eastAsia" w:ascii="宋体" w:hAnsi="宋体" w:eastAsia="宋体" w:cs="宋体"/>
                <w:color w:val="0000FF"/>
                <w:sz w:val="21"/>
                <w:szCs w:val="21"/>
                <w:highlight w:val="none"/>
                <w:lang w:bidi="ar"/>
              </w:rPr>
            </w:pPr>
          </w:p>
        </w:tc>
        <w:tc>
          <w:tcPr>
            <w:tcW w:w="725" w:type="dxa"/>
            <w:vAlign w:val="center"/>
          </w:tcPr>
          <w:p w14:paraId="6B3D75F2">
            <w:pPr>
              <w:pStyle w:val="16"/>
              <w:keepNext w:val="0"/>
              <w:keepLines w:val="0"/>
              <w:pageBreakBefore w:val="0"/>
              <w:kinsoku/>
              <w:wordWrap/>
              <w:overflowPunct/>
              <w:topLinePunct w:val="0"/>
              <w:bidi w:val="0"/>
              <w:snapToGrid/>
              <w:spacing w:line="240" w:lineRule="auto"/>
              <w:rPr>
                <w:rStyle w:val="156"/>
                <w:rFonts w:hint="eastAsia" w:ascii="宋体" w:hAnsi="宋体" w:eastAsia="宋体" w:cs="宋体"/>
                <w:color w:val="0000FF"/>
                <w:sz w:val="21"/>
                <w:szCs w:val="21"/>
                <w:highlight w:val="none"/>
                <w:lang w:bidi="ar"/>
              </w:rPr>
            </w:pPr>
          </w:p>
        </w:tc>
        <w:tc>
          <w:tcPr>
            <w:tcW w:w="328" w:type="dxa"/>
            <w:vAlign w:val="center"/>
          </w:tcPr>
          <w:p w14:paraId="6DA45589">
            <w:pPr>
              <w:pStyle w:val="16"/>
              <w:keepNext w:val="0"/>
              <w:keepLines w:val="0"/>
              <w:pageBreakBefore w:val="0"/>
              <w:kinsoku/>
              <w:wordWrap/>
              <w:overflowPunct/>
              <w:topLinePunct w:val="0"/>
              <w:bidi w:val="0"/>
              <w:snapToGrid/>
              <w:spacing w:line="240" w:lineRule="auto"/>
              <w:rPr>
                <w:rStyle w:val="156"/>
                <w:rFonts w:hint="eastAsia" w:ascii="宋体" w:hAnsi="宋体" w:eastAsia="宋体" w:cs="宋体"/>
                <w:color w:val="0000FF"/>
                <w:sz w:val="21"/>
                <w:szCs w:val="21"/>
                <w:highlight w:val="none"/>
                <w:lang w:bidi="ar"/>
              </w:rPr>
            </w:pPr>
          </w:p>
        </w:tc>
      </w:tr>
      <w:tr w14:paraId="1051F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1" w:type="dxa"/>
            <w:vAlign w:val="center"/>
          </w:tcPr>
          <w:p w14:paraId="61D299E2">
            <w:pPr>
              <w:keepNext w:val="0"/>
              <w:keepLines w:val="0"/>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2.3.8</w:t>
            </w:r>
          </w:p>
        </w:tc>
        <w:tc>
          <w:tcPr>
            <w:tcW w:w="5400" w:type="dxa"/>
            <w:vAlign w:val="center"/>
          </w:tcPr>
          <w:p w14:paraId="7E56F93F">
            <w:pPr>
              <w:keepNext w:val="0"/>
              <w:keepLines w:val="0"/>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牙片机焦点0.4mm，确保成像清晰</w:t>
            </w:r>
          </w:p>
        </w:tc>
        <w:tc>
          <w:tcPr>
            <w:tcW w:w="955" w:type="dxa"/>
            <w:vAlign w:val="center"/>
          </w:tcPr>
          <w:p w14:paraId="13D11284">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725" w:type="dxa"/>
            <w:vAlign w:val="center"/>
          </w:tcPr>
          <w:p w14:paraId="23324FFA">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328" w:type="dxa"/>
            <w:vAlign w:val="center"/>
          </w:tcPr>
          <w:p w14:paraId="2A8B0FAB">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r>
      <w:tr w14:paraId="37E5D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1" w:type="dxa"/>
            <w:vAlign w:val="center"/>
          </w:tcPr>
          <w:p w14:paraId="6F3F0BAB">
            <w:pPr>
              <w:keepNext w:val="0"/>
              <w:keepLines w:val="0"/>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2.3.9</w:t>
            </w:r>
          </w:p>
        </w:tc>
        <w:tc>
          <w:tcPr>
            <w:tcW w:w="5400" w:type="dxa"/>
            <w:vAlign w:val="center"/>
          </w:tcPr>
          <w:p w14:paraId="6D24DCBE">
            <w:pPr>
              <w:keepNext w:val="0"/>
              <w:keepLines w:val="0"/>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5mA固定管电流，高频直流发生器，提供稳定精确的影像</w:t>
            </w:r>
          </w:p>
        </w:tc>
        <w:tc>
          <w:tcPr>
            <w:tcW w:w="955" w:type="dxa"/>
            <w:vAlign w:val="center"/>
          </w:tcPr>
          <w:p w14:paraId="654E6DCA">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725" w:type="dxa"/>
            <w:vAlign w:val="center"/>
          </w:tcPr>
          <w:p w14:paraId="016FBE5A">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328" w:type="dxa"/>
            <w:vAlign w:val="center"/>
          </w:tcPr>
          <w:p w14:paraId="33C1C003">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r>
      <w:tr w14:paraId="3125A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1" w:type="dxa"/>
            <w:vAlign w:val="center"/>
          </w:tcPr>
          <w:p w14:paraId="2473D915">
            <w:pPr>
              <w:keepNext w:val="0"/>
              <w:keepLines w:val="0"/>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2.3.10</w:t>
            </w:r>
          </w:p>
        </w:tc>
        <w:tc>
          <w:tcPr>
            <w:tcW w:w="5400" w:type="dxa"/>
            <w:vAlign w:val="center"/>
          </w:tcPr>
          <w:p w14:paraId="2185E0BA">
            <w:pPr>
              <w:keepNext w:val="0"/>
              <w:keepLines w:val="0"/>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分体式口内摄像控制面板，可根据需求灵活安装</w:t>
            </w:r>
          </w:p>
        </w:tc>
        <w:tc>
          <w:tcPr>
            <w:tcW w:w="955" w:type="dxa"/>
            <w:vAlign w:val="center"/>
          </w:tcPr>
          <w:p w14:paraId="580EF833">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725" w:type="dxa"/>
            <w:vAlign w:val="center"/>
          </w:tcPr>
          <w:p w14:paraId="24CC9302">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328" w:type="dxa"/>
            <w:vAlign w:val="center"/>
          </w:tcPr>
          <w:p w14:paraId="3986830C">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r>
      <w:tr w14:paraId="09D54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1" w:type="dxa"/>
            <w:vAlign w:val="center"/>
          </w:tcPr>
          <w:p w14:paraId="3806F370">
            <w:pPr>
              <w:keepNext w:val="0"/>
              <w:keepLines w:val="0"/>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2.3.11</w:t>
            </w:r>
          </w:p>
        </w:tc>
        <w:tc>
          <w:tcPr>
            <w:tcW w:w="5400" w:type="dxa"/>
            <w:vAlign w:val="center"/>
          </w:tcPr>
          <w:p w14:paraId="5661F200">
            <w:pPr>
              <w:keepNext w:val="0"/>
              <w:keepLines w:val="0"/>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牙片、CT、头颅摄影运行互锁系统，确保拍摄过程只有一个机头出射线束</w:t>
            </w:r>
          </w:p>
        </w:tc>
        <w:tc>
          <w:tcPr>
            <w:tcW w:w="955" w:type="dxa"/>
            <w:vAlign w:val="center"/>
          </w:tcPr>
          <w:p w14:paraId="0914FF7B">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725" w:type="dxa"/>
            <w:vAlign w:val="center"/>
          </w:tcPr>
          <w:p w14:paraId="4FC2D278">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328" w:type="dxa"/>
            <w:vAlign w:val="center"/>
          </w:tcPr>
          <w:p w14:paraId="124CDA94">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r>
      <w:tr w14:paraId="36ED9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1" w:type="dxa"/>
            <w:vAlign w:val="center"/>
          </w:tcPr>
          <w:p w14:paraId="1418BA77">
            <w:pPr>
              <w:keepNext w:val="0"/>
              <w:keepLines w:val="0"/>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2.3.12</w:t>
            </w:r>
          </w:p>
        </w:tc>
        <w:tc>
          <w:tcPr>
            <w:tcW w:w="5400" w:type="dxa"/>
            <w:vAlign w:val="center"/>
          </w:tcPr>
          <w:p w14:paraId="3F67F274">
            <w:pPr>
              <w:keepNext w:val="0"/>
              <w:keepLines w:val="0"/>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机械臂可灵活自由悬停，轻松可控</w:t>
            </w:r>
          </w:p>
        </w:tc>
        <w:tc>
          <w:tcPr>
            <w:tcW w:w="955" w:type="dxa"/>
            <w:vAlign w:val="center"/>
          </w:tcPr>
          <w:p w14:paraId="7BCA48F9">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725" w:type="dxa"/>
            <w:vAlign w:val="center"/>
          </w:tcPr>
          <w:p w14:paraId="6249CEFA">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328" w:type="dxa"/>
            <w:vAlign w:val="center"/>
          </w:tcPr>
          <w:p w14:paraId="75CD9AF7">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r>
      <w:tr w14:paraId="09352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1" w:type="dxa"/>
            <w:vAlign w:val="center"/>
          </w:tcPr>
          <w:p w14:paraId="2047D81C">
            <w:pPr>
              <w:keepNext w:val="0"/>
              <w:keepLines w:val="0"/>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2.4</w:t>
            </w:r>
          </w:p>
        </w:tc>
        <w:tc>
          <w:tcPr>
            <w:tcW w:w="5400" w:type="dxa"/>
            <w:vAlign w:val="center"/>
          </w:tcPr>
          <w:p w14:paraId="07BAC652">
            <w:pPr>
              <w:keepNext w:val="0"/>
              <w:keepLines w:val="0"/>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软件功能要求</w:t>
            </w:r>
          </w:p>
        </w:tc>
        <w:tc>
          <w:tcPr>
            <w:tcW w:w="955" w:type="dxa"/>
            <w:vAlign w:val="center"/>
          </w:tcPr>
          <w:p w14:paraId="41349F09">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725" w:type="dxa"/>
            <w:vAlign w:val="center"/>
          </w:tcPr>
          <w:p w14:paraId="33D22AC8">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328" w:type="dxa"/>
            <w:vAlign w:val="center"/>
          </w:tcPr>
          <w:p w14:paraId="432B982B">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r>
      <w:tr w14:paraId="4D114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1" w:type="dxa"/>
            <w:vAlign w:val="center"/>
          </w:tcPr>
          <w:p w14:paraId="2636B98D">
            <w:pPr>
              <w:keepNext w:val="0"/>
              <w:keepLines w:val="0"/>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w:t>
            </w:r>
            <w:r>
              <w:rPr>
                <w:rFonts w:hint="eastAsia" w:ascii="宋体" w:hAnsi="宋体" w:eastAsia="宋体" w:cs="宋体"/>
                <w:b/>
                <w:bCs/>
                <w:color w:val="0000FF"/>
                <w:sz w:val="21"/>
                <w:szCs w:val="21"/>
                <w:highlight w:val="none"/>
              </w:rPr>
              <w:t>2.4.1</w:t>
            </w:r>
          </w:p>
        </w:tc>
        <w:tc>
          <w:tcPr>
            <w:tcW w:w="5400" w:type="dxa"/>
            <w:vAlign w:val="center"/>
          </w:tcPr>
          <w:p w14:paraId="17209A1D">
            <w:pPr>
              <w:keepNext w:val="0"/>
              <w:keepLines w:val="0"/>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口腔数字化影像软件和正畸处理软件均具备原厂独立NMPA注册证</w:t>
            </w:r>
            <w:r>
              <w:rPr>
                <w:rStyle w:val="156"/>
                <w:rFonts w:hint="eastAsia" w:ascii="宋体" w:hAnsi="宋体" w:eastAsia="宋体" w:cs="宋体"/>
                <w:b/>
                <w:bCs/>
                <w:color w:val="0000FF"/>
                <w:sz w:val="21"/>
                <w:szCs w:val="21"/>
                <w:highlight w:val="none"/>
                <w:lang w:bidi="ar"/>
              </w:rPr>
              <w:t>（药监局NMPA官网可查询，提供查询证明）</w:t>
            </w:r>
            <w:r>
              <w:rPr>
                <w:rStyle w:val="156"/>
                <w:rFonts w:hint="eastAsia" w:ascii="宋体" w:hAnsi="宋体" w:eastAsia="宋体" w:cs="宋体"/>
                <w:color w:val="0000FF"/>
                <w:sz w:val="21"/>
                <w:szCs w:val="21"/>
                <w:highlight w:val="none"/>
                <w:lang w:bidi="ar"/>
              </w:rPr>
              <w:t>。</w:t>
            </w:r>
          </w:p>
        </w:tc>
        <w:tc>
          <w:tcPr>
            <w:tcW w:w="955" w:type="dxa"/>
            <w:vAlign w:val="center"/>
          </w:tcPr>
          <w:p w14:paraId="300D80F7">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725" w:type="dxa"/>
            <w:vAlign w:val="center"/>
          </w:tcPr>
          <w:p w14:paraId="394E4F87">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328" w:type="dxa"/>
            <w:vAlign w:val="center"/>
          </w:tcPr>
          <w:p w14:paraId="0C18E31F">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r>
      <w:tr w14:paraId="2CBC9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1" w:type="dxa"/>
            <w:vAlign w:val="center"/>
          </w:tcPr>
          <w:p w14:paraId="0AD914AD">
            <w:pPr>
              <w:keepNext w:val="0"/>
              <w:keepLines w:val="0"/>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2.4.2</w:t>
            </w:r>
          </w:p>
        </w:tc>
        <w:tc>
          <w:tcPr>
            <w:tcW w:w="5400" w:type="dxa"/>
            <w:vAlign w:val="center"/>
          </w:tcPr>
          <w:p w14:paraId="7E82A390">
            <w:pPr>
              <w:keepNext w:val="0"/>
              <w:keepLines w:val="0"/>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基本功能需求：具备基本CT图像功能（3D重建图像及显示；标准冠状面、矢状面、横断面图像，层厚可以任意调节；多平面重建图像）；集成化界面，可将同一患者所有影像数据融合在同一软件中诊断管理（CT、全景、头颅正侧位、口内摄影（牙片）、口内扫描、面部扫描）。</w:t>
            </w:r>
          </w:p>
        </w:tc>
        <w:tc>
          <w:tcPr>
            <w:tcW w:w="955" w:type="dxa"/>
            <w:vAlign w:val="center"/>
          </w:tcPr>
          <w:p w14:paraId="27DB5A17">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725" w:type="dxa"/>
            <w:vAlign w:val="center"/>
          </w:tcPr>
          <w:p w14:paraId="6A49F6AE">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328" w:type="dxa"/>
            <w:vAlign w:val="center"/>
          </w:tcPr>
          <w:p w14:paraId="1B89DAC6">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r>
      <w:tr w14:paraId="4D06B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1" w:type="dxa"/>
            <w:vAlign w:val="center"/>
          </w:tcPr>
          <w:p w14:paraId="53042751">
            <w:pPr>
              <w:keepNext w:val="0"/>
              <w:keepLines w:val="0"/>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2.4.3</w:t>
            </w:r>
          </w:p>
        </w:tc>
        <w:tc>
          <w:tcPr>
            <w:tcW w:w="5400" w:type="dxa"/>
            <w:vAlign w:val="center"/>
          </w:tcPr>
          <w:p w14:paraId="346C0238">
            <w:pPr>
              <w:keepNext w:val="0"/>
              <w:keepLines w:val="0"/>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图像处理功能：2D/3D图像编辑工具(移动，放大，对比度调节，亮度调节，图像信息)；测量工具(距离，连续距离，角度测量，骨密度测量，面积计算)；注释(在图像上添加文字、箭头等标记)。</w:t>
            </w:r>
          </w:p>
        </w:tc>
        <w:tc>
          <w:tcPr>
            <w:tcW w:w="955" w:type="dxa"/>
            <w:vAlign w:val="center"/>
          </w:tcPr>
          <w:p w14:paraId="52AA500A">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725" w:type="dxa"/>
            <w:vAlign w:val="center"/>
          </w:tcPr>
          <w:p w14:paraId="59F0E103">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328" w:type="dxa"/>
            <w:vAlign w:val="center"/>
          </w:tcPr>
          <w:p w14:paraId="784A077F">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r>
      <w:tr w14:paraId="2EF87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1" w:type="dxa"/>
            <w:vAlign w:val="center"/>
          </w:tcPr>
          <w:p w14:paraId="55EBF395">
            <w:pPr>
              <w:keepNext w:val="0"/>
              <w:keepLines w:val="0"/>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2.4.4</w:t>
            </w:r>
          </w:p>
        </w:tc>
        <w:tc>
          <w:tcPr>
            <w:tcW w:w="5400" w:type="dxa"/>
            <w:vAlign w:val="center"/>
          </w:tcPr>
          <w:p w14:paraId="53341466">
            <w:pPr>
              <w:pStyle w:val="16"/>
              <w:keepNext w:val="0"/>
              <w:keepLines w:val="0"/>
              <w:pageBreakBefore w:val="0"/>
              <w:kinsoku/>
              <w:wordWrap/>
              <w:overflowPunct/>
              <w:topLinePunct w:val="0"/>
              <w:bidi w:val="0"/>
              <w:snapToGrid/>
              <w:spacing w:line="240" w:lineRule="auto"/>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正畸软件：内置≥17种头影测量方法，≥135个测量项目，涵盖≥73个测量点，医生可以根据诊断诉求选择对应的测量方法，提供专业的头影测量参考</w:t>
            </w:r>
            <w:r>
              <w:rPr>
                <w:rFonts w:hint="eastAsia" w:ascii="宋体" w:hAnsi="宋体" w:eastAsia="宋体" w:cs="宋体"/>
                <w:color w:val="0000FF"/>
                <w:sz w:val="21"/>
                <w:szCs w:val="21"/>
                <w:highlight w:val="none"/>
              </w:rPr>
              <w:t>（投标时需提供检验检测报告或产品技术白皮书或说明书扫描件或产品彩页，注：对应参数在技术说明书中进行标注，原件备查。检验检测报告要求：①由第三方检验检测机构出具并加盖（或带有）CMA标志的检验检测报告扫描件，原件备查；②上述检验检测报告在全国认证认可信息公共服务平台（认e 云）（http://cx.cnca.cn/）的信息查询记录截图。如检验检测报告中明确备注说明相关检验检测项不在检验检测机构CMA 资质许可（认定）范围内的，不符合招标文件要求。）</w:t>
            </w:r>
            <w:r>
              <w:rPr>
                <w:rStyle w:val="156"/>
                <w:rFonts w:hint="eastAsia" w:ascii="宋体" w:hAnsi="宋体" w:eastAsia="宋体" w:cs="宋体"/>
                <w:color w:val="0000FF"/>
                <w:sz w:val="21"/>
                <w:szCs w:val="21"/>
                <w:highlight w:val="none"/>
                <w:lang w:bidi="ar"/>
              </w:rPr>
              <w:t>。</w:t>
            </w:r>
          </w:p>
        </w:tc>
        <w:tc>
          <w:tcPr>
            <w:tcW w:w="955" w:type="dxa"/>
            <w:vAlign w:val="center"/>
          </w:tcPr>
          <w:p w14:paraId="16B188A7">
            <w:pPr>
              <w:pStyle w:val="16"/>
              <w:keepNext w:val="0"/>
              <w:keepLines w:val="0"/>
              <w:pageBreakBefore w:val="0"/>
              <w:kinsoku/>
              <w:wordWrap/>
              <w:overflowPunct/>
              <w:topLinePunct w:val="0"/>
              <w:bidi w:val="0"/>
              <w:snapToGrid/>
              <w:spacing w:line="240" w:lineRule="auto"/>
              <w:rPr>
                <w:rStyle w:val="156"/>
                <w:rFonts w:hint="eastAsia" w:ascii="宋体" w:hAnsi="宋体" w:eastAsia="宋体" w:cs="宋体"/>
                <w:color w:val="0000FF"/>
                <w:sz w:val="21"/>
                <w:szCs w:val="21"/>
                <w:highlight w:val="none"/>
                <w:lang w:bidi="ar"/>
              </w:rPr>
            </w:pPr>
          </w:p>
        </w:tc>
        <w:tc>
          <w:tcPr>
            <w:tcW w:w="725" w:type="dxa"/>
            <w:vAlign w:val="center"/>
          </w:tcPr>
          <w:p w14:paraId="46CB57D3">
            <w:pPr>
              <w:pStyle w:val="16"/>
              <w:keepNext w:val="0"/>
              <w:keepLines w:val="0"/>
              <w:pageBreakBefore w:val="0"/>
              <w:kinsoku/>
              <w:wordWrap/>
              <w:overflowPunct/>
              <w:topLinePunct w:val="0"/>
              <w:bidi w:val="0"/>
              <w:snapToGrid/>
              <w:spacing w:line="240" w:lineRule="auto"/>
              <w:rPr>
                <w:rStyle w:val="156"/>
                <w:rFonts w:hint="eastAsia" w:ascii="宋体" w:hAnsi="宋体" w:eastAsia="宋体" w:cs="宋体"/>
                <w:color w:val="0000FF"/>
                <w:sz w:val="21"/>
                <w:szCs w:val="21"/>
                <w:highlight w:val="none"/>
                <w:lang w:bidi="ar"/>
              </w:rPr>
            </w:pPr>
          </w:p>
        </w:tc>
        <w:tc>
          <w:tcPr>
            <w:tcW w:w="328" w:type="dxa"/>
            <w:vAlign w:val="center"/>
          </w:tcPr>
          <w:p w14:paraId="189EECCF">
            <w:pPr>
              <w:pStyle w:val="16"/>
              <w:keepNext w:val="0"/>
              <w:keepLines w:val="0"/>
              <w:pageBreakBefore w:val="0"/>
              <w:kinsoku/>
              <w:wordWrap/>
              <w:overflowPunct/>
              <w:topLinePunct w:val="0"/>
              <w:bidi w:val="0"/>
              <w:snapToGrid/>
              <w:spacing w:line="240" w:lineRule="auto"/>
              <w:rPr>
                <w:rStyle w:val="156"/>
                <w:rFonts w:hint="eastAsia" w:ascii="宋体" w:hAnsi="宋体" w:eastAsia="宋体" w:cs="宋体"/>
                <w:color w:val="0000FF"/>
                <w:sz w:val="21"/>
                <w:szCs w:val="21"/>
                <w:highlight w:val="none"/>
                <w:lang w:bidi="ar"/>
              </w:rPr>
            </w:pPr>
          </w:p>
        </w:tc>
      </w:tr>
      <w:tr w14:paraId="5BD3B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1" w:type="dxa"/>
            <w:vAlign w:val="center"/>
          </w:tcPr>
          <w:p w14:paraId="451F8881">
            <w:pPr>
              <w:keepNext w:val="0"/>
              <w:keepLines w:val="0"/>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2.4.5</w:t>
            </w:r>
          </w:p>
        </w:tc>
        <w:tc>
          <w:tcPr>
            <w:tcW w:w="5400" w:type="dxa"/>
            <w:vAlign w:val="center"/>
          </w:tcPr>
          <w:p w14:paraId="0D6A6529">
            <w:pPr>
              <w:keepNext w:val="0"/>
              <w:keepLines w:val="0"/>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全景功能：具备二维全景片的拍摄功能（非三维重建全景）；具备多层全景拍摄功能（一次拍摄可获取20层以上全景片），对于牙弓曲面可智能自适应识别生成牙弓曲线，自动脊骨补偿，拟合出最佳的全景影像。</w:t>
            </w:r>
          </w:p>
        </w:tc>
        <w:tc>
          <w:tcPr>
            <w:tcW w:w="955" w:type="dxa"/>
            <w:vAlign w:val="center"/>
          </w:tcPr>
          <w:p w14:paraId="2BC38648">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725" w:type="dxa"/>
            <w:vAlign w:val="center"/>
          </w:tcPr>
          <w:p w14:paraId="44C7581E">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328" w:type="dxa"/>
            <w:vAlign w:val="center"/>
          </w:tcPr>
          <w:p w14:paraId="44FAABA0">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r>
      <w:tr w14:paraId="27F55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1" w:type="dxa"/>
            <w:vAlign w:val="center"/>
          </w:tcPr>
          <w:p w14:paraId="6C5D654A">
            <w:pPr>
              <w:keepNext w:val="0"/>
              <w:keepLines w:val="0"/>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2.4.6</w:t>
            </w:r>
          </w:p>
        </w:tc>
        <w:tc>
          <w:tcPr>
            <w:tcW w:w="5400" w:type="dxa"/>
            <w:vAlign w:val="center"/>
          </w:tcPr>
          <w:p w14:paraId="5649866D">
            <w:pPr>
              <w:keepNext w:val="0"/>
              <w:keepLines w:val="0"/>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标准投影侧位影像：同时提供正位/侧位的投照影像，可供选择全幅或半幅的侧位模式，提供掌骨拍摄功能。</w:t>
            </w:r>
          </w:p>
        </w:tc>
        <w:tc>
          <w:tcPr>
            <w:tcW w:w="955" w:type="dxa"/>
            <w:vAlign w:val="center"/>
          </w:tcPr>
          <w:p w14:paraId="510AEF9C">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725" w:type="dxa"/>
            <w:vAlign w:val="center"/>
          </w:tcPr>
          <w:p w14:paraId="525B37E7">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328" w:type="dxa"/>
            <w:vAlign w:val="center"/>
          </w:tcPr>
          <w:p w14:paraId="5D29C7A3">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r>
      <w:tr w14:paraId="58992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1" w:type="dxa"/>
            <w:vAlign w:val="center"/>
          </w:tcPr>
          <w:p w14:paraId="5680DD89">
            <w:pPr>
              <w:keepNext w:val="0"/>
              <w:keepLines w:val="0"/>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2.4.7</w:t>
            </w:r>
          </w:p>
        </w:tc>
        <w:tc>
          <w:tcPr>
            <w:tcW w:w="5400" w:type="dxa"/>
            <w:vAlign w:val="center"/>
          </w:tcPr>
          <w:p w14:paraId="1814A741">
            <w:pPr>
              <w:keepNext w:val="0"/>
              <w:keepLines w:val="0"/>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颞颌关节专用诊断切面，可以同时显示双侧关节，层厚可以任意调节。</w:t>
            </w:r>
          </w:p>
        </w:tc>
        <w:tc>
          <w:tcPr>
            <w:tcW w:w="955" w:type="dxa"/>
            <w:vAlign w:val="center"/>
          </w:tcPr>
          <w:p w14:paraId="02F0F646">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725" w:type="dxa"/>
            <w:vAlign w:val="center"/>
          </w:tcPr>
          <w:p w14:paraId="72D36E23">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328" w:type="dxa"/>
            <w:vAlign w:val="center"/>
          </w:tcPr>
          <w:p w14:paraId="333E13E5">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r>
      <w:tr w14:paraId="0BEF4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1" w:type="dxa"/>
            <w:vAlign w:val="center"/>
          </w:tcPr>
          <w:p w14:paraId="26FF6219">
            <w:pPr>
              <w:keepNext w:val="0"/>
              <w:keepLines w:val="0"/>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2.4.8</w:t>
            </w:r>
          </w:p>
        </w:tc>
        <w:tc>
          <w:tcPr>
            <w:tcW w:w="5400" w:type="dxa"/>
            <w:vAlign w:val="center"/>
          </w:tcPr>
          <w:p w14:paraId="2CAB8237">
            <w:pPr>
              <w:keepNext w:val="0"/>
              <w:keepLines w:val="0"/>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金属伪影校正：降低口腔内金属物或其他高密度物质对 CT 成像效果的影响，显著提高图像质量；</w:t>
            </w:r>
          </w:p>
        </w:tc>
        <w:tc>
          <w:tcPr>
            <w:tcW w:w="955" w:type="dxa"/>
            <w:vAlign w:val="center"/>
          </w:tcPr>
          <w:p w14:paraId="0450526F">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725" w:type="dxa"/>
            <w:vAlign w:val="center"/>
          </w:tcPr>
          <w:p w14:paraId="04538BE9">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328" w:type="dxa"/>
            <w:vAlign w:val="center"/>
          </w:tcPr>
          <w:p w14:paraId="2DD4165E">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r>
      <w:tr w14:paraId="250BC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1" w:type="dxa"/>
            <w:vAlign w:val="center"/>
          </w:tcPr>
          <w:p w14:paraId="739DD743">
            <w:pPr>
              <w:keepNext w:val="0"/>
              <w:keepLines w:val="0"/>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2.4.9</w:t>
            </w:r>
          </w:p>
        </w:tc>
        <w:tc>
          <w:tcPr>
            <w:tcW w:w="5400" w:type="dxa"/>
            <w:vAlign w:val="center"/>
          </w:tcPr>
          <w:p w14:paraId="133D78F5">
            <w:pPr>
              <w:keepNext w:val="0"/>
              <w:keepLines w:val="0"/>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自动神经管：下颌神经管着色，标记，且三维重建模型能显示; 具备自动检测并标注神经管功能。</w:t>
            </w:r>
          </w:p>
        </w:tc>
        <w:tc>
          <w:tcPr>
            <w:tcW w:w="955" w:type="dxa"/>
            <w:vAlign w:val="center"/>
          </w:tcPr>
          <w:p w14:paraId="26D4DA46">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725" w:type="dxa"/>
            <w:vAlign w:val="center"/>
          </w:tcPr>
          <w:p w14:paraId="138B3641">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328" w:type="dxa"/>
            <w:vAlign w:val="center"/>
          </w:tcPr>
          <w:p w14:paraId="2F63B9A2">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r>
      <w:tr w14:paraId="76A56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1" w:type="dxa"/>
            <w:vAlign w:val="center"/>
          </w:tcPr>
          <w:p w14:paraId="651D056D">
            <w:pPr>
              <w:keepNext w:val="0"/>
              <w:keepLines w:val="0"/>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2.4.10</w:t>
            </w:r>
          </w:p>
        </w:tc>
        <w:tc>
          <w:tcPr>
            <w:tcW w:w="5400" w:type="dxa"/>
            <w:vAlign w:val="center"/>
          </w:tcPr>
          <w:p w14:paraId="747A0972">
            <w:pPr>
              <w:keepNext w:val="0"/>
              <w:keepLines w:val="0"/>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模拟种植：可在种植体库中选择合适的种植体长度、直径；设计种植体植入位置及植入方向，一键定位种植体中心。</w:t>
            </w:r>
          </w:p>
        </w:tc>
        <w:tc>
          <w:tcPr>
            <w:tcW w:w="955" w:type="dxa"/>
            <w:vAlign w:val="center"/>
          </w:tcPr>
          <w:p w14:paraId="1B9E433A">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725" w:type="dxa"/>
            <w:vAlign w:val="center"/>
          </w:tcPr>
          <w:p w14:paraId="595D51DB">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328" w:type="dxa"/>
            <w:vAlign w:val="center"/>
          </w:tcPr>
          <w:p w14:paraId="39F0F411">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r>
      <w:tr w14:paraId="40523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1" w:type="dxa"/>
            <w:vAlign w:val="center"/>
          </w:tcPr>
          <w:p w14:paraId="1ADD8442">
            <w:pPr>
              <w:keepNext w:val="0"/>
              <w:keepLines w:val="0"/>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2.4.11</w:t>
            </w:r>
          </w:p>
        </w:tc>
        <w:tc>
          <w:tcPr>
            <w:tcW w:w="5400" w:type="dxa"/>
            <w:vAlign w:val="center"/>
          </w:tcPr>
          <w:p w14:paraId="506E7FA7">
            <w:pPr>
              <w:keepNext w:val="0"/>
              <w:keepLines w:val="0"/>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模拟种植安全预警：种植体间或种植体与神经管间的距离低于安全范围可自动预警，安全范围可调节。</w:t>
            </w:r>
          </w:p>
        </w:tc>
        <w:tc>
          <w:tcPr>
            <w:tcW w:w="955" w:type="dxa"/>
            <w:vAlign w:val="center"/>
          </w:tcPr>
          <w:p w14:paraId="59D1F896">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725" w:type="dxa"/>
            <w:vAlign w:val="center"/>
          </w:tcPr>
          <w:p w14:paraId="6E88DF12">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328" w:type="dxa"/>
            <w:vAlign w:val="center"/>
          </w:tcPr>
          <w:p w14:paraId="1727444F">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r>
      <w:tr w14:paraId="0F764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1" w:type="dxa"/>
            <w:vAlign w:val="center"/>
          </w:tcPr>
          <w:p w14:paraId="3B142DD8">
            <w:pPr>
              <w:keepNext w:val="0"/>
              <w:keepLines w:val="0"/>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2.4.12</w:t>
            </w:r>
          </w:p>
        </w:tc>
        <w:tc>
          <w:tcPr>
            <w:tcW w:w="5400" w:type="dxa"/>
            <w:vAlign w:val="center"/>
          </w:tcPr>
          <w:p w14:paraId="146692AD">
            <w:pPr>
              <w:keepNext w:val="0"/>
              <w:keepLines w:val="0"/>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智能气道测量：快速分割气道， 可自动计算容积与最小区域并将患者的气道以色谱形式进行呈现。</w:t>
            </w:r>
          </w:p>
        </w:tc>
        <w:tc>
          <w:tcPr>
            <w:tcW w:w="955" w:type="dxa"/>
            <w:vAlign w:val="center"/>
          </w:tcPr>
          <w:p w14:paraId="487425D5">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725" w:type="dxa"/>
            <w:vAlign w:val="center"/>
          </w:tcPr>
          <w:p w14:paraId="70144566">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328" w:type="dxa"/>
            <w:vAlign w:val="center"/>
          </w:tcPr>
          <w:p w14:paraId="755908CD">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r>
      <w:tr w14:paraId="0A5B8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1" w:type="dxa"/>
            <w:vAlign w:val="center"/>
          </w:tcPr>
          <w:p w14:paraId="6ABE0207">
            <w:pPr>
              <w:keepNext w:val="0"/>
              <w:keepLines w:val="0"/>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2.4.13</w:t>
            </w:r>
          </w:p>
        </w:tc>
        <w:tc>
          <w:tcPr>
            <w:tcW w:w="5400" w:type="dxa"/>
            <w:vAlign w:val="center"/>
          </w:tcPr>
          <w:p w14:paraId="3EA4370E">
            <w:pPr>
              <w:keepNext w:val="0"/>
              <w:keepLines w:val="0"/>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头影测量：内置多种头影测量方法和测量项目，医生可以根据自己的诊断诉求选择对应的测量方法， 为病人提供专业的头影测量参考。</w:t>
            </w:r>
          </w:p>
        </w:tc>
        <w:tc>
          <w:tcPr>
            <w:tcW w:w="955" w:type="dxa"/>
            <w:vAlign w:val="center"/>
          </w:tcPr>
          <w:p w14:paraId="30DEDFD6">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725" w:type="dxa"/>
            <w:vAlign w:val="center"/>
          </w:tcPr>
          <w:p w14:paraId="29433C28">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328" w:type="dxa"/>
            <w:vAlign w:val="center"/>
          </w:tcPr>
          <w:p w14:paraId="1757E496">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r>
      <w:tr w14:paraId="2FF87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1" w:type="dxa"/>
            <w:vAlign w:val="center"/>
          </w:tcPr>
          <w:p w14:paraId="5A1C07D3">
            <w:pPr>
              <w:keepNext w:val="0"/>
              <w:keepLines w:val="0"/>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2.5</w:t>
            </w:r>
          </w:p>
        </w:tc>
        <w:tc>
          <w:tcPr>
            <w:tcW w:w="5400" w:type="dxa"/>
            <w:vAlign w:val="center"/>
          </w:tcPr>
          <w:p w14:paraId="75FC9E16">
            <w:pPr>
              <w:keepNext w:val="0"/>
              <w:keepLines w:val="0"/>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数据管理及相关功能</w:t>
            </w:r>
          </w:p>
        </w:tc>
        <w:tc>
          <w:tcPr>
            <w:tcW w:w="955" w:type="dxa"/>
            <w:vAlign w:val="center"/>
          </w:tcPr>
          <w:p w14:paraId="2EC81319">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725" w:type="dxa"/>
            <w:vAlign w:val="center"/>
          </w:tcPr>
          <w:p w14:paraId="11ABB75A">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328" w:type="dxa"/>
            <w:vAlign w:val="center"/>
          </w:tcPr>
          <w:p w14:paraId="6467A80E">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r>
      <w:tr w14:paraId="55FB9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1" w:type="dxa"/>
            <w:vAlign w:val="center"/>
          </w:tcPr>
          <w:p w14:paraId="5E8423A6">
            <w:pPr>
              <w:keepNext w:val="0"/>
              <w:keepLines w:val="0"/>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2.5.1</w:t>
            </w:r>
          </w:p>
        </w:tc>
        <w:tc>
          <w:tcPr>
            <w:tcW w:w="5400" w:type="dxa"/>
            <w:vAlign w:val="center"/>
          </w:tcPr>
          <w:p w14:paraId="44103457">
            <w:pPr>
              <w:keepNext w:val="0"/>
              <w:keepLines w:val="0"/>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诊断报告：提供截图、报告编辑、打印功能；可自定义报告结构支持多种布局选择</w:t>
            </w:r>
          </w:p>
        </w:tc>
        <w:tc>
          <w:tcPr>
            <w:tcW w:w="955" w:type="dxa"/>
            <w:vAlign w:val="center"/>
          </w:tcPr>
          <w:p w14:paraId="204D96E0">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725" w:type="dxa"/>
            <w:vAlign w:val="center"/>
          </w:tcPr>
          <w:p w14:paraId="6FA36609">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328" w:type="dxa"/>
            <w:vAlign w:val="center"/>
          </w:tcPr>
          <w:p w14:paraId="7D4B1FB2">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r>
      <w:tr w14:paraId="793CB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1" w:type="dxa"/>
            <w:vAlign w:val="center"/>
          </w:tcPr>
          <w:p w14:paraId="1FCE8F6A">
            <w:pPr>
              <w:keepNext w:val="0"/>
              <w:keepLines w:val="0"/>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2.5.2</w:t>
            </w:r>
          </w:p>
        </w:tc>
        <w:tc>
          <w:tcPr>
            <w:tcW w:w="5400" w:type="dxa"/>
            <w:vAlign w:val="center"/>
          </w:tcPr>
          <w:p w14:paraId="04292243">
            <w:pPr>
              <w:keepNext w:val="0"/>
              <w:keepLines w:val="0"/>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数据导出:可将患者信息、图像和软件整体导出到光盘和U盘；</w:t>
            </w:r>
          </w:p>
        </w:tc>
        <w:tc>
          <w:tcPr>
            <w:tcW w:w="955" w:type="dxa"/>
            <w:vAlign w:val="center"/>
          </w:tcPr>
          <w:p w14:paraId="1EE029AE">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725" w:type="dxa"/>
            <w:vAlign w:val="center"/>
          </w:tcPr>
          <w:p w14:paraId="681989CF">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328" w:type="dxa"/>
            <w:vAlign w:val="center"/>
          </w:tcPr>
          <w:p w14:paraId="2D25376B">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r>
      <w:tr w14:paraId="51EDB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1" w:type="dxa"/>
            <w:vAlign w:val="center"/>
          </w:tcPr>
          <w:p w14:paraId="2BDB412D">
            <w:pPr>
              <w:keepNext w:val="0"/>
              <w:keepLines w:val="0"/>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2.5.3</w:t>
            </w:r>
          </w:p>
        </w:tc>
        <w:tc>
          <w:tcPr>
            <w:tcW w:w="5400" w:type="dxa"/>
            <w:vAlign w:val="center"/>
          </w:tcPr>
          <w:p w14:paraId="06A1C708">
            <w:pPr>
              <w:keepNext w:val="0"/>
              <w:keepLines w:val="0"/>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患者数据管理：能够增加、编辑、删除患者个人信息；</w:t>
            </w:r>
          </w:p>
        </w:tc>
        <w:tc>
          <w:tcPr>
            <w:tcW w:w="955" w:type="dxa"/>
            <w:vAlign w:val="center"/>
          </w:tcPr>
          <w:p w14:paraId="770F7C3B">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725" w:type="dxa"/>
            <w:vAlign w:val="center"/>
          </w:tcPr>
          <w:p w14:paraId="624D7AE5">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328" w:type="dxa"/>
            <w:vAlign w:val="center"/>
          </w:tcPr>
          <w:p w14:paraId="55FB72F3">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r>
      <w:tr w14:paraId="74050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1" w:type="dxa"/>
            <w:vAlign w:val="center"/>
          </w:tcPr>
          <w:p w14:paraId="3BF2FE3E">
            <w:pPr>
              <w:keepNext w:val="0"/>
              <w:keepLines w:val="0"/>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2.5.4</w:t>
            </w:r>
          </w:p>
        </w:tc>
        <w:tc>
          <w:tcPr>
            <w:tcW w:w="5400" w:type="dxa"/>
            <w:vAlign w:val="center"/>
          </w:tcPr>
          <w:p w14:paraId="68A3B276">
            <w:pPr>
              <w:keepNext w:val="0"/>
              <w:keepLines w:val="0"/>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PACS接口：能将设备接入医院现有PACS网络，提供存储、传输、远程打印、查询功能；</w:t>
            </w:r>
          </w:p>
        </w:tc>
        <w:tc>
          <w:tcPr>
            <w:tcW w:w="955" w:type="dxa"/>
            <w:vAlign w:val="center"/>
          </w:tcPr>
          <w:p w14:paraId="0E5BD5B8">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725" w:type="dxa"/>
            <w:vAlign w:val="center"/>
          </w:tcPr>
          <w:p w14:paraId="5C008C37">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328" w:type="dxa"/>
            <w:vAlign w:val="center"/>
          </w:tcPr>
          <w:p w14:paraId="353AEE57">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r>
      <w:tr w14:paraId="5B3B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1" w:type="dxa"/>
            <w:vAlign w:val="center"/>
          </w:tcPr>
          <w:p w14:paraId="0504315E">
            <w:pPr>
              <w:keepNext w:val="0"/>
              <w:keepLines w:val="0"/>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2.5.5</w:t>
            </w:r>
          </w:p>
        </w:tc>
        <w:tc>
          <w:tcPr>
            <w:tcW w:w="5400" w:type="dxa"/>
            <w:vAlign w:val="center"/>
          </w:tcPr>
          <w:p w14:paraId="5F8D8120">
            <w:pPr>
              <w:keepNext w:val="0"/>
              <w:keepLines w:val="0"/>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没有PACS情况下，也能实现医院局域网自由传输，无须额外费用。</w:t>
            </w:r>
          </w:p>
        </w:tc>
        <w:tc>
          <w:tcPr>
            <w:tcW w:w="955" w:type="dxa"/>
            <w:vAlign w:val="center"/>
          </w:tcPr>
          <w:p w14:paraId="0316D351">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725" w:type="dxa"/>
            <w:vAlign w:val="center"/>
          </w:tcPr>
          <w:p w14:paraId="48953823">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328" w:type="dxa"/>
            <w:vAlign w:val="center"/>
          </w:tcPr>
          <w:p w14:paraId="3793979A">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r>
      <w:tr w14:paraId="1A8F9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1" w:type="dxa"/>
            <w:vAlign w:val="center"/>
          </w:tcPr>
          <w:p w14:paraId="2F5FEECF">
            <w:pPr>
              <w:keepNext w:val="0"/>
              <w:keepLines w:val="0"/>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2.5.6</w:t>
            </w:r>
          </w:p>
        </w:tc>
        <w:tc>
          <w:tcPr>
            <w:tcW w:w="5400" w:type="dxa"/>
            <w:vAlign w:val="center"/>
          </w:tcPr>
          <w:p w14:paraId="5C2D01CF">
            <w:pPr>
              <w:keepNext w:val="0"/>
              <w:keepLines w:val="0"/>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图像格式：以标准DICOM3.0格式输出图像文件；</w:t>
            </w:r>
          </w:p>
        </w:tc>
        <w:tc>
          <w:tcPr>
            <w:tcW w:w="955" w:type="dxa"/>
            <w:vAlign w:val="center"/>
          </w:tcPr>
          <w:p w14:paraId="205BC464">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725" w:type="dxa"/>
            <w:vAlign w:val="center"/>
          </w:tcPr>
          <w:p w14:paraId="5FE101EA">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328" w:type="dxa"/>
            <w:vAlign w:val="center"/>
          </w:tcPr>
          <w:p w14:paraId="223E1984">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r>
      <w:tr w14:paraId="24FD9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1" w:type="dxa"/>
            <w:vAlign w:val="center"/>
          </w:tcPr>
          <w:p w14:paraId="5C5CA32A">
            <w:pPr>
              <w:keepNext w:val="0"/>
              <w:keepLines w:val="0"/>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2.5.7</w:t>
            </w:r>
          </w:p>
        </w:tc>
        <w:tc>
          <w:tcPr>
            <w:tcW w:w="5400" w:type="dxa"/>
            <w:vAlign w:val="center"/>
          </w:tcPr>
          <w:p w14:paraId="617D4B27">
            <w:pPr>
              <w:keepNext w:val="0"/>
              <w:keepLines w:val="0"/>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影像后处理工作站：1台；内存容量：≥8GB；硬盘容量：≥2TB；独立显卡：显存≥4GB</w:t>
            </w:r>
          </w:p>
        </w:tc>
        <w:tc>
          <w:tcPr>
            <w:tcW w:w="955" w:type="dxa"/>
            <w:vAlign w:val="center"/>
          </w:tcPr>
          <w:p w14:paraId="4FF4F175">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725" w:type="dxa"/>
            <w:vAlign w:val="center"/>
          </w:tcPr>
          <w:p w14:paraId="72B85613">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c>
          <w:tcPr>
            <w:tcW w:w="328" w:type="dxa"/>
            <w:vAlign w:val="center"/>
          </w:tcPr>
          <w:p w14:paraId="2402B308">
            <w:pPr>
              <w:keepNext w:val="0"/>
              <w:keepLines w:val="0"/>
              <w:pageBreakBefore w:val="0"/>
              <w:widowControl/>
              <w:kinsoku/>
              <w:wordWrap/>
              <w:overflowPunct/>
              <w:topLinePunct w:val="0"/>
              <w:bidi w:val="0"/>
              <w:snapToGrid/>
              <w:spacing w:line="240" w:lineRule="auto"/>
              <w:textAlignment w:val="center"/>
              <w:rPr>
                <w:rStyle w:val="156"/>
                <w:rFonts w:hint="eastAsia" w:ascii="宋体" w:hAnsi="宋体" w:eastAsia="宋体" w:cs="宋体"/>
                <w:color w:val="0000FF"/>
                <w:sz w:val="21"/>
                <w:szCs w:val="21"/>
                <w:highlight w:val="none"/>
                <w:lang w:bidi="ar"/>
              </w:rPr>
            </w:pPr>
          </w:p>
        </w:tc>
      </w:tr>
      <w:tr w14:paraId="0C4E4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1" w:type="dxa"/>
            <w:vAlign w:val="center"/>
          </w:tcPr>
          <w:p w14:paraId="609658B7">
            <w:pPr>
              <w:keepNext w:val="0"/>
              <w:keepLines w:val="0"/>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2.6</w:t>
            </w:r>
          </w:p>
        </w:tc>
        <w:tc>
          <w:tcPr>
            <w:tcW w:w="5400" w:type="dxa"/>
            <w:vAlign w:val="center"/>
          </w:tcPr>
          <w:p w14:paraId="3FD2D8F0">
            <w:pPr>
              <w:keepNext w:val="0"/>
              <w:keepLines w:val="0"/>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智能语音软硬件系统：</w:t>
            </w:r>
          </w:p>
        </w:tc>
        <w:tc>
          <w:tcPr>
            <w:tcW w:w="955" w:type="dxa"/>
            <w:vAlign w:val="center"/>
          </w:tcPr>
          <w:p w14:paraId="67312201">
            <w:pPr>
              <w:keepNext w:val="0"/>
              <w:keepLines w:val="0"/>
              <w:pageBreakBefore w:val="0"/>
              <w:widowControl/>
              <w:kinsoku/>
              <w:wordWrap/>
              <w:overflowPunct/>
              <w:topLinePunct w:val="0"/>
              <w:bidi w:val="0"/>
              <w:snapToGrid/>
              <w:spacing w:line="240" w:lineRule="auto"/>
              <w:textAlignment w:val="center"/>
              <w:rPr>
                <w:rFonts w:hint="eastAsia" w:ascii="宋体" w:hAnsi="宋体" w:eastAsia="宋体" w:cs="宋体"/>
                <w:color w:val="0000FF"/>
                <w:kern w:val="0"/>
                <w:sz w:val="21"/>
                <w:szCs w:val="21"/>
                <w:highlight w:val="none"/>
                <w:lang w:bidi="ar"/>
              </w:rPr>
            </w:pPr>
          </w:p>
        </w:tc>
        <w:tc>
          <w:tcPr>
            <w:tcW w:w="725" w:type="dxa"/>
            <w:vAlign w:val="center"/>
          </w:tcPr>
          <w:p w14:paraId="43594E74">
            <w:pPr>
              <w:keepNext w:val="0"/>
              <w:keepLines w:val="0"/>
              <w:pageBreakBefore w:val="0"/>
              <w:widowControl/>
              <w:kinsoku/>
              <w:wordWrap/>
              <w:overflowPunct/>
              <w:topLinePunct w:val="0"/>
              <w:bidi w:val="0"/>
              <w:snapToGrid/>
              <w:spacing w:line="240" w:lineRule="auto"/>
              <w:textAlignment w:val="center"/>
              <w:rPr>
                <w:rFonts w:hint="eastAsia" w:ascii="宋体" w:hAnsi="宋体" w:eastAsia="宋体" w:cs="宋体"/>
                <w:color w:val="0000FF"/>
                <w:kern w:val="0"/>
                <w:sz w:val="21"/>
                <w:szCs w:val="21"/>
                <w:highlight w:val="none"/>
                <w:lang w:bidi="ar"/>
              </w:rPr>
            </w:pPr>
          </w:p>
        </w:tc>
        <w:tc>
          <w:tcPr>
            <w:tcW w:w="328" w:type="dxa"/>
            <w:vAlign w:val="center"/>
          </w:tcPr>
          <w:p w14:paraId="47FEAD54">
            <w:pPr>
              <w:keepNext w:val="0"/>
              <w:keepLines w:val="0"/>
              <w:pageBreakBefore w:val="0"/>
              <w:widowControl/>
              <w:kinsoku/>
              <w:wordWrap/>
              <w:overflowPunct/>
              <w:topLinePunct w:val="0"/>
              <w:bidi w:val="0"/>
              <w:snapToGrid/>
              <w:spacing w:line="240" w:lineRule="auto"/>
              <w:textAlignment w:val="center"/>
              <w:rPr>
                <w:rFonts w:hint="eastAsia" w:ascii="宋体" w:hAnsi="宋体" w:eastAsia="宋体" w:cs="宋体"/>
                <w:color w:val="0000FF"/>
                <w:kern w:val="0"/>
                <w:sz w:val="21"/>
                <w:szCs w:val="21"/>
                <w:highlight w:val="none"/>
                <w:lang w:bidi="ar"/>
              </w:rPr>
            </w:pPr>
          </w:p>
        </w:tc>
      </w:tr>
      <w:tr w14:paraId="0010B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1" w:type="dxa"/>
            <w:vAlign w:val="center"/>
          </w:tcPr>
          <w:p w14:paraId="33633CFA">
            <w:pPr>
              <w:keepNext w:val="0"/>
              <w:keepLines w:val="0"/>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w:t>
            </w:r>
            <w:r>
              <w:rPr>
                <w:rFonts w:hint="eastAsia" w:ascii="宋体" w:hAnsi="宋体" w:eastAsia="宋体" w:cs="宋体"/>
                <w:b/>
                <w:bCs/>
                <w:color w:val="0000FF"/>
                <w:sz w:val="21"/>
                <w:szCs w:val="21"/>
                <w:highlight w:val="none"/>
              </w:rPr>
              <w:t>2.6.1</w:t>
            </w:r>
          </w:p>
        </w:tc>
        <w:tc>
          <w:tcPr>
            <w:tcW w:w="5400" w:type="dxa"/>
            <w:vAlign w:val="center"/>
          </w:tcPr>
          <w:p w14:paraId="1ED13BE8">
            <w:pPr>
              <w:pStyle w:val="16"/>
              <w:keepNext w:val="0"/>
              <w:keepLines w:val="0"/>
              <w:pageBreakBefore w:val="0"/>
              <w:kinsoku/>
              <w:wordWrap/>
              <w:overflowPunct/>
              <w:topLinePunct w:val="0"/>
              <w:bidi w:val="0"/>
              <w:snapToGrid/>
              <w:spacing w:line="240" w:lineRule="auto"/>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具备医疗智能语音识别服务，支持全院智能语音系统应用，云部署环境下可根据不同的用户接入量及数据调用量，搭建负载均衡，保障系统的高可用性及稳定性，具备医疗智能语音系统软件著作权证书。</w:t>
            </w:r>
            <w:r>
              <w:rPr>
                <w:rFonts w:hint="eastAsia" w:ascii="宋体" w:hAnsi="宋体" w:eastAsia="宋体" w:cs="宋体"/>
                <w:color w:val="0000FF"/>
                <w:sz w:val="21"/>
                <w:szCs w:val="21"/>
                <w:highlight w:val="none"/>
              </w:rPr>
              <w:t>（投标时需提供检验检测报告或产品技术白皮书或说明书扫描件或产品彩页，注：对应参数在技术说明书中进行标注，原件备查。检验检测报告要求：①由第三方检验检测机构出具并加盖（或带有）CMA标志的检验检测报告扫描件，原件备查；②上述检验检测报告在全国认证认可信息公共服务平台（认e 云）（http://cx.cnca.cn/）的信息查询记录截图。如检验检测报告中明确备注说明相关检验检测项不在检验检测机构CMA 资质许可（认定）范围内的，不符合招标文件要求。）</w:t>
            </w:r>
          </w:p>
        </w:tc>
        <w:tc>
          <w:tcPr>
            <w:tcW w:w="955" w:type="dxa"/>
            <w:vAlign w:val="center"/>
          </w:tcPr>
          <w:p w14:paraId="7FADD95F">
            <w:pPr>
              <w:pStyle w:val="16"/>
              <w:keepNext w:val="0"/>
              <w:keepLines w:val="0"/>
              <w:pageBreakBefore w:val="0"/>
              <w:kinsoku/>
              <w:wordWrap/>
              <w:overflowPunct/>
              <w:topLinePunct w:val="0"/>
              <w:bidi w:val="0"/>
              <w:snapToGrid/>
              <w:spacing w:line="240" w:lineRule="auto"/>
              <w:rPr>
                <w:rFonts w:hint="eastAsia" w:ascii="宋体" w:hAnsi="宋体" w:eastAsia="宋体" w:cs="宋体"/>
                <w:color w:val="0000FF"/>
                <w:kern w:val="0"/>
                <w:sz w:val="21"/>
                <w:szCs w:val="21"/>
                <w:highlight w:val="none"/>
                <w:lang w:bidi="ar"/>
              </w:rPr>
            </w:pPr>
          </w:p>
        </w:tc>
        <w:tc>
          <w:tcPr>
            <w:tcW w:w="725" w:type="dxa"/>
            <w:vAlign w:val="center"/>
          </w:tcPr>
          <w:p w14:paraId="4312A244">
            <w:pPr>
              <w:pStyle w:val="16"/>
              <w:keepNext w:val="0"/>
              <w:keepLines w:val="0"/>
              <w:pageBreakBefore w:val="0"/>
              <w:kinsoku/>
              <w:wordWrap/>
              <w:overflowPunct/>
              <w:topLinePunct w:val="0"/>
              <w:bidi w:val="0"/>
              <w:snapToGrid/>
              <w:spacing w:line="240" w:lineRule="auto"/>
              <w:rPr>
                <w:rFonts w:hint="eastAsia" w:ascii="宋体" w:hAnsi="宋体" w:eastAsia="宋体" w:cs="宋体"/>
                <w:color w:val="0000FF"/>
                <w:kern w:val="0"/>
                <w:sz w:val="21"/>
                <w:szCs w:val="21"/>
                <w:highlight w:val="none"/>
                <w:lang w:bidi="ar"/>
              </w:rPr>
            </w:pPr>
          </w:p>
        </w:tc>
        <w:tc>
          <w:tcPr>
            <w:tcW w:w="328" w:type="dxa"/>
            <w:vAlign w:val="center"/>
          </w:tcPr>
          <w:p w14:paraId="6D6FE328">
            <w:pPr>
              <w:pStyle w:val="16"/>
              <w:keepNext w:val="0"/>
              <w:keepLines w:val="0"/>
              <w:pageBreakBefore w:val="0"/>
              <w:kinsoku/>
              <w:wordWrap/>
              <w:overflowPunct/>
              <w:topLinePunct w:val="0"/>
              <w:bidi w:val="0"/>
              <w:snapToGrid/>
              <w:spacing w:line="240" w:lineRule="auto"/>
              <w:rPr>
                <w:rFonts w:hint="eastAsia" w:ascii="宋体" w:hAnsi="宋体" w:eastAsia="宋体" w:cs="宋体"/>
                <w:color w:val="0000FF"/>
                <w:kern w:val="0"/>
                <w:sz w:val="21"/>
                <w:szCs w:val="21"/>
                <w:highlight w:val="none"/>
                <w:lang w:bidi="ar"/>
              </w:rPr>
            </w:pPr>
          </w:p>
        </w:tc>
      </w:tr>
      <w:tr w14:paraId="01E08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1" w:type="dxa"/>
            <w:vAlign w:val="center"/>
          </w:tcPr>
          <w:p w14:paraId="3419E32A">
            <w:pPr>
              <w:keepNext w:val="0"/>
              <w:keepLines w:val="0"/>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2.6.2</w:t>
            </w:r>
          </w:p>
        </w:tc>
        <w:tc>
          <w:tcPr>
            <w:tcW w:w="5400" w:type="dxa"/>
            <w:vAlign w:val="center"/>
          </w:tcPr>
          <w:p w14:paraId="347614D0">
            <w:pPr>
              <w:keepNext w:val="0"/>
              <w:keepLines w:val="0"/>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具备语音调用模版功能，用户在使用语音系统进行录入过程中，通过语音形式执行快速调用模板的操作，并可使用语音在模版中通过口述关键字段形式快速填写相应内容，无需口述全部模板内容。</w:t>
            </w:r>
          </w:p>
        </w:tc>
        <w:tc>
          <w:tcPr>
            <w:tcW w:w="955" w:type="dxa"/>
            <w:vAlign w:val="center"/>
          </w:tcPr>
          <w:p w14:paraId="0A4F94EE">
            <w:pPr>
              <w:keepNext w:val="0"/>
              <w:keepLines w:val="0"/>
              <w:pageBreakBefore w:val="0"/>
              <w:widowControl/>
              <w:kinsoku/>
              <w:wordWrap/>
              <w:overflowPunct/>
              <w:topLinePunct w:val="0"/>
              <w:bidi w:val="0"/>
              <w:snapToGrid/>
              <w:spacing w:line="240" w:lineRule="auto"/>
              <w:textAlignment w:val="center"/>
              <w:rPr>
                <w:rFonts w:hint="eastAsia" w:ascii="宋体" w:hAnsi="宋体" w:eastAsia="宋体" w:cs="宋体"/>
                <w:color w:val="0000FF"/>
                <w:kern w:val="0"/>
                <w:sz w:val="21"/>
                <w:szCs w:val="21"/>
                <w:highlight w:val="none"/>
                <w:lang w:bidi="ar"/>
              </w:rPr>
            </w:pPr>
          </w:p>
        </w:tc>
        <w:tc>
          <w:tcPr>
            <w:tcW w:w="725" w:type="dxa"/>
            <w:vAlign w:val="center"/>
          </w:tcPr>
          <w:p w14:paraId="5AF92EE2">
            <w:pPr>
              <w:keepNext w:val="0"/>
              <w:keepLines w:val="0"/>
              <w:pageBreakBefore w:val="0"/>
              <w:widowControl/>
              <w:kinsoku/>
              <w:wordWrap/>
              <w:overflowPunct/>
              <w:topLinePunct w:val="0"/>
              <w:bidi w:val="0"/>
              <w:snapToGrid/>
              <w:spacing w:line="240" w:lineRule="auto"/>
              <w:textAlignment w:val="center"/>
              <w:rPr>
                <w:rFonts w:hint="eastAsia" w:ascii="宋体" w:hAnsi="宋体" w:eastAsia="宋体" w:cs="宋体"/>
                <w:color w:val="0000FF"/>
                <w:kern w:val="0"/>
                <w:sz w:val="21"/>
                <w:szCs w:val="21"/>
                <w:highlight w:val="none"/>
                <w:lang w:bidi="ar"/>
              </w:rPr>
            </w:pPr>
          </w:p>
        </w:tc>
        <w:tc>
          <w:tcPr>
            <w:tcW w:w="328" w:type="dxa"/>
            <w:vAlign w:val="center"/>
          </w:tcPr>
          <w:p w14:paraId="69ADD216">
            <w:pPr>
              <w:keepNext w:val="0"/>
              <w:keepLines w:val="0"/>
              <w:pageBreakBefore w:val="0"/>
              <w:widowControl/>
              <w:kinsoku/>
              <w:wordWrap/>
              <w:overflowPunct/>
              <w:topLinePunct w:val="0"/>
              <w:bidi w:val="0"/>
              <w:snapToGrid/>
              <w:spacing w:line="240" w:lineRule="auto"/>
              <w:textAlignment w:val="center"/>
              <w:rPr>
                <w:rFonts w:hint="eastAsia" w:ascii="宋体" w:hAnsi="宋体" w:eastAsia="宋体" w:cs="宋体"/>
                <w:color w:val="0000FF"/>
                <w:kern w:val="0"/>
                <w:sz w:val="21"/>
                <w:szCs w:val="21"/>
                <w:highlight w:val="none"/>
                <w:lang w:bidi="ar"/>
              </w:rPr>
            </w:pPr>
          </w:p>
        </w:tc>
      </w:tr>
      <w:tr w14:paraId="3F1E1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1" w:type="dxa"/>
            <w:vAlign w:val="center"/>
          </w:tcPr>
          <w:p w14:paraId="233113D3">
            <w:pPr>
              <w:keepNext w:val="0"/>
              <w:keepLines w:val="0"/>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w:t>
            </w:r>
            <w:r>
              <w:rPr>
                <w:rFonts w:hint="eastAsia" w:ascii="宋体" w:hAnsi="宋体" w:eastAsia="宋体" w:cs="宋体"/>
                <w:b/>
                <w:bCs/>
                <w:color w:val="0000FF"/>
                <w:sz w:val="21"/>
                <w:szCs w:val="21"/>
                <w:highlight w:val="none"/>
              </w:rPr>
              <w:t>2.6.3</w:t>
            </w:r>
          </w:p>
        </w:tc>
        <w:tc>
          <w:tcPr>
            <w:tcW w:w="5400" w:type="dxa"/>
            <w:vAlign w:val="center"/>
          </w:tcPr>
          <w:p w14:paraId="63FE25A8">
            <w:pPr>
              <w:pStyle w:val="16"/>
              <w:keepNext w:val="0"/>
              <w:keepLines w:val="0"/>
              <w:pageBreakBefore w:val="0"/>
              <w:kinsoku/>
              <w:wordWrap/>
              <w:overflowPunct/>
              <w:topLinePunct w:val="0"/>
              <w:bidi w:val="0"/>
              <w:snapToGrid/>
              <w:spacing w:line="240" w:lineRule="auto"/>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具备语音控制光标功能，用户在使用语音系统进行录入过程中，实现语音控制光标跳转功能，同时支持通过语音对文字进行包括在指定位置插入、删除指定字段、移动光标至指定位置等快捷编辑操作, 具备医患对话录音转写系统软件著作权证书。</w:t>
            </w:r>
            <w:r>
              <w:rPr>
                <w:rFonts w:hint="eastAsia" w:ascii="宋体" w:hAnsi="宋体" w:eastAsia="宋体" w:cs="宋体"/>
                <w:color w:val="0000FF"/>
                <w:sz w:val="21"/>
                <w:szCs w:val="21"/>
                <w:highlight w:val="none"/>
              </w:rPr>
              <w:t>（投标时需提供检验检测报告或产品技术白皮书或说明书扫描件或产品彩页，注：对应参数在技术说明书中进行标注，原件备查。检验检测报告要求：①由第三方检验检测机构出具并加盖（或带有）CMA标志的检验检测报告扫描件，原件备查；②上述检验检测报告在全国认证认可信息公共服务平台（认e 云）（http://cx.cnca.cn/）的信息查询记录截图。如检验检测报告中明确备注说明相关检验检测项不在检验检测机构CMA 资质许可（认定）范围内的，不符合招标文件要求。）</w:t>
            </w:r>
          </w:p>
        </w:tc>
        <w:tc>
          <w:tcPr>
            <w:tcW w:w="955" w:type="dxa"/>
            <w:vAlign w:val="center"/>
          </w:tcPr>
          <w:p w14:paraId="20DB1607">
            <w:pPr>
              <w:pStyle w:val="16"/>
              <w:keepNext w:val="0"/>
              <w:keepLines w:val="0"/>
              <w:pageBreakBefore w:val="0"/>
              <w:kinsoku/>
              <w:wordWrap/>
              <w:overflowPunct/>
              <w:topLinePunct w:val="0"/>
              <w:bidi w:val="0"/>
              <w:snapToGrid/>
              <w:spacing w:line="240" w:lineRule="auto"/>
              <w:rPr>
                <w:rFonts w:hint="eastAsia" w:ascii="宋体" w:hAnsi="宋体" w:eastAsia="宋体" w:cs="宋体"/>
                <w:color w:val="0000FF"/>
                <w:kern w:val="0"/>
                <w:sz w:val="21"/>
                <w:szCs w:val="21"/>
                <w:highlight w:val="none"/>
                <w:lang w:bidi="ar"/>
              </w:rPr>
            </w:pPr>
          </w:p>
        </w:tc>
        <w:tc>
          <w:tcPr>
            <w:tcW w:w="725" w:type="dxa"/>
            <w:vAlign w:val="center"/>
          </w:tcPr>
          <w:p w14:paraId="4DA48FBE">
            <w:pPr>
              <w:pStyle w:val="16"/>
              <w:keepNext w:val="0"/>
              <w:keepLines w:val="0"/>
              <w:pageBreakBefore w:val="0"/>
              <w:kinsoku/>
              <w:wordWrap/>
              <w:overflowPunct/>
              <w:topLinePunct w:val="0"/>
              <w:bidi w:val="0"/>
              <w:snapToGrid/>
              <w:spacing w:line="240" w:lineRule="auto"/>
              <w:rPr>
                <w:rFonts w:hint="eastAsia" w:ascii="宋体" w:hAnsi="宋体" w:eastAsia="宋体" w:cs="宋体"/>
                <w:color w:val="0000FF"/>
                <w:kern w:val="0"/>
                <w:sz w:val="21"/>
                <w:szCs w:val="21"/>
                <w:highlight w:val="none"/>
                <w:lang w:bidi="ar"/>
              </w:rPr>
            </w:pPr>
          </w:p>
        </w:tc>
        <w:tc>
          <w:tcPr>
            <w:tcW w:w="328" w:type="dxa"/>
            <w:vAlign w:val="center"/>
          </w:tcPr>
          <w:p w14:paraId="3D67E503">
            <w:pPr>
              <w:pStyle w:val="16"/>
              <w:keepNext w:val="0"/>
              <w:keepLines w:val="0"/>
              <w:pageBreakBefore w:val="0"/>
              <w:kinsoku/>
              <w:wordWrap/>
              <w:overflowPunct/>
              <w:topLinePunct w:val="0"/>
              <w:bidi w:val="0"/>
              <w:snapToGrid/>
              <w:spacing w:line="240" w:lineRule="auto"/>
              <w:rPr>
                <w:rFonts w:hint="eastAsia" w:ascii="宋体" w:hAnsi="宋体" w:eastAsia="宋体" w:cs="宋体"/>
                <w:color w:val="0000FF"/>
                <w:kern w:val="0"/>
                <w:sz w:val="21"/>
                <w:szCs w:val="21"/>
                <w:highlight w:val="none"/>
                <w:lang w:bidi="ar"/>
              </w:rPr>
            </w:pPr>
          </w:p>
        </w:tc>
      </w:tr>
      <w:tr w14:paraId="6D60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1" w:type="dxa"/>
            <w:vAlign w:val="center"/>
          </w:tcPr>
          <w:p w14:paraId="760809F7">
            <w:pPr>
              <w:keepNext w:val="0"/>
              <w:keepLines w:val="0"/>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2.6.4</w:t>
            </w:r>
          </w:p>
        </w:tc>
        <w:tc>
          <w:tcPr>
            <w:tcW w:w="5400" w:type="dxa"/>
            <w:vAlign w:val="center"/>
          </w:tcPr>
          <w:p w14:paraId="47C94899">
            <w:pPr>
              <w:keepNext w:val="0"/>
              <w:keepLines w:val="0"/>
              <w:pageBreakBefore w:val="0"/>
              <w:widowControl/>
              <w:kinsoku/>
              <w:wordWrap/>
              <w:overflowPunct/>
              <w:topLinePunct w:val="0"/>
              <w:bidi w:val="0"/>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具备编辑替换列表功能，用户通过预先设置简短字段与常用大段文字的对应关系，进而实现用户通过仅口述简短字段，系统就能自动识别并输出为用户预先设置的常用大段文字的功能。</w:t>
            </w:r>
          </w:p>
        </w:tc>
        <w:tc>
          <w:tcPr>
            <w:tcW w:w="955" w:type="dxa"/>
            <w:vAlign w:val="center"/>
          </w:tcPr>
          <w:p w14:paraId="662C0527">
            <w:pPr>
              <w:keepNext w:val="0"/>
              <w:keepLines w:val="0"/>
              <w:pageBreakBefore w:val="0"/>
              <w:widowControl/>
              <w:kinsoku/>
              <w:wordWrap/>
              <w:overflowPunct/>
              <w:topLinePunct w:val="0"/>
              <w:bidi w:val="0"/>
              <w:snapToGrid/>
              <w:spacing w:line="240" w:lineRule="auto"/>
              <w:textAlignment w:val="center"/>
              <w:rPr>
                <w:rFonts w:hint="eastAsia" w:ascii="宋体" w:hAnsi="宋体" w:eastAsia="宋体" w:cs="宋体"/>
                <w:color w:val="0000FF"/>
                <w:kern w:val="0"/>
                <w:sz w:val="21"/>
                <w:szCs w:val="21"/>
                <w:highlight w:val="none"/>
                <w:lang w:bidi="ar"/>
              </w:rPr>
            </w:pPr>
          </w:p>
        </w:tc>
        <w:tc>
          <w:tcPr>
            <w:tcW w:w="725" w:type="dxa"/>
            <w:vAlign w:val="center"/>
          </w:tcPr>
          <w:p w14:paraId="565E8AB8">
            <w:pPr>
              <w:keepNext w:val="0"/>
              <w:keepLines w:val="0"/>
              <w:pageBreakBefore w:val="0"/>
              <w:widowControl/>
              <w:kinsoku/>
              <w:wordWrap/>
              <w:overflowPunct/>
              <w:topLinePunct w:val="0"/>
              <w:bidi w:val="0"/>
              <w:snapToGrid/>
              <w:spacing w:line="240" w:lineRule="auto"/>
              <w:textAlignment w:val="center"/>
              <w:rPr>
                <w:rFonts w:hint="eastAsia" w:ascii="宋体" w:hAnsi="宋体" w:eastAsia="宋体" w:cs="宋体"/>
                <w:color w:val="0000FF"/>
                <w:kern w:val="0"/>
                <w:sz w:val="21"/>
                <w:szCs w:val="21"/>
                <w:highlight w:val="none"/>
                <w:lang w:bidi="ar"/>
              </w:rPr>
            </w:pPr>
          </w:p>
        </w:tc>
        <w:tc>
          <w:tcPr>
            <w:tcW w:w="328" w:type="dxa"/>
            <w:vAlign w:val="center"/>
          </w:tcPr>
          <w:p w14:paraId="04B5581C">
            <w:pPr>
              <w:keepNext w:val="0"/>
              <w:keepLines w:val="0"/>
              <w:pageBreakBefore w:val="0"/>
              <w:widowControl/>
              <w:kinsoku/>
              <w:wordWrap/>
              <w:overflowPunct/>
              <w:topLinePunct w:val="0"/>
              <w:bidi w:val="0"/>
              <w:snapToGrid/>
              <w:spacing w:line="240" w:lineRule="auto"/>
              <w:textAlignment w:val="center"/>
              <w:rPr>
                <w:rFonts w:hint="eastAsia" w:ascii="宋体" w:hAnsi="宋体" w:eastAsia="宋体" w:cs="宋体"/>
                <w:color w:val="0000FF"/>
                <w:kern w:val="0"/>
                <w:sz w:val="21"/>
                <w:szCs w:val="21"/>
                <w:highlight w:val="none"/>
                <w:lang w:bidi="ar"/>
              </w:rPr>
            </w:pPr>
          </w:p>
        </w:tc>
      </w:tr>
      <w:tr w14:paraId="7E931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1" w:type="dxa"/>
            <w:vAlign w:val="center"/>
          </w:tcPr>
          <w:p w14:paraId="4476D9C1">
            <w:pPr>
              <w:keepNext w:val="0"/>
              <w:keepLines w:val="0"/>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★配置清单</w:t>
            </w:r>
          </w:p>
        </w:tc>
        <w:tc>
          <w:tcPr>
            <w:tcW w:w="5400" w:type="dxa"/>
            <w:vAlign w:val="center"/>
          </w:tcPr>
          <w:p w14:paraId="0F9CF019">
            <w:pPr>
              <w:keepNext w:val="0"/>
              <w:keepLines w:val="0"/>
              <w:pageBreakBefore w:val="0"/>
              <w:widowControl/>
              <w:kinsoku/>
              <w:wordWrap/>
              <w:overflowPunct/>
              <w:topLinePunct w:val="0"/>
              <w:bidi w:val="0"/>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采购产品默认包含下列配件，供应商中标后须按下列配件清单提供相应配件。供应商投标时无须对下列配件提供报价清单进行报价，供应商中标后签订合同前须将详细的配件报价递交采购单位，作为签订合同的依据：</w:t>
            </w:r>
          </w:p>
          <w:p w14:paraId="16984323">
            <w:pPr>
              <w:keepNext w:val="0"/>
              <w:keepLines w:val="0"/>
              <w:pageBreakBefore w:val="0"/>
              <w:kinsoku/>
              <w:wordWrap/>
              <w:overflowPunct/>
              <w:topLinePunct w:val="0"/>
              <w:bidi w:val="0"/>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单台/套配件清单：</w:t>
            </w:r>
          </w:p>
          <w:tbl>
            <w:tblPr>
              <w:tblStyle w:val="42"/>
              <w:tblW w:w="5182" w:type="dxa"/>
              <w:tblInd w:w="0" w:type="dxa"/>
              <w:tblLayout w:type="fixed"/>
              <w:tblCellMar>
                <w:top w:w="0" w:type="dxa"/>
                <w:left w:w="108" w:type="dxa"/>
                <w:bottom w:w="0" w:type="dxa"/>
                <w:right w:w="108" w:type="dxa"/>
              </w:tblCellMar>
            </w:tblPr>
            <w:tblGrid>
              <w:gridCol w:w="474"/>
              <w:gridCol w:w="2165"/>
              <w:gridCol w:w="733"/>
              <w:gridCol w:w="905"/>
              <w:gridCol w:w="905"/>
            </w:tblGrid>
            <w:tr w14:paraId="20A6F292">
              <w:tblPrEx>
                <w:tblCellMar>
                  <w:top w:w="0" w:type="dxa"/>
                  <w:left w:w="108" w:type="dxa"/>
                  <w:bottom w:w="0" w:type="dxa"/>
                  <w:right w:w="108" w:type="dxa"/>
                </w:tblCellMar>
              </w:tblPrEx>
              <w:trPr>
                <w:trHeight w:val="592" w:hRule="atLeast"/>
              </w:trPr>
              <w:tc>
                <w:tcPr>
                  <w:tcW w:w="474" w:type="dxa"/>
                  <w:tcBorders>
                    <w:top w:val="single" w:color="000000" w:sz="4" w:space="0"/>
                    <w:left w:val="single" w:color="000000" w:sz="4" w:space="0"/>
                    <w:bottom w:val="single" w:color="000000" w:sz="4" w:space="0"/>
                    <w:right w:val="single" w:color="000000" w:sz="4" w:space="0"/>
                  </w:tcBorders>
                  <w:shd w:val="clear" w:color="auto" w:fill="C6D9F0"/>
                  <w:noWrap/>
                  <w:vAlign w:val="center"/>
                </w:tcPr>
                <w:p w14:paraId="56037825">
                  <w:pPr>
                    <w:keepNext w:val="0"/>
                    <w:keepLines w:val="0"/>
                    <w:pageBreakBefore w:val="0"/>
                    <w:widowControl/>
                    <w:kinsoku/>
                    <w:wordWrap/>
                    <w:overflowPunct/>
                    <w:topLinePunct w:val="0"/>
                    <w:bidi w:val="0"/>
                    <w:snapToGrid/>
                    <w:spacing w:line="240" w:lineRule="auto"/>
                    <w:jc w:val="center"/>
                    <w:textAlignment w:val="center"/>
                    <w:rPr>
                      <w:rFonts w:hint="eastAsia" w:ascii="宋体" w:hAnsi="宋体" w:eastAsia="宋体" w:cs="宋体"/>
                      <w:b/>
                      <w:color w:val="0000FF"/>
                      <w:spacing w:val="2"/>
                      <w:sz w:val="21"/>
                      <w:szCs w:val="21"/>
                      <w:highlight w:val="none"/>
                    </w:rPr>
                  </w:pPr>
                  <w:r>
                    <w:rPr>
                      <w:rFonts w:hint="eastAsia" w:ascii="宋体" w:hAnsi="宋体" w:eastAsia="宋体" w:cs="宋体"/>
                      <w:b/>
                      <w:color w:val="0000FF"/>
                      <w:kern w:val="0"/>
                      <w:sz w:val="21"/>
                      <w:szCs w:val="21"/>
                      <w:highlight w:val="none"/>
                    </w:rPr>
                    <w:t>序号</w:t>
                  </w:r>
                </w:p>
              </w:tc>
              <w:tc>
                <w:tcPr>
                  <w:tcW w:w="2165" w:type="dxa"/>
                  <w:tcBorders>
                    <w:top w:val="single" w:color="000000" w:sz="4" w:space="0"/>
                    <w:left w:val="single" w:color="000000" w:sz="4" w:space="0"/>
                    <w:bottom w:val="single" w:color="000000" w:sz="4" w:space="0"/>
                    <w:right w:val="single" w:color="000000" w:sz="4" w:space="0"/>
                  </w:tcBorders>
                  <w:shd w:val="clear" w:color="auto" w:fill="C6D9F0"/>
                  <w:noWrap/>
                  <w:vAlign w:val="center"/>
                </w:tcPr>
                <w:p w14:paraId="55F1C53F">
                  <w:pPr>
                    <w:keepNext w:val="0"/>
                    <w:keepLines w:val="0"/>
                    <w:pageBreakBefore w:val="0"/>
                    <w:widowControl/>
                    <w:kinsoku/>
                    <w:wordWrap/>
                    <w:overflowPunct/>
                    <w:topLinePunct w:val="0"/>
                    <w:bidi w:val="0"/>
                    <w:snapToGrid/>
                    <w:spacing w:line="240" w:lineRule="auto"/>
                    <w:jc w:val="center"/>
                    <w:textAlignment w:val="center"/>
                    <w:rPr>
                      <w:rFonts w:hint="eastAsia" w:ascii="宋体" w:hAnsi="宋体" w:eastAsia="宋体" w:cs="宋体"/>
                      <w:b/>
                      <w:color w:val="0000FF"/>
                      <w:spacing w:val="2"/>
                      <w:sz w:val="21"/>
                      <w:szCs w:val="21"/>
                      <w:highlight w:val="none"/>
                    </w:rPr>
                  </w:pPr>
                  <w:r>
                    <w:rPr>
                      <w:rFonts w:hint="eastAsia" w:ascii="宋体" w:hAnsi="宋体" w:eastAsia="宋体" w:cs="宋体"/>
                      <w:b/>
                      <w:color w:val="0000FF"/>
                      <w:kern w:val="0"/>
                      <w:sz w:val="21"/>
                      <w:szCs w:val="21"/>
                      <w:highlight w:val="none"/>
                    </w:rPr>
                    <w:t>货物名称</w:t>
                  </w:r>
                </w:p>
              </w:tc>
              <w:tc>
                <w:tcPr>
                  <w:tcW w:w="733" w:type="dxa"/>
                  <w:tcBorders>
                    <w:top w:val="single" w:color="000000" w:sz="4" w:space="0"/>
                    <w:left w:val="single" w:color="000000" w:sz="4" w:space="0"/>
                    <w:bottom w:val="single" w:color="000000" w:sz="4" w:space="0"/>
                    <w:right w:val="single" w:color="000000" w:sz="4" w:space="0"/>
                  </w:tcBorders>
                  <w:shd w:val="clear" w:color="auto" w:fill="C6D9F0"/>
                  <w:noWrap/>
                  <w:vAlign w:val="center"/>
                </w:tcPr>
                <w:p w14:paraId="2F628021">
                  <w:pPr>
                    <w:keepNext w:val="0"/>
                    <w:keepLines w:val="0"/>
                    <w:pageBreakBefore w:val="0"/>
                    <w:widowControl/>
                    <w:kinsoku/>
                    <w:wordWrap/>
                    <w:overflowPunct/>
                    <w:topLinePunct w:val="0"/>
                    <w:bidi w:val="0"/>
                    <w:snapToGrid/>
                    <w:spacing w:line="240" w:lineRule="auto"/>
                    <w:jc w:val="center"/>
                    <w:textAlignment w:val="center"/>
                    <w:rPr>
                      <w:rFonts w:hint="eastAsia" w:ascii="宋体" w:hAnsi="宋体" w:eastAsia="宋体" w:cs="宋体"/>
                      <w:b/>
                      <w:color w:val="0000FF"/>
                      <w:spacing w:val="2"/>
                      <w:sz w:val="21"/>
                      <w:szCs w:val="21"/>
                      <w:highlight w:val="none"/>
                    </w:rPr>
                  </w:pPr>
                  <w:r>
                    <w:rPr>
                      <w:rFonts w:hint="eastAsia" w:ascii="宋体" w:hAnsi="宋体" w:eastAsia="宋体" w:cs="宋体"/>
                      <w:b/>
                      <w:color w:val="0000FF"/>
                      <w:kern w:val="0"/>
                      <w:sz w:val="21"/>
                      <w:szCs w:val="21"/>
                      <w:highlight w:val="none"/>
                    </w:rPr>
                    <w:t>数量</w:t>
                  </w:r>
                </w:p>
              </w:tc>
              <w:tc>
                <w:tcPr>
                  <w:tcW w:w="905" w:type="dxa"/>
                  <w:tcBorders>
                    <w:top w:val="single" w:color="000000" w:sz="4" w:space="0"/>
                    <w:left w:val="single" w:color="000000" w:sz="4" w:space="0"/>
                    <w:bottom w:val="single" w:color="000000" w:sz="4" w:space="0"/>
                    <w:right w:val="single" w:color="000000" w:sz="4" w:space="0"/>
                  </w:tcBorders>
                  <w:shd w:val="clear" w:color="auto" w:fill="C6D9F0"/>
                  <w:noWrap/>
                  <w:vAlign w:val="center"/>
                </w:tcPr>
                <w:p w14:paraId="325767A1">
                  <w:pPr>
                    <w:keepNext w:val="0"/>
                    <w:keepLines w:val="0"/>
                    <w:pageBreakBefore w:val="0"/>
                    <w:widowControl/>
                    <w:kinsoku/>
                    <w:wordWrap/>
                    <w:overflowPunct/>
                    <w:topLinePunct w:val="0"/>
                    <w:bidi w:val="0"/>
                    <w:snapToGrid/>
                    <w:spacing w:line="240" w:lineRule="auto"/>
                    <w:jc w:val="center"/>
                    <w:textAlignment w:val="center"/>
                    <w:rPr>
                      <w:rFonts w:hint="eastAsia" w:ascii="宋体" w:hAnsi="宋体" w:eastAsia="宋体" w:cs="宋体"/>
                      <w:b/>
                      <w:color w:val="0000FF"/>
                      <w:sz w:val="21"/>
                      <w:szCs w:val="21"/>
                      <w:highlight w:val="none"/>
                    </w:rPr>
                  </w:pPr>
                  <w:r>
                    <w:rPr>
                      <w:rFonts w:hint="eastAsia" w:ascii="宋体" w:hAnsi="宋体" w:eastAsia="宋体" w:cs="宋体"/>
                      <w:b/>
                      <w:color w:val="0000FF"/>
                      <w:kern w:val="0"/>
                      <w:sz w:val="21"/>
                      <w:szCs w:val="21"/>
                      <w:highlight w:val="none"/>
                    </w:rPr>
                    <w:t>单位</w:t>
                  </w:r>
                </w:p>
              </w:tc>
              <w:tc>
                <w:tcPr>
                  <w:tcW w:w="905" w:type="dxa"/>
                  <w:tcBorders>
                    <w:top w:val="single" w:color="000000" w:sz="4" w:space="0"/>
                    <w:left w:val="single" w:color="000000" w:sz="4" w:space="0"/>
                    <w:bottom w:val="single" w:color="000000" w:sz="4" w:space="0"/>
                    <w:right w:val="single" w:color="000000" w:sz="4" w:space="0"/>
                  </w:tcBorders>
                  <w:shd w:val="clear" w:color="auto" w:fill="C6D9F0"/>
                  <w:noWrap/>
                  <w:vAlign w:val="center"/>
                </w:tcPr>
                <w:p w14:paraId="76410BF0">
                  <w:pPr>
                    <w:keepNext w:val="0"/>
                    <w:keepLines w:val="0"/>
                    <w:pageBreakBefore w:val="0"/>
                    <w:widowControl/>
                    <w:kinsoku/>
                    <w:wordWrap/>
                    <w:overflowPunct/>
                    <w:topLinePunct w:val="0"/>
                    <w:bidi w:val="0"/>
                    <w:snapToGrid/>
                    <w:spacing w:line="240" w:lineRule="auto"/>
                    <w:jc w:val="center"/>
                    <w:textAlignment w:val="center"/>
                    <w:rPr>
                      <w:rFonts w:hint="eastAsia" w:ascii="宋体" w:hAnsi="宋体" w:eastAsia="宋体" w:cs="宋体"/>
                      <w:b/>
                      <w:color w:val="0000FF"/>
                      <w:kern w:val="0"/>
                      <w:sz w:val="21"/>
                      <w:szCs w:val="21"/>
                      <w:highlight w:val="none"/>
                    </w:rPr>
                  </w:pPr>
                  <w:r>
                    <w:rPr>
                      <w:rFonts w:hint="eastAsia" w:ascii="宋体" w:hAnsi="宋体" w:eastAsia="宋体" w:cs="宋体"/>
                      <w:b/>
                      <w:color w:val="0000FF"/>
                      <w:kern w:val="0"/>
                      <w:sz w:val="21"/>
                      <w:szCs w:val="21"/>
                      <w:highlight w:val="none"/>
                    </w:rPr>
                    <w:t>备注</w:t>
                  </w:r>
                </w:p>
              </w:tc>
            </w:tr>
            <w:tr w14:paraId="3D952270">
              <w:tblPrEx>
                <w:tblCellMar>
                  <w:top w:w="0" w:type="dxa"/>
                  <w:left w:w="108" w:type="dxa"/>
                  <w:bottom w:w="0" w:type="dxa"/>
                  <w:right w:w="108" w:type="dxa"/>
                </w:tblCellMar>
              </w:tblPrEx>
              <w:trPr>
                <w:trHeight w:val="567" w:hRule="atLeast"/>
              </w:trPr>
              <w:tc>
                <w:tcPr>
                  <w:tcW w:w="474" w:type="dxa"/>
                  <w:tcBorders>
                    <w:top w:val="single" w:color="000000" w:sz="4" w:space="0"/>
                    <w:left w:val="single" w:color="000000" w:sz="4" w:space="0"/>
                    <w:bottom w:val="single" w:color="000000" w:sz="4" w:space="0"/>
                    <w:right w:val="single" w:color="000000" w:sz="4" w:space="0"/>
                  </w:tcBorders>
                  <w:noWrap/>
                  <w:vAlign w:val="center"/>
                </w:tcPr>
                <w:p w14:paraId="3B6AC1C9">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w:t>
                  </w:r>
                </w:p>
              </w:tc>
              <w:tc>
                <w:tcPr>
                  <w:tcW w:w="2165" w:type="dxa"/>
                  <w:tcBorders>
                    <w:top w:val="single" w:color="000000" w:sz="4" w:space="0"/>
                    <w:left w:val="single" w:color="000000" w:sz="4" w:space="0"/>
                    <w:bottom w:val="single" w:color="000000" w:sz="4" w:space="0"/>
                    <w:right w:val="single" w:color="000000" w:sz="4" w:space="0"/>
                  </w:tcBorders>
                  <w:noWrap/>
                  <w:vAlign w:val="center"/>
                </w:tcPr>
                <w:p w14:paraId="408B7CFF">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lang w:val="zh-CN"/>
                    </w:rPr>
                  </w:pPr>
                  <w:r>
                    <w:rPr>
                      <w:rFonts w:hint="eastAsia" w:ascii="宋体" w:hAnsi="宋体" w:eastAsia="宋体" w:cs="宋体"/>
                      <w:color w:val="0000FF"/>
                      <w:sz w:val="21"/>
                      <w:szCs w:val="21"/>
                      <w:highlight w:val="none"/>
                    </w:rPr>
                    <w:t>扫描平台机架、底座及外壳组件</w:t>
                  </w:r>
                </w:p>
              </w:tc>
              <w:tc>
                <w:tcPr>
                  <w:tcW w:w="733" w:type="dxa"/>
                  <w:tcBorders>
                    <w:top w:val="single" w:color="000000" w:sz="4" w:space="0"/>
                    <w:left w:val="single" w:color="000000" w:sz="4" w:space="0"/>
                    <w:bottom w:val="single" w:color="000000" w:sz="4" w:space="0"/>
                    <w:right w:val="single" w:color="000000" w:sz="4" w:space="0"/>
                  </w:tcBorders>
                  <w:noWrap/>
                </w:tcPr>
                <w:p w14:paraId="62E4C490">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w:t>
                  </w:r>
                </w:p>
              </w:tc>
              <w:tc>
                <w:tcPr>
                  <w:tcW w:w="905" w:type="dxa"/>
                  <w:tcBorders>
                    <w:top w:val="single" w:color="000000" w:sz="4" w:space="0"/>
                    <w:left w:val="single" w:color="000000" w:sz="4" w:space="0"/>
                    <w:bottom w:val="single" w:color="000000" w:sz="4" w:space="0"/>
                    <w:right w:val="single" w:color="000000" w:sz="4" w:space="0"/>
                  </w:tcBorders>
                  <w:noWrap/>
                </w:tcPr>
                <w:p w14:paraId="0ECAFA64">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kern w:val="0"/>
                      <w:sz w:val="21"/>
                      <w:szCs w:val="21"/>
                      <w:highlight w:val="none"/>
                    </w:rPr>
                  </w:pPr>
                  <w:r>
                    <w:rPr>
                      <w:rFonts w:hint="eastAsia" w:ascii="宋体" w:hAnsi="宋体" w:eastAsia="宋体" w:cs="宋体"/>
                      <w:color w:val="0000FF"/>
                      <w:sz w:val="21"/>
                      <w:szCs w:val="21"/>
                      <w:highlight w:val="none"/>
                    </w:rPr>
                    <w:t>套</w:t>
                  </w:r>
                </w:p>
              </w:tc>
              <w:tc>
                <w:tcPr>
                  <w:tcW w:w="905" w:type="dxa"/>
                  <w:tcBorders>
                    <w:top w:val="single" w:color="000000" w:sz="4" w:space="0"/>
                    <w:left w:val="single" w:color="000000" w:sz="4" w:space="0"/>
                    <w:bottom w:val="single" w:color="000000" w:sz="4" w:space="0"/>
                    <w:right w:val="single" w:color="000000" w:sz="4" w:space="0"/>
                  </w:tcBorders>
                  <w:noWrap/>
                </w:tcPr>
                <w:p w14:paraId="02641C2D">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p>
              </w:tc>
            </w:tr>
            <w:tr w14:paraId="3CF9AE60">
              <w:tblPrEx>
                <w:tblCellMar>
                  <w:top w:w="0" w:type="dxa"/>
                  <w:left w:w="108" w:type="dxa"/>
                  <w:bottom w:w="0" w:type="dxa"/>
                  <w:right w:w="108" w:type="dxa"/>
                </w:tblCellMar>
              </w:tblPrEx>
              <w:trPr>
                <w:trHeight w:val="567" w:hRule="atLeast"/>
              </w:trPr>
              <w:tc>
                <w:tcPr>
                  <w:tcW w:w="474" w:type="dxa"/>
                  <w:tcBorders>
                    <w:top w:val="single" w:color="000000" w:sz="4" w:space="0"/>
                    <w:left w:val="single" w:color="000000" w:sz="4" w:space="0"/>
                    <w:bottom w:val="single" w:color="000000" w:sz="4" w:space="0"/>
                    <w:right w:val="single" w:color="000000" w:sz="4" w:space="0"/>
                  </w:tcBorders>
                  <w:noWrap/>
                  <w:vAlign w:val="center"/>
                </w:tcPr>
                <w:p w14:paraId="039E8B2D">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pacing w:val="2"/>
                      <w:sz w:val="21"/>
                      <w:szCs w:val="21"/>
                      <w:highlight w:val="none"/>
                    </w:rPr>
                  </w:pPr>
                  <w:r>
                    <w:rPr>
                      <w:rFonts w:hint="eastAsia" w:ascii="宋体" w:hAnsi="宋体" w:eastAsia="宋体" w:cs="宋体"/>
                      <w:color w:val="0000FF"/>
                      <w:sz w:val="21"/>
                      <w:szCs w:val="21"/>
                      <w:highlight w:val="none"/>
                    </w:rPr>
                    <w:t>2</w:t>
                  </w:r>
                </w:p>
              </w:tc>
              <w:tc>
                <w:tcPr>
                  <w:tcW w:w="2165" w:type="dxa"/>
                  <w:tcBorders>
                    <w:top w:val="single" w:color="000000" w:sz="4" w:space="0"/>
                    <w:left w:val="single" w:color="000000" w:sz="4" w:space="0"/>
                    <w:bottom w:val="single" w:color="000000" w:sz="4" w:space="0"/>
                    <w:right w:val="single" w:color="000000" w:sz="4" w:space="0"/>
                  </w:tcBorders>
                  <w:noWrap/>
                  <w:vAlign w:val="center"/>
                </w:tcPr>
                <w:p w14:paraId="3F7CF484">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pacing w:val="2"/>
                      <w:sz w:val="21"/>
                      <w:szCs w:val="21"/>
                      <w:highlight w:val="none"/>
                    </w:rPr>
                  </w:pPr>
                  <w:r>
                    <w:rPr>
                      <w:rFonts w:hint="eastAsia" w:ascii="宋体" w:hAnsi="宋体" w:eastAsia="宋体" w:cs="宋体"/>
                      <w:color w:val="0000FF"/>
                      <w:sz w:val="21"/>
                      <w:szCs w:val="21"/>
                      <w:highlight w:val="none"/>
                    </w:rPr>
                    <w:t>X射线球管及相关组件</w:t>
                  </w:r>
                </w:p>
              </w:tc>
              <w:tc>
                <w:tcPr>
                  <w:tcW w:w="733" w:type="dxa"/>
                  <w:tcBorders>
                    <w:top w:val="single" w:color="000000" w:sz="4" w:space="0"/>
                    <w:left w:val="single" w:color="000000" w:sz="4" w:space="0"/>
                    <w:bottom w:val="single" w:color="000000" w:sz="4" w:space="0"/>
                    <w:right w:val="single" w:color="000000" w:sz="4" w:space="0"/>
                  </w:tcBorders>
                  <w:noWrap/>
                </w:tcPr>
                <w:p w14:paraId="79243B51">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pacing w:val="2"/>
                      <w:sz w:val="21"/>
                      <w:szCs w:val="21"/>
                      <w:highlight w:val="none"/>
                    </w:rPr>
                  </w:pPr>
                  <w:r>
                    <w:rPr>
                      <w:rFonts w:hint="eastAsia" w:ascii="宋体" w:hAnsi="宋体" w:eastAsia="宋体" w:cs="宋体"/>
                      <w:color w:val="0000FF"/>
                      <w:sz w:val="21"/>
                      <w:szCs w:val="21"/>
                      <w:highlight w:val="none"/>
                    </w:rPr>
                    <w:t>1</w:t>
                  </w:r>
                </w:p>
              </w:tc>
              <w:tc>
                <w:tcPr>
                  <w:tcW w:w="905" w:type="dxa"/>
                  <w:tcBorders>
                    <w:top w:val="single" w:color="000000" w:sz="4" w:space="0"/>
                    <w:left w:val="single" w:color="000000" w:sz="4" w:space="0"/>
                    <w:bottom w:val="single" w:color="000000" w:sz="4" w:space="0"/>
                    <w:right w:val="single" w:color="000000" w:sz="4" w:space="0"/>
                  </w:tcBorders>
                  <w:noWrap/>
                </w:tcPr>
                <w:p w14:paraId="1A70D144">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套</w:t>
                  </w:r>
                </w:p>
              </w:tc>
              <w:tc>
                <w:tcPr>
                  <w:tcW w:w="905" w:type="dxa"/>
                  <w:tcBorders>
                    <w:top w:val="single" w:color="000000" w:sz="4" w:space="0"/>
                    <w:left w:val="single" w:color="000000" w:sz="4" w:space="0"/>
                    <w:bottom w:val="single" w:color="000000" w:sz="4" w:space="0"/>
                    <w:right w:val="single" w:color="000000" w:sz="4" w:space="0"/>
                  </w:tcBorders>
                  <w:noWrap/>
                </w:tcPr>
                <w:p w14:paraId="6A74D26D">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p>
              </w:tc>
            </w:tr>
            <w:tr w14:paraId="46D93B2D">
              <w:tblPrEx>
                <w:tblCellMar>
                  <w:top w:w="0" w:type="dxa"/>
                  <w:left w:w="108" w:type="dxa"/>
                  <w:bottom w:w="0" w:type="dxa"/>
                  <w:right w:w="108" w:type="dxa"/>
                </w:tblCellMar>
              </w:tblPrEx>
              <w:trPr>
                <w:trHeight w:val="567" w:hRule="atLeast"/>
              </w:trPr>
              <w:tc>
                <w:tcPr>
                  <w:tcW w:w="474" w:type="dxa"/>
                  <w:tcBorders>
                    <w:top w:val="single" w:color="000000" w:sz="4" w:space="0"/>
                    <w:left w:val="single" w:color="000000" w:sz="4" w:space="0"/>
                    <w:bottom w:val="single" w:color="000000" w:sz="4" w:space="0"/>
                    <w:right w:val="single" w:color="000000" w:sz="4" w:space="0"/>
                  </w:tcBorders>
                  <w:noWrap/>
                  <w:vAlign w:val="center"/>
                </w:tcPr>
                <w:p w14:paraId="16D88821">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pacing w:val="2"/>
                      <w:sz w:val="21"/>
                      <w:szCs w:val="21"/>
                      <w:highlight w:val="none"/>
                    </w:rPr>
                  </w:pPr>
                  <w:r>
                    <w:rPr>
                      <w:rFonts w:hint="eastAsia" w:ascii="宋体" w:hAnsi="宋体" w:eastAsia="宋体" w:cs="宋体"/>
                      <w:color w:val="0000FF"/>
                      <w:sz w:val="21"/>
                      <w:szCs w:val="21"/>
                      <w:highlight w:val="none"/>
                    </w:rPr>
                    <w:t>3</w:t>
                  </w:r>
                </w:p>
              </w:tc>
              <w:tc>
                <w:tcPr>
                  <w:tcW w:w="2165" w:type="dxa"/>
                  <w:tcBorders>
                    <w:top w:val="single" w:color="000000" w:sz="4" w:space="0"/>
                    <w:left w:val="single" w:color="000000" w:sz="4" w:space="0"/>
                    <w:bottom w:val="single" w:color="000000" w:sz="4" w:space="0"/>
                    <w:right w:val="single" w:color="000000" w:sz="4" w:space="0"/>
                  </w:tcBorders>
                  <w:noWrap/>
                  <w:vAlign w:val="center"/>
                </w:tcPr>
                <w:p w14:paraId="130F073C">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pacing w:val="2"/>
                      <w:sz w:val="21"/>
                      <w:szCs w:val="21"/>
                      <w:highlight w:val="none"/>
                    </w:rPr>
                  </w:pPr>
                  <w:r>
                    <w:rPr>
                      <w:rFonts w:hint="eastAsia" w:ascii="宋体" w:hAnsi="宋体" w:eastAsia="宋体" w:cs="宋体"/>
                      <w:color w:val="0000FF"/>
                      <w:sz w:val="21"/>
                      <w:szCs w:val="21"/>
                      <w:highlight w:val="none"/>
                    </w:rPr>
                    <w:t>平板探测器1（CT、全景）</w:t>
                  </w:r>
                </w:p>
              </w:tc>
              <w:tc>
                <w:tcPr>
                  <w:tcW w:w="733" w:type="dxa"/>
                  <w:tcBorders>
                    <w:top w:val="single" w:color="000000" w:sz="4" w:space="0"/>
                    <w:left w:val="single" w:color="000000" w:sz="4" w:space="0"/>
                    <w:bottom w:val="single" w:color="000000" w:sz="4" w:space="0"/>
                    <w:right w:val="single" w:color="000000" w:sz="4" w:space="0"/>
                  </w:tcBorders>
                  <w:noWrap/>
                </w:tcPr>
                <w:p w14:paraId="14EB9CB8">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pacing w:val="2"/>
                      <w:sz w:val="21"/>
                      <w:szCs w:val="21"/>
                      <w:highlight w:val="none"/>
                    </w:rPr>
                  </w:pPr>
                  <w:r>
                    <w:rPr>
                      <w:rFonts w:hint="eastAsia" w:ascii="宋体" w:hAnsi="宋体" w:eastAsia="宋体" w:cs="宋体"/>
                      <w:color w:val="0000FF"/>
                      <w:sz w:val="21"/>
                      <w:szCs w:val="21"/>
                      <w:highlight w:val="none"/>
                    </w:rPr>
                    <w:t>1</w:t>
                  </w:r>
                </w:p>
              </w:tc>
              <w:tc>
                <w:tcPr>
                  <w:tcW w:w="905" w:type="dxa"/>
                  <w:tcBorders>
                    <w:top w:val="single" w:color="000000" w:sz="4" w:space="0"/>
                    <w:left w:val="single" w:color="000000" w:sz="4" w:space="0"/>
                    <w:bottom w:val="single" w:color="000000" w:sz="4" w:space="0"/>
                    <w:right w:val="single" w:color="000000" w:sz="4" w:space="0"/>
                  </w:tcBorders>
                  <w:noWrap/>
                </w:tcPr>
                <w:p w14:paraId="6292CF15">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套</w:t>
                  </w:r>
                </w:p>
              </w:tc>
              <w:tc>
                <w:tcPr>
                  <w:tcW w:w="905" w:type="dxa"/>
                  <w:tcBorders>
                    <w:top w:val="single" w:color="000000" w:sz="4" w:space="0"/>
                    <w:left w:val="single" w:color="000000" w:sz="4" w:space="0"/>
                    <w:bottom w:val="single" w:color="000000" w:sz="4" w:space="0"/>
                    <w:right w:val="single" w:color="000000" w:sz="4" w:space="0"/>
                  </w:tcBorders>
                  <w:noWrap/>
                </w:tcPr>
                <w:p w14:paraId="7B117BA7">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p>
              </w:tc>
            </w:tr>
            <w:tr w14:paraId="25ED8B50">
              <w:tblPrEx>
                <w:tblCellMar>
                  <w:top w:w="0" w:type="dxa"/>
                  <w:left w:w="108" w:type="dxa"/>
                  <w:bottom w:w="0" w:type="dxa"/>
                  <w:right w:w="108" w:type="dxa"/>
                </w:tblCellMar>
              </w:tblPrEx>
              <w:trPr>
                <w:trHeight w:val="567" w:hRule="atLeast"/>
              </w:trPr>
              <w:tc>
                <w:tcPr>
                  <w:tcW w:w="474" w:type="dxa"/>
                  <w:tcBorders>
                    <w:top w:val="single" w:color="000000" w:sz="4" w:space="0"/>
                    <w:left w:val="single" w:color="000000" w:sz="4" w:space="0"/>
                    <w:bottom w:val="single" w:color="000000" w:sz="4" w:space="0"/>
                    <w:right w:val="single" w:color="000000" w:sz="4" w:space="0"/>
                  </w:tcBorders>
                  <w:noWrap/>
                  <w:vAlign w:val="center"/>
                </w:tcPr>
                <w:p w14:paraId="61C01F6B">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pacing w:val="2"/>
                      <w:sz w:val="21"/>
                      <w:szCs w:val="21"/>
                      <w:highlight w:val="none"/>
                    </w:rPr>
                  </w:pPr>
                  <w:r>
                    <w:rPr>
                      <w:rFonts w:hint="eastAsia" w:ascii="宋体" w:hAnsi="宋体" w:eastAsia="宋体" w:cs="宋体"/>
                      <w:color w:val="0000FF"/>
                      <w:sz w:val="21"/>
                      <w:szCs w:val="21"/>
                      <w:highlight w:val="none"/>
                    </w:rPr>
                    <w:t>4</w:t>
                  </w:r>
                </w:p>
              </w:tc>
              <w:tc>
                <w:tcPr>
                  <w:tcW w:w="2165" w:type="dxa"/>
                  <w:tcBorders>
                    <w:top w:val="single" w:color="000000" w:sz="4" w:space="0"/>
                    <w:left w:val="single" w:color="000000" w:sz="4" w:space="0"/>
                    <w:bottom w:val="single" w:color="000000" w:sz="4" w:space="0"/>
                    <w:right w:val="single" w:color="000000" w:sz="4" w:space="0"/>
                  </w:tcBorders>
                  <w:noWrap/>
                  <w:vAlign w:val="center"/>
                </w:tcPr>
                <w:p w14:paraId="38CD232A">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pacing w:val="2"/>
                      <w:sz w:val="21"/>
                      <w:szCs w:val="21"/>
                      <w:highlight w:val="none"/>
                    </w:rPr>
                  </w:pPr>
                  <w:r>
                    <w:rPr>
                      <w:rFonts w:hint="eastAsia" w:ascii="宋体" w:hAnsi="宋体" w:eastAsia="宋体" w:cs="宋体"/>
                      <w:color w:val="0000FF"/>
                      <w:sz w:val="21"/>
                      <w:szCs w:val="21"/>
                      <w:highlight w:val="none"/>
                    </w:rPr>
                    <w:t>平板探测器2（头颅）</w:t>
                  </w:r>
                </w:p>
              </w:tc>
              <w:tc>
                <w:tcPr>
                  <w:tcW w:w="733" w:type="dxa"/>
                  <w:tcBorders>
                    <w:top w:val="single" w:color="000000" w:sz="4" w:space="0"/>
                    <w:left w:val="single" w:color="000000" w:sz="4" w:space="0"/>
                    <w:bottom w:val="single" w:color="000000" w:sz="4" w:space="0"/>
                    <w:right w:val="single" w:color="000000" w:sz="4" w:space="0"/>
                  </w:tcBorders>
                  <w:noWrap/>
                </w:tcPr>
                <w:p w14:paraId="2E2E3F86">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pacing w:val="2"/>
                      <w:sz w:val="21"/>
                      <w:szCs w:val="21"/>
                      <w:highlight w:val="none"/>
                    </w:rPr>
                  </w:pPr>
                  <w:r>
                    <w:rPr>
                      <w:rFonts w:hint="eastAsia" w:ascii="宋体" w:hAnsi="宋体" w:eastAsia="宋体" w:cs="宋体"/>
                      <w:color w:val="0000FF"/>
                      <w:sz w:val="21"/>
                      <w:szCs w:val="21"/>
                      <w:highlight w:val="none"/>
                    </w:rPr>
                    <w:t>1</w:t>
                  </w:r>
                </w:p>
              </w:tc>
              <w:tc>
                <w:tcPr>
                  <w:tcW w:w="905" w:type="dxa"/>
                  <w:tcBorders>
                    <w:top w:val="single" w:color="000000" w:sz="4" w:space="0"/>
                    <w:left w:val="single" w:color="000000" w:sz="4" w:space="0"/>
                    <w:bottom w:val="single" w:color="000000" w:sz="4" w:space="0"/>
                    <w:right w:val="single" w:color="000000" w:sz="4" w:space="0"/>
                  </w:tcBorders>
                  <w:noWrap/>
                </w:tcPr>
                <w:p w14:paraId="01A23EB6">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套</w:t>
                  </w:r>
                </w:p>
              </w:tc>
              <w:tc>
                <w:tcPr>
                  <w:tcW w:w="905" w:type="dxa"/>
                  <w:tcBorders>
                    <w:top w:val="single" w:color="000000" w:sz="4" w:space="0"/>
                    <w:left w:val="single" w:color="000000" w:sz="4" w:space="0"/>
                    <w:bottom w:val="single" w:color="000000" w:sz="4" w:space="0"/>
                    <w:right w:val="single" w:color="000000" w:sz="4" w:space="0"/>
                  </w:tcBorders>
                  <w:noWrap/>
                </w:tcPr>
                <w:p w14:paraId="46451E53">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p>
              </w:tc>
            </w:tr>
            <w:tr w14:paraId="0D895640">
              <w:tblPrEx>
                <w:tblCellMar>
                  <w:top w:w="0" w:type="dxa"/>
                  <w:left w:w="108" w:type="dxa"/>
                  <w:bottom w:w="0" w:type="dxa"/>
                  <w:right w:w="108" w:type="dxa"/>
                </w:tblCellMar>
              </w:tblPrEx>
              <w:trPr>
                <w:trHeight w:val="567" w:hRule="atLeast"/>
              </w:trPr>
              <w:tc>
                <w:tcPr>
                  <w:tcW w:w="474" w:type="dxa"/>
                  <w:tcBorders>
                    <w:top w:val="single" w:color="000000" w:sz="4" w:space="0"/>
                    <w:left w:val="single" w:color="000000" w:sz="4" w:space="0"/>
                    <w:bottom w:val="single" w:color="000000" w:sz="4" w:space="0"/>
                    <w:right w:val="single" w:color="000000" w:sz="4" w:space="0"/>
                  </w:tcBorders>
                  <w:noWrap/>
                  <w:vAlign w:val="center"/>
                </w:tcPr>
                <w:p w14:paraId="258DF92B">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5</w:t>
                  </w:r>
                </w:p>
              </w:tc>
              <w:tc>
                <w:tcPr>
                  <w:tcW w:w="2165" w:type="dxa"/>
                  <w:tcBorders>
                    <w:top w:val="single" w:color="000000" w:sz="4" w:space="0"/>
                    <w:left w:val="single" w:color="000000" w:sz="4" w:space="0"/>
                    <w:bottom w:val="single" w:color="000000" w:sz="4" w:space="0"/>
                    <w:right w:val="single" w:color="000000" w:sz="4" w:space="0"/>
                  </w:tcBorders>
                  <w:noWrap/>
                  <w:vAlign w:val="center"/>
                </w:tcPr>
                <w:p w14:paraId="58F42702">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pacing w:val="2"/>
                      <w:sz w:val="21"/>
                      <w:szCs w:val="21"/>
                      <w:highlight w:val="none"/>
                    </w:rPr>
                  </w:pPr>
                  <w:r>
                    <w:rPr>
                      <w:rFonts w:hint="eastAsia" w:ascii="宋体" w:hAnsi="宋体" w:eastAsia="宋体" w:cs="宋体"/>
                      <w:color w:val="0000FF"/>
                      <w:sz w:val="21"/>
                      <w:szCs w:val="21"/>
                      <w:highlight w:val="none"/>
                    </w:rPr>
                    <w:t>受检者辅助定位及支撑装置</w:t>
                  </w:r>
                </w:p>
              </w:tc>
              <w:tc>
                <w:tcPr>
                  <w:tcW w:w="733" w:type="dxa"/>
                  <w:tcBorders>
                    <w:top w:val="single" w:color="000000" w:sz="4" w:space="0"/>
                    <w:left w:val="single" w:color="000000" w:sz="4" w:space="0"/>
                    <w:bottom w:val="single" w:color="000000" w:sz="4" w:space="0"/>
                    <w:right w:val="single" w:color="000000" w:sz="4" w:space="0"/>
                  </w:tcBorders>
                  <w:noWrap/>
                </w:tcPr>
                <w:p w14:paraId="00458A1C">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pacing w:val="2"/>
                      <w:sz w:val="21"/>
                      <w:szCs w:val="21"/>
                      <w:highlight w:val="none"/>
                    </w:rPr>
                  </w:pPr>
                  <w:r>
                    <w:rPr>
                      <w:rFonts w:hint="eastAsia" w:ascii="宋体" w:hAnsi="宋体" w:eastAsia="宋体" w:cs="宋体"/>
                      <w:color w:val="0000FF"/>
                      <w:sz w:val="21"/>
                      <w:szCs w:val="21"/>
                      <w:highlight w:val="none"/>
                    </w:rPr>
                    <w:t>1</w:t>
                  </w:r>
                </w:p>
              </w:tc>
              <w:tc>
                <w:tcPr>
                  <w:tcW w:w="905" w:type="dxa"/>
                  <w:tcBorders>
                    <w:top w:val="single" w:color="000000" w:sz="4" w:space="0"/>
                    <w:left w:val="single" w:color="000000" w:sz="4" w:space="0"/>
                    <w:bottom w:val="single" w:color="000000" w:sz="4" w:space="0"/>
                    <w:right w:val="single" w:color="000000" w:sz="4" w:space="0"/>
                  </w:tcBorders>
                  <w:noWrap/>
                </w:tcPr>
                <w:p w14:paraId="532D00C6">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套</w:t>
                  </w:r>
                </w:p>
              </w:tc>
              <w:tc>
                <w:tcPr>
                  <w:tcW w:w="905" w:type="dxa"/>
                  <w:tcBorders>
                    <w:top w:val="single" w:color="000000" w:sz="4" w:space="0"/>
                    <w:left w:val="single" w:color="000000" w:sz="4" w:space="0"/>
                    <w:bottom w:val="single" w:color="000000" w:sz="4" w:space="0"/>
                    <w:right w:val="single" w:color="000000" w:sz="4" w:space="0"/>
                  </w:tcBorders>
                  <w:noWrap/>
                </w:tcPr>
                <w:p w14:paraId="46B76BD5">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p>
              </w:tc>
            </w:tr>
            <w:tr w14:paraId="03BBB936">
              <w:tblPrEx>
                <w:tblCellMar>
                  <w:top w:w="0" w:type="dxa"/>
                  <w:left w:w="108" w:type="dxa"/>
                  <w:bottom w:w="0" w:type="dxa"/>
                  <w:right w:w="108" w:type="dxa"/>
                </w:tblCellMar>
              </w:tblPrEx>
              <w:trPr>
                <w:trHeight w:val="567" w:hRule="atLeast"/>
              </w:trPr>
              <w:tc>
                <w:tcPr>
                  <w:tcW w:w="474" w:type="dxa"/>
                  <w:tcBorders>
                    <w:top w:val="single" w:color="000000" w:sz="4" w:space="0"/>
                    <w:left w:val="single" w:color="000000" w:sz="4" w:space="0"/>
                    <w:bottom w:val="single" w:color="000000" w:sz="4" w:space="0"/>
                    <w:right w:val="single" w:color="000000" w:sz="4" w:space="0"/>
                  </w:tcBorders>
                  <w:noWrap/>
                  <w:vAlign w:val="center"/>
                </w:tcPr>
                <w:p w14:paraId="45B03AEE">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6</w:t>
                  </w:r>
                </w:p>
              </w:tc>
              <w:tc>
                <w:tcPr>
                  <w:tcW w:w="2165" w:type="dxa"/>
                  <w:tcBorders>
                    <w:top w:val="single" w:color="000000" w:sz="4" w:space="0"/>
                    <w:left w:val="single" w:color="000000" w:sz="4" w:space="0"/>
                    <w:bottom w:val="single" w:color="000000" w:sz="4" w:space="0"/>
                    <w:right w:val="single" w:color="000000" w:sz="4" w:space="0"/>
                  </w:tcBorders>
                  <w:noWrap/>
                  <w:vAlign w:val="center"/>
                </w:tcPr>
                <w:p w14:paraId="660D7DAF">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pacing w:val="2"/>
                      <w:sz w:val="21"/>
                      <w:szCs w:val="21"/>
                      <w:highlight w:val="none"/>
                    </w:rPr>
                  </w:pPr>
                  <w:r>
                    <w:rPr>
                      <w:rFonts w:hint="eastAsia" w:ascii="宋体" w:hAnsi="宋体" w:eastAsia="宋体" w:cs="宋体"/>
                      <w:color w:val="0000FF"/>
                      <w:sz w:val="21"/>
                      <w:szCs w:val="21"/>
                      <w:highlight w:val="none"/>
                    </w:rPr>
                    <w:t>曝光手闸、电源开关及控制电缆</w:t>
                  </w:r>
                </w:p>
              </w:tc>
              <w:tc>
                <w:tcPr>
                  <w:tcW w:w="733" w:type="dxa"/>
                  <w:tcBorders>
                    <w:top w:val="single" w:color="000000" w:sz="4" w:space="0"/>
                    <w:left w:val="single" w:color="000000" w:sz="4" w:space="0"/>
                    <w:bottom w:val="single" w:color="000000" w:sz="4" w:space="0"/>
                    <w:right w:val="single" w:color="000000" w:sz="4" w:space="0"/>
                  </w:tcBorders>
                  <w:noWrap/>
                </w:tcPr>
                <w:p w14:paraId="4FEF35B8">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pacing w:val="2"/>
                      <w:sz w:val="21"/>
                      <w:szCs w:val="21"/>
                      <w:highlight w:val="none"/>
                    </w:rPr>
                  </w:pPr>
                  <w:r>
                    <w:rPr>
                      <w:rFonts w:hint="eastAsia" w:ascii="宋体" w:hAnsi="宋体" w:eastAsia="宋体" w:cs="宋体"/>
                      <w:color w:val="0000FF"/>
                      <w:sz w:val="21"/>
                      <w:szCs w:val="21"/>
                      <w:highlight w:val="none"/>
                    </w:rPr>
                    <w:t>1</w:t>
                  </w:r>
                </w:p>
              </w:tc>
              <w:tc>
                <w:tcPr>
                  <w:tcW w:w="905" w:type="dxa"/>
                  <w:tcBorders>
                    <w:top w:val="single" w:color="000000" w:sz="4" w:space="0"/>
                    <w:left w:val="single" w:color="000000" w:sz="4" w:space="0"/>
                    <w:bottom w:val="single" w:color="000000" w:sz="4" w:space="0"/>
                    <w:right w:val="single" w:color="000000" w:sz="4" w:space="0"/>
                  </w:tcBorders>
                  <w:noWrap/>
                </w:tcPr>
                <w:p w14:paraId="6E41D8F5">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套</w:t>
                  </w:r>
                </w:p>
              </w:tc>
              <w:tc>
                <w:tcPr>
                  <w:tcW w:w="905" w:type="dxa"/>
                  <w:tcBorders>
                    <w:top w:val="single" w:color="000000" w:sz="4" w:space="0"/>
                    <w:left w:val="single" w:color="000000" w:sz="4" w:space="0"/>
                    <w:bottom w:val="single" w:color="000000" w:sz="4" w:space="0"/>
                    <w:right w:val="single" w:color="000000" w:sz="4" w:space="0"/>
                  </w:tcBorders>
                  <w:noWrap/>
                </w:tcPr>
                <w:p w14:paraId="38CD9612">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p>
              </w:tc>
            </w:tr>
            <w:tr w14:paraId="55E20599">
              <w:tblPrEx>
                <w:tblCellMar>
                  <w:top w:w="0" w:type="dxa"/>
                  <w:left w:w="108" w:type="dxa"/>
                  <w:bottom w:w="0" w:type="dxa"/>
                  <w:right w:w="108" w:type="dxa"/>
                </w:tblCellMar>
              </w:tblPrEx>
              <w:trPr>
                <w:trHeight w:val="567" w:hRule="atLeast"/>
              </w:trPr>
              <w:tc>
                <w:tcPr>
                  <w:tcW w:w="474" w:type="dxa"/>
                  <w:tcBorders>
                    <w:top w:val="single" w:color="000000" w:sz="4" w:space="0"/>
                    <w:left w:val="single" w:color="000000" w:sz="4" w:space="0"/>
                    <w:bottom w:val="single" w:color="000000" w:sz="4" w:space="0"/>
                    <w:right w:val="single" w:color="000000" w:sz="4" w:space="0"/>
                  </w:tcBorders>
                  <w:noWrap/>
                  <w:vAlign w:val="center"/>
                </w:tcPr>
                <w:p w14:paraId="4046763B">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7</w:t>
                  </w:r>
                </w:p>
              </w:tc>
              <w:tc>
                <w:tcPr>
                  <w:tcW w:w="2165" w:type="dxa"/>
                  <w:tcBorders>
                    <w:top w:val="single" w:color="000000" w:sz="4" w:space="0"/>
                    <w:left w:val="single" w:color="000000" w:sz="4" w:space="0"/>
                    <w:bottom w:val="single" w:color="000000" w:sz="4" w:space="0"/>
                    <w:right w:val="single" w:color="000000" w:sz="4" w:space="0"/>
                  </w:tcBorders>
                  <w:noWrap/>
                  <w:vAlign w:val="center"/>
                </w:tcPr>
                <w:p w14:paraId="29B73907">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人机交互触控面板</w:t>
                  </w:r>
                </w:p>
              </w:tc>
              <w:tc>
                <w:tcPr>
                  <w:tcW w:w="733" w:type="dxa"/>
                  <w:tcBorders>
                    <w:top w:val="single" w:color="000000" w:sz="4" w:space="0"/>
                    <w:left w:val="single" w:color="000000" w:sz="4" w:space="0"/>
                    <w:bottom w:val="single" w:color="000000" w:sz="4" w:space="0"/>
                    <w:right w:val="single" w:color="000000" w:sz="4" w:space="0"/>
                  </w:tcBorders>
                  <w:noWrap/>
                </w:tcPr>
                <w:p w14:paraId="7168DEAB">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w:t>
                  </w:r>
                </w:p>
              </w:tc>
              <w:tc>
                <w:tcPr>
                  <w:tcW w:w="905" w:type="dxa"/>
                  <w:tcBorders>
                    <w:top w:val="single" w:color="000000" w:sz="4" w:space="0"/>
                    <w:left w:val="single" w:color="000000" w:sz="4" w:space="0"/>
                    <w:bottom w:val="single" w:color="000000" w:sz="4" w:space="0"/>
                    <w:right w:val="single" w:color="000000" w:sz="4" w:space="0"/>
                  </w:tcBorders>
                  <w:noWrap/>
                </w:tcPr>
                <w:p w14:paraId="4BB9F7B8">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套</w:t>
                  </w:r>
                </w:p>
              </w:tc>
              <w:tc>
                <w:tcPr>
                  <w:tcW w:w="905" w:type="dxa"/>
                  <w:tcBorders>
                    <w:top w:val="single" w:color="000000" w:sz="4" w:space="0"/>
                    <w:left w:val="single" w:color="000000" w:sz="4" w:space="0"/>
                    <w:bottom w:val="single" w:color="000000" w:sz="4" w:space="0"/>
                    <w:right w:val="single" w:color="000000" w:sz="4" w:space="0"/>
                  </w:tcBorders>
                  <w:noWrap/>
                </w:tcPr>
                <w:p w14:paraId="2C284651">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p>
              </w:tc>
            </w:tr>
            <w:tr w14:paraId="69AAB213">
              <w:tblPrEx>
                <w:tblCellMar>
                  <w:top w:w="0" w:type="dxa"/>
                  <w:left w:w="108" w:type="dxa"/>
                  <w:bottom w:w="0" w:type="dxa"/>
                  <w:right w:w="108" w:type="dxa"/>
                </w:tblCellMar>
              </w:tblPrEx>
              <w:trPr>
                <w:trHeight w:val="567" w:hRule="atLeast"/>
              </w:trPr>
              <w:tc>
                <w:tcPr>
                  <w:tcW w:w="474" w:type="dxa"/>
                  <w:tcBorders>
                    <w:top w:val="single" w:color="000000" w:sz="4" w:space="0"/>
                    <w:left w:val="single" w:color="000000" w:sz="4" w:space="0"/>
                    <w:bottom w:val="single" w:color="000000" w:sz="4" w:space="0"/>
                    <w:right w:val="single" w:color="000000" w:sz="4" w:space="0"/>
                  </w:tcBorders>
                  <w:noWrap/>
                  <w:vAlign w:val="center"/>
                </w:tcPr>
                <w:p w14:paraId="2D590666">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8</w:t>
                  </w:r>
                </w:p>
              </w:tc>
              <w:tc>
                <w:tcPr>
                  <w:tcW w:w="2165" w:type="dxa"/>
                  <w:tcBorders>
                    <w:top w:val="single" w:color="000000" w:sz="4" w:space="0"/>
                    <w:left w:val="single" w:color="000000" w:sz="4" w:space="0"/>
                    <w:bottom w:val="single" w:color="000000" w:sz="4" w:space="0"/>
                    <w:right w:val="single" w:color="000000" w:sz="4" w:space="0"/>
                  </w:tcBorders>
                  <w:noWrap/>
                  <w:vAlign w:val="center"/>
                </w:tcPr>
                <w:p w14:paraId="5C7CC5F7">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pacing w:val="2"/>
                      <w:sz w:val="21"/>
                      <w:szCs w:val="21"/>
                      <w:highlight w:val="none"/>
                    </w:rPr>
                  </w:pPr>
                  <w:r>
                    <w:rPr>
                      <w:rFonts w:hint="eastAsia" w:ascii="宋体" w:hAnsi="宋体" w:eastAsia="宋体" w:cs="宋体"/>
                      <w:color w:val="0000FF"/>
                      <w:sz w:val="21"/>
                      <w:szCs w:val="21"/>
                      <w:highlight w:val="none"/>
                    </w:rPr>
                    <w:t>图像处理工作站（电脑）</w:t>
                  </w:r>
                </w:p>
              </w:tc>
              <w:tc>
                <w:tcPr>
                  <w:tcW w:w="733" w:type="dxa"/>
                  <w:tcBorders>
                    <w:top w:val="single" w:color="000000" w:sz="4" w:space="0"/>
                    <w:left w:val="single" w:color="000000" w:sz="4" w:space="0"/>
                    <w:bottom w:val="single" w:color="000000" w:sz="4" w:space="0"/>
                    <w:right w:val="single" w:color="000000" w:sz="4" w:space="0"/>
                  </w:tcBorders>
                  <w:noWrap/>
                </w:tcPr>
                <w:p w14:paraId="62D6F8EE">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pacing w:val="2"/>
                      <w:sz w:val="21"/>
                      <w:szCs w:val="21"/>
                      <w:highlight w:val="none"/>
                    </w:rPr>
                  </w:pPr>
                  <w:r>
                    <w:rPr>
                      <w:rFonts w:hint="eastAsia" w:ascii="宋体" w:hAnsi="宋体" w:eastAsia="宋体" w:cs="宋体"/>
                      <w:color w:val="0000FF"/>
                      <w:sz w:val="21"/>
                      <w:szCs w:val="21"/>
                      <w:highlight w:val="none"/>
                    </w:rPr>
                    <w:t>1</w:t>
                  </w:r>
                </w:p>
              </w:tc>
              <w:tc>
                <w:tcPr>
                  <w:tcW w:w="905" w:type="dxa"/>
                  <w:tcBorders>
                    <w:top w:val="single" w:color="000000" w:sz="4" w:space="0"/>
                    <w:left w:val="single" w:color="000000" w:sz="4" w:space="0"/>
                    <w:bottom w:val="single" w:color="000000" w:sz="4" w:space="0"/>
                    <w:right w:val="single" w:color="000000" w:sz="4" w:space="0"/>
                  </w:tcBorders>
                  <w:noWrap/>
                </w:tcPr>
                <w:p w14:paraId="07996808">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套</w:t>
                  </w:r>
                </w:p>
              </w:tc>
              <w:tc>
                <w:tcPr>
                  <w:tcW w:w="905" w:type="dxa"/>
                  <w:tcBorders>
                    <w:top w:val="single" w:color="000000" w:sz="4" w:space="0"/>
                    <w:left w:val="single" w:color="000000" w:sz="4" w:space="0"/>
                    <w:bottom w:val="single" w:color="000000" w:sz="4" w:space="0"/>
                    <w:right w:val="single" w:color="000000" w:sz="4" w:space="0"/>
                  </w:tcBorders>
                  <w:noWrap/>
                </w:tcPr>
                <w:p w14:paraId="6DAA0AEC">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lang w:val="en"/>
                    </w:rPr>
                  </w:pPr>
                  <w:r>
                    <w:rPr>
                      <w:rFonts w:hint="eastAsia" w:ascii="宋体" w:hAnsi="宋体" w:eastAsia="宋体" w:cs="宋体"/>
                      <w:color w:val="0000FF"/>
                      <w:sz w:val="21"/>
                      <w:szCs w:val="21"/>
                      <w:highlight w:val="none"/>
                      <w:lang w:val="en"/>
                    </w:rPr>
                    <w:t>显示器≥27寸，内存≥16G，CPUi7，固态硬盘≥2T，独立显卡</w:t>
                  </w:r>
                  <w:r>
                    <w:rPr>
                      <w:rStyle w:val="156"/>
                      <w:rFonts w:hint="eastAsia" w:ascii="宋体" w:hAnsi="宋体" w:eastAsia="宋体" w:cs="宋体"/>
                      <w:color w:val="0000FF"/>
                      <w:sz w:val="21"/>
                      <w:szCs w:val="21"/>
                      <w:highlight w:val="none"/>
                      <w:lang w:bidi="ar"/>
                    </w:rPr>
                    <w:t>≥4GB</w:t>
                  </w:r>
                </w:p>
                <w:p w14:paraId="7C0E493A">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lang w:val="en"/>
                    </w:rPr>
                  </w:pPr>
                </w:p>
              </w:tc>
            </w:tr>
            <w:tr w14:paraId="331F88FD">
              <w:tblPrEx>
                <w:tblCellMar>
                  <w:top w:w="0" w:type="dxa"/>
                  <w:left w:w="108" w:type="dxa"/>
                  <w:bottom w:w="0" w:type="dxa"/>
                  <w:right w:w="108" w:type="dxa"/>
                </w:tblCellMar>
              </w:tblPrEx>
              <w:trPr>
                <w:trHeight w:val="567" w:hRule="atLeast"/>
              </w:trPr>
              <w:tc>
                <w:tcPr>
                  <w:tcW w:w="474" w:type="dxa"/>
                  <w:tcBorders>
                    <w:top w:val="single" w:color="000000" w:sz="4" w:space="0"/>
                    <w:left w:val="single" w:color="000000" w:sz="4" w:space="0"/>
                    <w:bottom w:val="single" w:color="000000" w:sz="4" w:space="0"/>
                    <w:right w:val="single" w:color="000000" w:sz="4" w:space="0"/>
                  </w:tcBorders>
                  <w:noWrap/>
                  <w:vAlign w:val="center"/>
                </w:tcPr>
                <w:p w14:paraId="2EA1F67C">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9</w:t>
                  </w:r>
                </w:p>
              </w:tc>
              <w:tc>
                <w:tcPr>
                  <w:tcW w:w="2165" w:type="dxa"/>
                  <w:tcBorders>
                    <w:top w:val="single" w:color="000000" w:sz="4" w:space="0"/>
                    <w:left w:val="single" w:color="000000" w:sz="4" w:space="0"/>
                    <w:bottom w:val="single" w:color="000000" w:sz="4" w:space="0"/>
                    <w:right w:val="single" w:color="000000" w:sz="4" w:space="0"/>
                  </w:tcBorders>
                  <w:noWrap/>
                  <w:vAlign w:val="center"/>
                </w:tcPr>
                <w:p w14:paraId="4DC61E0D">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专业口腔数字化影像软件</w:t>
                  </w:r>
                </w:p>
              </w:tc>
              <w:tc>
                <w:tcPr>
                  <w:tcW w:w="733" w:type="dxa"/>
                  <w:tcBorders>
                    <w:top w:val="single" w:color="000000" w:sz="4" w:space="0"/>
                    <w:left w:val="single" w:color="000000" w:sz="4" w:space="0"/>
                    <w:bottom w:val="single" w:color="000000" w:sz="4" w:space="0"/>
                    <w:right w:val="single" w:color="000000" w:sz="4" w:space="0"/>
                  </w:tcBorders>
                  <w:noWrap/>
                </w:tcPr>
                <w:p w14:paraId="12950259">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w:t>
                  </w:r>
                </w:p>
              </w:tc>
              <w:tc>
                <w:tcPr>
                  <w:tcW w:w="905" w:type="dxa"/>
                  <w:tcBorders>
                    <w:top w:val="single" w:color="000000" w:sz="4" w:space="0"/>
                    <w:left w:val="single" w:color="000000" w:sz="4" w:space="0"/>
                    <w:bottom w:val="single" w:color="000000" w:sz="4" w:space="0"/>
                    <w:right w:val="single" w:color="000000" w:sz="4" w:space="0"/>
                  </w:tcBorders>
                  <w:noWrap/>
                </w:tcPr>
                <w:p w14:paraId="047D9E1C">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套</w:t>
                  </w:r>
                </w:p>
              </w:tc>
              <w:tc>
                <w:tcPr>
                  <w:tcW w:w="905" w:type="dxa"/>
                  <w:tcBorders>
                    <w:top w:val="single" w:color="000000" w:sz="4" w:space="0"/>
                    <w:left w:val="single" w:color="000000" w:sz="4" w:space="0"/>
                    <w:bottom w:val="single" w:color="000000" w:sz="4" w:space="0"/>
                    <w:right w:val="single" w:color="000000" w:sz="4" w:space="0"/>
                  </w:tcBorders>
                  <w:noWrap/>
                </w:tcPr>
                <w:p w14:paraId="529CAB03">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p>
              </w:tc>
            </w:tr>
            <w:tr w14:paraId="3E7C3D26">
              <w:tblPrEx>
                <w:tblCellMar>
                  <w:top w:w="0" w:type="dxa"/>
                  <w:left w:w="108" w:type="dxa"/>
                  <w:bottom w:w="0" w:type="dxa"/>
                  <w:right w:w="108" w:type="dxa"/>
                </w:tblCellMar>
              </w:tblPrEx>
              <w:trPr>
                <w:trHeight w:val="567" w:hRule="atLeast"/>
              </w:trPr>
              <w:tc>
                <w:tcPr>
                  <w:tcW w:w="474" w:type="dxa"/>
                  <w:tcBorders>
                    <w:top w:val="single" w:color="000000" w:sz="4" w:space="0"/>
                    <w:left w:val="single" w:color="000000" w:sz="4" w:space="0"/>
                    <w:bottom w:val="single" w:color="000000" w:sz="4" w:space="0"/>
                    <w:right w:val="single" w:color="000000" w:sz="4" w:space="0"/>
                  </w:tcBorders>
                  <w:noWrap/>
                  <w:vAlign w:val="center"/>
                </w:tcPr>
                <w:p w14:paraId="17B40BD0">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10</w:t>
                  </w:r>
                </w:p>
              </w:tc>
              <w:tc>
                <w:tcPr>
                  <w:tcW w:w="2165" w:type="dxa"/>
                  <w:tcBorders>
                    <w:top w:val="single" w:color="000000" w:sz="4" w:space="0"/>
                    <w:left w:val="single" w:color="000000" w:sz="4" w:space="0"/>
                    <w:bottom w:val="single" w:color="000000" w:sz="4" w:space="0"/>
                    <w:right w:val="single" w:color="000000" w:sz="4" w:space="0"/>
                  </w:tcBorders>
                  <w:noWrap/>
                  <w:vAlign w:val="center"/>
                </w:tcPr>
                <w:p w14:paraId="37F4D316">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金属伪影校正技术</w:t>
                  </w:r>
                </w:p>
              </w:tc>
              <w:tc>
                <w:tcPr>
                  <w:tcW w:w="733" w:type="dxa"/>
                  <w:tcBorders>
                    <w:top w:val="single" w:color="000000" w:sz="4" w:space="0"/>
                    <w:left w:val="single" w:color="000000" w:sz="4" w:space="0"/>
                    <w:bottom w:val="single" w:color="000000" w:sz="4" w:space="0"/>
                    <w:right w:val="single" w:color="000000" w:sz="4" w:space="0"/>
                  </w:tcBorders>
                  <w:noWrap/>
                </w:tcPr>
                <w:p w14:paraId="621BE6AE">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w:t>
                  </w:r>
                </w:p>
              </w:tc>
              <w:tc>
                <w:tcPr>
                  <w:tcW w:w="905" w:type="dxa"/>
                  <w:tcBorders>
                    <w:top w:val="single" w:color="000000" w:sz="4" w:space="0"/>
                    <w:left w:val="single" w:color="000000" w:sz="4" w:space="0"/>
                    <w:bottom w:val="single" w:color="000000" w:sz="4" w:space="0"/>
                    <w:right w:val="single" w:color="000000" w:sz="4" w:space="0"/>
                  </w:tcBorders>
                  <w:noWrap/>
                </w:tcPr>
                <w:p w14:paraId="3C80D8C8">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套</w:t>
                  </w:r>
                </w:p>
              </w:tc>
              <w:tc>
                <w:tcPr>
                  <w:tcW w:w="905" w:type="dxa"/>
                  <w:tcBorders>
                    <w:top w:val="single" w:color="000000" w:sz="4" w:space="0"/>
                    <w:left w:val="single" w:color="000000" w:sz="4" w:space="0"/>
                    <w:bottom w:val="single" w:color="000000" w:sz="4" w:space="0"/>
                    <w:right w:val="single" w:color="000000" w:sz="4" w:space="0"/>
                  </w:tcBorders>
                  <w:noWrap/>
                </w:tcPr>
                <w:p w14:paraId="50638E6B">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p>
              </w:tc>
            </w:tr>
            <w:tr w14:paraId="4844ABC1">
              <w:tblPrEx>
                <w:tblCellMar>
                  <w:top w:w="0" w:type="dxa"/>
                  <w:left w:w="108" w:type="dxa"/>
                  <w:bottom w:w="0" w:type="dxa"/>
                  <w:right w:w="108" w:type="dxa"/>
                </w:tblCellMar>
              </w:tblPrEx>
              <w:trPr>
                <w:trHeight w:val="567" w:hRule="atLeast"/>
              </w:trPr>
              <w:tc>
                <w:tcPr>
                  <w:tcW w:w="474" w:type="dxa"/>
                  <w:tcBorders>
                    <w:top w:val="single" w:color="000000" w:sz="4" w:space="0"/>
                    <w:left w:val="single" w:color="000000" w:sz="4" w:space="0"/>
                    <w:bottom w:val="single" w:color="000000" w:sz="4" w:space="0"/>
                    <w:right w:val="single" w:color="000000" w:sz="4" w:space="0"/>
                  </w:tcBorders>
                  <w:noWrap/>
                  <w:vAlign w:val="center"/>
                </w:tcPr>
                <w:p w14:paraId="2E3293B8">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11</w:t>
                  </w:r>
                </w:p>
              </w:tc>
              <w:tc>
                <w:tcPr>
                  <w:tcW w:w="2165" w:type="dxa"/>
                  <w:tcBorders>
                    <w:top w:val="single" w:color="000000" w:sz="4" w:space="0"/>
                    <w:left w:val="single" w:color="000000" w:sz="4" w:space="0"/>
                    <w:bottom w:val="single" w:color="000000" w:sz="4" w:space="0"/>
                    <w:right w:val="single" w:color="000000" w:sz="4" w:space="0"/>
                  </w:tcBorders>
                  <w:noWrap/>
                  <w:vAlign w:val="center"/>
                </w:tcPr>
                <w:p w14:paraId="7506EA80">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高级模拟种植技术</w:t>
                  </w:r>
                </w:p>
              </w:tc>
              <w:tc>
                <w:tcPr>
                  <w:tcW w:w="733" w:type="dxa"/>
                  <w:tcBorders>
                    <w:top w:val="single" w:color="000000" w:sz="4" w:space="0"/>
                    <w:left w:val="single" w:color="000000" w:sz="4" w:space="0"/>
                    <w:bottom w:val="single" w:color="000000" w:sz="4" w:space="0"/>
                    <w:right w:val="single" w:color="000000" w:sz="4" w:space="0"/>
                  </w:tcBorders>
                  <w:noWrap/>
                </w:tcPr>
                <w:p w14:paraId="13DA8CD7">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w:t>
                  </w:r>
                </w:p>
              </w:tc>
              <w:tc>
                <w:tcPr>
                  <w:tcW w:w="905" w:type="dxa"/>
                  <w:tcBorders>
                    <w:top w:val="single" w:color="000000" w:sz="4" w:space="0"/>
                    <w:left w:val="single" w:color="000000" w:sz="4" w:space="0"/>
                    <w:bottom w:val="single" w:color="000000" w:sz="4" w:space="0"/>
                    <w:right w:val="single" w:color="000000" w:sz="4" w:space="0"/>
                  </w:tcBorders>
                  <w:noWrap/>
                </w:tcPr>
                <w:p w14:paraId="7EBE5B9E">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套</w:t>
                  </w:r>
                </w:p>
              </w:tc>
              <w:tc>
                <w:tcPr>
                  <w:tcW w:w="905" w:type="dxa"/>
                  <w:tcBorders>
                    <w:top w:val="single" w:color="000000" w:sz="4" w:space="0"/>
                    <w:left w:val="single" w:color="000000" w:sz="4" w:space="0"/>
                    <w:bottom w:val="single" w:color="000000" w:sz="4" w:space="0"/>
                    <w:right w:val="single" w:color="000000" w:sz="4" w:space="0"/>
                  </w:tcBorders>
                  <w:noWrap/>
                </w:tcPr>
                <w:p w14:paraId="0352F52D">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p>
              </w:tc>
            </w:tr>
            <w:tr w14:paraId="7D2061C1">
              <w:tblPrEx>
                <w:tblCellMar>
                  <w:top w:w="0" w:type="dxa"/>
                  <w:left w:w="108" w:type="dxa"/>
                  <w:bottom w:w="0" w:type="dxa"/>
                  <w:right w:w="108" w:type="dxa"/>
                </w:tblCellMar>
              </w:tblPrEx>
              <w:trPr>
                <w:trHeight w:val="567" w:hRule="atLeast"/>
              </w:trPr>
              <w:tc>
                <w:tcPr>
                  <w:tcW w:w="474" w:type="dxa"/>
                  <w:tcBorders>
                    <w:top w:val="single" w:color="000000" w:sz="4" w:space="0"/>
                    <w:left w:val="single" w:color="000000" w:sz="4" w:space="0"/>
                    <w:bottom w:val="single" w:color="000000" w:sz="4" w:space="0"/>
                    <w:right w:val="single" w:color="000000" w:sz="4" w:space="0"/>
                  </w:tcBorders>
                  <w:noWrap/>
                  <w:vAlign w:val="center"/>
                </w:tcPr>
                <w:p w14:paraId="62F87F29">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12</w:t>
                  </w:r>
                </w:p>
              </w:tc>
              <w:tc>
                <w:tcPr>
                  <w:tcW w:w="2165" w:type="dxa"/>
                  <w:tcBorders>
                    <w:top w:val="single" w:color="000000" w:sz="4" w:space="0"/>
                    <w:left w:val="single" w:color="000000" w:sz="4" w:space="0"/>
                    <w:bottom w:val="single" w:color="000000" w:sz="4" w:space="0"/>
                    <w:right w:val="single" w:color="000000" w:sz="4" w:space="0"/>
                  </w:tcBorders>
                  <w:noWrap/>
                  <w:vAlign w:val="center"/>
                </w:tcPr>
                <w:p w14:paraId="3FC01370">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智能气道测量技术</w:t>
                  </w:r>
                </w:p>
              </w:tc>
              <w:tc>
                <w:tcPr>
                  <w:tcW w:w="733" w:type="dxa"/>
                  <w:tcBorders>
                    <w:top w:val="single" w:color="000000" w:sz="4" w:space="0"/>
                    <w:left w:val="single" w:color="000000" w:sz="4" w:space="0"/>
                    <w:bottom w:val="single" w:color="000000" w:sz="4" w:space="0"/>
                    <w:right w:val="single" w:color="000000" w:sz="4" w:space="0"/>
                  </w:tcBorders>
                  <w:noWrap/>
                </w:tcPr>
                <w:p w14:paraId="0BA5EFCB">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w:t>
                  </w:r>
                </w:p>
              </w:tc>
              <w:tc>
                <w:tcPr>
                  <w:tcW w:w="905" w:type="dxa"/>
                  <w:tcBorders>
                    <w:top w:val="single" w:color="000000" w:sz="4" w:space="0"/>
                    <w:left w:val="single" w:color="000000" w:sz="4" w:space="0"/>
                    <w:bottom w:val="single" w:color="000000" w:sz="4" w:space="0"/>
                    <w:right w:val="single" w:color="000000" w:sz="4" w:space="0"/>
                  </w:tcBorders>
                  <w:noWrap/>
                </w:tcPr>
                <w:p w14:paraId="063C838C">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套</w:t>
                  </w:r>
                </w:p>
              </w:tc>
              <w:tc>
                <w:tcPr>
                  <w:tcW w:w="905" w:type="dxa"/>
                  <w:tcBorders>
                    <w:top w:val="single" w:color="000000" w:sz="4" w:space="0"/>
                    <w:left w:val="single" w:color="000000" w:sz="4" w:space="0"/>
                    <w:bottom w:val="single" w:color="000000" w:sz="4" w:space="0"/>
                    <w:right w:val="single" w:color="000000" w:sz="4" w:space="0"/>
                  </w:tcBorders>
                  <w:noWrap/>
                </w:tcPr>
                <w:p w14:paraId="5C419DDC">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p>
              </w:tc>
            </w:tr>
            <w:tr w14:paraId="2C5D93F0">
              <w:tblPrEx>
                <w:tblCellMar>
                  <w:top w:w="0" w:type="dxa"/>
                  <w:left w:w="108" w:type="dxa"/>
                  <w:bottom w:w="0" w:type="dxa"/>
                  <w:right w:w="108" w:type="dxa"/>
                </w:tblCellMar>
              </w:tblPrEx>
              <w:trPr>
                <w:trHeight w:val="567" w:hRule="atLeast"/>
              </w:trPr>
              <w:tc>
                <w:tcPr>
                  <w:tcW w:w="474" w:type="dxa"/>
                  <w:tcBorders>
                    <w:top w:val="single" w:color="000000" w:sz="4" w:space="0"/>
                    <w:left w:val="single" w:color="000000" w:sz="4" w:space="0"/>
                    <w:bottom w:val="single" w:color="000000" w:sz="4" w:space="0"/>
                    <w:right w:val="single" w:color="000000" w:sz="4" w:space="0"/>
                  </w:tcBorders>
                  <w:noWrap/>
                  <w:vAlign w:val="center"/>
                </w:tcPr>
                <w:p w14:paraId="1E1EBFC7">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13</w:t>
                  </w:r>
                </w:p>
              </w:tc>
              <w:tc>
                <w:tcPr>
                  <w:tcW w:w="2165" w:type="dxa"/>
                  <w:tcBorders>
                    <w:top w:val="single" w:color="000000" w:sz="4" w:space="0"/>
                    <w:left w:val="single" w:color="000000" w:sz="4" w:space="0"/>
                    <w:bottom w:val="single" w:color="000000" w:sz="4" w:space="0"/>
                    <w:right w:val="single" w:color="000000" w:sz="4" w:space="0"/>
                  </w:tcBorders>
                  <w:noWrap/>
                  <w:vAlign w:val="center"/>
                </w:tcPr>
                <w:p w14:paraId="2AB0E5AB">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正畸影像处理软件</w:t>
                  </w:r>
                </w:p>
              </w:tc>
              <w:tc>
                <w:tcPr>
                  <w:tcW w:w="733" w:type="dxa"/>
                  <w:tcBorders>
                    <w:top w:val="single" w:color="000000" w:sz="4" w:space="0"/>
                    <w:left w:val="single" w:color="000000" w:sz="4" w:space="0"/>
                    <w:bottom w:val="single" w:color="000000" w:sz="4" w:space="0"/>
                    <w:right w:val="single" w:color="000000" w:sz="4" w:space="0"/>
                  </w:tcBorders>
                  <w:noWrap/>
                </w:tcPr>
                <w:p w14:paraId="73F69AAC">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w:t>
                  </w:r>
                </w:p>
              </w:tc>
              <w:tc>
                <w:tcPr>
                  <w:tcW w:w="905" w:type="dxa"/>
                  <w:tcBorders>
                    <w:top w:val="single" w:color="000000" w:sz="4" w:space="0"/>
                    <w:left w:val="single" w:color="000000" w:sz="4" w:space="0"/>
                    <w:bottom w:val="single" w:color="000000" w:sz="4" w:space="0"/>
                    <w:right w:val="single" w:color="000000" w:sz="4" w:space="0"/>
                  </w:tcBorders>
                  <w:noWrap/>
                </w:tcPr>
                <w:p w14:paraId="032690CE">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套</w:t>
                  </w:r>
                </w:p>
              </w:tc>
              <w:tc>
                <w:tcPr>
                  <w:tcW w:w="905" w:type="dxa"/>
                  <w:tcBorders>
                    <w:top w:val="single" w:color="000000" w:sz="4" w:space="0"/>
                    <w:left w:val="single" w:color="000000" w:sz="4" w:space="0"/>
                    <w:bottom w:val="single" w:color="000000" w:sz="4" w:space="0"/>
                    <w:right w:val="single" w:color="000000" w:sz="4" w:space="0"/>
                  </w:tcBorders>
                  <w:noWrap/>
                </w:tcPr>
                <w:p w14:paraId="3054D9CE">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p>
              </w:tc>
            </w:tr>
            <w:tr w14:paraId="45AC485C">
              <w:tblPrEx>
                <w:tblCellMar>
                  <w:top w:w="0" w:type="dxa"/>
                  <w:left w:w="108" w:type="dxa"/>
                  <w:bottom w:w="0" w:type="dxa"/>
                  <w:right w:w="108" w:type="dxa"/>
                </w:tblCellMar>
              </w:tblPrEx>
              <w:trPr>
                <w:trHeight w:val="567" w:hRule="atLeast"/>
              </w:trPr>
              <w:tc>
                <w:tcPr>
                  <w:tcW w:w="474" w:type="dxa"/>
                  <w:tcBorders>
                    <w:top w:val="single" w:color="000000" w:sz="4" w:space="0"/>
                    <w:left w:val="single" w:color="000000" w:sz="4" w:space="0"/>
                    <w:bottom w:val="single" w:color="000000" w:sz="4" w:space="0"/>
                    <w:right w:val="single" w:color="000000" w:sz="4" w:space="0"/>
                  </w:tcBorders>
                  <w:noWrap/>
                  <w:vAlign w:val="center"/>
                </w:tcPr>
                <w:p w14:paraId="2ADFE75F">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14</w:t>
                  </w:r>
                </w:p>
              </w:tc>
              <w:tc>
                <w:tcPr>
                  <w:tcW w:w="2165" w:type="dxa"/>
                  <w:tcBorders>
                    <w:top w:val="single" w:color="000000" w:sz="4" w:space="0"/>
                    <w:left w:val="single" w:color="000000" w:sz="4" w:space="0"/>
                    <w:bottom w:val="single" w:color="000000" w:sz="4" w:space="0"/>
                    <w:right w:val="single" w:color="000000" w:sz="4" w:space="0"/>
                  </w:tcBorders>
                  <w:noWrap/>
                  <w:vAlign w:val="center"/>
                </w:tcPr>
                <w:p w14:paraId="38B6D6BE">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DICOM3.0传输/储存/打印</w:t>
                  </w:r>
                </w:p>
              </w:tc>
              <w:tc>
                <w:tcPr>
                  <w:tcW w:w="733" w:type="dxa"/>
                  <w:tcBorders>
                    <w:top w:val="single" w:color="000000" w:sz="4" w:space="0"/>
                    <w:left w:val="single" w:color="000000" w:sz="4" w:space="0"/>
                    <w:bottom w:val="single" w:color="000000" w:sz="4" w:space="0"/>
                    <w:right w:val="single" w:color="000000" w:sz="4" w:space="0"/>
                  </w:tcBorders>
                  <w:noWrap/>
                </w:tcPr>
                <w:p w14:paraId="6CD61DA8">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w:t>
                  </w:r>
                </w:p>
              </w:tc>
              <w:tc>
                <w:tcPr>
                  <w:tcW w:w="905" w:type="dxa"/>
                  <w:tcBorders>
                    <w:top w:val="single" w:color="000000" w:sz="4" w:space="0"/>
                    <w:left w:val="single" w:color="000000" w:sz="4" w:space="0"/>
                    <w:bottom w:val="single" w:color="000000" w:sz="4" w:space="0"/>
                    <w:right w:val="single" w:color="000000" w:sz="4" w:space="0"/>
                  </w:tcBorders>
                  <w:noWrap/>
                </w:tcPr>
                <w:p w14:paraId="51AAF0DC">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套</w:t>
                  </w:r>
                </w:p>
              </w:tc>
              <w:tc>
                <w:tcPr>
                  <w:tcW w:w="905" w:type="dxa"/>
                  <w:tcBorders>
                    <w:top w:val="single" w:color="000000" w:sz="4" w:space="0"/>
                    <w:left w:val="single" w:color="000000" w:sz="4" w:space="0"/>
                    <w:bottom w:val="single" w:color="000000" w:sz="4" w:space="0"/>
                    <w:right w:val="single" w:color="000000" w:sz="4" w:space="0"/>
                  </w:tcBorders>
                  <w:noWrap/>
                </w:tcPr>
                <w:p w14:paraId="719F7208">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p>
              </w:tc>
            </w:tr>
            <w:tr w14:paraId="5EB296BE">
              <w:tblPrEx>
                <w:tblCellMar>
                  <w:top w:w="0" w:type="dxa"/>
                  <w:left w:w="108" w:type="dxa"/>
                  <w:bottom w:w="0" w:type="dxa"/>
                  <w:right w:w="108" w:type="dxa"/>
                </w:tblCellMar>
              </w:tblPrEx>
              <w:trPr>
                <w:trHeight w:val="567" w:hRule="atLeast"/>
              </w:trPr>
              <w:tc>
                <w:tcPr>
                  <w:tcW w:w="474" w:type="dxa"/>
                  <w:tcBorders>
                    <w:top w:val="single" w:color="000000" w:sz="4" w:space="0"/>
                    <w:left w:val="single" w:color="000000" w:sz="4" w:space="0"/>
                    <w:bottom w:val="single" w:color="000000" w:sz="4" w:space="0"/>
                    <w:right w:val="single" w:color="000000" w:sz="4" w:space="0"/>
                  </w:tcBorders>
                  <w:noWrap/>
                  <w:vAlign w:val="center"/>
                </w:tcPr>
                <w:p w14:paraId="7112FD66">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15</w:t>
                  </w:r>
                </w:p>
              </w:tc>
              <w:tc>
                <w:tcPr>
                  <w:tcW w:w="2165" w:type="dxa"/>
                  <w:tcBorders>
                    <w:top w:val="single" w:color="000000" w:sz="4" w:space="0"/>
                    <w:left w:val="single" w:color="000000" w:sz="4" w:space="0"/>
                    <w:bottom w:val="single" w:color="000000" w:sz="4" w:space="0"/>
                    <w:right w:val="single" w:color="000000" w:sz="4" w:space="0"/>
                  </w:tcBorders>
                  <w:noWrap/>
                  <w:vAlign w:val="center"/>
                </w:tcPr>
                <w:p w14:paraId="5F394FCE">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产品及软件使用手册</w:t>
                  </w:r>
                </w:p>
              </w:tc>
              <w:tc>
                <w:tcPr>
                  <w:tcW w:w="733" w:type="dxa"/>
                  <w:tcBorders>
                    <w:top w:val="single" w:color="000000" w:sz="4" w:space="0"/>
                    <w:left w:val="single" w:color="000000" w:sz="4" w:space="0"/>
                    <w:bottom w:val="single" w:color="000000" w:sz="4" w:space="0"/>
                    <w:right w:val="single" w:color="000000" w:sz="4" w:space="0"/>
                  </w:tcBorders>
                  <w:noWrap/>
                </w:tcPr>
                <w:p w14:paraId="53938E9C">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w:t>
                  </w:r>
                </w:p>
              </w:tc>
              <w:tc>
                <w:tcPr>
                  <w:tcW w:w="905" w:type="dxa"/>
                  <w:tcBorders>
                    <w:top w:val="single" w:color="000000" w:sz="4" w:space="0"/>
                    <w:left w:val="single" w:color="000000" w:sz="4" w:space="0"/>
                    <w:bottom w:val="single" w:color="000000" w:sz="4" w:space="0"/>
                    <w:right w:val="single" w:color="000000" w:sz="4" w:space="0"/>
                  </w:tcBorders>
                  <w:noWrap/>
                </w:tcPr>
                <w:p w14:paraId="76027F17">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套</w:t>
                  </w:r>
                </w:p>
              </w:tc>
              <w:tc>
                <w:tcPr>
                  <w:tcW w:w="905" w:type="dxa"/>
                  <w:tcBorders>
                    <w:top w:val="single" w:color="000000" w:sz="4" w:space="0"/>
                    <w:left w:val="single" w:color="000000" w:sz="4" w:space="0"/>
                    <w:bottom w:val="single" w:color="000000" w:sz="4" w:space="0"/>
                    <w:right w:val="single" w:color="000000" w:sz="4" w:space="0"/>
                  </w:tcBorders>
                  <w:noWrap/>
                </w:tcPr>
                <w:p w14:paraId="34525C49">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p>
              </w:tc>
            </w:tr>
            <w:tr w14:paraId="5439E119">
              <w:tblPrEx>
                <w:tblCellMar>
                  <w:top w:w="0" w:type="dxa"/>
                  <w:left w:w="108" w:type="dxa"/>
                  <w:bottom w:w="0" w:type="dxa"/>
                  <w:right w:w="108" w:type="dxa"/>
                </w:tblCellMar>
              </w:tblPrEx>
              <w:trPr>
                <w:trHeight w:val="567" w:hRule="atLeast"/>
              </w:trPr>
              <w:tc>
                <w:tcPr>
                  <w:tcW w:w="474" w:type="dxa"/>
                  <w:tcBorders>
                    <w:top w:val="single" w:color="000000" w:sz="4" w:space="0"/>
                    <w:left w:val="single" w:color="000000" w:sz="4" w:space="0"/>
                    <w:bottom w:val="single" w:color="000000" w:sz="4" w:space="0"/>
                    <w:right w:val="single" w:color="000000" w:sz="4" w:space="0"/>
                  </w:tcBorders>
                  <w:noWrap/>
                  <w:vAlign w:val="center"/>
                </w:tcPr>
                <w:p w14:paraId="4F82B9D5">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16</w:t>
                  </w:r>
                </w:p>
              </w:tc>
              <w:tc>
                <w:tcPr>
                  <w:tcW w:w="2165" w:type="dxa"/>
                  <w:tcBorders>
                    <w:top w:val="single" w:color="000000" w:sz="4" w:space="0"/>
                    <w:left w:val="single" w:color="000000" w:sz="4" w:space="0"/>
                    <w:bottom w:val="single" w:color="000000" w:sz="4" w:space="0"/>
                    <w:right w:val="single" w:color="000000" w:sz="4" w:space="0"/>
                  </w:tcBorders>
                  <w:noWrap/>
                  <w:vAlign w:val="center"/>
                </w:tcPr>
                <w:p w14:paraId="31FD31E1">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壁挂式牙科摄影系统及相关组件（牙片机）</w:t>
                  </w:r>
                </w:p>
              </w:tc>
              <w:tc>
                <w:tcPr>
                  <w:tcW w:w="733" w:type="dxa"/>
                  <w:tcBorders>
                    <w:top w:val="single" w:color="000000" w:sz="4" w:space="0"/>
                    <w:left w:val="single" w:color="000000" w:sz="4" w:space="0"/>
                    <w:bottom w:val="single" w:color="000000" w:sz="4" w:space="0"/>
                    <w:right w:val="single" w:color="000000" w:sz="4" w:space="0"/>
                  </w:tcBorders>
                  <w:noWrap/>
                </w:tcPr>
                <w:p w14:paraId="59C28129">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w:t>
                  </w:r>
                </w:p>
              </w:tc>
              <w:tc>
                <w:tcPr>
                  <w:tcW w:w="905" w:type="dxa"/>
                  <w:tcBorders>
                    <w:top w:val="single" w:color="000000" w:sz="4" w:space="0"/>
                    <w:left w:val="single" w:color="000000" w:sz="4" w:space="0"/>
                    <w:bottom w:val="single" w:color="000000" w:sz="4" w:space="0"/>
                    <w:right w:val="single" w:color="000000" w:sz="4" w:space="0"/>
                  </w:tcBorders>
                  <w:noWrap/>
                </w:tcPr>
                <w:p w14:paraId="46F186D9">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套</w:t>
                  </w:r>
                </w:p>
              </w:tc>
              <w:tc>
                <w:tcPr>
                  <w:tcW w:w="905" w:type="dxa"/>
                  <w:tcBorders>
                    <w:top w:val="single" w:color="000000" w:sz="4" w:space="0"/>
                    <w:left w:val="single" w:color="000000" w:sz="4" w:space="0"/>
                    <w:bottom w:val="single" w:color="000000" w:sz="4" w:space="0"/>
                    <w:right w:val="single" w:color="000000" w:sz="4" w:space="0"/>
                  </w:tcBorders>
                  <w:noWrap/>
                </w:tcPr>
                <w:p w14:paraId="0D52B6C9">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p>
              </w:tc>
            </w:tr>
            <w:tr w14:paraId="1F9A22FA">
              <w:tblPrEx>
                <w:tblCellMar>
                  <w:top w:w="0" w:type="dxa"/>
                  <w:left w:w="108" w:type="dxa"/>
                  <w:bottom w:w="0" w:type="dxa"/>
                  <w:right w:w="108" w:type="dxa"/>
                </w:tblCellMar>
              </w:tblPrEx>
              <w:trPr>
                <w:trHeight w:val="567" w:hRule="atLeast"/>
              </w:trPr>
              <w:tc>
                <w:tcPr>
                  <w:tcW w:w="474" w:type="dxa"/>
                  <w:tcBorders>
                    <w:top w:val="single" w:color="000000" w:sz="4" w:space="0"/>
                    <w:left w:val="single" w:color="000000" w:sz="4" w:space="0"/>
                    <w:bottom w:val="single" w:color="000000" w:sz="4" w:space="0"/>
                    <w:right w:val="single" w:color="000000" w:sz="4" w:space="0"/>
                  </w:tcBorders>
                  <w:noWrap/>
                  <w:vAlign w:val="center"/>
                </w:tcPr>
                <w:p w14:paraId="7062D03F">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17</w:t>
                  </w:r>
                </w:p>
              </w:tc>
              <w:tc>
                <w:tcPr>
                  <w:tcW w:w="2165" w:type="dxa"/>
                  <w:tcBorders>
                    <w:top w:val="single" w:color="000000" w:sz="4" w:space="0"/>
                    <w:left w:val="single" w:color="000000" w:sz="4" w:space="0"/>
                    <w:bottom w:val="single" w:color="000000" w:sz="4" w:space="0"/>
                    <w:right w:val="single" w:color="000000" w:sz="4" w:space="0"/>
                  </w:tcBorders>
                  <w:noWrap/>
                  <w:vAlign w:val="center"/>
                </w:tcPr>
                <w:p w14:paraId="2527D6BE">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牙科摄影安全联锁装置</w:t>
                  </w:r>
                </w:p>
              </w:tc>
              <w:tc>
                <w:tcPr>
                  <w:tcW w:w="733" w:type="dxa"/>
                  <w:tcBorders>
                    <w:top w:val="single" w:color="000000" w:sz="4" w:space="0"/>
                    <w:left w:val="single" w:color="000000" w:sz="4" w:space="0"/>
                    <w:bottom w:val="single" w:color="000000" w:sz="4" w:space="0"/>
                    <w:right w:val="single" w:color="000000" w:sz="4" w:space="0"/>
                  </w:tcBorders>
                  <w:noWrap/>
                </w:tcPr>
                <w:p w14:paraId="4C84A1C4">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w:t>
                  </w:r>
                </w:p>
              </w:tc>
              <w:tc>
                <w:tcPr>
                  <w:tcW w:w="905" w:type="dxa"/>
                  <w:tcBorders>
                    <w:top w:val="single" w:color="000000" w:sz="4" w:space="0"/>
                    <w:left w:val="single" w:color="000000" w:sz="4" w:space="0"/>
                    <w:bottom w:val="single" w:color="000000" w:sz="4" w:space="0"/>
                    <w:right w:val="single" w:color="000000" w:sz="4" w:space="0"/>
                  </w:tcBorders>
                  <w:noWrap/>
                </w:tcPr>
                <w:p w14:paraId="361E21A6">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套</w:t>
                  </w:r>
                </w:p>
              </w:tc>
              <w:tc>
                <w:tcPr>
                  <w:tcW w:w="905" w:type="dxa"/>
                  <w:tcBorders>
                    <w:top w:val="single" w:color="000000" w:sz="4" w:space="0"/>
                    <w:left w:val="single" w:color="000000" w:sz="4" w:space="0"/>
                    <w:bottom w:val="single" w:color="000000" w:sz="4" w:space="0"/>
                    <w:right w:val="single" w:color="000000" w:sz="4" w:space="0"/>
                  </w:tcBorders>
                  <w:noWrap/>
                </w:tcPr>
                <w:p w14:paraId="4CCABC61">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p>
              </w:tc>
            </w:tr>
            <w:tr w14:paraId="30E97A29">
              <w:tblPrEx>
                <w:tblCellMar>
                  <w:top w:w="0" w:type="dxa"/>
                  <w:left w:w="108" w:type="dxa"/>
                  <w:bottom w:w="0" w:type="dxa"/>
                  <w:right w:w="108" w:type="dxa"/>
                </w:tblCellMar>
              </w:tblPrEx>
              <w:trPr>
                <w:trHeight w:val="567" w:hRule="atLeast"/>
              </w:trPr>
              <w:tc>
                <w:tcPr>
                  <w:tcW w:w="474" w:type="dxa"/>
                  <w:tcBorders>
                    <w:top w:val="single" w:color="000000" w:sz="4" w:space="0"/>
                    <w:left w:val="single" w:color="000000" w:sz="4" w:space="0"/>
                    <w:bottom w:val="single" w:color="000000" w:sz="4" w:space="0"/>
                    <w:right w:val="single" w:color="000000" w:sz="4" w:space="0"/>
                  </w:tcBorders>
                  <w:noWrap/>
                  <w:vAlign w:val="center"/>
                </w:tcPr>
                <w:p w14:paraId="2FC5DFEC">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18</w:t>
                  </w:r>
                </w:p>
              </w:tc>
              <w:tc>
                <w:tcPr>
                  <w:tcW w:w="2165" w:type="dxa"/>
                  <w:tcBorders>
                    <w:top w:val="single" w:color="000000" w:sz="4" w:space="0"/>
                    <w:left w:val="single" w:color="000000" w:sz="4" w:space="0"/>
                    <w:bottom w:val="single" w:color="000000" w:sz="4" w:space="0"/>
                    <w:right w:val="single" w:color="000000" w:sz="4" w:space="0"/>
                  </w:tcBorders>
                  <w:noWrap/>
                  <w:vAlign w:val="center"/>
                </w:tcPr>
                <w:p w14:paraId="16DF73FF">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医疗智能语音系统</w:t>
                  </w:r>
                  <w:r>
                    <w:rPr>
                      <w:rFonts w:hint="eastAsia" w:ascii="宋体" w:hAnsi="宋体" w:eastAsia="宋体" w:cs="宋体"/>
                      <w:color w:val="0000FF"/>
                      <w:sz w:val="21"/>
                      <w:szCs w:val="21"/>
                      <w:highlight w:val="none"/>
                    </w:rPr>
                    <w:tab/>
                  </w:r>
                </w:p>
              </w:tc>
              <w:tc>
                <w:tcPr>
                  <w:tcW w:w="733" w:type="dxa"/>
                  <w:tcBorders>
                    <w:top w:val="single" w:color="000000" w:sz="4" w:space="0"/>
                    <w:left w:val="single" w:color="000000" w:sz="4" w:space="0"/>
                    <w:bottom w:val="single" w:color="000000" w:sz="4" w:space="0"/>
                    <w:right w:val="single" w:color="000000" w:sz="4" w:space="0"/>
                  </w:tcBorders>
                  <w:noWrap/>
                </w:tcPr>
                <w:p w14:paraId="26EDAA11">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 xml:space="preserve">1 </w:t>
                  </w:r>
                </w:p>
              </w:tc>
              <w:tc>
                <w:tcPr>
                  <w:tcW w:w="905" w:type="dxa"/>
                  <w:tcBorders>
                    <w:top w:val="single" w:color="000000" w:sz="4" w:space="0"/>
                    <w:left w:val="single" w:color="000000" w:sz="4" w:space="0"/>
                    <w:bottom w:val="single" w:color="000000" w:sz="4" w:space="0"/>
                    <w:right w:val="single" w:color="000000" w:sz="4" w:space="0"/>
                  </w:tcBorders>
                  <w:noWrap/>
                </w:tcPr>
                <w:p w14:paraId="556E8292">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套</w:t>
                  </w:r>
                </w:p>
              </w:tc>
              <w:tc>
                <w:tcPr>
                  <w:tcW w:w="905" w:type="dxa"/>
                  <w:tcBorders>
                    <w:top w:val="single" w:color="000000" w:sz="4" w:space="0"/>
                    <w:left w:val="single" w:color="000000" w:sz="4" w:space="0"/>
                    <w:bottom w:val="single" w:color="000000" w:sz="4" w:space="0"/>
                    <w:right w:val="single" w:color="000000" w:sz="4" w:space="0"/>
                  </w:tcBorders>
                  <w:noWrap/>
                </w:tcPr>
                <w:p w14:paraId="1722C4D7">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p>
              </w:tc>
            </w:tr>
            <w:tr w14:paraId="7848AF93">
              <w:tblPrEx>
                <w:tblCellMar>
                  <w:top w:w="0" w:type="dxa"/>
                  <w:left w:w="108" w:type="dxa"/>
                  <w:bottom w:w="0" w:type="dxa"/>
                  <w:right w:w="108" w:type="dxa"/>
                </w:tblCellMar>
              </w:tblPrEx>
              <w:trPr>
                <w:trHeight w:val="567" w:hRule="atLeast"/>
              </w:trPr>
              <w:tc>
                <w:tcPr>
                  <w:tcW w:w="474" w:type="dxa"/>
                  <w:tcBorders>
                    <w:top w:val="single" w:color="000000" w:sz="4" w:space="0"/>
                    <w:left w:val="single" w:color="000000" w:sz="4" w:space="0"/>
                    <w:bottom w:val="single" w:color="000000" w:sz="4" w:space="0"/>
                    <w:right w:val="single" w:color="000000" w:sz="4" w:space="0"/>
                  </w:tcBorders>
                  <w:noWrap/>
                  <w:vAlign w:val="center"/>
                </w:tcPr>
                <w:p w14:paraId="4907DE72">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19</w:t>
                  </w:r>
                </w:p>
              </w:tc>
              <w:tc>
                <w:tcPr>
                  <w:tcW w:w="2165" w:type="dxa"/>
                  <w:tcBorders>
                    <w:top w:val="single" w:color="000000" w:sz="4" w:space="0"/>
                    <w:left w:val="single" w:color="000000" w:sz="4" w:space="0"/>
                    <w:bottom w:val="single" w:color="000000" w:sz="4" w:space="0"/>
                    <w:right w:val="single" w:color="000000" w:sz="4" w:space="0"/>
                  </w:tcBorders>
                  <w:noWrap/>
                  <w:vAlign w:val="center"/>
                </w:tcPr>
                <w:p w14:paraId="35315A4C">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全套防护用品含铅衣架（含成人和儿童）</w:t>
                  </w:r>
                </w:p>
              </w:tc>
              <w:tc>
                <w:tcPr>
                  <w:tcW w:w="733" w:type="dxa"/>
                  <w:tcBorders>
                    <w:top w:val="single" w:color="000000" w:sz="4" w:space="0"/>
                    <w:left w:val="single" w:color="000000" w:sz="4" w:space="0"/>
                    <w:bottom w:val="single" w:color="000000" w:sz="4" w:space="0"/>
                    <w:right w:val="single" w:color="000000" w:sz="4" w:space="0"/>
                  </w:tcBorders>
                  <w:noWrap/>
                </w:tcPr>
                <w:p w14:paraId="3187767F">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2</w:t>
                  </w:r>
                </w:p>
              </w:tc>
              <w:tc>
                <w:tcPr>
                  <w:tcW w:w="905" w:type="dxa"/>
                  <w:tcBorders>
                    <w:top w:val="single" w:color="000000" w:sz="4" w:space="0"/>
                    <w:left w:val="single" w:color="000000" w:sz="4" w:space="0"/>
                    <w:bottom w:val="single" w:color="000000" w:sz="4" w:space="0"/>
                    <w:right w:val="single" w:color="000000" w:sz="4" w:space="0"/>
                  </w:tcBorders>
                  <w:noWrap/>
                </w:tcPr>
                <w:p w14:paraId="4FDDBE1B">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套</w:t>
                  </w:r>
                </w:p>
              </w:tc>
              <w:tc>
                <w:tcPr>
                  <w:tcW w:w="905" w:type="dxa"/>
                  <w:tcBorders>
                    <w:top w:val="single" w:color="000000" w:sz="4" w:space="0"/>
                    <w:left w:val="single" w:color="000000" w:sz="4" w:space="0"/>
                    <w:bottom w:val="single" w:color="000000" w:sz="4" w:space="0"/>
                    <w:right w:val="single" w:color="000000" w:sz="4" w:space="0"/>
                  </w:tcBorders>
                  <w:noWrap/>
                </w:tcPr>
                <w:p w14:paraId="5C22D147">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p>
              </w:tc>
            </w:tr>
            <w:tr w14:paraId="49B28FCA">
              <w:tblPrEx>
                <w:tblCellMar>
                  <w:top w:w="0" w:type="dxa"/>
                  <w:left w:w="108" w:type="dxa"/>
                  <w:bottom w:w="0" w:type="dxa"/>
                  <w:right w:w="108" w:type="dxa"/>
                </w:tblCellMar>
              </w:tblPrEx>
              <w:trPr>
                <w:trHeight w:val="567" w:hRule="atLeast"/>
              </w:trPr>
              <w:tc>
                <w:tcPr>
                  <w:tcW w:w="474" w:type="dxa"/>
                  <w:tcBorders>
                    <w:top w:val="single" w:color="000000" w:sz="4" w:space="0"/>
                    <w:left w:val="single" w:color="000000" w:sz="4" w:space="0"/>
                    <w:bottom w:val="single" w:color="000000" w:sz="4" w:space="0"/>
                    <w:right w:val="single" w:color="000000" w:sz="4" w:space="0"/>
                  </w:tcBorders>
                  <w:noWrap/>
                  <w:vAlign w:val="center"/>
                </w:tcPr>
                <w:p w14:paraId="02C00244">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kern w:val="0"/>
                      <w:sz w:val="21"/>
                      <w:szCs w:val="21"/>
                      <w:highlight w:val="none"/>
                      <w:lang w:bidi="ar"/>
                    </w:rPr>
                  </w:pPr>
                  <w:r>
                    <w:rPr>
                      <w:rFonts w:hint="eastAsia" w:ascii="宋体" w:hAnsi="宋体" w:eastAsia="宋体" w:cs="宋体"/>
                      <w:color w:val="0000FF"/>
                      <w:sz w:val="21"/>
                      <w:szCs w:val="21"/>
                      <w:highlight w:val="none"/>
                    </w:rPr>
                    <w:t>20</w:t>
                  </w:r>
                </w:p>
              </w:tc>
              <w:tc>
                <w:tcPr>
                  <w:tcW w:w="2165" w:type="dxa"/>
                  <w:tcBorders>
                    <w:top w:val="single" w:color="000000" w:sz="4" w:space="0"/>
                    <w:left w:val="single" w:color="000000" w:sz="4" w:space="0"/>
                    <w:bottom w:val="single" w:color="000000" w:sz="4" w:space="0"/>
                    <w:right w:val="single" w:color="000000" w:sz="4" w:space="0"/>
                  </w:tcBorders>
                  <w:noWrap/>
                  <w:vAlign w:val="center"/>
                </w:tcPr>
                <w:p w14:paraId="0B0F5D3E">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交钥匙工程</w:t>
                  </w:r>
                </w:p>
              </w:tc>
              <w:tc>
                <w:tcPr>
                  <w:tcW w:w="733" w:type="dxa"/>
                  <w:tcBorders>
                    <w:top w:val="single" w:color="000000" w:sz="4" w:space="0"/>
                    <w:left w:val="single" w:color="000000" w:sz="4" w:space="0"/>
                    <w:bottom w:val="single" w:color="000000" w:sz="4" w:space="0"/>
                    <w:right w:val="single" w:color="000000" w:sz="4" w:space="0"/>
                  </w:tcBorders>
                  <w:noWrap/>
                </w:tcPr>
                <w:p w14:paraId="0D0F8105">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w:t>
                  </w:r>
                </w:p>
              </w:tc>
              <w:tc>
                <w:tcPr>
                  <w:tcW w:w="905" w:type="dxa"/>
                  <w:tcBorders>
                    <w:top w:val="single" w:color="000000" w:sz="4" w:space="0"/>
                    <w:left w:val="single" w:color="000000" w:sz="4" w:space="0"/>
                    <w:bottom w:val="single" w:color="000000" w:sz="4" w:space="0"/>
                    <w:right w:val="single" w:color="000000" w:sz="4" w:space="0"/>
                  </w:tcBorders>
                  <w:noWrap/>
                </w:tcPr>
                <w:p w14:paraId="3C40A32F">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套</w:t>
                  </w:r>
                </w:p>
              </w:tc>
              <w:tc>
                <w:tcPr>
                  <w:tcW w:w="905" w:type="dxa"/>
                  <w:tcBorders>
                    <w:top w:val="single" w:color="000000" w:sz="4" w:space="0"/>
                    <w:left w:val="single" w:color="000000" w:sz="4" w:space="0"/>
                    <w:bottom w:val="single" w:color="000000" w:sz="4" w:space="0"/>
                    <w:right w:val="single" w:color="000000" w:sz="4" w:space="0"/>
                  </w:tcBorders>
                  <w:noWrap/>
                </w:tcPr>
                <w:p w14:paraId="150BE2A8">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p>
              </w:tc>
            </w:tr>
          </w:tbl>
          <w:p w14:paraId="6C661C1F">
            <w:pPr>
              <w:keepNext w:val="0"/>
              <w:keepLines w:val="0"/>
              <w:pageBreakBefore w:val="0"/>
              <w:kinsoku/>
              <w:wordWrap/>
              <w:overflowPunct/>
              <w:topLinePunct w:val="0"/>
              <w:bidi w:val="0"/>
              <w:snapToGrid/>
              <w:spacing w:line="240" w:lineRule="auto"/>
              <w:rPr>
                <w:rFonts w:hint="eastAsia" w:ascii="宋体" w:hAnsi="宋体" w:eastAsia="宋体" w:cs="宋体"/>
                <w:b/>
                <w:bCs/>
                <w:color w:val="0000FF"/>
                <w:sz w:val="21"/>
                <w:szCs w:val="21"/>
                <w:highlight w:val="none"/>
              </w:rPr>
            </w:pPr>
          </w:p>
        </w:tc>
        <w:tc>
          <w:tcPr>
            <w:tcW w:w="955" w:type="dxa"/>
            <w:vAlign w:val="center"/>
          </w:tcPr>
          <w:p w14:paraId="0FC5B509">
            <w:pPr>
              <w:keepNext w:val="0"/>
              <w:keepLines w:val="0"/>
              <w:pageBreakBefore w:val="0"/>
              <w:kinsoku/>
              <w:wordWrap/>
              <w:overflowPunct/>
              <w:topLinePunct w:val="0"/>
              <w:bidi w:val="0"/>
              <w:snapToGrid/>
              <w:spacing w:line="240" w:lineRule="auto"/>
              <w:rPr>
                <w:rFonts w:hint="eastAsia" w:ascii="宋体" w:hAnsi="宋体" w:eastAsia="宋体" w:cs="宋体"/>
                <w:b/>
                <w:bCs/>
                <w:color w:val="0000FF"/>
                <w:sz w:val="21"/>
                <w:szCs w:val="21"/>
                <w:highlight w:val="none"/>
              </w:rPr>
            </w:pPr>
          </w:p>
        </w:tc>
        <w:tc>
          <w:tcPr>
            <w:tcW w:w="725" w:type="dxa"/>
            <w:vAlign w:val="center"/>
          </w:tcPr>
          <w:p w14:paraId="4B346AB5">
            <w:pPr>
              <w:keepNext w:val="0"/>
              <w:keepLines w:val="0"/>
              <w:pageBreakBefore w:val="0"/>
              <w:kinsoku/>
              <w:wordWrap/>
              <w:overflowPunct/>
              <w:topLinePunct w:val="0"/>
              <w:bidi w:val="0"/>
              <w:snapToGrid/>
              <w:spacing w:line="240" w:lineRule="auto"/>
              <w:rPr>
                <w:rFonts w:hint="eastAsia" w:ascii="宋体" w:hAnsi="宋体" w:eastAsia="宋体" w:cs="宋体"/>
                <w:b/>
                <w:bCs/>
                <w:color w:val="0000FF"/>
                <w:sz w:val="21"/>
                <w:szCs w:val="21"/>
                <w:highlight w:val="none"/>
              </w:rPr>
            </w:pPr>
          </w:p>
        </w:tc>
        <w:tc>
          <w:tcPr>
            <w:tcW w:w="328" w:type="dxa"/>
            <w:vAlign w:val="center"/>
          </w:tcPr>
          <w:p w14:paraId="12F16FBD">
            <w:pPr>
              <w:keepNext w:val="0"/>
              <w:keepLines w:val="0"/>
              <w:pageBreakBefore w:val="0"/>
              <w:kinsoku/>
              <w:wordWrap/>
              <w:overflowPunct/>
              <w:topLinePunct w:val="0"/>
              <w:bidi w:val="0"/>
              <w:snapToGrid/>
              <w:spacing w:line="240" w:lineRule="auto"/>
              <w:rPr>
                <w:rFonts w:hint="eastAsia" w:ascii="宋体" w:hAnsi="宋体" w:eastAsia="宋体" w:cs="宋体"/>
                <w:b/>
                <w:bCs/>
                <w:color w:val="0000FF"/>
                <w:sz w:val="21"/>
                <w:szCs w:val="21"/>
                <w:highlight w:val="none"/>
              </w:rPr>
            </w:pPr>
          </w:p>
        </w:tc>
      </w:tr>
    </w:tbl>
    <w:p w14:paraId="5B64DD7B">
      <w:pPr>
        <w:rPr>
          <w:szCs w:val="21"/>
          <w:highlight w:val="none"/>
        </w:rPr>
      </w:pPr>
      <w:r>
        <w:rPr>
          <w:rFonts w:hint="eastAsia"/>
          <w:szCs w:val="21"/>
          <w:highlight w:val="none"/>
        </w:rPr>
        <w:t>证明资料【如有的话，提供的证明资料应统一编号（排序），格式自定】</w:t>
      </w:r>
      <w:bookmarkEnd w:id="46"/>
      <w:r>
        <w:rPr>
          <w:rFonts w:hint="eastAsia"/>
          <w:szCs w:val="21"/>
          <w:highlight w:val="none"/>
        </w:rPr>
        <w:t>：</w:t>
      </w:r>
    </w:p>
    <w:p w14:paraId="2B7A4D79">
      <w:pPr>
        <w:ind w:firstLine="422" w:firstLineChars="200"/>
        <w:rPr>
          <w:b/>
          <w:szCs w:val="21"/>
          <w:highlight w:val="none"/>
        </w:rPr>
      </w:pPr>
    </w:p>
    <w:p w14:paraId="651F0457">
      <w:pPr>
        <w:ind w:firstLine="420" w:firstLineChars="200"/>
        <w:rPr>
          <w:bCs/>
          <w:szCs w:val="21"/>
          <w:highlight w:val="none"/>
        </w:rPr>
      </w:pPr>
      <w:r>
        <w:rPr>
          <w:rFonts w:hint="eastAsia"/>
          <w:bCs/>
          <w:szCs w:val="21"/>
          <w:highlight w:val="none"/>
        </w:rPr>
        <w:t>《技术要求偏离表》编制指引：</w:t>
      </w:r>
    </w:p>
    <w:p w14:paraId="27B0AE27">
      <w:pPr>
        <w:ind w:firstLine="420" w:firstLineChars="200"/>
        <w:rPr>
          <w:bCs/>
          <w:szCs w:val="21"/>
          <w:highlight w:val="none"/>
        </w:rPr>
      </w:pPr>
      <w:r>
        <w:rPr>
          <w:rFonts w:hint="eastAsia"/>
          <w:bCs/>
          <w:szCs w:val="21"/>
          <w:highlight w:val="none"/>
        </w:rPr>
        <w:t>1、技术要求偏离表的序号、货物名称、招标技术要求等栏目</w:t>
      </w:r>
      <w:bookmarkStart w:id="47" w:name="_Hlk72094407"/>
      <w:r>
        <w:rPr>
          <w:rFonts w:hint="eastAsia"/>
          <w:bCs/>
          <w:szCs w:val="21"/>
          <w:highlight w:val="none"/>
        </w:rPr>
        <w:t>对应“用户需求书”中的“技术要求”章节</w:t>
      </w:r>
      <w:bookmarkEnd w:id="47"/>
      <w:r>
        <w:rPr>
          <w:rFonts w:hint="eastAsia"/>
          <w:bCs/>
          <w:szCs w:val="21"/>
          <w:highlight w:val="none"/>
        </w:rPr>
        <w:t>相关内容。</w:t>
      </w:r>
    </w:p>
    <w:p w14:paraId="0483D5BE">
      <w:pPr>
        <w:ind w:firstLine="420" w:firstLineChars="200"/>
        <w:rPr>
          <w:bCs/>
          <w:color w:val="FF0000"/>
          <w:szCs w:val="21"/>
          <w:highlight w:val="none"/>
        </w:rPr>
      </w:pPr>
      <w:r>
        <w:rPr>
          <w:rFonts w:hint="eastAsia"/>
          <w:bCs/>
          <w:szCs w:val="21"/>
          <w:highlight w:val="none"/>
        </w:rPr>
        <w:t>2、“投标技术响应”一栏必须一一对照“招标技术要求”，详细填写投标人自身投标货物的具体参数，而不能不合理照搬照抄招标文件的技术要求，以体现具体响应情况。</w:t>
      </w:r>
      <w:r>
        <w:rPr>
          <w:rFonts w:hint="eastAsia"/>
          <w:bCs/>
          <w:color w:val="FF0000"/>
          <w:szCs w:val="21"/>
          <w:highlight w:val="none"/>
        </w:rPr>
        <w:t>“投标技术响应”必须与所投产品客观实际保持一致，响应不实且情节严重的，经查实，将依法记入供应商诚信档案或受到行政处罚。</w:t>
      </w:r>
    </w:p>
    <w:p w14:paraId="498D208E">
      <w:pPr>
        <w:ind w:firstLine="420" w:firstLineChars="200"/>
        <w:rPr>
          <w:bCs/>
          <w:color w:val="FF0000"/>
          <w:szCs w:val="21"/>
          <w:highlight w:val="none"/>
        </w:rPr>
      </w:pPr>
      <w:r>
        <w:rPr>
          <w:bCs/>
          <w:szCs w:val="21"/>
          <w:highlight w:val="none"/>
        </w:rPr>
        <w:t>3</w:t>
      </w:r>
      <w:r>
        <w:rPr>
          <w:rFonts w:hint="eastAsia"/>
          <w:bCs/>
          <w:szCs w:val="21"/>
          <w:highlight w:val="none"/>
        </w:rPr>
        <w:t>、</w:t>
      </w:r>
      <w:bookmarkStart w:id="48" w:name="_Hlk72158270"/>
      <w:r>
        <w:rPr>
          <w:rFonts w:hint="eastAsia"/>
          <w:bCs/>
          <w:szCs w:val="21"/>
          <w:highlight w:val="none"/>
        </w:rPr>
        <w:t>“偏离情况”</w:t>
      </w:r>
      <w:bookmarkEnd w:id="48"/>
      <w:r>
        <w:rPr>
          <w:rFonts w:hint="eastAsia"/>
          <w:bCs/>
          <w:szCs w:val="21"/>
          <w:highlight w:val="none"/>
        </w:rPr>
        <w:t>一栏填写如实填写“正偏离”、“负偏离”或“无偏离”，其中：</w:t>
      </w:r>
      <w:bookmarkStart w:id="49" w:name="_Hlk72093866"/>
      <w:r>
        <w:rPr>
          <w:rFonts w:hint="eastAsia"/>
          <w:bCs/>
          <w:szCs w:val="21"/>
          <w:highlight w:val="none"/>
        </w:rPr>
        <w:t>“正偏离”表示“投标响应优于招标技术要求”，“负偏离”表示“投标响应不满足招标技术要求”，“无偏离”表示“投标响应与招标技术要求一致”</w:t>
      </w:r>
      <w:bookmarkEnd w:id="49"/>
      <w:r>
        <w:rPr>
          <w:rFonts w:hint="eastAsia"/>
          <w:bCs/>
          <w:szCs w:val="21"/>
          <w:highlight w:val="none"/>
        </w:rPr>
        <w:t>。“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w:t>
      </w:r>
      <w:r>
        <w:rPr>
          <w:rFonts w:hint="eastAsia"/>
          <w:bCs/>
          <w:color w:val="FF0000"/>
          <w:szCs w:val="21"/>
          <w:highlight w:val="none"/>
        </w:rPr>
        <w:t>“偏离情况”必须与所投产品客观实际保持一致，响应不实且情节严重的，经查实，将依法记入供应商诚信档案或受到行政处罚。</w:t>
      </w:r>
    </w:p>
    <w:p w14:paraId="1BC40315">
      <w:pPr>
        <w:ind w:firstLine="420" w:firstLineChars="200"/>
        <w:rPr>
          <w:bCs/>
          <w:szCs w:val="21"/>
          <w:highlight w:val="none"/>
        </w:rPr>
      </w:pPr>
      <w:r>
        <w:rPr>
          <w:bCs/>
          <w:szCs w:val="21"/>
          <w:highlight w:val="none"/>
        </w:rPr>
        <w:t>4</w:t>
      </w:r>
      <w:r>
        <w:rPr>
          <w:rFonts w:hint="eastAsia"/>
          <w:bCs/>
          <w:szCs w:val="21"/>
          <w:highlight w:val="none"/>
        </w:rPr>
        <w:t>、未要求提供证明资料的招标技术要求，可以不提供证明资料（如实响应即可）。</w:t>
      </w:r>
    </w:p>
    <w:p w14:paraId="50B6B3CF">
      <w:pPr>
        <w:ind w:firstLine="420" w:firstLineChars="200"/>
        <w:rPr>
          <w:bCs/>
          <w:szCs w:val="21"/>
          <w:highlight w:val="none"/>
        </w:rPr>
      </w:pPr>
      <w:r>
        <w:rPr>
          <w:rFonts w:hint="eastAsia"/>
          <w:bCs/>
          <w:szCs w:val="21"/>
          <w:highlight w:val="none"/>
        </w:rPr>
        <w:t>5、</w:t>
      </w:r>
      <w:bookmarkStart w:id="50" w:name="_Hlk72096106"/>
      <w:r>
        <w:rPr>
          <w:rFonts w:hint="eastAsia"/>
          <w:bCs/>
          <w:szCs w:val="21"/>
          <w:highlight w:val="none"/>
        </w:rPr>
        <w:t>证明资料条款响应要求</w:t>
      </w:r>
      <w:bookmarkEnd w:id="50"/>
      <w:r>
        <w:rPr>
          <w:rFonts w:hint="eastAsia"/>
          <w:bCs/>
          <w:szCs w:val="21"/>
          <w:highlight w:val="none"/>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51" w:name="_Hlk73558782"/>
      <w:r>
        <w:rPr>
          <w:rFonts w:hint="eastAsia"/>
          <w:bCs/>
          <w:szCs w:val="21"/>
          <w:highlight w:val="none"/>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52" w:name="_Hlk73558164"/>
      <w:r>
        <w:rPr>
          <w:rFonts w:hint="eastAsia"/>
          <w:bCs/>
          <w:szCs w:val="21"/>
          <w:highlight w:val="none"/>
        </w:rPr>
        <w:t>且投标人在“偏离情况”一栏响应为“正偏离”或“无偏离”的，经评审委员会认定，将判定为负偏离。</w:t>
      </w:r>
      <w:bookmarkEnd w:id="51"/>
      <w:bookmarkEnd w:id="52"/>
    </w:p>
    <w:p w14:paraId="6EE13B89">
      <w:pPr>
        <w:ind w:firstLine="420" w:firstLineChars="200"/>
        <w:rPr>
          <w:bCs/>
          <w:szCs w:val="21"/>
          <w:highlight w:val="none"/>
        </w:rPr>
      </w:pPr>
      <w:r>
        <w:rPr>
          <w:rFonts w:hint="eastAsia"/>
          <w:bCs/>
          <w:szCs w:val="21"/>
          <w:highlight w:val="none"/>
        </w:rPr>
        <w:t>6、</w:t>
      </w:r>
      <w:bookmarkStart w:id="53" w:name="_Hlk72096137"/>
      <w:r>
        <w:rPr>
          <w:rFonts w:hint="eastAsia"/>
          <w:bCs/>
          <w:szCs w:val="21"/>
          <w:highlight w:val="none"/>
        </w:rPr>
        <w:t>表后“证明资料”部分内容的编制</w:t>
      </w:r>
      <w:bookmarkEnd w:id="53"/>
      <w:r>
        <w:rPr>
          <w:rFonts w:hint="eastAsia"/>
          <w:bCs/>
          <w:szCs w:val="21"/>
          <w:highlight w:val="none"/>
        </w:rPr>
        <w:t>：提供的所有证明资料应当统一编号（排序），且证明资料的编号（顺序）、数量和名称（形式）均应与“说明”一栏所填内容保持一致（一一对应），以便评审委员会查看。</w:t>
      </w:r>
      <w:bookmarkStart w:id="54" w:name="_Hlk73558180"/>
      <w:r>
        <w:rPr>
          <w:rFonts w:hint="eastAsia"/>
          <w:bCs/>
          <w:szCs w:val="21"/>
          <w:highlight w:val="none"/>
        </w:rPr>
        <w:t>未按照招标文件要求在表后放置证明材料的供应商将承担不利后果，经评审委员会认定，相关技术要求将判定为负偏离。</w:t>
      </w:r>
      <w:bookmarkEnd w:id="54"/>
    </w:p>
    <w:p w14:paraId="04F8FE41">
      <w:pPr>
        <w:ind w:firstLine="420" w:firstLineChars="200"/>
        <w:rPr>
          <w:bCs/>
          <w:szCs w:val="21"/>
          <w:highlight w:val="none"/>
        </w:rPr>
      </w:pPr>
      <w:r>
        <w:rPr>
          <w:rFonts w:hint="eastAsia"/>
          <w:bCs/>
          <w:szCs w:val="21"/>
          <w:highlight w:val="none"/>
        </w:rPr>
        <w:t>7、</w:t>
      </w:r>
      <w:bookmarkStart w:id="55" w:name="_Hlk72096176"/>
      <w:r>
        <w:rPr>
          <w:rFonts w:hint="eastAsia"/>
          <w:bCs/>
          <w:szCs w:val="21"/>
          <w:highlight w:val="none"/>
        </w:rPr>
        <w:t>证明资料的形式及其他具体要求</w:t>
      </w:r>
      <w:bookmarkEnd w:id="55"/>
      <w:r>
        <w:rPr>
          <w:rFonts w:hint="eastAsia"/>
          <w:bCs/>
          <w:szCs w:val="21"/>
          <w:highlight w:val="none"/>
        </w:rPr>
        <w:t>：</w:t>
      </w:r>
    </w:p>
    <w:p w14:paraId="54AB86A6">
      <w:pPr>
        <w:ind w:firstLine="420" w:firstLineChars="200"/>
        <w:rPr>
          <w:bCs/>
          <w:szCs w:val="21"/>
          <w:highlight w:val="none"/>
        </w:rPr>
      </w:pPr>
      <w:r>
        <w:rPr>
          <w:rFonts w:hint="eastAsia"/>
          <w:bCs/>
          <w:szCs w:val="21"/>
          <w:highlight w:val="none"/>
        </w:rPr>
        <w:t>（1）除照片、图片（截图）及不需加盖公章的文字说明（技术说明）外，其他证明资料均要求为原件扫描件；</w:t>
      </w:r>
    </w:p>
    <w:p w14:paraId="4FEC4E47">
      <w:pPr>
        <w:ind w:firstLine="420" w:firstLineChars="200"/>
        <w:rPr>
          <w:bCs/>
          <w:szCs w:val="21"/>
          <w:highlight w:val="none"/>
        </w:rPr>
      </w:pPr>
      <w:r>
        <w:rPr>
          <w:rFonts w:hint="eastAsia"/>
          <w:bCs/>
          <w:szCs w:val="21"/>
          <w:highlight w:val="none"/>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14:paraId="1CC0B559">
      <w:pPr>
        <w:ind w:firstLine="420" w:firstLineChars="200"/>
        <w:rPr>
          <w:bCs/>
          <w:szCs w:val="21"/>
          <w:highlight w:val="none"/>
        </w:rPr>
      </w:pPr>
      <w:r>
        <w:rPr>
          <w:rFonts w:hint="eastAsia"/>
          <w:bCs/>
          <w:szCs w:val="21"/>
          <w:highlight w:val="none"/>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6367F7C0">
      <w:pPr>
        <w:ind w:firstLine="420" w:firstLineChars="200"/>
        <w:rPr>
          <w:bCs/>
          <w:szCs w:val="21"/>
          <w:highlight w:val="none"/>
        </w:rPr>
      </w:pPr>
      <w:r>
        <w:rPr>
          <w:rFonts w:hint="eastAsia"/>
          <w:bCs/>
          <w:szCs w:val="21"/>
          <w:highlight w:val="none"/>
        </w:rPr>
        <w:t>我国政府机构出具的产品检验和核准证件应为证件正面、背面和附件标注的全部具体内容；产品检验和核准证件的尺寸和清晰度应该能够在电脑上被阅读、识别和判断；</w:t>
      </w:r>
    </w:p>
    <w:p w14:paraId="5140AAC3">
      <w:pPr>
        <w:ind w:firstLine="420" w:firstLineChars="200"/>
        <w:rPr>
          <w:bCs/>
          <w:szCs w:val="21"/>
          <w:highlight w:val="none"/>
        </w:rPr>
      </w:pPr>
      <w:r>
        <w:rPr>
          <w:rFonts w:hint="eastAsia"/>
          <w:bCs/>
          <w:szCs w:val="21"/>
          <w:highlight w:val="none"/>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205D0773">
      <w:pPr>
        <w:ind w:firstLine="420" w:firstLineChars="200"/>
        <w:rPr>
          <w:bCs/>
          <w:szCs w:val="21"/>
          <w:highlight w:val="none"/>
        </w:rPr>
      </w:pPr>
      <w:r>
        <w:rPr>
          <w:rFonts w:hint="eastAsia"/>
          <w:bCs/>
          <w:szCs w:val="21"/>
          <w:highlight w:val="none"/>
        </w:rPr>
        <w:t>其他证明资料的形式要求参照以上要求执行；</w:t>
      </w:r>
    </w:p>
    <w:p w14:paraId="589D55C3">
      <w:pPr>
        <w:ind w:firstLine="420" w:firstLineChars="200"/>
        <w:rPr>
          <w:bCs/>
          <w:szCs w:val="21"/>
          <w:highlight w:val="none"/>
        </w:rPr>
      </w:pPr>
      <w:r>
        <w:rPr>
          <w:rFonts w:hint="eastAsia"/>
          <w:bCs/>
          <w:szCs w:val="21"/>
          <w:highlight w:val="none"/>
        </w:rPr>
        <w:t>8、其他注意事项：</w:t>
      </w:r>
    </w:p>
    <w:p w14:paraId="21DA1B9E">
      <w:pPr>
        <w:ind w:firstLine="420" w:firstLineChars="200"/>
        <w:rPr>
          <w:bCs/>
          <w:szCs w:val="21"/>
          <w:highlight w:val="none"/>
        </w:rPr>
      </w:pPr>
      <w:r>
        <w:rPr>
          <w:rFonts w:hint="eastAsia"/>
          <w:bCs/>
          <w:szCs w:val="21"/>
          <w:highlight w:val="none"/>
        </w:rPr>
        <w:t>（1）评审委员会有权对投标人的响应情况作出判断（评审结论）；</w:t>
      </w:r>
    </w:p>
    <w:p w14:paraId="0EE1C3D7">
      <w:pPr>
        <w:ind w:firstLine="420" w:firstLineChars="200"/>
        <w:rPr>
          <w:bCs/>
          <w:szCs w:val="21"/>
          <w:highlight w:val="none"/>
        </w:rPr>
      </w:pPr>
      <w:r>
        <w:rPr>
          <w:rFonts w:hint="eastAsia"/>
          <w:bCs/>
          <w:szCs w:val="21"/>
          <w:highlight w:val="none"/>
        </w:rPr>
        <w:t>（2）</w:t>
      </w:r>
      <w:bookmarkStart w:id="56" w:name="_Hlk72158213"/>
      <w:r>
        <w:rPr>
          <w:rFonts w:hint="eastAsia"/>
          <w:bCs/>
          <w:szCs w:val="21"/>
          <w:highlight w:val="none"/>
        </w:rPr>
        <w:t>评审委员会有权对以谋取中标为目的的技术规格模糊响应（如有意不合理照搬照抄招标文件的技术要求）或虚假响应予以认定，并视情况经</w:t>
      </w:r>
      <w:r>
        <w:rPr>
          <w:rFonts w:hint="eastAsia"/>
          <w:bCs/>
          <w:szCs w:val="21"/>
          <w:highlight w:val="none"/>
          <w:lang w:eastAsia="zh-CN"/>
        </w:rPr>
        <w:t>代理机构</w:t>
      </w:r>
      <w:r>
        <w:rPr>
          <w:rFonts w:hint="eastAsia"/>
          <w:bCs/>
          <w:szCs w:val="21"/>
          <w:highlight w:val="none"/>
        </w:rPr>
        <w:t>报主管部门进行处理。</w:t>
      </w:r>
      <w:bookmarkEnd w:id="56"/>
    </w:p>
    <w:p w14:paraId="7569F744">
      <w:pPr>
        <w:ind w:firstLine="482" w:firstLineChars="200"/>
        <w:rPr>
          <w:b/>
          <w:sz w:val="24"/>
          <w:highlight w:val="none"/>
        </w:rPr>
      </w:pPr>
    </w:p>
    <w:p w14:paraId="43ED7924">
      <w:pPr>
        <w:rPr>
          <w:sz w:val="24"/>
          <w:highlight w:val="none"/>
        </w:rPr>
      </w:pPr>
    </w:p>
    <w:p w14:paraId="4B866E49">
      <w:pPr>
        <w:rPr>
          <w:rFonts w:hint="eastAsia" w:ascii="黑体" w:eastAsia="黑体"/>
          <w:b w:val="0"/>
          <w:sz w:val="24"/>
          <w:szCs w:val="24"/>
          <w:highlight w:val="none"/>
        </w:rPr>
      </w:pPr>
      <w:r>
        <w:rPr>
          <w:rFonts w:hint="eastAsia" w:ascii="黑体" w:eastAsia="黑体"/>
          <w:b w:val="0"/>
          <w:sz w:val="24"/>
          <w:szCs w:val="24"/>
          <w:highlight w:val="none"/>
        </w:rPr>
        <w:br w:type="page"/>
      </w:r>
    </w:p>
    <w:p w14:paraId="62701335">
      <w:pPr>
        <w:pStyle w:val="3"/>
        <w:jc w:val="center"/>
        <w:rPr>
          <w:rFonts w:hint="eastAsia" w:ascii="黑体" w:eastAsia="黑体"/>
          <w:b w:val="0"/>
          <w:sz w:val="24"/>
          <w:szCs w:val="24"/>
          <w:highlight w:val="none"/>
        </w:rPr>
      </w:pPr>
      <w:r>
        <w:rPr>
          <w:rFonts w:hint="eastAsia" w:ascii="黑体" w:eastAsia="黑体"/>
          <w:b w:val="0"/>
          <w:sz w:val="24"/>
          <w:szCs w:val="24"/>
          <w:highlight w:val="none"/>
        </w:rPr>
        <w:t>九、商务要求偏离表</w:t>
      </w:r>
    </w:p>
    <w:tbl>
      <w:tblPr>
        <w:tblStyle w:val="42"/>
        <w:tblW w:w="8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403"/>
        <w:gridCol w:w="3055"/>
        <w:gridCol w:w="1485"/>
        <w:gridCol w:w="1088"/>
        <w:gridCol w:w="687"/>
      </w:tblGrid>
      <w:tr w14:paraId="27C71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6" w:type="dxa"/>
            <w:vAlign w:val="center"/>
          </w:tcPr>
          <w:p w14:paraId="47923C9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b/>
                <w:color w:val="0000FF"/>
                <w:szCs w:val="21"/>
                <w:highlight w:val="none"/>
              </w:rPr>
            </w:pPr>
            <w:r>
              <w:rPr>
                <w:rFonts w:hint="eastAsia" w:ascii="宋体" w:hAnsi="宋体" w:cs="宋体"/>
                <w:b/>
                <w:color w:val="0000FF"/>
                <w:szCs w:val="21"/>
                <w:highlight w:val="none"/>
              </w:rPr>
              <w:t>序号</w:t>
            </w:r>
          </w:p>
        </w:tc>
        <w:tc>
          <w:tcPr>
            <w:tcW w:w="1403" w:type="dxa"/>
            <w:vAlign w:val="center"/>
          </w:tcPr>
          <w:p w14:paraId="79638F3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b/>
                <w:color w:val="0000FF"/>
                <w:szCs w:val="21"/>
                <w:highlight w:val="none"/>
              </w:rPr>
            </w:pPr>
            <w:r>
              <w:rPr>
                <w:rFonts w:hint="eastAsia" w:ascii="宋体" w:hAnsi="宋体" w:cs="宋体"/>
                <w:b/>
                <w:color w:val="0000FF"/>
                <w:szCs w:val="21"/>
                <w:highlight w:val="none"/>
              </w:rPr>
              <w:t>商务需求项</w:t>
            </w:r>
          </w:p>
        </w:tc>
        <w:tc>
          <w:tcPr>
            <w:tcW w:w="3055" w:type="dxa"/>
            <w:vAlign w:val="center"/>
          </w:tcPr>
          <w:p w14:paraId="33D7E6B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b/>
                <w:color w:val="0000FF"/>
                <w:szCs w:val="21"/>
                <w:highlight w:val="none"/>
              </w:rPr>
            </w:pPr>
            <w:r>
              <w:rPr>
                <w:rFonts w:hint="eastAsia" w:ascii="宋体" w:hAnsi="宋体" w:cs="宋体"/>
                <w:b/>
                <w:color w:val="0000FF"/>
                <w:szCs w:val="21"/>
                <w:highlight w:val="none"/>
              </w:rPr>
              <w:t>★招标商务要求</w:t>
            </w:r>
          </w:p>
        </w:tc>
        <w:tc>
          <w:tcPr>
            <w:tcW w:w="1485" w:type="dxa"/>
            <w:vAlign w:val="center"/>
          </w:tcPr>
          <w:p w14:paraId="64EFBBB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b/>
                <w:color w:val="0000FF"/>
                <w:szCs w:val="21"/>
                <w:highlight w:val="none"/>
              </w:rPr>
            </w:pPr>
            <w:r>
              <w:rPr>
                <w:rFonts w:hint="eastAsia" w:ascii="Times New Roman" w:hAnsi="Times New Roman" w:cs="Times New Roman"/>
                <w:b/>
                <w:bCs/>
                <w:color w:val="0000FF"/>
                <w:sz w:val="21"/>
                <w:szCs w:val="21"/>
                <w:highlight w:val="none"/>
              </w:rPr>
              <w:t>投标商务响应</w:t>
            </w:r>
          </w:p>
        </w:tc>
        <w:tc>
          <w:tcPr>
            <w:tcW w:w="1088" w:type="dxa"/>
            <w:vAlign w:val="center"/>
          </w:tcPr>
          <w:p w14:paraId="5BB2EBC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b/>
                <w:color w:val="0000FF"/>
                <w:szCs w:val="21"/>
                <w:highlight w:val="none"/>
              </w:rPr>
            </w:pPr>
            <w:r>
              <w:rPr>
                <w:rFonts w:hint="eastAsia" w:ascii="Times New Roman" w:hAnsi="Times New Roman" w:cs="Times New Roman"/>
                <w:b/>
                <w:bCs/>
                <w:color w:val="0000FF"/>
                <w:sz w:val="21"/>
                <w:szCs w:val="21"/>
                <w:highlight w:val="none"/>
              </w:rPr>
              <w:t>偏离情况</w:t>
            </w:r>
          </w:p>
        </w:tc>
        <w:tc>
          <w:tcPr>
            <w:tcW w:w="687" w:type="dxa"/>
            <w:vAlign w:val="center"/>
          </w:tcPr>
          <w:p w14:paraId="3EA9567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b/>
                <w:color w:val="0000FF"/>
                <w:szCs w:val="21"/>
                <w:highlight w:val="none"/>
              </w:rPr>
            </w:pPr>
            <w:r>
              <w:rPr>
                <w:rFonts w:hint="eastAsia" w:ascii="Times New Roman" w:hAnsi="Times New Roman" w:cs="Times New Roman"/>
                <w:b/>
                <w:bCs/>
                <w:color w:val="0000FF"/>
                <w:sz w:val="21"/>
                <w:szCs w:val="21"/>
                <w:highlight w:val="none"/>
              </w:rPr>
              <w:t>说明</w:t>
            </w:r>
          </w:p>
        </w:tc>
      </w:tr>
      <w:tr w14:paraId="63E95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24" w:type="dxa"/>
            <w:gridSpan w:val="6"/>
          </w:tcPr>
          <w:p w14:paraId="74653766">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
                <w:color w:val="0000FF"/>
                <w:szCs w:val="21"/>
                <w:highlight w:val="none"/>
              </w:rPr>
            </w:pPr>
            <w:r>
              <w:rPr>
                <w:rFonts w:hint="eastAsia" w:ascii="宋体" w:hAnsi="宋体" w:cs="宋体"/>
                <w:b/>
                <w:color w:val="0000FF"/>
                <w:szCs w:val="21"/>
                <w:highlight w:val="none"/>
              </w:rPr>
              <w:t>（一）免费全保期内售后服务要求</w:t>
            </w:r>
          </w:p>
        </w:tc>
      </w:tr>
      <w:tr w14:paraId="7A638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6" w:type="dxa"/>
            <w:vAlign w:val="center"/>
          </w:tcPr>
          <w:p w14:paraId="777E4F3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bCs/>
                <w:color w:val="0000FF"/>
                <w:szCs w:val="21"/>
                <w:highlight w:val="none"/>
              </w:rPr>
            </w:pPr>
            <w:r>
              <w:rPr>
                <w:rFonts w:hint="eastAsia" w:ascii="宋体" w:hAnsi="宋体" w:cs="宋体"/>
                <w:bCs/>
                <w:color w:val="0000FF"/>
                <w:szCs w:val="21"/>
                <w:highlight w:val="none"/>
              </w:rPr>
              <w:t>1</w:t>
            </w:r>
          </w:p>
        </w:tc>
        <w:tc>
          <w:tcPr>
            <w:tcW w:w="1403" w:type="dxa"/>
            <w:vAlign w:val="center"/>
          </w:tcPr>
          <w:p w14:paraId="5AC406D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color w:val="0000FF"/>
                <w:szCs w:val="21"/>
                <w:highlight w:val="none"/>
              </w:rPr>
            </w:pPr>
            <w:r>
              <w:rPr>
                <w:rFonts w:hint="eastAsia" w:ascii="宋体" w:hAnsi="宋体" w:cs="宋体"/>
                <w:color w:val="0000FF"/>
                <w:szCs w:val="21"/>
                <w:highlight w:val="none"/>
              </w:rPr>
              <w:t>维修响应及故障解决时间</w:t>
            </w:r>
          </w:p>
        </w:tc>
        <w:tc>
          <w:tcPr>
            <w:tcW w:w="3055" w:type="dxa"/>
          </w:tcPr>
          <w:p w14:paraId="7BD28562">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
                <w:color w:val="0000FF"/>
                <w:szCs w:val="21"/>
                <w:highlight w:val="none"/>
              </w:rPr>
            </w:pPr>
            <w:r>
              <w:rPr>
                <w:rFonts w:hint="eastAsia" w:ascii="宋体" w:hAnsi="宋体" w:cs="宋体"/>
                <w:bCs/>
                <w:color w:val="0000FF"/>
                <w:szCs w:val="21"/>
                <w:highlight w:val="none"/>
              </w:rPr>
              <w:t>1.1 全保期内，中标人应对产品因质量出现的问题免费修复，并且要在2小时内响应，12小时内到达现场维修，并在48小时内消除故障，若在48小时内不能及时排除故障的，中标人应在10个日历日内向采购人免费提供不低故障设备规格型号档次的备用设备使用，直至故障修复为止，由此产生的包括但不限于运输费、安装费、搬运费、替换产品的损耗费、零部件费、调试费等全部费用由中标人承担。</w:t>
            </w:r>
          </w:p>
        </w:tc>
        <w:tc>
          <w:tcPr>
            <w:tcW w:w="1485" w:type="dxa"/>
          </w:tcPr>
          <w:p w14:paraId="366E17FD">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1"/>
                <w:highlight w:val="none"/>
              </w:rPr>
            </w:pPr>
          </w:p>
        </w:tc>
        <w:tc>
          <w:tcPr>
            <w:tcW w:w="1088" w:type="dxa"/>
          </w:tcPr>
          <w:p w14:paraId="44A87979">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1"/>
                <w:highlight w:val="none"/>
              </w:rPr>
            </w:pPr>
          </w:p>
        </w:tc>
        <w:tc>
          <w:tcPr>
            <w:tcW w:w="687" w:type="dxa"/>
          </w:tcPr>
          <w:p w14:paraId="70C29336">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1"/>
                <w:highlight w:val="none"/>
              </w:rPr>
            </w:pPr>
          </w:p>
        </w:tc>
      </w:tr>
      <w:tr w14:paraId="2CE2D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6" w:type="dxa"/>
            <w:vMerge w:val="restart"/>
            <w:vAlign w:val="center"/>
          </w:tcPr>
          <w:p w14:paraId="34D4732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color w:val="0000FF"/>
                <w:szCs w:val="21"/>
                <w:highlight w:val="none"/>
              </w:rPr>
            </w:pPr>
            <w:r>
              <w:rPr>
                <w:rFonts w:hint="eastAsia" w:ascii="宋体" w:hAnsi="宋体" w:cs="宋体"/>
                <w:color w:val="0000FF"/>
                <w:szCs w:val="21"/>
                <w:highlight w:val="none"/>
              </w:rPr>
              <w:t>2</w:t>
            </w:r>
          </w:p>
        </w:tc>
        <w:tc>
          <w:tcPr>
            <w:tcW w:w="1403" w:type="dxa"/>
            <w:vMerge w:val="restart"/>
            <w:vAlign w:val="center"/>
          </w:tcPr>
          <w:p w14:paraId="7EAA900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color w:val="0000FF"/>
                <w:szCs w:val="21"/>
                <w:highlight w:val="none"/>
              </w:rPr>
            </w:pPr>
            <w:r>
              <w:rPr>
                <w:rFonts w:hint="eastAsia" w:ascii="宋体" w:hAnsi="宋体" w:cs="宋体"/>
                <w:color w:val="0000FF"/>
                <w:szCs w:val="21"/>
                <w:highlight w:val="none"/>
              </w:rPr>
              <w:t>免费全保期</w:t>
            </w:r>
          </w:p>
        </w:tc>
        <w:tc>
          <w:tcPr>
            <w:tcW w:w="3055" w:type="dxa"/>
          </w:tcPr>
          <w:p w14:paraId="09A276E6">
            <w:pPr>
              <w:keepNext w:val="0"/>
              <w:keepLines w:val="0"/>
              <w:pageBreakBefore w:val="0"/>
              <w:tabs>
                <w:tab w:val="left" w:pos="425"/>
              </w:tabs>
              <w:kinsoku/>
              <w:wordWrap/>
              <w:overflowPunct/>
              <w:topLinePunct w:val="0"/>
              <w:autoSpaceDE/>
              <w:autoSpaceDN/>
              <w:bidi w:val="0"/>
              <w:adjustRightInd/>
              <w:snapToGrid/>
              <w:spacing w:line="240" w:lineRule="auto"/>
              <w:textAlignment w:val="auto"/>
              <w:rPr>
                <w:rFonts w:hint="eastAsia" w:ascii="宋体" w:hAnsi="宋体" w:cs="宋体"/>
                <w:b/>
                <w:color w:val="0000FF"/>
                <w:szCs w:val="21"/>
                <w:highlight w:val="none"/>
              </w:rPr>
            </w:pPr>
            <w:r>
              <w:rPr>
                <w:rFonts w:hint="eastAsia" w:ascii="宋体" w:hAnsi="宋体" w:cs="宋体"/>
                <w:bCs/>
                <w:color w:val="0000FF"/>
                <w:szCs w:val="21"/>
                <w:highlight w:val="none"/>
              </w:rPr>
              <w:t>2.1 设备安装调试验收合格后，原厂免费全保期5年，在全保期内，全部免费提供原装的零配件及其维修，终身负责维修；</w:t>
            </w:r>
          </w:p>
        </w:tc>
        <w:tc>
          <w:tcPr>
            <w:tcW w:w="1485" w:type="dxa"/>
          </w:tcPr>
          <w:p w14:paraId="474EA263">
            <w:pPr>
              <w:keepNext w:val="0"/>
              <w:keepLines w:val="0"/>
              <w:pageBreakBefore w:val="0"/>
              <w:tabs>
                <w:tab w:val="left" w:pos="425"/>
              </w:tabs>
              <w:kinsoku/>
              <w:wordWrap/>
              <w:overflowPunct/>
              <w:topLinePunct w:val="0"/>
              <w:autoSpaceDE/>
              <w:autoSpaceDN/>
              <w:bidi w:val="0"/>
              <w:adjustRightInd/>
              <w:snapToGrid/>
              <w:spacing w:line="240" w:lineRule="auto"/>
              <w:textAlignment w:val="auto"/>
              <w:rPr>
                <w:rFonts w:hint="eastAsia" w:ascii="宋体" w:hAnsi="宋体" w:cs="宋体"/>
                <w:bCs/>
                <w:color w:val="0000FF"/>
                <w:szCs w:val="21"/>
                <w:highlight w:val="none"/>
              </w:rPr>
            </w:pPr>
          </w:p>
        </w:tc>
        <w:tc>
          <w:tcPr>
            <w:tcW w:w="1088" w:type="dxa"/>
          </w:tcPr>
          <w:p w14:paraId="05C741FD">
            <w:pPr>
              <w:keepNext w:val="0"/>
              <w:keepLines w:val="0"/>
              <w:pageBreakBefore w:val="0"/>
              <w:tabs>
                <w:tab w:val="left" w:pos="425"/>
              </w:tabs>
              <w:kinsoku/>
              <w:wordWrap/>
              <w:overflowPunct/>
              <w:topLinePunct w:val="0"/>
              <w:autoSpaceDE/>
              <w:autoSpaceDN/>
              <w:bidi w:val="0"/>
              <w:adjustRightInd/>
              <w:snapToGrid/>
              <w:spacing w:line="240" w:lineRule="auto"/>
              <w:textAlignment w:val="auto"/>
              <w:rPr>
                <w:rFonts w:hint="eastAsia" w:ascii="宋体" w:hAnsi="宋体" w:cs="宋体"/>
                <w:bCs/>
                <w:color w:val="0000FF"/>
                <w:szCs w:val="21"/>
                <w:highlight w:val="none"/>
              </w:rPr>
            </w:pPr>
          </w:p>
        </w:tc>
        <w:tc>
          <w:tcPr>
            <w:tcW w:w="687" w:type="dxa"/>
          </w:tcPr>
          <w:p w14:paraId="09415C36">
            <w:pPr>
              <w:keepNext w:val="0"/>
              <w:keepLines w:val="0"/>
              <w:pageBreakBefore w:val="0"/>
              <w:tabs>
                <w:tab w:val="left" w:pos="425"/>
              </w:tabs>
              <w:kinsoku/>
              <w:wordWrap/>
              <w:overflowPunct/>
              <w:topLinePunct w:val="0"/>
              <w:autoSpaceDE/>
              <w:autoSpaceDN/>
              <w:bidi w:val="0"/>
              <w:adjustRightInd/>
              <w:snapToGrid/>
              <w:spacing w:line="240" w:lineRule="auto"/>
              <w:textAlignment w:val="auto"/>
              <w:rPr>
                <w:rFonts w:hint="eastAsia" w:ascii="宋体" w:hAnsi="宋体" w:cs="宋体"/>
                <w:bCs/>
                <w:color w:val="0000FF"/>
                <w:szCs w:val="21"/>
                <w:highlight w:val="none"/>
              </w:rPr>
            </w:pPr>
          </w:p>
        </w:tc>
      </w:tr>
      <w:tr w14:paraId="77146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6" w:type="dxa"/>
            <w:vMerge w:val="continue"/>
            <w:vAlign w:val="center"/>
          </w:tcPr>
          <w:p w14:paraId="7E7BED0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color w:val="0000FF"/>
                <w:szCs w:val="21"/>
                <w:highlight w:val="none"/>
              </w:rPr>
            </w:pPr>
          </w:p>
        </w:tc>
        <w:tc>
          <w:tcPr>
            <w:tcW w:w="1403" w:type="dxa"/>
            <w:vMerge w:val="continue"/>
            <w:vAlign w:val="center"/>
          </w:tcPr>
          <w:p w14:paraId="7F78AA7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color w:val="0000FF"/>
                <w:szCs w:val="21"/>
                <w:highlight w:val="none"/>
              </w:rPr>
            </w:pPr>
          </w:p>
        </w:tc>
        <w:tc>
          <w:tcPr>
            <w:tcW w:w="3055" w:type="dxa"/>
          </w:tcPr>
          <w:p w14:paraId="14D2CD44">
            <w:pPr>
              <w:keepNext w:val="0"/>
              <w:keepLines w:val="0"/>
              <w:pageBreakBefore w:val="0"/>
              <w:tabs>
                <w:tab w:val="left" w:pos="425"/>
              </w:tabs>
              <w:kinsoku/>
              <w:wordWrap/>
              <w:overflowPunct/>
              <w:topLinePunct w:val="0"/>
              <w:autoSpaceDE/>
              <w:autoSpaceDN/>
              <w:bidi w:val="0"/>
              <w:adjustRightInd/>
              <w:snapToGrid/>
              <w:spacing w:line="240" w:lineRule="auto"/>
              <w:textAlignment w:val="auto"/>
              <w:rPr>
                <w:rFonts w:hint="eastAsia" w:ascii="宋体" w:hAnsi="宋体" w:cs="宋体"/>
                <w:color w:val="0000FF"/>
                <w:szCs w:val="21"/>
                <w:highlight w:val="none"/>
              </w:rPr>
            </w:pPr>
            <w:r>
              <w:rPr>
                <w:rFonts w:hint="eastAsia" w:ascii="宋体" w:hAnsi="宋体" w:cs="宋体"/>
                <w:bCs/>
                <w:color w:val="0000FF"/>
                <w:szCs w:val="21"/>
                <w:highlight w:val="none"/>
              </w:rPr>
              <w:t>2.2 全保期内，中标人应确保设备年开机率在98%（含）以上，若达不到此开机率，将作以下处理：年开机率在90%（含）-98%（不含）之间，赔壹年延长全保期；年开机率在85%（含）-90%（不含）之间，赔贰年延长全保期；年开机率低于85%（不含），中标单位必须无条件更换新设备，并重新计算新设备的全保期，以及赔偿采购人的直接经济损失和间接经济损失。【注：年开机率=（365-停机天数）/365】</w:t>
            </w:r>
          </w:p>
        </w:tc>
        <w:tc>
          <w:tcPr>
            <w:tcW w:w="1485" w:type="dxa"/>
          </w:tcPr>
          <w:p w14:paraId="6EB7966F">
            <w:pPr>
              <w:keepNext w:val="0"/>
              <w:keepLines w:val="0"/>
              <w:pageBreakBefore w:val="0"/>
              <w:tabs>
                <w:tab w:val="left" w:pos="425"/>
              </w:tabs>
              <w:kinsoku/>
              <w:wordWrap/>
              <w:overflowPunct/>
              <w:topLinePunct w:val="0"/>
              <w:autoSpaceDE/>
              <w:autoSpaceDN/>
              <w:bidi w:val="0"/>
              <w:adjustRightInd/>
              <w:snapToGrid/>
              <w:spacing w:line="240" w:lineRule="auto"/>
              <w:textAlignment w:val="auto"/>
              <w:rPr>
                <w:rFonts w:hint="eastAsia" w:ascii="宋体" w:hAnsi="宋体" w:cs="宋体"/>
                <w:bCs/>
                <w:color w:val="0000FF"/>
                <w:szCs w:val="21"/>
                <w:highlight w:val="none"/>
              </w:rPr>
            </w:pPr>
          </w:p>
        </w:tc>
        <w:tc>
          <w:tcPr>
            <w:tcW w:w="1088" w:type="dxa"/>
          </w:tcPr>
          <w:p w14:paraId="75A88C0E">
            <w:pPr>
              <w:keepNext w:val="0"/>
              <w:keepLines w:val="0"/>
              <w:pageBreakBefore w:val="0"/>
              <w:tabs>
                <w:tab w:val="left" w:pos="425"/>
              </w:tabs>
              <w:kinsoku/>
              <w:wordWrap/>
              <w:overflowPunct/>
              <w:topLinePunct w:val="0"/>
              <w:autoSpaceDE/>
              <w:autoSpaceDN/>
              <w:bidi w:val="0"/>
              <w:adjustRightInd/>
              <w:snapToGrid/>
              <w:spacing w:line="240" w:lineRule="auto"/>
              <w:textAlignment w:val="auto"/>
              <w:rPr>
                <w:rFonts w:hint="eastAsia" w:ascii="宋体" w:hAnsi="宋体" w:cs="宋体"/>
                <w:bCs/>
                <w:color w:val="0000FF"/>
                <w:szCs w:val="21"/>
                <w:highlight w:val="none"/>
              </w:rPr>
            </w:pPr>
          </w:p>
        </w:tc>
        <w:tc>
          <w:tcPr>
            <w:tcW w:w="687" w:type="dxa"/>
          </w:tcPr>
          <w:p w14:paraId="627D2353">
            <w:pPr>
              <w:keepNext w:val="0"/>
              <w:keepLines w:val="0"/>
              <w:pageBreakBefore w:val="0"/>
              <w:tabs>
                <w:tab w:val="left" w:pos="425"/>
              </w:tabs>
              <w:kinsoku/>
              <w:wordWrap/>
              <w:overflowPunct/>
              <w:topLinePunct w:val="0"/>
              <w:autoSpaceDE/>
              <w:autoSpaceDN/>
              <w:bidi w:val="0"/>
              <w:adjustRightInd/>
              <w:snapToGrid/>
              <w:spacing w:line="240" w:lineRule="auto"/>
              <w:textAlignment w:val="auto"/>
              <w:rPr>
                <w:rFonts w:hint="eastAsia" w:ascii="宋体" w:hAnsi="宋体" w:cs="宋体"/>
                <w:bCs/>
                <w:color w:val="0000FF"/>
                <w:szCs w:val="21"/>
                <w:highlight w:val="none"/>
              </w:rPr>
            </w:pPr>
          </w:p>
        </w:tc>
      </w:tr>
      <w:tr w14:paraId="16081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6" w:type="dxa"/>
            <w:vMerge w:val="continue"/>
            <w:vAlign w:val="center"/>
          </w:tcPr>
          <w:p w14:paraId="44981AC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b/>
                <w:color w:val="0000FF"/>
                <w:szCs w:val="21"/>
                <w:highlight w:val="none"/>
              </w:rPr>
            </w:pPr>
          </w:p>
        </w:tc>
        <w:tc>
          <w:tcPr>
            <w:tcW w:w="1403" w:type="dxa"/>
            <w:vMerge w:val="continue"/>
            <w:vAlign w:val="center"/>
          </w:tcPr>
          <w:p w14:paraId="38930B02">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color w:val="0000FF"/>
                <w:szCs w:val="21"/>
                <w:highlight w:val="none"/>
              </w:rPr>
            </w:pPr>
          </w:p>
        </w:tc>
        <w:tc>
          <w:tcPr>
            <w:tcW w:w="3055" w:type="dxa"/>
            <w:vAlign w:val="center"/>
          </w:tcPr>
          <w:p w14:paraId="1CF9409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1"/>
                <w:highlight w:val="none"/>
              </w:rPr>
            </w:pPr>
            <w:r>
              <w:rPr>
                <w:rFonts w:hint="eastAsia" w:ascii="宋体" w:hAnsi="宋体" w:cs="宋体"/>
                <w:bCs/>
                <w:color w:val="0000FF"/>
                <w:szCs w:val="21"/>
                <w:highlight w:val="none"/>
              </w:rPr>
              <w:t>2.3 提供工程师电话和技术维修力量情况和维修的详细地址及联系方式。中标后签订合同前提供。</w:t>
            </w:r>
          </w:p>
        </w:tc>
        <w:tc>
          <w:tcPr>
            <w:tcW w:w="1485" w:type="dxa"/>
            <w:vAlign w:val="center"/>
          </w:tcPr>
          <w:p w14:paraId="52F20EB2">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1"/>
                <w:highlight w:val="none"/>
              </w:rPr>
            </w:pPr>
          </w:p>
        </w:tc>
        <w:tc>
          <w:tcPr>
            <w:tcW w:w="1088" w:type="dxa"/>
            <w:vAlign w:val="center"/>
          </w:tcPr>
          <w:p w14:paraId="47B9A3E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1"/>
                <w:highlight w:val="none"/>
              </w:rPr>
            </w:pPr>
          </w:p>
        </w:tc>
        <w:tc>
          <w:tcPr>
            <w:tcW w:w="687" w:type="dxa"/>
            <w:vAlign w:val="center"/>
          </w:tcPr>
          <w:p w14:paraId="4F2D2693">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1"/>
                <w:highlight w:val="none"/>
              </w:rPr>
            </w:pPr>
          </w:p>
        </w:tc>
      </w:tr>
      <w:tr w14:paraId="26C68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6" w:type="dxa"/>
            <w:vAlign w:val="center"/>
          </w:tcPr>
          <w:p w14:paraId="23B3D05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b/>
                <w:color w:val="0000FF"/>
                <w:szCs w:val="21"/>
                <w:highlight w:val="none"/>
              </w:rPr>
            </w:pPr>
            <w:r>
              <w:rPr>
                <w:rFonts w:hint="eastAsia" w:ascii="宋体" w:hAnsi="宋体" w:cs="宋体"/>
                <w:color w:val="0000FF"/>
                <w:szCs w:val="21"/>
                <w:highlight w:val="none"/>
              </w:rPr>
              <w:t>3</w:t>
            </w:r>
          </w:p>
        </w:tc>
        <w:tc>
          <w:tcPr>
            <w:tcW w:w="1403" w:type="dxa"/>
            <w:vAlign w:val="center"/>
          </w:tcPr>
          <w:p w14:paraId="00D58EB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b/>
                <w:color w:val="0000FF"/>
                <w:szCs w:val="21"/>
                <w:highlight w:val="none"/>
              </w:rPr>
            </w:pPr>
            <w:r>
              <w:rPr>
                <w:rFonts w:hint="eastAsia" w:ascii="宋体" w:hAnsi="宋体" w:cs="宋体"/>
                <w:color w:val="0000FF"/>
                <w:szCs w:val="21"/>
                <w:highlight w:val="none"/>
              </w:rPr>
              <w:t>技术文件</w:t>
            </w:r>
          </w:p>
        </w:tc>
        <w:tc>
          <w:tcPr>
            <w:tcW w:w="3055" w:type="dxa"/>
            <w:vAlign w:val="center"/>
          </w:tcPr>
          <w:p w14:paraId="0A95E124">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1"/>
                <w:highlight w:val="none"/>
              </w:rPr>
            </w:pPr>
            <w:r>
              <w:rPr>
                <w:rFonts w:hint="eastAsia" w:ascii="宋体" w:hAnsi="宋体" w:cs="宋体"/>
                <w:bCs/>
                <w:color w:val="0000FF"/>
                <w:szCs w:val="21"/>
                <w:highlight w:val="none"/>
              </w:rPr>
              <w:t>3.1 供应商应提供全套、完整的书面技术资料，包括仪器说明书、中文操作手册、简单维修说明、图纸等。</w:t>
            </w:r>
          </w:p>
        </w:tc>
        <w:tc>
          <w:tcPr>
            <w:tcW w:w="1485" w:type="dxa"/>
            <w:vAlign w:val="center"/>
          </w:tcPr>
          <w:p w14:paraId="27F13552">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1"/>
                <w:highlight w:val="none"/>
              </w:rPr>
            </w:pPr>
          </w:p>
        </w:tc>
        <w:tc>
          <w:tcPr>
            <w:tcW w:w="1088" w:type="dxa"/>
            <w:vAlign w:val="center"/>
          </w:tcPr>
          <w:p w14:paraId="3836F922">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1"/>
                <w:highlight w:val="none"/>
              </w:rPr>
            </w:pPr>
          </w:p>
        </w:tc>
        <w:tc>
          <w:tcPr>
            <w:tcW w:w="687" w:type="dxa"/>
            <w:vAlign w:val="center"/>
          </w:tcPr>
          <w:p w14:paraId="326E8899">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1"/>
                <w:highlight w:val="none"/>
              </w:rPr>
            </w:pPr>
          </w:p>
        </w:tc>
      </w:tr>
      <w:tr w14:paraId="66FAC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6" w:type="dxa"/>
            <w:vAlign w:val="center"/>
          </w:tcPr>
          <w:p w14:paraId="5D03A01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bCs/>
                <w:color w:val="0000FF"/>
                <w:szCs w:val="21"/>
                <w:highlight w:val="none"/>
              </w:rPr>
            </w:pPr>
            <w:r>
              <w:rPr>
                <w:rFonts w:hint="eastAsia" w:ascii="宋体" w:hAnsi="宋体" w:cs="宋体"/>
                <w:bCs/>
                <w:color w:val="0000FF"/>
                <w:szCs w:val="21"/>
                <w:highlight w:val="none"/>
              </w:rPr>
              <w:t>4</w:t>
            </w:r>
          </w:p>
        </w:tc>
        <w:tc>
          <w:tcPr>
            <w:tcW w:w="1403" w:type="dxa"/>
            <w:vAlign w:val="center"/>
          </w:tcPr>
          <w:p w14:paraId="6C80FA9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bCs/>
                <w:color w:val="0000FF"/>
                <w:szCs w:val="21"/>
                <w:highlight w:val="none"/>
              </w:rPr>
            </w:pPr>
            <w:r>
              <w:rPr>
                <w:rFonts w:hint="eastAsia" w:ascii="宋体" w:hAnsi="宋体" w:cs="宋体"/>
                <w:color w:val="0000FF"/>
                <w:szCs w:val="21"/>
                <w:highlight w:val="none"/>
              </w:rPr>
              <w:t>安装调试</w:t>
            </w:r>
          </w:p>
        </w:tc>
        <w:tc>
          <w:tcPr>
            <w:tcW w:w="3055" w:type="dxa"/>
            <w:vAlign w:val="center"/>
          </w:tcPr>
          <w:p w14:paraId="3D32A941">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1"/>
                <w:highlight w:val="none"/>
              </w:rPr>
            </w:pPr>
            <w:r>
              <w:rPr>
                <w:rFonts w:hint="eastAsia" w:ascii="宋体" w:hAnsi="宋体" w:cs="宋体"/>
                <w:bCs/>
                <w:color w:val="0000FF"/>
                <w:szCs w:val="21"/>
                <w:highlight w:val="none"/>
              </w:rPr>
              <w:t>4.1 免费负责安装、调试、免费提供技术咨询、软件升级及人员培训，以保证采购人工作人员掌握设备各种使用操作。提供≥2次（每次一周）的免费操作培训。</w:t>
            </w:r>
          </w:p>
        </w:tc>
        <w:tc>
          <w:tcPr>
            <w:tcW w:w="1485" w:type="dxa"/>
            <w:vAlign w:val="center"/>
          </w:tcPr>
          <w:p w14:paraId="4BE231EE">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1"/>
                <w:highlight w:val="none"/>
              </w:rPr>
            </w:pPr>
          </w:p>
        </w:tc>
        <w:tc>
          <w:tcPr>
            <w:tcW w:w="1088" w:type="dxa"/>
            <w:vAlign w:val="center"/>
          </w:tcPr>
          <w:p w14:paraId="3A8C9329">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1"/>
                <w:highlight w:val="none"/>
              </w:rPr>
            </w:pPr>
          </w:p>
        </w:tc>
        <w:tc>
          <w:tcPr>
            <w:tcW w:w="687" w:type="dxa"/>
            <w:vAlign w:val="center"/>
          </w:tcPr>
          <w:p w14:paraId="3E7C8C6D">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1"/>
                <w:highlight w:val="none"/>
              </w:rPr>
            </w:pPr>
          </w:p>
        </w:tc>
      </w:tr>
      <w:tr w14:paraId="408F3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24" w:type="dxa"/>
            <w:gridSpan w:val="6"/>
            <w:vAlign w:val="center"/>
          </w:tcPr>
          <w:p w14:paraId="2AD7F732">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
                <w:color w:val="0000FF"/>
                <w:szCs w:val="21"/>
                <w:highlight w:val="none"/>
              </w:rPr>
            </w:pPr>
            <w:r>
              <w:rPr>
                <w:rFonts w:hint="eastAsia" w:ascii="宋体" w:hAnsi="宋体" w:cs="宋体"/>
                <w:b/>
                <w:color w:val="0000FF"/>
                <w:szCs w:val="21"/>
                <w:highlight w:val="none"/>
              </w:rPr>
              <w:t>（二）免费全保期外售后服务要求</w:t>
            </w:r>
          </w:p>
        </w:tc>
      </w:tr>
      <w:tr w14:paraId="60A71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6" w:type="dxa"/>
            <w:vMerge w:val="restart"/>
            <w:vAlign w:val="center"/>
          </w:tcPr>
          <w:p w14:paraId="0A8AE4C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b/>
                <w:color w:val="0000FF"/>
                <w:szCs w:val="21"/>
                <w:highlight w:val="none"/>
              </w:rPr>
            </w:pPr>
            <w:r>
              <w:rPr>
                <w:rFonts w:hint="eastAsia" w:ascii="宋体" w:hAnsi="宋体" w:cs="宋体"/>
                <w:b/>
                <w:color w:val="0000FF"/>
                <w:szCs w:val="21"/>
                <w:highlight w:val="none"/>
              </w:rPr>
              <w:t>1</w:t>
            </w:r>
          </w:p>
        </w:tc>
        <w:tc>
          <w:tcPr>
            <w:tcW w:w="1403" w:type="dxa"/>
            <w:vMerge w:val="restart"/>
            <w:vAlign w:val="center"/>
          </w:tcPr>
          <w:p w14:paraId="46E64B2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b/>
                <w:color w:val="0000FF"/>
                <w:szCs w:val="21"/>
                <w:highlight w:val="none"/>
              </w:rPr>
            </w:pPr>
            <w:r>
              <w:rPr>
                <w:rStyle w:val="45"/>
                <w:rFonts w:hint="eastAsia" w:ascii="宋体" w:hAnsi="宋体" w:cs="宋体"/>
                <w:b w:val="0"/>
                <w:color w:val="0000FF"/>
                <w:szCs w:val="21"/>
                <w:highlight w:val="none"/>
              </w:rPr>
              <w:t>维修零配件、消耗品和延续保修合同的报价</w:t>
            </w:r>
          </w:p>
        </w:tc>
        <w:tc>
          <w:tcPr>
            <w:tcW w:w="3055" w:type="dxa"/>
            <w:vAlign w:val="center"/>
          </w:tcPr>
          <w:p w14:paraId="5144B994">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1"/>
                <w:highlight w:val="none"/>
              </w:rPr>
            </w:pPr>
            <w:r>
              <w:rPr>
                <w:rFonts w:hint="eastAsia" w:ascii="宋体" w:hAnsi="宋体" w:cs="宋体"/>
                <w:bCs/>
                <w:color w:val="0000FF"/>
                <w:szCs w:val="21"/>
                <w:highlight w:val="none"/>
              </w:rPr>
              <w:t>1.1 全保期外，中标人负责免费维修及提供原装配件，采购人只负责更换零配件费。</w:t>
            </w:r>
          </w:p>
        </w:tc>
        <w:tc>
          <w:tcPr>
            <w:tcW w:w="1485" w:type="dxa"/>
            <w:vAlign w:val="center"/>
          </w:tcPr>
          <w:p w14:paraId="47AF2C4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1"/>
                <w:highlight w:val="none"/>
              </w:rPr>
            </w:pPr>
          </w:p>
        </w:tc>
        <w:tc>
          <w:tcPr>
            <w:tcW w:w="1088" w:type="dxa"/>
            <w:vAlign w:val="center"/>
          </w:tcPr>
          <w:p w14:paraId="0CB011D6">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1"/>
                <w:highlight w:val="none"/>
              </w:rPr>
            </w:pPr>
          </w:p>
        </w:tc>
        <w:tc>
          <w:tcPr>
            <w:tcW w:w="687" w:type="dxa"/>
            <w:vAlign w:val="center"/>
          </w:tcPr>
          <w:p w14:paraId="2E7721D9">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1"/>
                <w:highlight w:val="none"/>
              </w:rPr>
            </w:pPr>
          </w:p>
        </w:tc>
      </w:tr>
      <w:tr w14:paraId="60946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6" w:type="dxa"/>
            <w:vMerge w:val="continue"/>
            <w:vAlign w:val="center"/>
          </w:tcPr>
          <w:p w14:paraId="5FE9D98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b/>
                <w:color w:val="0000FF"/>
                <w:szCs w:val="21"/>
                <w:highlight w:val="none"/>
              </w:rPr>
            </w:pPr>
          </w:p>
        </w:tc>
        <w:tc>
          <w:tcPr>
            <w:tcW w:w="1403" w:type="dxa"/>
            <w:vMerge w:val="continue"/>
            <w:vAlign w:val="center"/>
          </w:tcPr>
          <w:p w14:paraId="31B4A4C7">
            <w:pPr>
              <w:keepNext w:val="0"/>
              <w:keepLines w:val="0"/>
              <w:pageBreakBefore w:val="0"/>
              <w:kinsoku/>
              <w:wordWrap/>
              <w:overflowPunct/>
              <w:topLinePunct w:val="0"/>
              <w:autoSpaceDE/>
              <w:autoSpaceDN/>
              <w:bidi w:val="0"/>
              <w:adjustRightInd/>
              <w:snapToGrid/>
              <w:spacing w:line="240" w:lineRule="auto"/>
              <w:textAlignment w:val="auto"/>
              <w:rPr>
                <w:rStyle w:val="45"/>
                <w:rFonts w:hint="eastAsia" w:ascii="宋体" w:hAnsi="宋体" w:cs="宋体"/>
                <w:color w:val="0000FF"/>
                <w:szCs w:val="21"/>
                <w:highlight w:val="none"/>
              </w:rPr>
            </w:pPr>
          </w:p>
        </w:tc>
        <w:tc>
          <w:tcPr>
            <w:tcW w:w="3055" w:type="dxa"/>
            <w:vAlign w:val="center"/>
          </w:tcPr>
          <w:p w14:paraId="1AF98BB8">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1"/>
                <w:highlight w:val="none"/>
              </w:rPr>
            </w:pPr>
            <w:r>
              <w:rPr>
                <w:rFonts w:hint="eastAsia" w:ascii="宋体" w:hAnsi="宋体" w:cs="宋体"/>
                <w:bCs/>
                <w:color w:val="0000FF"/>
                <w:szCs w:val="21"/>
                <w:highlight w:val="none"/>
              </w:rPr>
              <w:t>1.2 保证设备维修和配件的供应。备件送达期限国内≤2天，国外≤4天，设备停产后的备件供应≥10年。软件终身免费升级；每年需对设备进行维护保养，一年四次（每季度一次）。</w:t>
            </w:r>
          </w:p>
        </w:tc>
        <w:tc>
          <w:tcPr>
            <w:tcW w:w="1485" w:type="dxa"/>
            <w:vAlign w:val="center"/>
          </w:tcPr>
          <w:p w14:paraId="3F51FA57">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1"/>
                <w:highlight w:val="none"/>
              </w:rPr>
            </w:pPr>
          </w:p>
        </w:tc>
        <w:tc>
          <w:tcPr>
            <w:tcW w:w="1088" w:type="dxa"/>
            <w:vAlign w:val="center"/>
          </w:tcPr>
          <w:p w14:paraId="04E88555">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1"/>
                <w:highlight w:val="none"/>
              </w:rPr>
            </w:pPr>
          </w:p>
        </w:tc>
        <w:tc>
          <w:tcPr>
            <w:tcW w:w="687" w:type="dxa"/>
            <w:vAlign w:val="center"/>
          </w:tcPr>
          <w:p w14:paraId="78835064">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1"/>
                <w:highlight w:val="none"/>
              </w:rPr>
            </w:pPr>
          </w:p>
        </w:tc>
      </w:tr>
      <w:tr w14:paraId="16C98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24" w:type="dxa"/>
            <w:gridSpan w:val="6"/>
            <w:vAlign w:val="center"/>
          </w:tcPr>
          <w:p w14:paraId="4527FF8D">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
                <w:color w:val="0000FF"/>
                <w:szCs w:val="21"/>
                <w:highlight w:val="none"/>
              </w:rPr>
            </w:pPr>
            <w:r>
              <w:rPr>
                <w:rFonts w:hint="eastAsia" w:ascii="宋体" w:hAnsi="宋体" w:cs="宋体"/>
                <w:b/>
                <w:color w:val="0000FF"/>
                <w:szCs w:val="21"/>
                <w:highlight w:val="none"/>
              </w:rPr>
              <w:t>（三）</w:t>
            </w:r>
            <w:r>
              <w:rPr>
                <w:rFonts w:hint="eastAsia" w:ascii="宋体" w:hAnsi="宋体" w:cs="宋体"/>
                <w:b/>
                <w:bCs/>
                <w:color w:val="0000FF"/>
                <w:szCs w:val="21"/>
                <w:highlight w:val="none"/>
              </w:rPr>
              <w:t>报价要求</w:t>
            </w:r>
          </w:p>
        </w:tc>
      </w:tr>
      <w:tr w14:paraId="5D4E3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6" w:type="dxa"/>
            <w:vAlign w:val="center"/>
          </w:tcPr>
          <w:p w14:paraId="05B2D055">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
                <w:color w:val="0000FF"/>
                <w:szCs w:val="21"/>
                <w:highlight w:val="none"/>
              </w:rPr>
            </w:pPr>
            <w:r>
              <w:rPr>
                <w:rFonts w:hint="eastAsia" w:ascii="宋体" w:hAnsi="宋体" w:cs="宋体"/>
                <w:b/>
                <w:color w:val="0000FF"/>
                <w:szCs w:val="21"/>
                <w:highlight w:val="none"/>
              </w:rPr>
              <w:t>1</w:t>
            </w:r>
          </w:p>
        </w:tc>
        <w:tc>
          <w:tcPr>
            <w:tcW w:w="1403" w:type="dxa"/>
            <w:vAlign w:val="center"/>
          </w:tcPr>
          <w:p w14:paraId="735661AA">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
                <w:color w:val="0000FF"/>
                <w:szCs w:val="21"/>
                <w:highlight w:val="none"/>
              </w:rPr>
            </w:pPr>
            <w:r>
              <w:rPr>
                <w:rFonts w:hint="eastAsia" w:ascii="宋体" w:hAnsi="宋体" w:cs="宋体"/>
                <w:b/>
                <w:color w:val="0000FF"/>
                <w:szCs w:val="21"/>
                <w:highlight w:val="none"/>
              </w:rPr>
              <w:t>报价要求</w:t>
            </w:r>
          </w:p>
        </w:tc>
        <w:tc>
          <w:tcPr>
            <w:tcW w:w="3055" w:type="dxa"/>
            <w:vAlign w:val="center"/>
          </w:tcPr>
          <w:p w14:paraId="7FB1DF46">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
                <w:color w:val="0000FF"/>
                <w:szCs w:val="21"/>
                <w:highlight w:val="none"/>
              </w:rPr>
            </w:pPr>
            <w:r>
              <w:rPr>
                <w:rFonts w:hint="eastAsia" w:ascii="宋体" w:hAnsi="宋体" w:cs="宋体"/>
                <w:bCs/>
                <w:color w:val="0000FF"/>
                <w:szCs w:val="21"/>
                <w:highlight w:val="none"/>
              </w:rPr>
              <w:t>1.1投标报价以人民币报价，为工地交货价。货物总价内包含相关的费用有：原材料和配件费、深化设计、生产加工、安装、调试，通过有关主管部门的验收，运至合同指定地点的包装费、运输费、装卸费、保险费，技术培训费，安装调试费，出质保期后的人工维护费及国家规定的各项税费。</w:t>
            </w:r>
          </w:p>
        </w:tc>
        <w:tc>
          <w:tcPr>
            <w:tcW w:w="1485" w:type="dxa"/>
            <w:vAlign w:val="center"/>
          </w:tcPr>
          <w:p w14:paraId="6F09AB0D">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1"/>
                <w:highlight w:val="none"/>
              </w:rPr>
            </w:pPr>
          </w:p>
        </w:tc>
        <w:tc>
          <w:tcPr>
            <w:tcW w:w="1088" w:type="dxa"/>
            <w:vAlign w:val="center"/>
          </w:tcPr>
          <w:p w14:paraId="3B2CE713">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1"/>
                <w:highlight w:val="none"/>
              </w:rPr>
            </w:pPr>
          </w:p>
        </w:tc>
        <w:tc>
          <w:tcPr>
            <w:tcW w:w="687" w:type="dxa"/>
            <w:vAlign w:val="center"/>
          </w:tcPr>
          <w:p w14:paraId="41F03C94">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1"/>
                <w:highlight w:val="none"/>
              </w:rPr>
            </w:pPr>
          </w:p>
        </w:tc>
      </w:tr>
      <w:tr w14:paraId="2EFE9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264" w:type="dxa"/>
            <w:gridSpan w:val="3"/>
            <w:vAlign w:val="center"/>
          </w:tcPr>
          <w:p w14:paraId="588093F2">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
                <w:color w:val="0000FF"/>
                <w:szCs w:val="21"/>
                <w:highlight w:val="none"/>
              </w:rPr>
            </w:pPr>
            <w:r>
              <w:rPr>
                <w:rFonts w:hint="eastAsia" w:ascii="宋体" w:hAnsi="宋体" w:cs="宋体"/>
                <w:b/>
                <w:color w:val="0000FF"/>
                <w:szCs w:val="21"/>
                <w:highlight w:val="none"/>
              </w:rPr>
              <w:t>（四）其他商务要求</w:t>
            </w:r>
          </w:p>
        </w:tc>
        <w:tc>
          <w:tcPr>
            <w:tcW w:w="1485" w:type="dxa"/>
            <w:vAlign w:val="center"/>
          </w:tcPr>
          <w:p w14:paraId="63F8D905">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
                <w:color w:val="0000FF"/>
                <w:szCs w:val="21"/>
                <w:highlight w:val="none"/>
              </w:rPr>
            </w:pPr>
          </w:p>
        </w:tc>
        <w:tc>
          <w:tcPr>
            <w:tcW w:w="1088" w:type="dxa"/>
            <w:vAlign w:val="center"/>
          </w:tcPr>
          <w:p w14:paraId="75D843AF">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
                <w:color w:val="0000FF"/>
                <w:szCs w:val="21"/>
                <w:highlight w:val="none"/>
              </w:rPr>
            </w:pPr>
          </w:p>
        </w:tc>
        <w:tc>
          <w:tcPr>
            <w:tcW w:w="687" w:type="dxa"/>
            <w:vAlign w:val="center"/>
          </w:tcPr>
          <w:p w14:paraId="534B207A">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
                <w:color w:val="0000FF"/>
                <w:szCs w:val="21"/>
                <w:highlight w:val="none"/>
              </w:rPr>
            </w:pPr>
          </w:p>
        </w:tc>
      </w:tr>
      <w:tr w14:paraId="2132B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6" w:type="dxa"/>
            <w:vMerge w:val="restart"/>
            <w:vAlign w:val="center"/>
          </w:tcPr>
          <w:p w14:paraId="1BCF492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b/>
                <w:color w:val="0000FF"/>
                <w:szCs w:val="21"/>
                <w:highlight w:val="none"/>
              </w:rPr>
            </w:pPr>
            <w:r>
              <w:rPr>
                <w:rFonts w:hint="eastAsia" w:ascii="宋体" w:hAnsi="宋体" w:cs="宋体"/>
                <w:b/>
                <w:color w:val="0000FF"/>
                <w:szCs w:val="21"/>
                <w:highlight w:val="none"/>
              </w:rPr>
              <w:t>1</w:t>
            </w:r>
          </w:p>
        </w:tc>
        <w:tc>
          <w:tcPr>
            <w:tcW w:w="1403" w:type="dxa"/>
            <w:vMerge w:val="restart"/>
            <w:vAlign w:val="center"/>
          </w:tcPr>
          <w:p w14:paraId="795F77F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b/>
                <w:color w:val="0000FF"/>
                <w:szCs w:val="21"/>
                <w:highlight w:val="none"/>
              </w:rPr>
            </w:pPr>
            <w:r>
              <w:rPr>
                <w:rFonts w:hint="eastAsia" w:ascii="宋体" w:hAnsi="宋体" w:cs="宋体"/>
                <w:bCs/>
                <w:color w:val="0000FF"/>
                <w:szCs w:val="21"/>
                <w:highlight w:val="none"/>
              </w:rPr>
              <w:t>违约责任</w:t>
            </w:r>
          </w:p>
        </w:tc>
        <w:tc>
          <w:tcPr>
            <w:tcW w:w="3055" w:type="dxa"/>
          </w:tcPr>
          <w:p w14:paraId="232AECF9">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color w:val="0000FF"/>
                <w:szCs w:val="21"/>
                <w:highlight w:val="none"/>
              </w:rPr>
            </w:pPr>
            <w:r>
              <w:rPr>
                <w:rFonts w:hint="eastAsia" w:ascii="宋体" w:hAnsi="宋体" w:cs="宋体"/>
                <w:bCs/>
                <w:color w:val="0000FF"/>
                <w:szCs w:val="21"/>
                <w:highlight w:val="none"/>
              </w:rPr>
              <w:t xml:space="preserve">1.1 </w:t>
            </w:r>
            <w:r>
              <w:rPr>
                <w:rFonts w:hint="eastAsia" w:ascii="宋体" w:hAnsi="宋体" w:cs="宋体"/>
                <w:color w:val="0000FF"/>
                <w:szCs w:val="21"/>
                <w:highlight w:val="none"/>
              </w:rPr>
              <w:t>如中标人未按照合同约定的时间交付设备或提供服务，中标人应承担延期交货和延期服务的违约责任，向采购人提供额外维保服务（计算方式为延期交付时间的两倍延长维保服务期限）；逾期超过90日，采购人有权单方解除合同。</w:t>
            </w:r>
          </w:p>
        </w:tc>
        <w:tc>
          <w:tcPr>
            <w:tcW w:w="1485" w:type="dxa"/>
          </w:tcPr>
          <w:p w14:paraId="6AF92137">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1"/>
                <w:highlight w:val="none"/>
              </w:rPr>
            </w:pPr>
          </w:p>
        </w:tc>
        <w:tc>
          <w:tcPr>
            <w:tcW w:w="1088" w:type="dxa"/>
          </w:tcPr>
          <w:p w14:paraId="003A0DA4">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1"/>
                <w:highlight w:val="none"/>
              </w:rPr>
            </w:pPr>
          </w:p>
        </w:tc>
        <w:tc>
          <w:tcPr>
            <w:tcW w:w="687" w:type="dxa"/>
          </w:tcPr>
          <w:p w14:paraId="7992E97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1"/>
                <w:highlight w:val="none"/>
              </w:rPr>
            </w:pPr>
          </w:p>
        </w:tc>
      </w:tr>
      <w:tr w14:paraId="0FDDE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6" w:type="dxa"/>
            <w:vMerge w:val="continue"/>
            <w:vAlign w:val="center"/>
          </w:tcPr>
          <w:p w14:paraId="00D0DA0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b/>
                <w:color w:val="0000FF"/>
                <w:szCs w:val="21"/>
                <w:highlight w:val="none"/>
              </w:rPr>
            </w:pPr>
          </w:p>
        </w:tc>
        <w:tc>
          <w:tcPr>
            <w:tcW w:w="1403" w:type="dxa"/>
            <w:vMerge w:val="continue"/>
            <w:vAlign w:val="center"/>
          </w:tcPr>
          <w:p w14:paraId="1263549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b/>
                <w:color w:val="0000FF"/>
                <w:szCs w:val="21"/>
                <w:highlight w:val="none"/>
              </w:rPr>
            </w:pPr>
          </w:p>
        </w:tc>
        <w:tc>
          <w:tcPr>
            <w:tcW w:w="3055" w:type="dxa"/>
          </w:tcPr>
          <w:p w14:paraId="3ED243A2">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color w:val="0000FF"/>
                <w:szCs w:val="21"/>
                <w:highlight w:val="none"/>
              </w:rPr>
            </w:pPr>
            <w:r>
              <w:rPr>
                <w:rFonts w:hint="eastAsia" w:ascii="宋体" w:hAnsi="宋体" w:cs="宋体"/>
                <w:bCs/>
                <w:color w:val="0000FF"/>
                <w:szCs w:val="21"/>
                <w:highlight w:val="none"/>
              </w:rPr>
              <w:t>1.2 中标人所交付产品、工程或服务不符合其投标承诺的，或在投标阶段为了中标而盲目虚假承诺、低价恶性竞争，在履约阶段则通过偷工减料、以次充好而获取利润的，采购人将根据标的的性质以及损失的大小，可以合理选择要求中标人承担修理、更换、重作、退货、减少价款或者报酬等违约责任。</w:t>
            </w:r>
          </w:p>
        </w:tc>
        <w:tc>
          <w:tcPr>
            <w:tcW w:w="1485" w:type="dxa"/>
          </w:tcPr>
          <w:p w14:paraId="5995054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1"/>
                <w:highlight w:val="none"/>
              </w:rPr>
            </w:pPr>
          </w:p>
        </w:tc>
        <w:tc>
          <w:tcPr>
            <w:tcW w:w="1088" w:type="dxa"/>
          </w:tcPr>
          <w:p w14:paraId="777EC6E2">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1"/>
                <w:highlight w:val="none"/>
              </w:rPr>
            </w:pPr>
          </w:p>
        </w:tc>
        <w:tc>
          <w:tcPr>
            <w:tcW w:w="687" w:type="dxa"/>
          </w:tcPr>
          <w:p w14:paraId="1A5F6F2A">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1"/>
                <w:highlight w:val="none"/>
              </w:rPr>
            </w:pPr>
          </w:p>
        </w:tc>
      </w:tr>
      <w:tr w14:paraId="696DC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6" w:type="dxa"/>
            <w:vMerge w:val="restart"/>
            <w:vAlign w:val="center"/>
          </w:tcPr>
          <w:p w14:paraId="4F54887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b/>
                <w:color w:val="0000FF"/>
                <w:szCs w:val="21"/>
                <w:highlight w:val="none"/>
              </w:rPr>
            </w:pPr>
            <w:r>
              <w:rPr>
                <w:rFonts w:hint="eastAsia" w:ascii="宋体" w:hAnsi="宋体" w:cs="宋体"/>
                <w:b/>
                <w:color w:val="0000FF"/>
                <w:szCs w:val="21"/>
                <w:highlight w:val="none"/>
              </w:rPr>
              <w:t>2</w:t>
            </w:r>
          </w:p>
        </w:tc>
        <w:tc>
          <w:tcPr>
            <w:tcW w:w="1403" w:type="dxa"/>
            <w:vMerge w:val="restart"/>
            <w:vAlign w:val="center"/>
          </w:tcPr>
          <w:p w14:paraId="08755BE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b/>
                <w:color w:val="0000FF"/>
                <w:szCs w:val="21"/>
                <w:highlight w:val="none"/>
              </w:rPr>
            </w:pPr>
            <w:r>
              <w:rPr>
                <w:rFonts w:hint="eastAsia" w:ascii="宋体" w:hAnsi="宋体" w:cs="宋体"/>
                <w:bCs/>
                <w:color w:val="0000FF"/>
                <w:szCs w:val="21"/>
                <w:highlight w:val="none"/>
              </w:rPr>
              <w:t>交货及付款要求</w:t>
            </w:r>
          </w:p>
        </w:tc>
        <w:tc>
          <w:tcPr>
            <w:tcW w:w="3055" w:type="dxa"/>
            <w:vAlign w:val="center"/>
          </w:tcPr>
          <w:p w14:paraId="1D8421C7">
            <w:pPr>
              <w:pStyle w:val="18"/>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FF"/>
                <w:sz w:val="21"/>
                <w:szCs w:val="21"/>
                <w:highlight w:val="none"/>
              </w:rPr>
            </w:pPr>
            <w:r>
              <w:rPr>
                <w:rFonts w:hint="eastAsia" w:ascii="宋体" w:hAnsi="宋体" w:eastAsia="宋体" w:cs="宋体"/>
                <w:bCs/>
                <w:color w:val="0000FF"/>
                <w:sz w:val="21"/>
                <w:szCs w:val="21"/>
                <w:highlight w:val="none"/>
              </w:rPr>
              <w:t>2.1 交货地点：采购人指定具体交货地点。</w:t>
            </w:r>
          </w:p>
        </w:tc>
        <w:tc>
          <w:tcPr>
            <w:tcW w:w="1485" w:type="dxa"/>
            <w:vAlign w:val="center"/>
          </w:tcPr>
          <w:p w14:paraId="3ECB9BA6">
            <w:pPr>
              <w:pStyle w:val="18"/>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rPr>
            </w:pPr>
          </w:p>
        </w:tc>
        <w:tc>
          <w:tcPr>
            <w:tcW w:w="1088" w:type="dxa"/>
            <w:vAlign w:val="center"/>
          </w:tcPr>
          <w:p w14:paraId="2E67B790">
            <w:pPr>
              <w:pStyle w:val="18"/>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rPr>
            </w:pPr>
          </w:p>
        </w:tc>
        <w:tc>
          <w:tcPr>
            <w:tcW w:w="687" w:type="dxa"/>
            <w:vAlign w:val="center"/>
          </w:tcPr>
          <w:p w14:paraId="2C3C1AD5">
            <w:pPr>
              <w:pStyle w:val="18"/>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rPr>
            </w:pPr>
          </w:p>
        </w:tc>
      </w:tr>
      <w:tr w14:paraId="420FB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6" w:type="dxa"/>
            <w:vMerge w:val="continue"/>
            <w:vAlign w:val="center"/>
          </w:tcPr>
          <w:p w14:paraId="10722AA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b/>
                <w:color w:val="0000FF"/>
                <w:szCs w:val="21"/>
                <w:highlight w:val="none"/>
              </w:rPr>
            </w:pPr>
          </w:p>
        </w:tc>
        <w:tc>
          <w:tcPr>
            <w:tcW w:w="1403" w:type="dxa"/>
            <w:vMerge w:val="continue"/>
            <w:vAlign w:val="center"/>
          </w:tcPr>
          <w:p w14:paraId="40E6225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b/>
                <w:color w:val="0000FF"/>
                <w:szCs w:val="21"/>
                <w:highlight w:val="none"/>
              </w:rPr>
            </w:pPr>
          </w:p>
        </w:tc>
        <w:tc>
          <w:tcPr>
            <w:tcW w:w="3055" w:type="dxa"/>
            <w:vAlign w:val="center"/>
          </w:tcPr>
          <w:p w14:paraId="73006808">
            <w:pPr>
              <w:pStyle w:val="18"/>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FF"/>
                <w:sz w:val="21"/>
                <w:szCs w:val="21"/>
                <w:highlight w:val="none"/>
              </w:rPr>
            </w:pPr>
            <w:r>
              <w:rPr>
                <w:rFonts w:hint="eastAsia" w:ascii="宋体" w:hAnsi="宋体" w:eastAsia="宋体" w:cs="宋体"/>
                <w:bCs/>
                <w:color w:val="0000FF"/>
                <w:sz w:val="21"/>
                <w:szCs w:val="21"/>
                <w:highlight w:val="none"/>
              </w:rPr>
              <w:t>2.2 交货时间：签订合同后90个日历日内交货（或以二期建设进度为准）。</w:t>
            </w:r>
          </w:p>
        </w:tc>
        <w:tc>
          <w:tcPr>
            <w:tcW w:w="1485" w:type="dxa"/>
            <w:vAlign w:val="center"/>
          </w:tcPr>
          <w:p w14:paraId="308039F4">
            <w:pPr>
              <w:pStyle w:val="18"/>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rPr>
            </w:pPr>
          </w:p>
        </w:tc>
        <w:tc>
          <w:tcPr>
            <w:tcW w:w="1088" w:type="dxa"/>
            <w:vAlign w:val="center"/>
          </w:tcPr>
          <w:p w14:paraId="29F8B89D">
            <w:pPr>
              <w:pStyle w:val="18"/>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rPr>
            </w:pPr>
          </w:p>
        </w:tc>
        <w:tc>
          <w:tcPr>
            <w:tcW w:w="687" w:type="dxa"/>
            <w:vAlign w:val="center"/>
          </w:tcPr>
          <w:p w14:paraId="33B0C460">
            <w:pPr>
              <w:pStyle w:val="18"/>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rPr>
            </w:pPr>
          </w:p>
        </w:tc>
      </w:tr>
      <w:tr w14:paraId="3329B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6" w:type="dxa"/>
            <w:vMerge w:val="continue"/>
            <w:vAlign w:val="center"/>
          </w:tcPr>
          <w:p w14:paraId="0A7D9DE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b/>
                <w:color w:val="0000FF"/>
                <w:szCs w:val="21"/>
                <w:highlight w:val="none"/>
              </w:rPr>
            </w:pPr>
          </w:p>
        </w:tc>
        <w:tc>
          <w:tcPr>
            <w:tcW w:w="1403" w:type="dxa"/>
            <w:vMerge w:val="continue"/>
            <w:vAlign w:val="center"/>
          </w:tcPr>
          <w:p w14:paraId="7CA39AB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b/>
                <w:color w:val="0000FF"/>
                <w:szCs w:val="21"/>
                <w:highlight w:val="none"/>
              </w:rPr>
            </w:pPr>
          </w:p>
        </w:tc>
        <w:tc>
          <w:tcPr>
            <w:tcW w:w="3055" w:type="dxa"/>
            <w:vAlign w:val="center"/>
          </w:tcPr>
          <w:p w14:paraId="4FAD31D3">
            <w:pPr>
              <w:pStyle w:val="18"/>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2.3 （1）合同签订后，采购人根据本项目当年财政资金剩余情况支付40%货款，如剩余财政资金不足以支付40%设备款，则不足部分将于项目新的财政资金下达后支付；</w:t>
            </w:r>
          </w:p>
          <w:p w14:paraId="36CF0FAC">
            <w:pPr>
              <w:pStyle w:val="18"/>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（2）全部设备货到指定地点，验收合格并提供全额发票后，采购人根据本项目当年财政资金支付剩余设备款，如剩余财政资金不足以支付该部分款项，则不足部分将于项目新的财政资金下达后支付；</w:t>
            </w:r>
          </w:p>
          <w:p w14:paraId="5C395D02">
            <w:pPr>
              <w:pStyle w:val="18"/>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（3）如果采购人对中标人提供的产品有质量异议的，可以视具体情况暂时中止支付争议款项或其他相关款项，直到争议解除，采购人不因此承担延期付款的违约责任。</w:t>
            </w:r>
          </w:p>
          <w:p w14:paraId="7016C4D0">
            <w:pPr>
              <w:pStyle w:val="18"/>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4）中标人开具合法有效的发票，采购人不接受除中标人以外的第三方出具的发票。采购人收到中标人合法的增值税发票或增值税专用发票后，根据双方约定付款时间支付货款。由于中标人逾期未提供合法有效的增值税发票的，采购人有权顺延支付中标人应付货款，直至票据齐全，且不得视为采购人违约。</w:t>
            </w:r>
          </w:p>
          <w:p w14:paraId="54445528">
            <w:pPr>
              <w:pStyle w:val="18"/>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（5）中标人提供的产品不合格，或产品存在瑕疵、缺陷，采购人有权暂停支付中标人项下相应到期应付货款，且不视为采购人违约，直到双方正式处理完不合格产品为止。</w:t>
            </w:r>
          </w:p>
          <w:p w14:paraId="7F38FE28">
            <w:pPr>
              <w:pStyle w:val="18"/>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6）中标人应向采购人提供真实有效的银行账户，银行账户如有变更，应立即书面通知采购人，如中标人银行账户变更未书面通知采购人，采购人以中标人确认收款账户进行付款，造成中标人实际未收到货款的，该责任由中标人自己承担。未经采购人书面认可，中标人不得将应收款项转让给任何第三方或让任何第三方代收，否则采购人有权拒绝付款，且不得视为采购人违约。</w:t>
            </w:r>
          </w:p>
          <w:p w14:paraId="4DF265DD">
            <w:pPr>
              <w:pStyle w:val="18"/>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FF"/>
                <w:sz w:val="21"/>
                <w:szCs w:val="21"/>
                <w:highlight w:val="none"/>
              </w:rPr>
            </w:pPr>
            <w:r>
              <w:rPr>
                <w:rFonts w:hint="eastAsia" w:ascii="宋体" w:hAnsi="宋体" w:eastAsia="宋体" w:cs="宋体"/>
                <w:bCs/>
                <w:color w:val="0000FF"/>
                <w:sz w:val="21"/>
                <w:szCs w:val="21"/>
                <w:highlight w:val="none"/>
              </w:rPr>
              <w:t>（7）若本产品采购项目付款涉及财政审批迟延的特殊情况，采购人未能保证按约付款的，采购人应向中标人进行说明并明确新的付款期限，中标人对此表示理解，采购人不因此承担延期付款的违约责任。</w:t>
            </w:r>
          </w:p>
        </w:tc>
        <w:tc>
          <w:tcPr>
            <w:tcW w:w="1485" w:type="dxa"/>
            <w:vAlign w:val="center"/>
          </w:tcPr>
          <w:p w14:paraId="3EA10A79">
            <w:pPr>
              <w:pStyle w:val="18"/>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rPr>
            </w:pPr>
          </w:p>
        </w:tc>
        <w:tc>
          <w:tcPr>
            <w:tcW w:w="1088" w:type="dxa"/>
            <w:vAlign w:val="center"/>
          </w:tcPr>
          <w:p w14:paraId="6C123432">
            <w:pPr>
              <w:pStyle w:val="18"/>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rPr>
            </w:pPr>
          </w:p>
        </w:tc>
        <w:tc>
          <w:tcPr>
            <w:tcW w:w="687" w:type="dxa"/>
            <w:vAlign w:val="center"/>
          </w:tcPr>
          <w:p w14:paraId="6A14E7C1">
            <w:pPr>
              <w:pStyle w:val="18"/>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rPr>
            </w:pPr>
          </w:p>
        </w:tc>
      </w:tr>
      <w:tr w14:paraId="42C06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6" w:type="dxa"/>
            <w:vAlign w:val="center"/>
          </w:tcPr>
          <w:p w14:paraId="31AA2BC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b/>
                <w:color w:val="0000FF"/>
                <w:szCs w:val="21"/>
                <w:highlight w:val="none"/>
              </w:rPr>
            </w:pPr>
            <w:r>
              <w:rPr>
                <w:rFonts w:hint="eastAsia" w:ascii="宋体" w:hAnsi="宋体" w:cs="宋体"/>
                <w:b/>
                <w:color w:val="0000FF"/>
                <w:szCs w:val="21"/>
                <w:highlight w:val="none"/>
              </w:rPr>
              <w:t>3</w:t>
            </w:r>
          </w:p>
        </w:tc>
        <w:tc>
          <w:tcPr>
            <w:tcW w:w="1403" w:type="dxa"/>
            <w:vAlign w:val="center"/>
          </w:tcPr>
          <w:p w14:paraId="15CBC680">
            <w:pPr>
              <w:keepNext w:val="0"/>
              <w:keepLines w:val="0"/>
              <w:pageBreakBefore w:val="0"/>
              <w:kinsoku/>
              <w:wordWrap/>
              <w:overflowPunct/>
              <w:topLinePunct w:val="0"/>
              <w:autoSpaceDE/>
              <w:autoSpaceDN/>
              <w:bidi w:val="0"/>
              <w:adjustRightInd/>
              <w:snapToGrid/>
              <w:spacing w:line="240" w:lineRule="auto"/>
              <w:jc w:val="center"/>
              <w:textAlignment w:val="auto"/>
              <w:rPr>
                <w:rStyle w:val="45"/>
                <w:rFonts w:hint="eastAsia" w:ascii="宋体" w:hAnsi="宋体" w:cs="宋体"/>
                <w:b w:val="0"/>
                <w:bCs/>
                <w:color w:val="0000FF"/>
                <w:szCs w:val="21"/>
                <w:highlight w:val="none"/>
              </w:rPr>
            </w:pPr>
            <w:r>
              <w:rPr>
                <w:rFonts w:hint="eastAsia" w:ascii="宋体" w:hAnsi="宋体" w:cs="宋体"/>
                <w:bCs/>
                <w:color w:val="0000FF"/>
                <w:szCs w:val="21"/>
                <w:highlight w:val="none"/>
              </w:rPr>
              <w:t>验收条件</w:t>
            </w:r>
          </w:p>
        </w:tc>
        <w:tc>
          <w:tcPr>
            <w:tcW w:w="3055" w:type="dxa"/>
            <w:vAlign w:val="center"/>
          </w:tcPr>
          <w:p w14:paraId="6D2510A4">
            <w:pPr>
              <w:pStyle w:val="18"/>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3.1 （1）货到安装，现场验收。中标人应派有经验的技术人员到现场进行安装、调试，直到设备正常使用。</w:t>
            </w:r>
          </w:p>
          <w:p w14:paraId="4B616B15">
            <w:pPr>
              <w:pStyle w:val="18"/>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（2）设备安装调试正常使用后，且提供所有第三方配件及设备相关软件、序列及后处理软件后60个工作日内进行验收，由使用科室、设备科、中标人等代表在场进行验收。</w:t>
            </w:r>
          </w:p>
          <w:p w14:paraId="2D081E29">
            <w:pPr>
              <w:pStyle w:val="18"/>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（3）产品质量和安装调试检验标准遵照国家相关规定和最新标准执行。验收中如发现有质量不合格或型号规格、数量等与送货清单不符等情况，中标人应免费更换或补齐，并承担因此发生的违约责任。 中标人货物经过双方检验认可后，签署验收报告。</w:t>
            </w:r>
          </w:p>
          <w:p w14:paraId="1F39D8BE">
            <w:pPr>
              <w:pStyle w:val="18"/>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（4）当满足以下条件时，采购人才向中标人签发货物验收报告：</w:t>
            </w:r>
          </w:p>
          <w:p w14:paraId="529D8911">
            <w:pPr>
              <w:pStyle w:val="18"/>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a、中标人已按照合同规定提供了全部产品及完整的技术资料。</w:t>
            </w:r>
          </w:p>
          <w:p w14:paraId="34034F9C">
            <w:pPr>
              <w:pStyle w:val="18"/>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b、货物符合招标文件技术规格书的要求，性能满足要求。</w:t>
            </w:r>
          </w:p>
          <w:p w14:paraId="167B2FDE">
            <w:pPr>
              <w:pStyle w:val="18"/>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c、货物具备产品合格证。</w:t>
            </w:r>
          </w:p>
          <w:p w14:paraId="46567F29">
            <w:pPr>
              <w:pStyle w:val="18"/>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d、提供维修手册、中文操作手册。</w:t>
            </w:r>
          </w:p>
          <w:p w14:paraId="18FC4FDB">
            <w:pPr>
              <w:pStyle w:val="18"/>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FF"/>
                <w:sz w:val="21"/>
                <w:szCs w:val="21"/>
                <w:highlight w:val="none"/>
              </w:rPr>
            </w:pPr>
            <w:r>
              <w:rPr>
                <w:rFonts w:hint="eastAsia" w:ascii="宋体" w:hAnsi="宋体" w:eastAsia="宋体" w:cs="宋体"/>
                <w:bCs/>
                <w:color w:val="0000FF"/>
                <w:sz w:val="21"/>
                <w:szCs w:val="21"/>
                <w:highlight w:val="none"/>
              </w:rPr>
              <w:t>（5）若采购人对中标产品质量有争议，将由中标人委托第三方质量检测部门按照招标文书进行验收确认,并由中标人负责该检测具体事宜。出具检测验收报告合格，采购人将履行采购合同；若检测验收报告不合格，采购人将取消采购合同，由中标单位承担所有后果。</w:t>
            </w:r>
          </w:p>
        </w:tc>
        <w:tc>
          <w:tcPr>
            <w:tcW w:w="1485" w:type="dxa"/>
            <w:vAlign w:val="center"/>
          </w:tcPr>
          <w:p w14:paraId="7CE5956F">
            <w:pPr>
              <w:pStyle w:val="18"/>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rPr>
            </w:pPr>
          </w:p>
        </w:tc>
        <w:tc>
          <w:tcPr>
            <w:tcW w:w="1088" w:type="dxa"/>
            <w:vAlign w:val="center"/>
          </w:tcPr>
          <w:p w14:paraId="361A8B4B">
            <w:pPr>
              <w:pStyle w:val="18"/>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rPr>
            </w:pPr>
          </w:p>
        </w:tc>
        <w:tc>
          <w:tcPr>
            <w:tcW w:w="687" w:type="dxa"/>
            <w:vAlign w:val="center"/>
          </w:tcPr>
          <w:p w14:paraId="017D873B">
            <w:pPr>
              <w:pStyle w:val="18"/>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rPr>
            </w:pPr>
          </w:p>
        </w:tc>
      </w:tr>
      <w:tr w14:paraId="46D5F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6" w:type="dxa"/>
            <w:vMerge w:val="restart"/>
            <w:vAlign w:val="center"/>
          </w:tcPr>
          <w:p w14:paraId="07FD600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b/>
                <w:color w:val="0000FF"/>
                <w:szCs w:val="21"/>
                <w:highlight w:val="none"/>
              </w:rPr>
            </w:pPr>
            <w:r>
              <w:rPr>
                <w:rFonts w:hint="eastAsia" w:ascii="宋体" w:hAnsi="宋体" w:cs="宋体"/>
                <w:b/>
                <w:color w:val="0000FF"/>
                <w:szCs w:val="21"/>
                <w:highlight w:val="none"/>
              </w:rPr>
              <w:t>4</w:t>
            </w:r>
          </w:p>
        </w:tc>
        <w:tc>
          <w:tcPr>
            <w:tcW w:w="1403" w:type="dxa"/>
            <w:vMerge w:val="restart"/>
            <w:vAlign w:val="center"/>
          </w:tcPr>
          <w:p w14:paraId="400C34F5">
            <w:pPr>
              <w:keepNext w:val="0"/>
              <w:keepLines w:val="0"/>
              <w:pageBreakBefore w:val="0"/>
              <w:kinsoku/>
              <w:wordWrap/>
              <w:overflowPunct/>
              <w:topLinePunct w:val="0"/>
              <w:autoSpaceDE/>
              <w:autoSpaceDN/>
              <w:bidi w:val="0"/>
              <w:adjustRightInd/>
              <w:snapToGrid/>
              <w:spacing w:line="240" w:lineRule="auto"/>
              <w:jc w:val="center"/>
              <w:textAlignment w:val="auto"/>
              <w:rPr>
                <w:rStyle w:val="45"/>
                <w:rFonts w:hint="eastAsia" w:ascii="宋体" w:hAnsi="宋体" w:cs="宋体"/>
                <w:b w:val="0"/>
                <w:bCs/>
                <w:color w:val="0000FF"/>
                <w:szCs w:val="21"/>
                <w:highlight w:val="none"/>
              </w:rPr>
            </w:pPr>
            <w:r>
              <w:rPr>
                <w:rFonts w:hint="eastAsia" w:ascii="宋体" w:hAnsi="宋体" w:cs="宋体"/>
                <w:bCs/>
                <w:color w:val="0000FF"/>
                <w:szCs w:val="21"/>
                <w:highlight w:val="none"/>
              </w:rPr>
              <w:t>争议解决方法</w:t>
            </w:r>
          </w:p>
        </w:tc>
        <w:tc>
          <w:tcPr>
            <w:tcW w:w="3055" w:type="dxa"/>
            <w:vAlign w:val="center"/>
          </w:tcPr>
          <w:p w14:paraId="6A8DF4F0">
            <w:pPr>
              <w:pStyle w:val="18"/>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4.1 协商与调解：双方首先应尝试通过友好协商解决问题。如果协商无果，协商不成的，由采购人所在地人民法院管辖。</w:t>
            </w:r>
          </w:p>
        </w:tc>
        <w:tc>
          <w:tcPr>
            <w:tcW w:w="1485" w:type="dxa"/>
            <w:vAlign w:val="center"/>
          </w:tcPr>
          <w:p w14:paraId="756C248E">
            <w:pPr>
              <w:pStyle w:val="18"/>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rPr>
            </w:pPr>
          </w:p>
        </w:tc>
        <w:tc>
          <w:tcPr>
            <w:tcW w:w="1088" w:type="dxa"/>
            <w:vAlign w:val="center"/>
          </w:tcPr>
          <w:p w14:paraId="7A9485BA">
            <w:pPr>
              <w:pStyle w:val="18"/>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rPr>
            </w:pPr>
          </w:p>
        </w:tc>
        <w:tc>
          <w:tcPr>
            <w:tcW w:w="687" w:type="dxa"/>
            <w:vAlign w:val="center"/>
          </w:tcPr>
          <w:p w14:paraId="3A518E4C">
            <w:pPr>
              <w:pStyle w:val="18"/>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rPr>
            </w:pPr>
          </w:p>
        </w:tc>
      </w:tr>
      <w:tr w14:paraId="17A85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6" w:type="dxa"/>
            <w:vMerge w:val="continue"/>
            <w:vAlign w:val="center"/>
          </w:tcPr>
          <w:p w14:paraId="7A5BC8D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b/>
                <w:color w:val="0000FF"/>
                <w:szCs w:val="21"/>
                <w:highlight w:val="none"/>
              </w:rPr>
            </w:pPr>
          </w:p>
        </w:tc>
        <w:tc>
          <w:tcPr>
            <w:tcW w:w="1403" w:type="dxa"/>
            <w:vMerge w:val="continue"/>
            <w:vAlign w:val="center"/>
          </w:tcPr>
          <w:p w14:paraId="56A95CA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b/>
                <w:color w:val="0000FF"/>
                <w:szCs w:val="21"/>
                <w:highlight w:val="none"/>
              </w:rPr>
            </w:pPr>
          </w:p>
        </w:tc>
        <w:tc>
          <w:tcPr>
            <w:tcW w:w="3055" w:type="dxa"/>
            <w:vAlign w:val="center"/>
          </w:tcPr>
          <w:p w14:paraId="5679078A">
            <w:pPr>
              <w:pStyle w:val="18"/>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4.2 任何一方违约导致诉讼的，违约方需承担包括但不限于担保费、律师费、交通费、诉讼费、保全费等维权费用。</w:t>
            </w:r>
          </w:p>
        </w:tc>
        <w:tc>
          <w:tcPr>
            <w:tcW w:w="1485" w:type="dxa"/>
            <w:vAlign w:val="center"/>
          </w:tcPr>
          <w:p w14:paraId="014F232B">
            <w:pPr>
              <w:pStyle w:val="18"/>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rPr>
            </w:pPr>
          </w:p>
        </w:tc>
        <w:tc>
          <w:tcPr>
            <w:tcW w:w="1088" w:type="dxa"/>
            <w:vAlign w:val="center"/>
          </w:tcPr>
          <w:p w14:paraId="677BED26">
            <w:pPr>
              <w:pStyle w:val="18"/>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rPr>
            </w:pPr>
          </w:p>
        </w:tc>
        <w:tc>
          <w:tcPr>
            <w:tcW w:w="687" w:type="dxa"/>
            <w:vAlign w:val="center"/>
          </w:tcPr>
          <w:p w14:paraId="587AAFD8">
            <w:pPr>
              <w:pStyle w:val="18"/>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rPr>
            </w:pPr>
          </w:p>
        </w:tc>
      </w:tr>
      <w:tr w14:paraId="55EC0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6" w:type="dxa"/>
            <w:vAlign w:val="center"/>
          </w:tcPr>
          <w:p w14:paraId="69BE1C1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b/>
                <w:color w:val="0000FF"/>
                <w:szCs w:val="21"/>
                <w:highlight w:val="none"/>
              </w:rPr>
            </w:pPr>
            <w:r>
              <w:rPr>
                <w:rFonts w:hint="eastAsia" w:ascii="宋体" w:hAnsi="宋体" w:cs="宋体"/>
                <w:b/>
                <w:color w:val="0000FF"/>
                <w:szCs w:val="21"/>
                <w:highlight w:val="none"/>
              </w:rPr>
              <w:t>5</w:t>
            </w:r>
          </w:p>
        </w:tc>
        <w:tc>
          <w:tcPr>
            <w:tcW w:w="1403" w:type="dxa"/>
            <w:vAlign w:val="center"/>
          </w:tcPr>
          <w:p w14:paraId="78AA537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color w:val="0000FF"/>
                <w:szCs w:val="21"/>
                <w:highlight w:val="none"/>
              </w:rPr>
            </w:pPr>
            <w:r>
              <w:rPr>
                <w:rStyle w:val="45"/>
                <w:rFonts w:hint="eastAsia" w:ascii="宋体" w:hAnsi="宋体" w:cs="宋体"/>
                <w:b w:val="0"/>
                <w:color w:val="0000FF"/>
                <w:szCs w:val="21"/>
                <w:highlight w:val="none"/>
              </w:rPr>
              <w:t>运输、安装条件</w:t>
            </w:r>
          </w:p>
        </w:tc>
        <w:tc>
          <w:tcPr>
            <w:tcW w:w="3055" w:type="dxa"/>
            <w:vAlign w:val="center"/>
          </w:tcPr>
          <w:p w14:paraId="4336878D">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1"/>
                <w:highlight w:val="none"/>
              </w:rPr>
            </w:pPr>
            <w:r>
              <w:rPr>
                <w:rFonts w:hint="eastAsia" w:ascii="宋体" w:hAnsi="宋体" w:cs="宋体"/>
                <w:bCs/>
                <w:color w:val="0000FF"/>
                <w:szCs w:val="21"/>
                <w:highlight w:val="none"/>
              </w:rPr>
              <w:t>5.1 中标人提供的货物必须为全新（要求生产日期为一年以内）经检验合格的产品，包装方式按照原厂出厂原标准，中标人应确保运抵采购人处货物的完好性，包装费用由中标人承担。中标人承担由于其包装或其防护措施不妥而引起货物锈蚀、损坏和丢失等任何损失，并承担因此而发生的违约责任。</w:t>
            </w:r>
          </w:p>
          <w:p w14:paraId="711BBF52">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1"/>
                <w:highlight w:val="none"/>
              </w:rPr>
            </w:pPr>
            <w:r>
              <w:rPr>
                <w:rFonts w:hint="eastAsia" w:ascii="宋体" w:hAnsi="宋体" w:cs="宋体"/>
                <w:bCs/>
                <w:color w:val="0000FF"/>
                <w:szCs w:val="21"/>
                <w:highlight w:val="none"/>
              </w:rPr>
              <w:t>5.2投标人负责将货物安全无损运抵采购人指定地点,并承担设备可能产生的包装、运输、保险、装卸、安装调试、培训、商检、进口关税及计量检测、增值税等所有费用。</w:t>
            </w:r>
          </w:p>
          <w:p w14:paraId="222F4887">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1"/>
                <w:highlight w:val="none"/>
              </w:rPr>
            </w:pPr>
            <w:r>
              <w:rPr>
                <w:rFonts w:hint="eastAsia" w:ascii="宋体" w:hAnsi="宋体" w:cs="宋体"/>
                <w:bCs/>
                <w:color w:val="0000FF"/>
                <w:szCs w:val="21"/>
                <w:highlight w:val="none"/>
              </w:rPr>
              <w:t>5.3如若需要场地迁移，投标人需免费迁移（含拆装）1 次并确保机器的正常使用。</w:t>
            </w:r>
          </w:p>
        </w:tc>
        <w:tc>
          <w:tcPr>
            <w:tcW w:w="1485" w:type="dxa"/>
            <w:vAlign w:val="center"/>
          </w:tcPr>
          <w:p w14:paraId="4DBE016D">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1"/>
                <w:highlight w:val="none"/>
              </w:rPr>
            </w:pPr>
          </w:p>
        </w:tc>
        <w:tc>
          <w:tcPr>
            <w:tcW w:w="1088" w:type="dxa"/>
            <w:vAlign w:val="center"/>
          </w:tcPr>
          <w:p w14:paraId="181AE0BE">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1"/>
                <w:highlight w:val="none"/>
              </w:rPr>
            </w:pPr>
          </w:p>
        </w:tc>
        <w:tc>
          <w:tcPr>
            <w:tcW w:w="687" w:type="dxa"/>
            <w:vAlign w:val="center"/>
          </w:tcPr>
          <w:p w14:paraId="6650C5CD">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1"/>
                <w:highlight w:val="none"/>
              </w:rPr>
            </w:pPr>
          </w:p>
        </w:tc>
      </w:tr>
      <w:tr w14:paraId="72D7B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6" w:type="dxa"/>
            <w:vMerge w:val="restart"/>
            <w:vAlign w:val="center"/>
          </w:tcPr>
          <w:p w14:paraId="4EB2D8B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b/>
                <w:color w:val="0000FF"/>
                <w:szCs w:val="21"/>
                <w:highlight w:val="none"/>
              </w:rPr>
            </w:pPr>
            <w:r>
              <w:rPr>
                <w:rFonts w:hint="eastAsia" w:ascii="宋体" w:hAnsi="宋体" w:cs="宋体"/>
                <w:b/>
                <w:color w:val="0000FF"/>
                <w:szCs w:val="21"/>
                <w:highlight w:val="none"/>
              </w:rPr>
              <w:t>6</w:t>
            </w:r>
          </w:p>
        </w:tc>
        <w:tc>
          <w:tcPr>
            <w:tcW w:w="1403" w:type="dxa"/>
            <w:vMerge w:val="restart"/>
            <w:vAlign w:val="center"/>
          </w:tcPr>
          <w:p w14:paraId="2DE34E4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color w:val="0000FF"/>
                <w:szCs w:val="21"/>
                <w:highlight w:val="none"/>
              </w:rPr>
            </w:pPr>
            <w:r>
              <w:rPr>
                <w:rFonts w:hint="eastAsia" w:ascii="宋体" w:hAnsi="宋体" w:cs="宋体"/>
                <w:color w:val="0000FF"/>
                <w:szCs w:val="21"/>
                <w:highlight w:val="none"/>
              </w:rPr>
              <w:t>培训</w:t>
            </w:r>
          </w:p>
        </w:tc>
        <w:tc>
          <w:tcPr>
            <w:tcW w:w="3055" w:type="dxa"/>
          </w:tcPr>
          <w:p w14:paraId="5D232DA5">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1"/>
                <w:highlight w:val="none"/>
              </w:rPr>
            </w:pPr>
            <w:r>
              <w:rPr>
                <w:rFonts w:hint="eastAsia" w:ascii="宋体" w:hAnsi="宋体" w:cs="宋体"/>
                <w:bCs/>
                <w:color w:val="0000FF"/>
                <w:szCs w:val="21"/>
                <w:highlight w:val="none"/>
              </w:rPr>
              <w:t>6.1 投标供应商应派专业技术人员免费对采购单位指定人员进行定期培训及指导，直至其完全掌握设备的基本故障处理技术。</w:t>
            </w:r>
          </w:p>
        </w:tc>
        <w:tc>
          <w:tcPr>
            <w:tcW w:w="1485" w:type="dxa"/>
          </w:tcPr>
          <w:p w14:paraId="4F3ACF75">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1"/>
                <w:highlight w:val="none"/>
              </w:rPr>
            </w:pPr>
          </w:p>
        </w:tc>
        <w:tc>
          <w:tcPr>
            <w:tcW w:w="1088" w:type="dxa"/>
          </w:tcPr>
          <w:p w14:paraId="28BD8556">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1"/>
                <w:highlight w:val="none"/>
              </w:rPr>
            </w:pPr>
          </w:p>
        </w:tc>
        <w:tc>
          <w:tcPr>
            <w:tcW w:w="687" w:type="dxa"/>
          </w:tcPr>
          <w:p w14:paraId="2083E55F">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1"/>
                <w:highlight w:val="none"/>
              </w:rPr>
            </w:pPr>
          </w:p>
        </w:tc>
      </w:tr>
      <w:tr w14:paraId="7A2A8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6" w:type="dxa"/>
            <w:vMerge w:val="continue"/>
            <w:vAlign w:val="center"/>
          </w:tcPr>
          <w:p w14:paraId="42245B1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b/>
                <w:color w:val="0000FF"/>
                <w:szCs w:val="21"/>
                <w:highlight w:val="none"/>
              </w:rPr>
            </w:pPr>
          </w:p>
        </w:tc>
        <w:tc>
          <w:tcPr>
            <w:tcW w:w="1403" w:type="dxa"/>
            <w:vMerge w:val="continue"/>
            <w:vAlign w:val="center"/>
          </w:tcPr>
          <w:p w14:paraId="408CD42D">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color w:val="0000FF"/>
                <w:szCs w:val="21"/>
                <w:highlight w:val="none"/>
              </w:rPr>
            </w:pPr>
          </w:p>
        </w:tc>
        <w:tc>
          <w:tcPr>
            <w:tcW w:w="3055" w:type="dxa"/>
          </w:tcPr>
          <w:p w14:paraId="5B379FEB">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1"/>
                <w:highlight w:val="none"/>
              </w:rPr>
            </w:pPr>
            <w:r>
              <w:rPr>
                <w:rFonts w:hint="eastAsia" w:ascii="宋体" w:hAnsi="宋体" w:cs="宋体"/>
                <w:bCs/>
                <w:color w:val="0000FF"/>
                <w:szCs w:val="21"/>
                <w:highlight w:val="none"/>
              </w:rPr>
              <w:t>6.2 现场培训：投标供应商应提供现场技术培训，保证使用人员正常操作设备的各种功能。</w:t>
            </w:r>
          </w:p>
        </w:tc>
        <w:tc>
          <w:tcPr>
            <w:tcW w:w="1485" w:type="dxa"/>
          </w:tcPr>
          <w:p w14:paraId="52D88E5B">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1"/>
                <w:highlight w:val="none"/>
              </w:rPr>
            </w:pPr>
          </w:p>
        </w:tc>
        <w:tc>
          <w:tcPr>
            <w:tcW w:w="1088" w:type="dxa"/>
          </w:tcPr>
          <w:p w14:paraId="2E85279A">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1"/>
                <w:highlight w:val="none"/>
              </w:rPr>
            </w:pPr>
          </w:p>
        </w:tc>
        <w:tc>
          <w:tcPr>
            <w:tcW w:w="687" w:type="dxa"/>
          </w:tcPr>
          <w:p w14:paraId="6F67B7CC">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1"/>
                <w:highlight w:val="none"/>
              </w:rPr>
            </w:pPr>
          </w:p>
        </w:tc>
      </w:tr>
      <w:tr w14:paraId="3F778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6" w:type="dxa"/>
            <w:vMerge w:val="restart"/>
            <w:vAlign w:val="center"/>
          </w:tcPr>
          <w:p w14:paraId="04090B1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b/>
                <w:color w:val="0000FF"/>
                <w:szCs w:val="21"/>
                <w:highlight w:val="none"/>
              </w:rPr>
            </w:pPr>
            <w:r>
              <w:rPr>
                <w:rFonts w:hint="eastAsia" w:ascii="宋体" w:hAnsi="宋体" w:cs="宋体"/>
                <w:b/>
                <w:color w:val="0000FF"/>
                <w:szCs w:val="21"/>
                <w:highlight w:val="none"/>
              </w:rPr>
              <w:t>7</w:t>
            </w:r>
          </w:p>
        </w:tc>
        <w:tc>
          <w:tcPr>
            <w:tcW w:w="1403" w:type="dxa"/>
            <w:vMerge w:val="restart"/>
            <w:vAlign w:val="center"/>
          </w:tcPr>
          <w:p w14:paraId="42760F3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color w:val="0000FF"/>
                <w:szCs w:val="21"/>
                <w:highlight w:val="none"/>
              </w:rPr>
            </w:pPr>
            <w:r>
              <w:rPr>
                <w:rFonts w:hint="eastAsia" w:ascii="宋体" w:hAnsi="宋体" w:cs="宋体"/>
                <w:color w:val="0000FF"/>
                <w:szCs w:val="21"/>
                <w:highlight w:val="none"/>
              </w:rPr>
              <w:t>知识产权</w:t>
            </w:r>
          </w:p>
        </w:tc>
        <w:tc>
          <w:tcPr>
            <w:tcW w:w="3055" w:type="dxa"/>
          </w:tcPr>
          <w:p w14:paraId="091D9FD4">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1"/>
                <w:highlight w:val="none"/>
              </w:rPr>
            </w:pPr>
            <w:r>
              <w:rPr>
                <w:rFonts w:hint="eastAsia" w:ascii="宋体" w:hAnsi="宋体" w:cs="宋体"/>
                <w:bCs/>
                <w:color w:val="0000FF"/>
                <w:szCs w:val="21"/>
                <w:highlight w:val="none"/>
              </w:rPr>
              <w:t>7.1 涉及采购标的的知识产权归属、处理的，应约定知识产权的归属和处理方式。</w:t>
            </w:r>
          </w:p>
        </w:tc>
        <w:tc>
          <w:tcPr>
            <w:tcW w:w="1485" w:type="dxa"/>
          </w:tcPr>
          <w:p w14:paraId="570EA25A">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1"/>
                <w:highlight w:val="none"/>
              </w:rPr>
            </w:pPr>
          </w:p>
        </w:tc>
        <w:tc>
          <w:tcPr>
            <w:tcW w:w="1088" w:type="dxa"/>
          </w:tcPr>
          <w:p w14:paraId="580C288F">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1"/>
                <w:highlight w:val="none"/>
              </w:rPr>
            </w:pPr>
          </w:p>
        </w:tc>
        <w:tc>
          <w:tcPr>
            <w:tcW w:w="687" w:type="dxa"/>
          </w:tcPr>
          <w:p w14:paraId="482E5C0D">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1"/>
                <w:highlight w:val="none"/>
              </w:rPr>
            </w:pPr>
          </w:p>
        </w:tc>
      </w:tr>
      <w:tr w14:paraId="2CEA9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6" w:type="dxa"/>
            <w:vMerge w:val="continue"/>
            <w:vAlign w:val="center"/>
          </w:tcPr>
          <w:p w14:paraId="7AEBC1A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b/>
                <w:color w:val="0000FF"/>
                <w:szCs w:val="21"/>
                <w:highlight w:val="none"/>
              </w:rPr>
            </w:pPr>
          </w:p>
        </w:tc>
        <w:tc>
          <w:tcPr>
            <w:tcW w:w="1403" w:type="dxa"/>
            <w:vMerge w:val="continue"/>
            <w:vAlign w:val="center"/>
          </w:tcPr>
          <w:p w14:paraId="5E032A47">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
                <w:color w:val="0000FF"/>
                <w:szCs w:val="21"/>
                <w:highlight w:val="none"/>
              </w:rPr>
            </w:pPr>
          </w:p>
        </w:tc>
        <w:tc>
          <w:tcPr>
            <w:tcW w:w="3055" w:type="dxa"/>
          </w:tcPr>
          <w:p w14:paraId="376E2FBB">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1"/>
                <w:highlight w:val="none"/>
              </w:rPr>
            </w:pPr>
            <w:r>
              <w:rPr>
                <w:rFonts w:hint="eastAsia" w:ascii="宋体" w:hAnsi="宋体" w:cs="宋体"/>
                <w:bCs/>
                <w:color w:val="0000FF"/>
                <w:szCs w:val="21"/>
                <w:highlight w:val="none"/>
              </w:rPr>
              <w:t>7.2 采购人购买产品后，有权对该产品与其他设备进行配套、整合或适当改进，而免受侵犯专利权的起诉。</w:t>
            </w:r>
          </w:p>
        </w:tc>
        <w:tc>
          <w:tcPr>
            <w:tcW w:w="1485" w:type="dxa"/>
          </w:tcPr>
          <w:p w14:paraId="7B1E2B83">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1"/>
                <w:highlight w:val="none"/>
              </w:rPr>
            </w:pPr>
          </w:p>
        </w:tc>
        <w:tc>
          <w:tcPr>
            <w:tcW w:w="1088" w:type="dxa"/>
          </w:tcPr>
          <w:p w14:paraId="08E6BAA2">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1"/>
                <w:highlight w:val="none"/>
              </w:rPr>
            </w:pPr>
          </w:p>
        </w:tc>
        <w:tc>
          <w:tcPr>
            <w:tcW w:w="687" w:type="dxa"/>
          </w:tcPr>
          <w:p w14:paraId="73443ECA">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1"/>
                <w:highlight w:val="none"/>
              </w:rPr>
            </w:pPr>
          </w:p>
        </w:tc>
      </w:tr>
      <w:tr w14:paraId="07846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6" w:type="dxa"/>
            <w:vMerge w:val="restart"/>
            <w:vAlign w:val="center"/>
          </w:tcPr>
          <w:p w14:paraId="0C8A1AE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b/>
                <w:color w:val="0000FF"/>
                <w:szCs w:val="21"/>
                <w:highlight w:val="none"/>
              </w:rPr>
            </w:pPr>
            <w:r>
              <w:rPr>
                <w:rFonts w:hint="eastAsia" w:ascii="宋体" w:hAnsi="宋体" w:cs="宋体"/>
                <w:b/>
                <w:color w:val="0000FF"/>
                <w:szCs w:val="21"/>
                <w:highlight w:val="none"/>
              </w:rPr>
              <w:t>8</w:t>
            </w:r>
          </w:p>
        </w:tc>
        <w:tc>
          <w:tcPr>
            <w:tcW w:w="1403" w:type="dxa"/>
            <w:vMerge w:val="restart"/>
            <w:vAlign w:val="center"/>
          </w:tcPr>
          <w:p w14:paraId="4C2E903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b/>
                <w:color w:val="0000FF"/>
                <w:szCs w:val="21"/>
                <w:highlight w:val="none"/>
              </w:rPr>
            </w:pPr>
            <w:r>
              <w:rPr>
                <w:rFonts w:hint="eastAsia" w:ascii="宋体" w:hAnsi="宋体" w:cs="宋体"/>
                <w:b/>
                <w:color w:val="0000FF"/>
                <w:szCs w:val="21"/>
                <w:highlight w:val="none"/>
              </w:rPr>
              <w:t>其他</w:t>
            </w:r>
          </w:p>
        </w:tc>
        <w:tc>
          <w:tcPr>
            <w:tcW w:w="3055" w:type="dxa"/>
          </w:tcPr>
          <w:p w14:paraId="394F648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color w:val="0000FF"/>
                <w:szCs w:val="21"/>
                <w:highlight w:val="none"/>
              </w:rPr>
            </w:pPr>
            <w:r>
              <w:rPr>
                <w:rFonts w:hint="eastAsia" w:ascii="宋体" w:hAnsi="宋体" w:cs="宋体"/>
                <w:color w:val="0000FF"/>
                <w:szCs w:val="21"/>
                <w:highlight w:val="none"/>
              </w:rPr>
              <w:t>8.1 投标供应商应按其投标文件中的承诺，进行其他售后服务工作。</w:t>
            </w:r>
          </w:p>
        </w:tc>
        <w:tc>
          <w:tcPr>
            <w:tcW w:w="1485" w:type="dxa"/>
          </w:tcPr>
          <w:p w14:paraId="72A2F6F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color w:val="0000FF"/>
                <w:szCs w:val="21"/>
                <w:highlight w:val="none"/>
              </w:rPr>
            </w:pPr>
          </w:p>
        </w:tc>
        <w:tc>
          <w:tcPr>
            <w:tcW w:w="1088" w:type="dxa"/>
          </w:tcPr>
          <w:p w14:paraId="0C4073A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color w:val="0000FF"/>
                <w:szCs w:val="21"/>
                <w:highlight w:val="none"/>
              </w:rPr>
            </w:pPr>
          </w:p>
        </w:tc>
        <w:tc>
          <w:tcPr>
            <w:tcW w:w="687" w:type="dxa"/>
          </w:tcPr>
          <w:p w14:paraId="431C365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color w:val="0000FF"/>
                <w:szCs w:val="21"/>
                <w:highlight w:val="none"/>
              </w:rPr>
            </w:pPr>
          </w:p>
        </w:tc>
      </w:tr>
      <w:tr w14:paraId="506AB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6" w:type="dxa"/>
            <w:vMerge w:val="continue"/>
            <w:vAlign w:val="center"/>
          </w:tcPr>
          <w:p w14:paraId="730D72F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b/>
                <w:color w:val="0000FF"/>
                <w:szCs w:val="21"/>
                <w:highlight w:val="none"/>
              </w:rPr>
            </w:pPr>
          </w:p>
        </w:tc>
        <w:tc>
          <w:tcPr>
            <w:tcW w:w="1403" w:type="dxa"/>
            <w:vMerge w:val="continue"/>
            <w:vAlign w:val="center"/>
          </w:tcPr>
          <w:p w14:paraId="070AF0D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b/>
                <w:color w:val="0000FF"/>
                <w:szCs w:val="21"/>
                <w:highlight w:val="none"/>
              </w:rPr>
            </w:pPr>
          </w:p>
        </w:tc>
        <w:tc>
          <w:tcPr>
            <w:tcW w:w="3055" w:type="dxa"/>
          </w:tcPr>
          <w:p w14:paraId="362E862D">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1"/>
                <w:highlight w:val="none"/>
              </w:rPr>
            </w:pPr>
            <w:r>
              <w:rPr>
                <w:rFonts w:hint="eastAsia" w:ascii="宋体" w:hAnsi="宋体" w:cs="宋体"/>
                <w:bCs/>
                <w:color w:val="0000FF"/>
                <w:szCs w:val="21"/>
                <w:highlight w:val="none"/>
              </w:rPr>
              <w:t>8.2 本项目中如有涉及水、电、气设备安装及调试、室外高空作业等项目的中标人承诺使用具有国家认可资质的操作人员（资质证书仍在有效期内）实施，否则由此造成的后果由中标人负责。</w:t>
            </w:r>
          </w:p>
        </w:tc>
        <w:tc>
          <w:tcPr>
            <w:tcW w:w="1485" w:type="dxa"/>
          </w:tcPr>
          <w:p w14:paraId="6A4FB01F">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1"/>
                <w:highlight w:val="none"/>
              </w:rPr>
            </w:pPr>
          </w:p>
        </w:tc>
        <w:tc>
          <w:tcPr>
            <w:tcW w:w="1088" w:type="dxa"/>
          </w:tcPr>
          <w:p w14:paraId="256C7456">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1"/>
                <w:highlight w:val="none"/>
              </w:rPr>
            </w:pPr>
          </w:p>
        </w:tc>
        <w:tc>
          <w:tcPr>
            <w:tcW w:w="687" w:type="dxa"/>
          </w:tcPr>
          <w:p w14:paraId="3C7C0E33">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1"/>
                <w:highlight w:val="none"/>
              </w:rPr>
            </w:pPr>
          </w:p>
        </w:tc>
      </w:tr>
      <w:tr w14:paraId="16D4C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6" w:type="dxa"/>
            <w:vMerge w:val="continue"/>
            <w:vAlign w:val="center"/>
          </w:tcPr>
          <w:p w14:paraId="1DDE48A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b/>
                <w:color w:val="0000FF"/>
                <w:szCs w:val="21"/>
                <w:highlight w:val="none"/>
              </w:rPr>
            </w:pPr>
          </w:p>
        </w:tc>
        <w:tc>
          <w:tcPr>
            <w:tcW w:w="1403" w:type="dxa"/>
            <w:vMerge w:val="continue"/>
            <w:vAlign w:val="center"/>
          </w:tcPr>
          <w:p w14:paraId="59B6A2E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b/>
                <w:color w:val="0000FF"/>
                <w:szCs w:val="21"/>
                <w:highlight w:val="none"/>
              </w:rPr>
            </w:pPr>
          </w:p>
        </w:tc>
        <w:tc>
          <w:tcPr>
            <w:tcW w:w="3055" w:type="dxa"/>
          </w:tcPr>
          <w:p w14:paraId="231E2EE5">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1"/>
                <w:highlight w:val="none"/>
              </w:rPr>
            </w:pPr>
            <w:r>
              <w:rPr>
                <w:rFonts w:hint="eastAsia" w:ascii="宋体" w:hAnsi="宋体" w:cs="宋体"/>
                <w:bCs/>
                <w:color w:val="0000FF"/>
                <w:szCs w:val="21"/>
                <w:highlight w:val="none"/>
              </w:rPr>
              <w:t>8.3 如所投产品受行业主管部门规定强制认证或检测或许可的（如3C认证或检测报告或工信部进网许可证等），中标人在中标后签订合同前向采购单位提供相关认证证书或检测报告。</w:t>
            </w:r>
          </w:p>
        </w:tc>
        <w:tc>
          <w:tcPr>
            <w:tcW w:w="1485" w:type="dxa"/>
          </w:tcPr>
          <w:p w14:paraId="1F06F291">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1"/>
                <w:highlight w:val="none"/>
              </w:rPr>
            </w:pPr>
          </w:p>
        </w:tc>
        <w:tc>
          <w:tcPr>
            <w:tcW w:w="1088" w:type="dxa"/>
          </w:tcPr>
          <w:p w14:paraId="26E3258D">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1"/>
                <w:highlight w:val="none"/>
              </w:rPr>
            </w:pPr>
          </w:p>
        </w:tc>
        <w:tc>
          <w:tcPr>
            <w:tcW w:w="687" w:type="dxa"/>
          </w:tcPr>
          <w:p w14:paraId="23FC15D5">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1"/>
                <w:highlight w:val="none"/>
              </w:rPr>
            </w:pPr>
          </w:p>
        </w:tc>
      </w:tr>
      <w:tr w14:paraId="7FEE7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6" w:type="dxa"/>
            <w:vMerge w:val="continue"/>
            <w:vAlign w:val="center"/>
          </w:tcPr>
          <w:p w14:paraId="0361933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b/>
                <w:color w:val="0000FF"/>
                <w:szCs w:val="21"/>
                <w:highlight w:val="none"/>
              </w:rPr>
            </w:pPr>
          </w:p>
        </w:tc>
        <w:tc>
          <w:tcPr>
            <w:tcW w:w="1403" w:type="dxa"/>
            <w:vMerge w:val="continue"/>
            <w:vAlign w:val="center"/>
          </w:tcPr>
          <w:p w14:paraId="55F673A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b/>
                <w:color w:val="0000FF"/>
                <w:szCs w:val="21"/>
                <w:highlight w:val="none"/>
              </w:rPr>
            </w:pPr>
          </w:p>
        </w:tc>
        <w:tc>
          <w:tcPr>
            <w:tcW w:w="3055" w:type="dxa"/>
          </w:tcPr>
          <w:p w14:paraId="4BAECE42">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1"/>
                <w:highlight w:val="none"/>
              </w:rPr>
            </w:pPr>
            <w:r>
              <w:rPr>
                <w:rFonts w:hint="eastAsia" w:ascii="宋体" w:hAnsi="宋体" w:cs="宋体"/>
                <w:bCs/>
                <w:color w:val="0000FF"/>
                <w:szCs w:val="21"/>
                <w:highlight w:val="none"/>
              </w:rPr>
              <w:t>8.4 本项目所要求的硬件、软件，中标人要配备给采购人，并保证采购人能正常使用，不需要另外增加其他附件和其他费用。</w:t>
            </w:r>
          </w:p>
        </w:tc>
        <w:tc>
          <w:tcPr>
            <w:tcW w:w="1485" w:type="dxa"/>
          </w:tcPr>
          <w:p w14:paraId="04030DA2">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1"/>
                <w:highlight w:val="none"/>
              </w:rPr>
            </w:pPr>
          </w:p>
        </w:tc>
        <w:tc>
          <w:tcPr>
            <w:tcW w:w="1088" w:type="dxa"/>
          </w:tcPr>
          <w:p w14:paraId="2C5A77DA">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1"/>
                <w:highlight w:val="none"/>
              </w:rPr>
            </w:pPr>
          </w:p>
        </w:tc>
        <w:tc>
          <w:tcPr>
            <w:tcW w:w="687" w:type="dxa"/>
          </w:tcPr>
          <w:p w14:paraId="4CC3F38D">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1"/>
                <w:highlight w:val="none"/>
              </w:rPr>
            </w:pPr>
          </w:p>
        </w:tc>
      </w:tr>
      <w:tr w14:paraId="2EA06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6" w:type="dxa"/>
            <w:vMerge w:val="continue"/>
            <w:vAlign w:val="center"/>
          </w:tcPr>
          <w:p w14:paraId="33F70AB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b/>
                <w:color w:val="0000FF"/>
                <w:szCs w:val="21"/>
                <w:highlight w:val="none"/>
              </w:rPr>
            </w:pPr>
          </w:p>
        </w:tc>
        <w:tc>
          <w:tcPr>
            <w:tcW w:w="1403" w:type="dxa"/>
            <w:vMerge w:val="continue"/>
            <w:vAlign w:val="center"/>
          </w:tcPr>
          <w:p w14:paraId="463BE9A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b/>
                <w:color w:val="0000FF"/>
                <w:szCs w:val="21"/>
                <w:highlight w:val="none"/>
              </w:rPr>
            </w:pPr>
          </w:p>
        </w:tc>
        <w:tc>
          <w:tcPr>
            <w:tcW w:w="3055" w:type="dxa"/>
          </w:tcPr>
          <w:p w14:paraId="164FE57B">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1"/>
                <w:highlight w:val="none"/>
              </w:rPr>
            </w:pPr>
            <w:r>
              <w:rPr>
                <w:rFonts w:hint="eastAsia" w:ascii="宋体" w:hAnsi="宋体" w:cs="宋体"/>
                <w:bCs/>
                <w:color w:val="0000FF"/>
                <w:szCs w:val="21"/>
                <w:highlight w:val="none"/>
              </w:rPr>
              <w:t>8.5 涉及软件应用的设备，中标供应商和厂家应配合医院智慧医院信息化建设。在保修期内，应免费将软件更新、维护并免费提供更新所需的硬件，免费开放软件端口，无偿派人配合与医院信息系统（包括但不限于HIS、PACS、LIS等系统）的连接工作，每台设备配置rfid定位电子标签，直至该设备与医院信息系统可进行完整的数据交换,中标人须承担数据成功对接的所有费用；当医院信息系统变更或其他情形需要与该设备连接时，须无偿派人配合，直至该设备与医院信息系统可进行完整的数据交换，确保数据安全，无外泄。上述工程需要按照采购人计划工期内完成，不得拖延，如因客观因素不得不延长工期的，需与采购人协商并获得采购人同意。</w:t>
            </w:r>
          </w:p>
        </w:tc>
        <w:tc>
          <w:tcPr>
            <w:tcW w:w="1485" w:type="dxa"/>
          </w:tcPr>
          <w:p w14:paraId="64EE76FD">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1"/>
                <w:highlight w:val="none"/>
              </w:rPr>
            </w:pPr>
          </w:p>
        </w:tc>
        <w:tc>
          <w:tcPr>
            <w:tcW w:w="1088" w:type="dxa"/>
          </w:tcPr>
          <w:p w14:paraId="452E4A2D">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1"/>
                <w:highlight w:val="none"/>
              </w:rPr>
            </w:pPr>
          </w:p>
        </w:tc>
        <w:tc>
          <w:tcPr>
            <w:tcW w:w="687" w:type="dxa"/>
          </w:tcPr>
          <w:p w14:paraId="76B43689">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Cs/>
                <w:color w:val="0000FF"/>
                <w:szCs w:val="21"/>
                <w:highlight w:val="none"/>
              </w:rPr>
            </w:pPr>
          </w:p>
        </w:tc>
      </w:tr>
      <w:tr w14:paraId="7905F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6" w:type="dxa"/>
            <w:vMerge w:val="restart"/>
            <w:vAlign w:val="center"/>
          </w:tcPr>
          <w:p w14:paraId="36C1D04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b/>
                <w:color w:val="0000FF"/>
                <w:szCs w:val="21"/>
                <w:highlight w:val="none"/>
              </w:rPr>
            </w:pPr>
            <w:r>
              <w:rPr>
                <w:rFonts w:hint="eastAsia" w:ascii="宋体" w:hAnsi="宋体" w:cs="宋体"/>
                <w:b/>
                <w:color w:val="0000FF"/>
                <w:szCs w:val="21"/>
                <w:highlight w:val="none"/>
              </w:rPr>
              <w:t>9</w:t>
            </w:r>
          </w:p>
        </w:tc>
        <w:tc>
          <w:tcPr>
            <w:tcW w:w="1403" w:type="dxa"/>
            <w:vMerge w:val="restart"/>
            <w:vAlign w:val="center"/>
          </w:tcPr>
          <w:p w14:paraId="29B04F7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b/>
                <w:color w:val="0000FF"/>
                <w:szCs w:val="21"/>
                <w:highlight w:val="none"/>
              </w:rPr>
            </w:pPr>
            <w:r>
              <w:rPr>
                <w:rFonts w:hint="eastAsia" w:ascii="宋体" w:hAnsi="宋体" w:cs="宋体"/>
                <w:b/>
                <w:color w:val="0000FF"/>
                <w:szCs w:val="21"/>
                <w:highlight w:val="none"/>
              </w:rPr>
              <w:t>项目（产品）要求</w:t>
            </w:r>
          </w:p>
        </w:tc>
        <w:tc>
          <w:tcPr>
            <w:tcW w:w="3055" w:type="dxa"/>
          </w:tcPr>
          <w:p w14:paraId="097C8426">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color w:val="0000FF"/>
                <w:szCs w:val="21"/>
                <w:highlight w:val="none"/>
              </w:rPr>
            </w:pPr>
            <w:r>
              <w:rPr>
                <w:rFonts w:hint="eastAsia" w:ascii="宋体" w:hAnsi="宋体" w:cs="宋体"/>
                <w:b/>
                <w:color w:val="0000FF"/>
                <w:szCs w:val="21"/>
                <w:highlight w:val="none"/>
              </w:rPr>
              <w:t>9.1投标人所投产品具备相关主管部门要求的认证资料：所投产品为第一类医疗器械的，提供监督管理部门签发的有效的《医疗器械备案凭证》扫描件；所投产品为第二、三类医疗器械的，提供监督管理部门签发的涵盖所投产品的《医疗器械注册证》(有效期内)扫描件。</w:t>
            </w:r>
          </w:p>
        </w:tc>
        <w:tc>
          <w:tcPr>
            <w:tcW w:w="1485" w:type="dxa"/>
          </w:tcPr>
          <w:p w14:paraId="1383F108">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
                <w:color w:val="0000FF"/>
                <w:szCs w:val="21"/>
                <w:highlight w:val="none"/>
              </w:rPr>
            </w:pPr>
          </w:p>
        </w:tc>
        <w:tc>
          <w:tcPr>
            <w:tcW w:w="1088" w:type="dxa"/>
          </w:tcPr>
          <w:p w14:paraId="77C18228">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
                <w:color w:val="0000FF"/>
                <w:szCs w:val="21"/>
                <w:highlight w:val="none"/>
              </w:rPr>
            </w:pPr>
          </w:p>
        </w:tc>
        <w:tc>
          <w:tcPr>
            <w:tcW w:w="687" w:type="dxa"/>
          </w:tcPr>
          <w:p w14:paraId="77D386E1">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
                <w:color w:val="0000FF"/>
                <w:szCs w:val="21"/>
                <w:highlight w:val="none"/>
              </w:rPr>
            </w:pPr>
          </w:p>
        </w:tc>
      </w:tr>
      <w:tr w14:paraId="21528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6" w:type="dxa"/>
            <w:vMerge w:val="continue"/>
            <w:vAlign w:val="center"/>
          </w:tcPr>
          <w:p w14:paraId="2EDCCA7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b/>
                <w:color w:val="0000FF"/>
                <w:szCs w:val="21"/>
                <w:highlight w:val="none"/>
              </w:rPr>
            </w:pPr>
          </w:p>
        </w:tc>
        <w:tc>
          <w:tcPr>
            <w:tcW w:w="1403" w:type="dxa"/>
            <w:vMerge w:val="continue"/>
            <w:vAlign w:val="center"/>
          </w:tcPr>
          <w:p w14:paraId="5A69F51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b/>
                <w:color w:val="0000FF"/>
                <w:szCs w:val="21"/>
                <w:highlight w:val="none"/>
              </w:rPr>
            </w:pPr>
          </w:p>
        </w:tc>
        <w:tc>
          <w:tcPr>
            <w:tcW w:w="3055" w:type="dxa"/>
          </w:tcPr>
          <w:p w14:paraId="36550C8D">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b/>
                <w:color w:val="0000FF"/>
                <w:szCs w:val="21"/>
                <w:highlight w:val="none"/>
              </w:rPr>
            </w:pPr>
            <w:r>
              <w:rPr>
                <w:rFonts w:hint="eastAsia" w:ascii="宋体" w:hAnsi="宋体" w:cs="宋体"/>
                <w:color w:val="0000FF"/>
                <w:szCs w:val="21"/>
                <w:highlight w:val="none"/>
              </w:rPr>
              <w:t>9.2如供应商提供的相关货物（标的），属于按整套（成套）设备进行申请医疗器械注册证情形的，则投标人针对前述相关货物（标的）在投标时可提供整套（成套）设备的医疗器械注册证。</w:t>
            </w:r>
          </w:p>
        </w:tc>
        <w:tc>
          <w:tcPr>
            <w:tcW w:w="1485" w:type="dxa"/>
          </w:tcPr>
          <w:p w14:paraId="7F29361A">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color w:val="0000FF"/>
                <w:szCs w:val="21"/>
                <w:highlight w:val="none"/>
              </w:rPr>
            </w:pPr>
          </w:p>
        </w:tc>
        <w:tc>
          <w:tcPr>
            <w:tcW w:w="1088" w:type="dxa"/>
          </w:tcPr>
          <w:p w14:paraId="195560BA">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color w:val="0000FF"/>
                <w:szCs w:val="21"/>
                <w:highlight w:val="none"/>
              </w:rPr>
            </w:pPr>
          </w:p>
        </w:tc>
        <w:tc>
          <w:tcPr>
            <w:tcW w:w="687" w:type="dxa"/>
          </w:tcPr>
          <w:p w14:paraId="139A4C6C">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color w:val="0000FF"/>
                <w:szCs w:val="21"/>
                <w:highlight w:val="none"/>
              </w:rPr>
            </w:pPr>
          </w:p>
        </w:tc>
      </w:tr>
      <w:tr w14:paraId="6B89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06" w:type="dxa"/>
            <w:vMerge w:val="continue"/>
            <w:vAlign w:val="center"/>
          </w:tcPr>
          <w:p w14:paraId="15E6ACD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b/>
                <w:color w:val="0000FF"/>
                <w:szCs w:val="21"/>
                <w:highlight w:val="none"/>
              </w:rPr>
            </w:pPr>
          </w:p>
        </w:tc>
        <w:tc>
          <w:tcPr>
            <w:tcW w:w="1403" w:type="dxa"/>
            <w:vMerge w:val="continue"/>
            <w:vAlign w:val="center"/>
          </w:tcPr>
          <w:p w14:paraId="332FC21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b/>
                <w:color w:val="0000FF"/>
                <w:szCs w:val="21"/>
                <w:highlight w:val="none"/>
              </w:rPr>
            </w:pPr>
          </w:p>
        </w:tc>
        <w:tc>
          <w:tcPr>
            <w:tcW w:w="3055" w:type="dxa"/>
          </w:tcPr>
          <w:p w14:paraId="25D281B7">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color w:val="0000FF"/>
                <w:szCs w:val="21"/>
                <w:highlight w:val="none"/>
              </w:rPr>
            </w:pPr>
            <w:r>
              <w:rPr>
                <w:rFonts w:hint="eastAsia" w:ascii="宋体" w:hAnsi="宋体" w:cs="宋体"/>
                <w:color w:val="0000FF"/>
                <w:szCs w:val="21"/>
                <w:highlight w:val="none"/>
              </w:rPr>
              <w:t>9.3</w:t>
            </w:r>
            <w:r>
              <w:rPr>
                <w:rFonts w:hint="eastAsia" w:ascii="宋体" w:hAnsi="宋体" w:cs="宋体"/>
                <w:bCs/>
                <w:color w:val="0000FF"/>
                <w:highlight w:val="none"/>
              </w:rPr>
              <w:t>如若本购置项目需要提供交钥匙工程（内容包含但不限于预评、环评、控评、屏蔽、基座、线槽、机房配套基础设施、空调、视频监控系统、空气消毒机、除湿机等，具体以采购人实际需求为准）。乙方负责装机后的放射诊疗许可证、辐射安全许可证等的办理，所涉及费用等均由乙方负责。</w:t>
            </w:r>
          </w:p>
        </w:tc>
        <w:tc>
          <w:tcPr>
            <w:tcW w:w="1485" w:type="dxa"/>
          </w:tcPr>
          <w:p w14:paraId="673EA926">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color w:val="0000FF"/>
                <w:szCs w:val="21"/>
                <w:highlight w:val="none"/>
              </w:rPr>
            </w:pPr>
          </w:p>
        </w:tc>
        <w:tc>
          <w:tcPr>
            <w:tcW w:w="1088" w:type="dxa"/>
          </w:tcPr>
          <w:p w14:paraId="5BC115F4">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color w:val="0000FF"/>
                <w:szCs w:val="21"/>
                <w:highlight w:val="none"/>
              </w:rPr>
            </w:pPr>
          </w:p>
        </w:tc>
        <w:tc>
          <w:tcPr>
            <w:tcW w:w="687" w:type="dxa"/>
          </w:tcPr>
          <w:p w14:paraId="655E2CBD">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color w:val="0000FF"/>
                <w:szCs w:val="21"/>
                <w:highlight w:val="none"/>
              </w:rPr>
            </w:pPr>
          </w:p>
        </w:tc>
      </w:tr>
    </w:tbl>
    <w:p w14:paraId="3032ABCD">
      <w:pPr>
        <w:ind w:firstLine="420" w:firstLineChars="200"/>
        <w:rPr>
          <w:bCs/>
          <w:szCs w:val="21"/>
          <w:highlight w:val="none"/>
        </w:rPr>
      </w:pPr>
      <w:r>
        <w:rPr>
          <w:rFonts w:hint="eastAsia"/>
          <w:bCs/>
          <w:szCs w:val="21"/>
          <w:highlight w:val="none"/>
        </w:rPr>
        <w:t>《商务要求偏离表》编制指引：</w:t>
      </w:r>
    </w:p>
    <w:p w14:paraId="02E48ECE">
      <w:pPr>
        <w:ind w:firstLine="420" w:firstLineChars="200"/>
        <w:rPr>
          <w:bCs/>
          <w:szCs w:val="21"/>
          <w:highlight w:val="none"/>
        </w:rPr>
      </w:pPr>
      <w:r>
        <w:rPr>
          <w:rFonts w:hint="eastAsia"/>
          <w:bCs/>
          <w:szCs w:val="21"/>
          <w:highlight w:val="none"/>
        </w:rPr>
        <w:t>1、商务要求偏离表的序号、商务需求项、招标商务要求等栏目对应“用户需求书”中的“商务要求”章节相关内容。</w:t>
      </w:r>
    </w:p>
    <w:p w14:paraId="2C8F259E">
      <w:pPr>
        <w:ind w:firstLine="420" w:firstLineChars="200"/>
        <w:rPr>
          <w:bCs/>
          <w:szCs w:val="21"/>
          <w:highlight w:val="none"/>
        </w:rPr>
      </w:pPr>
      <w:r>
        <w:rPr>
          <w:bCs/>
          <w:szCs w:val="21"/>
          <w:highlight w:val="none"/>
        </w:rPr>
        <w:t>2</w:t>
      </w:r>
      <w:r>
        <w:rPr>
          <w:rFonts w:hint="eastAsia"/>
          <w:bCs/>
          <w:szCs w:val="21"/>
          <w:highlight w:val="none"/>
        </w:rPr>
        <w:t>、“投标商务响应”一栏必须一一对照“招标商务要求”，详细填写自身响应情况，而不能不合理照搬照抄招标文件的商务要求，以体现具体响应情况。</w:t>
      </w:r>
    </w:p>
    <w:p w14:paraId="3F3DD984">
      <w:pPr>
        <w:ind w:firstLine="420" w:firstLineChars="200"/>
        <w:rPr>
          <w:bCs/>
          <w:color w:val="FF0000"/>
          <w:szCs w:val="21"/>
          <w:highlight w:val="none"/>
        </w:rPr>
      </w:pPr>
      <w:r>
        <w:rPr>
          <w:bCs/>
          <w:szCs w:val="21"/>
          <w:highlight w:val="none"/>
        </w:rPr>
        <w:t>3</w:t>
      </w:r>
      <w:r>
        <w:rPr>
          <w:rFonts w:hint="eastAsia"/>
          <w:bCs/>
          <w:szCs w:val="21"/>
          <w:highlight w:val="none"/>
        </w:rPr>
        <w:t>、“偏离情况”一栏填写如实填写“正偏离”、“负偏离”或“无偏离”，其中：“正偏离”表示“投标响应优于招标商务要求”，“负偏离”表示“投标响应不满足招标商务要求”，“无偏离”表示“投标响应与招标商务要求一致”。</w:t>
      </w:r>
    </w:p>
    <w:p w14:paraId="3456BAFD">
      <w:pPr>
        <w:rPr>
          <w:bCs/>
          <w:szCs w:val="21"/>
          <w:highlight w:val="none"/>
        </w:rPr>
      </w:pPr>
      <w:r>
        <w:rPr>
          <w:rFonts w:hint="eastAsia"/>
          <w:bCs/>
          <w:szCs w:val="21"/>
          <w:highlight w:val="none"/>
        </w:rPr>
        <w:t>“投标商务响应”对比“招标商务要求”存在响应不全（包括未响应整项招标商务要求或者未响应一项招标商务要求的部分内容），均视为“负偏离”。</w:t>
      </w:r>
    </w:p>
    <w:p w14:paraId="08760094">
      <w:pPr>
        <w:ind w:firstLine="420" w:firstLineChars="200"/>
        <w:rPr>
          <w:bCs/>
          <w:szCs w:val="21"/>
          <w:highlight w:val="none"/>
        </w:rPr>
      </w:pPr>
      <w:r>
        <w:rPr>
          <w:rFonts w:hint="eastAsia"/>
          <w:bCs/>
          <w:szCs w:val="21"/>
          <w:highlight w:val="none"/>
        </w:rPr>
        <w:t>4、带★号条款为不可偏离条款，如未响应或出现负偏离的，将作投标无效处理。</w:t>
      </w:r>
    </w:p>
    <w:p w14:paraId="7AC29A08">
      <w:pPr>
        <w:rPr>
          <w:sz w:val="24"/>
          <w:highlight w:val="none"/>
        </w:rPr>
      </w:pPr>
    </w:p>
    <w:p w14:paraId="16755F09">
      <w:pPr>
        <w:rPr>
          <w:rFonts w:hint="eastAsia" w:ascii="黑体" w:eastAsia="黑体"/>
          <w:b w:val="0"/>
          <w:sz w:val="24"/>
          <w:szCs w:val="24"/>
          <w:highlight w:val="none"/>
        </w:rPr>
      </w:pPr>
      <w:r>
        <w:rPr>
          <w:rFonts w:hint="eastAsia" w:ascii="黑体" w:eastAsia="黑体"/>
          <w:b w:val="0"/>
          <w:sz w:val="24"/>
          <w:szCs w:val="24"/>
          <w:highlight w:val="none"/>
        </w:rPr>
        <w:br w:type="page"/>
      </w:r>
    </w:p>
    <w:p w14:paraId="2E2B9EE8">
      <w:pPr>
        <w:pStyle w:val="3"/>
        <w:jc w:val="center"/>
        <w:rPr>
          <w:rFonts w:hint="eastAsia" w:ascii="黑体" w:eastAsia="黑体"/>
          <w:b w:val="0"/>
          <w:color w:val="0000FF"/>
          <w:sz w:val="24"/>
          <w:szCs w:val="24"/>
          <w:highlight w:val="none"/>
        </w:rPr>
      </w:pPr>
      <w:r>
        <w:rPr>
          <w:rFonts w:hint="eastAsia" w:ascii="黑体" w:eastAsia="黑体"/>
          <w:b w:val="0"/>
          <w:color w:val="0000FF"/>
          <w:sz w:val="24"/>
          <w:szCs w:val="24"/>
          <w:highlight w:val="none"/>
        </w:rPr>
        <w:t>十、投标人承诺的售后服务内容和工作方案（格式自定）</w:t>
      </w:r>
    </w:p>
    <w:p w14:paraId="39FA1D35">
      <w:pPr>
        <w:rPr>
          <w:b/>
          <w:color w:val="0000FF"/>
          <w:sz w:val="22"/>
          <w:highlight w:val="none"/>
        </w:rPr>
      </w:pPr>
      <w:r>
        <w:rPr>
          <w:rFonts w:hint="eastAsia"/>
          <w:b/>
          <w:color w:val="0000FF"/>
          <w:sz w:val="22"/>
          <w:highlight w:val="none"/>
        </w:rPr>
        <w:t>（特别提示：投标人须按本招标文件评标信息中这一评审因素要求，提供证明资料）</w:t>
      </w:r>
    </w:p>
    <w:p w14:paraId="7462603E">
      <w:pPr>
        <w:rPr>
          <w:b/>
          <w:color w:val="0000FF"/>
          <w:sz w:val="22"/>
          <w:highlight w:val="none"/>
        </w:rPr>
      </w:pPr>
    </w:p>
    <w:p w14:paraId="320350BC">
      <w:pPr>
        <w:pStyle w:val="3"/>
        <w:jc w:val="center"/>
        <w:rPr>
          <w:rFonts w:hint="eastAsia" w:ascii="黑体" w:eastAsia="黑体"/>
          <w:b w:val="0"/>
          <w:color w:val="0000FF"/>
          <w:sz w:val="24"/>
          <w:szCs w:val="24"/>
          <w:highlight w:val="none"/>
        </w:rPr>
      </w:pPr>
      <w:r>
        <w:rPr>
          <w:rFonts w:hint="eastAsia" w:ascii="黑体" w:eastAsia="黑体"/>
          <w:b w:val="0"/>
          <w:color w:val="0000FF"/>
          <w:sz w:val="24"/>
          <w:szCs w:val="24"/>
          <w:highlight w:val="none"/>
        </w:rPr>
        <w:t>十一、绿色采购情况（格式自定）</w:t>
      </w:r>
    </w:p>
    <w:p w14:paraId="5B63CF06">
      <w:pPr>
        <w:rPr>
          <w:b/>
          <w:color w:val="0000FF"/>
          <w:sz w:val="22"/>
          <w:highlight w:val="none"/>
        </w:rPr>
      </w:pPr>
      <w:r>
        <w:rPr>
          <w:rFonts w:hint="eastAsia"/>
          <w:b/>
          <w:color w:val="0000FF"/>
          <w:sz w:val="22"/>
          <w:highlight w:val="none"/>
        </w:rPr>
        <w:t>（特别提示：投标人须按本招标文件评标信息中这一评审因素要求，提供证明资料）</w:t>
      </w:r>
    </w:p>
    <w:p w14:paraId="2664D36C">
      <w:pPr>
        <w:rPr>
          <w:b/>
          <w:color w:val="0000FF"/>
          <w:sz w:val="22"/>
          <w:highlight w:val="none"/>
        </w:rPr>
      </w:pPr>
    </w:p>
    <w:p w14:paraId="23223CE3">
      <w:pPr>
        <w:pStyle w:val="3"/>
        <w:jc w:val="center"/>
        <w:rPr>
          <w:rFonts w:hint="eastAsia" w:ascii="黑体" w:eastAsia="黑体"/>
          <w:b w:val="0"/>
          <w:color w:val="0000FF"/>
          <w:sz w:val="24"/>
          <w:szCs w:val="24"/>
          <w:highlight w:val="none"/>
        </w:rPr>
      </w:pPr>
      <w:r>
        <w:rPr>
          <w:rFonts w:hint="eastAsia" w:ascii="黑体" w:eastAsia="黑体"/>
          <w:b w:val="0"/>
          <w:color w:val="0000FF"/>
          <w:sz w:val="24"/>
          <w:szCs w:val="24"/>
          <w:highlight w:val="none"/>
        </w:rPr>
        <w:t>十二、体系认证情况评价（格式自定）</w:t>
      </w:r>
    </w:p>
    <w:p w14:paraId="18BD4828">
      <w:pPr>
        <w:rPr>
          <w:color w:val="0000FF"/>
          <w:highlight w:val="none"/>
        </w:rPr>
      </w:pPr>
      <w:r>
        <w:rPr>
          <w:rFonts w:hint="eastAsia"/>
          <w:b/>
          <w:color w:val="0000FF"/>
          <w:sz w:val="22"/>
          <w:highlight w:val="none"/>
        </w:rPr>
        <w:t>（特别提示：投标人须按本招标文件评标信息中这一评审因素要求，提供证明资料）</w:t>
      </w:r>
    </w:p>
    <w:p w14:paraId="39B99CD4">
      <w:pPr>
        <w:rPr>
          <w:color w:val="0000FF"/>
          <w:highlight w:val="none"/>
        </w:rPr>
      </w:pPr>
    </w:p>
    <w:p w14:paraId="3D5B6E73">
      <w:pPr>
        <w:pStyle w:val="3"/>
        <w:jc w:val="center"/>
        <w:rPr>
          <w:rFonts w:hint="eastAsia" w:ascii="黑体" w:eastAsia="黑体"/>
          <w:b w:val="0"/>
          <w:color w:val="0000FF"/>
          <w:sz w:val="24"/>
          <w:szCs w:val="24"/>
          <w:highlight w:val="none"/>
        </w:rPr>
      </w:pPr>
      <w:r>
        <w:rPr>
          <w:rFonts w:hint="eastAsia" w:ascii="黑体" w:eastAsia="黑体"/>
          <w:b w:val="0"/>
          <w:color w:val="0000FF"/>
          <w:sz w:val="24"/>
          <w:szCs w:val="24"/>
          <w:highlight w:val="none"/>
        </w:rPr>
        <w:t>十三、项目经验评价（格式自定）</w:t>
      </w:r>
    </w:p>
    <w:p w14:paraId="6F059598">
      <w:pPr>
        <w:pStyle w:val="18"/>
        <w:rPr>
          <w:rFonts w:hint="eastAsia" w:ascii="Times New Roman" w:hAnsi="Times New Roman" w:eastAsia="宋体" w:cs="Times New Roman"/>
          <w:b/>
          <w:bCs w:val="0"/>
          <w:color w:val="0000FF"/>
          <w:kern w:val="2"/>
          <w:sz w:val="22"/>
          <w:szCs w:val="24"/>
          <w:highlight w:val="none"/>
          <w:lang w:val="en-US" w:eastAsia="zh-CN" w:bidi="ar-SA"/>
        </w:rPr>
      </w:pPr>
      <w:r>
        <w:rPr>
          <w:rFonts w:hint="eastAsia" w:ascii="Times New Roman" w:hAnsi="Times New Roman" w:eastAsia="宋体" w:cs="Times New Roman"/>
          <w:b/>
          <w:bCs w:val="0"/>
          <w:color w:val="0000FF"/>
          <w:kern w:val="2"/>
          <w:sz w:val="22"/>
          <w:szCs w:val="24"/>
          <w:highlight w:val="none"/>
          <w:lang w:val="en-US" w:eastAsia="zh-CN" w:bidi="ar-SA"/>
        </w:rPr>
        <w:t>（特别提示：投标人须按本招标文件评标信息中这一评审因素要求，提供证明资料）</w:t>
      </w:r>
    </w:p>
    <w:p w14:paraId="653DDD39">
      <w:pPr>
        <w:pStyle w:val="18"/>
        <w:rPr>
          <w:highlight w:val="none"/>
        </w:rPr>
      </w:pPr>
    </w:p>
    <w:p w14:paraId="7270F74B">
      <w:pPr>
        <w:pStyle w:val="3"/>
        <w:jc w:val="center"/>
        <w:rPr>
          <w:rFonts w:hint="eastAsia" w:ascii="黑体" w:eastAsia="黑体"/>
          <w:b w:val="0"/>
          <w:sz w:val="24"/>
          <w:szCs w:val="24"/>
          <w:highlight w:val="none"/>
        </w:rPr>
      </w:pPr>
      <w:r>
        <w:rPr>
          <w:rFonts w:hint="eastAsia" w:ascii="黑体" w:eastAsia="黑体"/>
          <w:b w:val="0"/>
          <w:sz w:val="24"/>
          <w:szCs w:val="24"/>
          <w:highlight w:val="none"/>
        </w:rPr>
        <w:t>十四、投标人认为需要加以说明的其他内容（格式自定）</w:t>
      </w:r>
    </w:p>
    <w:p w14:paraId="5EF80E42">
      <w:pPr>
        <w:pStyle w:val="18"/>
        <w:rPr>
          <w:highlight w:val="none"/>
        </w:rPr>
      </w:pPr>
    </w:p>
    <w:p w14:paraId="4B281934">
      <w:pPr>
        <w:widowControl/>
        <w:jc w:val="center"/>
        <w:rPr>
          <w:rFonts w:hint="eastAsia" w:ascii="黑体" w:hAnsi="宋体" w:eastAsia="黑体"/>
          <w:kern w:val="0"/>
          <w:sz w:val="24"/>
          <w:szCs w:val="20"/>
          <w:highlight w:val="none"/>
        </w:rPr>
      </w:pPr>
      <w:r>
        <w:rPr>
          <w:rFonts w:hint="eastAsia" w:ascii="黑体" w:hAnsi="宋体" w:eastAsia="黑体"/>
          <w:kern w:val="0"/>
          <w:sz w:val="24"/>
          <w:szCs w:val="20"/>
          <w:highlight w:val="none"/>
        </w:rPr>
        <w:t>（一）采购违法行为风险知悉确认书</w:t>
      </w:r>
    </w:p>
    <w:p w14:paraId="08DFF87A">
      <w:pPr>
        <w:widowControl/>
        <w:jc w:val="center"/>
        <w:rPr>
          <w:rFonts w:hint="eastAsia" w:ascii="黑体" w:hAnsi="宋体" w:eastAsia="黑体"/>
          <w:kern w:val="0"/>
          <w:sz w:val="24"/>
          <w:szCs w:val="20"/>
          <w:highlight w:val="none"/>
        </w:rPr>
      </w:pPr>
    </w:p>
    <w:p w14:paraId="1E40157C">
      <w:pPr>
        <w:ind w:firstLine="420" w:firstLineChars="200"/>
        <w:rPr>
          <w:highlight w:val="none"/>
        </w:rPr>
      </w:pPr>
      <w:r>
        <w:rPr>
          <w:rFonts w:hint="eastAsia"/>
          <w:highlight w:val="none"/>
        </w:rPr>
        <w:t>本公司在投标前已充分知悉以下情形为参与自行采购活动时的重大风险事项，并承诺已对下述风险提示事项重点排查，做到严谨、诚信、依法依规参与自行采购活动。</w:t>
      </w:r>
    </w:p>
    <w:p w14:paraId="50A4B51C">
      <w:pPr>
        <w:ind w:firstLine="422" w:firstLineChars="200"/>
        <w:rPr>
          <w:b/>
          <w:highlight w:val="none"/>
        </w:rPr>
      </w:pPr>
      <w:r>
        <w:rPr>
          <w:rFonts w:hint="eastAsia"/>
          <w:b/>
          <w:highlight w:val="none"/>
        </w:rPr>
        <w:t>一、本公司已充分知悉“隐瞒真实情况，提供虚假资料”的法定情形，相关情形包括但不限于：</w:t>
      </w:r>
    </w:p>
    <w:p w14:paraId="310902D8">
      <w:pPr>
        <w:ind w:firstLine="420" w:firstLineChars="200"/>
        <w:rPr>
          <w:highlight w:val="none"/>
        </w:rPr>
      </w:pPr>
      <w:r>
        <w:rPr>
          <w:rFonts w:hint="eastAsia"/>
          <w:highlight w:val="none"/>
        </w:rPr>
        <w:t>（一）通过转让或者租借等方式从其他单位获取资格或者资质证书投标的。</w:t>
      </w:r>
    </w:p>
    <w:p w14:paraId="1295690D">
      <w:pPr>
        <w:ind w:firstLine="420" w:firstLineChars="200"/>
        <w:rPr>
          <w:highlight w:val="none"/>
        </w:rPr>
      </w:pPr>
      <w:r>
        <w:rPr>
          <w:rFonts w:hint="eastAsia"/>
          <w:highlight w:val="none"/>
        </w:rPr>
        <w:t>（二）由其他单位或者其他单位负责人在投标供应商编制的投标文件上加盖印章或者签字的。</w:t>
      </w:r>
    </w:p>
    <w:p w14:paraId="5B9EB113">
      <w:pPr>
        <w:ind w:firstLine="420" w:firstLineChars="200"/>
        <w:rPr>
          <w:highlight w:val="none"/>
        </w:rPr>
      </w:pPr>
      <w:r>
        <w:rPr>
          <w:rFonts w:hint="eastAsia"/>
          <w:highlight w:val="none"/>
        </w:rPr>
        <w:t>（三）项目负责人或者主要技术人员不是本单位人员的。</w:t>
      </w:r>
    </w:p>
    <w:p w14:paraId="05481E65">
      <w:pPr>
        <w:ind w:firstLine="420" w:firstLineChars="200"/>
        <w:rPr>
          <w:highlight w:val="none"/>
        </w:rPr>
      </w:pPr>
      <w:r>
        <w:rPr>
          <w:rFonts w:hint="eastAsia"/>
          <w:highlight w:val="none"/>
        </w:rPr>
        <w:t>（四）投标保证金不是从投标供应商基本账户转出的。</w:t>
      </w:r>
    </w:p>
    <w:p w14:paraId="3615CCCA">
      <w:pPr>
        <w:ind w:firstLine="420" w:firstLineChars="200"/>
        <w:rPr>
          <w:highlight w:val="none"/>
        </w:rPr>
      </w:pPr>
      <w:r>
        <w:rPr>
          <w:rFonts w:hint="eastAsia"/>
          <w:highlight w:val="none"/>
        </w:rPr>
        <w:t>（五）其他隐瞒真实情况、提供虚假资料的行为。</w:t>
      </w:r>
    </w:p>
    <w:p w14:paraId="025FF095">
      <w:pPr>
        <w:ind w:firstLine="422" w:firstLineChars="200"/>
        <w:rPr>
          <w:b/>
          <w:highlight w:val="none"/>
        </w:rPr>
      </w:pPr>
      <w:r>
        <w:rPr>
          <w:rFonts w:hint="eastAsia"/>
          <w:b/>
          <w:highlight w:val="none"/>
        </w:rPr>
        <w:t>二、本公司已充分知悉“与其他采购参加人串通投标”的法定情形，相关情形包括但不限于：</w:t>
      </w:r>
    </w:p>
    <w:p w14:paraId="292B5A86">
      <w:pPr>
        <w:ind w:firstLine="420" w:firstLineChars="200"/>
        <w:rPr>
          <w:highlight w:val="none"/>
        </w:rPr>
      </w:pPr>
      <w:r>
        <w:rPr>
          <w:rFonts w:hint="eastAsia"/>
          <w:highlight w:val="none"/>
        </w:rPr>
        <w:t>（一）投标供应商之间相互约定给予未中标的供应商利益补偿。</w:t>
      </w:r>
    </w:p>
    <w:p w14:paraId="2A9B74E1">
      <w:pPr>
        <w:ind w:firstLine="420" w:firstLineChars="200"/>
        <w:rPr>
          <w:highlight w:val="none"/>
        </w:rPr>
      </w:pPr>
      <w:r>
        <w:rPr>
          <w:rFonts w:hint="eastAsia"/>
          <w:highlight w:val="none"/>
        </w:rPr>
        <w:t>（二）不同投标供应商的法定代表人、主要经营负责人、项目投标授权代表人、项目负责人、主要技术人员为同一人、属同一单位或者在同一单位缴纳社会保险。</w:t>
      </w:r>
    </w:p>
    <w:p w14:paraId="587917A9">
      <w:pPr>
        <w:ind w:firstLine="420" w:firstLineChars="200"/>
        <w:rPr>
          <w:highlight w:val="none"/>
        </w:rPr>
      </w:pPr>
      <w:r>
        <w:rPr>
          <w:rFonts w:hint="eastAsia"/>
          <w:highlight w:val="none"/>
        </w:rPr>
        <w:t>（三）不同投标供应商的投标文件由同一单位或者同一人编制，或者由同一人分阶段参与编制的。</w:t>
      </w:r>
    </w:p>
    <w:p w14:paraId="4DAAEB2B">
      <w:pPr>
        <w:ind w:firstLine="420" w:firstLineChars="200"/>
        <w:rPr>
          <w:highlight w:val="none"/>
        </w:rPr>
      </w:pPr>
      <w:r>
        <w:rPr>
          <w:rFonts w:hint="eastAsia"/>
          <w:highlight w:val="none"/>
        </w:rPr>
        <w:t>（四）不同投标供应商的投标文件或部分投标文件相互混装。</w:t>
      </w:r>
    </w:p>
    <w:p w14:paraId="675EC810">
      <w:pPr>
        <w:ind w:firstLine="420" w:firstLineChars="200"/>
        <w:rPr>
          <w:highlight w:val="none"/>
        </w:rPr>
      </w:pPr>
      <w:r>
        <w:rPr>
          <w:rFonts w:hint="eastAsia"/>
          <w:highlight w:val="none"/>
        </w:rPr>
        <w:t>（五）不同投标供应商的投标文件内容存在非正常一致。</w:t>
      </w:r>
    </w:p>
    <w:p w14:paraId="2E75A773">
      <w:pPr>
        <w:ind w:firstLine="420" w:firstLineChars="200"/>
        <w:rPr>
          <w:highlight w:val="none"/>
        </w:rPr>
      </w:pPr>
      <w:r>
        <w:rPr>
          <w:rFonts w:hint="eastAsia"/>
          <w:highlight w:val="none"/>
        </w:rPr>
        <w:t>（六）由同一单位工作人员为两家以上（含两家）供应商进行同一项投标活动的。</w:t>
      </w:r>
    </w:p>
    <w:p w14:paraId="5FA3CD26">
      <w:pPr>
        <w:ind w:firstLine="420" w:firstLineChars="200"/>
        <w:rPr>
          <w:highlight w:val="none"/>
        </w:rPr>
      </w:pPr>
      <w:r>
        <w:rPr>
          <w:rFonts w:hint="eastAsia"/>
          <w:highlight w:val="none"/>
        </w:rPr>
        <w:t>（七）不同投标人的投标报价呈规律性差异。</w:t>
      </w:r>
    </w:p>
    <w:p w14:paraId="2C1CCF76">
      <w:pPr>
        <w:ind w:firstLine="420" w:firstLineChars="200"/>
        <w:rPr>
          <w:highlight w:val="none"/>
        </w:rPr>
      </w:pPr>
      <w:r>
        <w:rPr>
          <w:rFonts w:hint="eastAsia"/>
          <w:highlight w:val="none"/>
        </w:rPr>
        <w:t>（八）不同投标人的投标保证金从同一单位或者个人的账户转出。</w:t>
      </w:r>
    </w:p>
    <w:p w14:paraId="2C6C9643">
      <w:pPr>
        <w:ind w:firstLine="420" w:firstLineChars="200"/>
        <w:rPr>
          <w:highlight w:val="none"/>
        </w:rPr>
      </w:pPr>
      <w:r>
        <w:rPr>
          <w:rFonts w:hint="eastAsia"/>
          <w:highlight w:val="none"/>
        </w:rPr>
        <w:t>（九）主管部门依照法律、法规认定的其他情形。</w:t>
      </w:r>
    </w:p>
    <w:p w14:paraId="169953F5">
      <w:pPr>
        <w:ind w:firstLine="422" w:firstLineChars="200"/>
        <w:rPr>
          <w:b/>
          <w:highlight w:val="none"/>
        </w:rPr>
      </w:pPr>
      <w:r>
        <w:rPr>
          <w:rFonts w:hint="eastAsia"/>
          <w:b/>
          <w:highlight w:val="none"/>
        </w:rPr>
        <w:t>三、本公司已充分知悉下列情形所对应的法律风险，并在投标前已对相关风险事项进行排查。</w:t>
      </w:r>
    </w:p>
    <w:p w14:paraId="36B65297">
      <w:pPr>
        <w:ind w:firstLine="420" w:firstLineChars="200"/>
        <w:rPr>
          <w:b/>
          <w:highlight w:val="none"/>
        </w:rPr>
      </w:pPr>
      <w:r>
        <w:rPr>
          <w:rFonts w:hint="eastAsia"/>
          <w:highlight w:val="none"/>
        </w:rPr>
        <w:t>（一）对于从其他主体获取的投标资料，供应商应审慎核查，确保投标资料的真实性。</w:t>
      </w:r>
      <w:r>
        <w:rPr>
          <w:rFonts w:hint="eastAsia"/>
          <w:b/>
          <w:highlight w:val="none"/>
        </w:rPr>
        <w:t>如主管部门查实投标文件中存在虚假资料的，无论相关资料是否由第三方或本公司员工提供，均不影响主管部门对供应商存在“隐瞒真实情况，提供虚假资料”违法行为的认定。</w:t>
      </w:r>
    </w:p>
    <w:p w14:paraId="13CBF86C">
      <w:pPr>
        <w:ind w:firstLine="420" w:firstLineChars="200"/>
        <w:rPr>
          <w:highlight w:val="none"/>
        </w:rPr>
      </w:pPr>
      <w:r>
        <w:rPr>
          <w:rFonts w:hint="eastAsia"/>
          <w:highlight w:val="none"/>
        </w:rPr>
        <w:t>（二）对于涉及国家机关出具的公文、证件、证明材料等文件，一旦涉嫌虚假，经查实，主管部门将依法从严处理，并移送有关部门追究法律责任；涉嫌犯罪的，主管部门将一并移送司法机关追究法律责任。</w:t>
      </w:r>
    </w:p>
    <w:p w14:paraId="76294614">
      <w:pPr>
        <w:ind w:firstLine="420" w:firstLineChars="200"/>
        <w:rPr>
          <w:highlight w:val="none"/>
        </w:rPr>
      </w:pPr>
      <w:r>
        <w:rPr>
          <w:rFonts w:hint="eastAsia"/>
          <w:highlight w:val="none"/>
        </w:rPr>
        <w:t>（三）对于涉及安全生产、特种作业、抢险救灾、防疫等采购项目，供应商实施提供虚假资料、串通投标等违法行为的，主管部门将依法从严处理。</w:t>
      </w:r>
    </w:p>
    <w:p w14:paraId="7C27C551">
      <w:pPr>
        <w:ind w:firstLine="420" w:firstLineChars="200"/>
        <w:rPr>
          <w:highlight w:val="none"/>
        </w:rPr>
      </w:pPr>
      <w:r>
        <w:rPr>
          <w:rFonts w:hint="eastAsia"/>
          <w:highlight w:val="none"/>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14:paraId="509AB97D">
      <w:pPr>
        <w:ind w:firstLine="420" w:firstLineChars="200"/>
        <w:rPr>
          <w:highlight w:val="none"/>
        </w:rPr>
      </w:pPr>
      <w:r>
        <w:rPr>
          <w:rFonts w:hint="eastAsia"/>
          <w:highlight w:val="none"/>
        </w:rPr>
        <w:t>（五）供应商对投标电子密钥负有妥善保管、及时变更和续期等主体责任。供应商使用电子密钥在深圳自行采购网站进行的活动，均具有法律效力，须承担相应的法律后果。供应商擅自将投标密钥出借他人使用所造成的法律后果，由供应商自行承担。</w:t>
      </w:r>
    </w:p>
    <w:p w14:paraId="48E46C64">
      <w:pPr>
        <w:ind w:firstLine="420" w:firstLineChars="200"/>
        <w:rPr>
          <w:highlight w:val="none"/>
        </w:rPr>
      </w:pPr>
      <w:r>
        <w:rPr>
          <w:rFonts w:hint="eastAsia"/>
          <w:highlight w:val="none"/>
        </w:rPr>
        <w:t>（六）单位负责人为同一人或者存在直接控股、管理关系的不同供应商，不得参加同一合同项下的采购活动。相关情形如查实，依法作投标无效处理；涉嫌串通投标等违法行为的，主管部门将依法调查处理。</w:t>
      </w:r>
    </w:p>
    <w:p w14:paraId="011886E6">
      <w:pPr>
        <w:ind w:firstLine="422" w:firstLineChars="200"/>
        <w:rPr>
          <w:b/>
          <w:highlight w:val="none"/>
        </w:rPr>
      </w:pPr>
      <w:r>
        <w:rPr>
          <w:rFonts w:hint="eastAsia"/>
          <w:b/>
          <w:highlight w:val="none"/>
        </w:rPr>
        <w:t>四、本公司已充分知悉政府采购违法、违规行为的法律后果。</w:t>
      </w:r>
    </w:p>
    <w:p w14:paraId="5DA78765">
      <w:pPr>
        <w:ind w:firstLine="420" w:firstLineChars="200"/>
        <w:rPr>
          <w:highlight w:val="none"/>
        </w:rPr>
      </w:pPr>
      <w:r>
        <w:rPr>
          <w:rFonts w:hint="eastAsia"/>
          <w:highlight w:val="none"/>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5FF29D45">
      <w:pPr>
        <w:ind w:firstLine="420" w:firstLineChars="200"/>
        <w:rPr>
          <w:highlight w:val="none"/>
        </w:rPr>
      </w:pPr>
      <w:r>
        <w:rPr>
          <w:rFonts w:hint="eastAsia"/>
          <w:highlight w:val="none"/>
        </w:rPr>
        <w:t>以下文字请投标供应商抄写并确认：“本公司已仔细阅读《采购违法行为风险知悉确认书》，充分知悉违法行为的法律后果，并承诺将严谨、诚信、依法依规参与采购活动”。</w:t>
      </w:r>
    </w:p>
    <w:tbl>
      <w:tblPr>
        <w:tblStyle w:val="202"/>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0E3F214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0CA7138B">
            <w:pPr>
              <w:autoSpaceDE w:val="0"/>
              <w:autoSpaceDN w:val="0"/>
              <w:spacing w:line="400" w:lineRule="exact"/>
              <w:ind w:firstLine="1866"/>
              <w:rPr>
                <w:rFonts w:hint="eastAsia" w:ascii="宋体" w:hAnsi="宋体" w:eastAsiaTheme="minorEastAsia"/>
                <w:spacing w:val="-4"/>
                <w:kern w:val="0"/>
                <w:szCs w:val="21"/>
                <w:highlight w:val="none"/>
              </w:rPr>
            </w:pPr>
          </w:p>
        </w:tc>
      </w:tr>
      <w:tr w14:paraId="01487FD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4DF40109">
            <w:pPr>
              <w:autoSpaceDE w:val="0"/>
              <w:autoSpaceDN w:val="0"/>
              <w:spacing w:line="400" w:lineRule="exact"/>
              <w:ind w:firstLine="1866"/>
              <w:rPr>
                <w:rFonts w:hint="eastAsia" w:ascii="宋体" w:hAnsi="宋体" w:eastAsiaTheme="minorEastAsia"/>
                <w:spacing w:val="-4"/>
                <w:kern w:val="0"/>
                <w:szCs w:val="21"/>
                <w:highlight w:val="none"/>
              </w:rPr>
            </w:pPr>
          </w:p>
        </w:tc>
      </w:tr>
      <w:tr w14:paraId="7976F30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110ADCF8">
            <w:pPr>
              <w:autoSpaceDE w:val="0"/>
              <w:autoSpaceDN w:val="0"/>
              <w:spacing w:line="400" w:lineRule="exact"/>
              <w:ind w:firstLine="1866"/>
              <w:rPr>
                <w:rFonts w:hint="eastAsia" w:ascii="宋体" w:hAnsi="宋体" w:eastAsiaTheme="minorEastAsia"/>
                <w:spacing w:val="-4"/>
                <w:kern w:val="0"/>
                <w:szCs w:val="21"/>
                <w:highlight w:val="none"/>
              </w:rPr>
            </w:pPr>
          </w:p>
        </w:tc>
      </w:tr>
      <w:tr w14:paraId="6794DEA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037209C3">
            <w:pPr>
              <w:autoSpaceDE w:val="0"/>
              <w:autoSpaceDN w:val="0"/>
              <w:spacing w:line="400" w:lineRule="exact"/>
              <w:ind w:firstLine="1866"/>
              <w:rPr>
                <w:rFonts w:hint="eastAsia" w:ascii="宋体" w:hAnsi="宋体" w:eastAsiaTheme="minorEastAsia"/>
                <w:spacing w:val="-4"/>
                <w:kern w:val="0"/>
                <w:szCs w:val="21"/>
                <w:highlight w:val="none"/>
              </w:rPr>
            </w:pPr>
          </w:p>
        </w:tc>
      </w:tr>
    </w:tbl>
    <w:p w14:paraId="7A6B7C39">
      <w:pPr>
        <w:widowControl/>
        <w:wordWrap w:val="0"/>
        <w:autoSpaceDE w:val="0"/>
        <w:autoSpaceDN w:val="0"/>
        <w:spacing w:line="400" w:lineRule="exact"/>
        <w:ind w:right="808" w:firstLine="404" w:firstLineChars="200"/>
        <w:jc w:val="right"/>
        <w:rPr>
          <w:rFonts w:hint="eastAsia" w:ascii="宋体" w:hAnsi="宋体" w:eastAsiaTheme="minorEastAsia"/>
          <w:spacing w:val="-4"/>
          <w:kern w:val="0"/>
          <w:szCs w:val="21"/>
          <w:highlight w:val="none"/>
          <w:u w:val="single"/>
        </w:rPr>
      </w:pPr>
      <w:r>
        <w:rPr>
          <w:rFonts w:hint="eastAsia" w:ascii="宋体" w:hAnsi="宋体" w:eastAsiaTheme="minorEastAsia"/>
          <w:spacing w:val="-4"/>
          <w:kern w:val="0"/>
          <w:szCs w:val="21"/>
          <w:highlight w:val="none"/>
        </w:rPr>
        <w:t>负责人/投标授权代表签名：</w:t>
      </w:r>
      <w:r>
        <w:rPr>
          <w:rFonts w:hint="eastAsia" w:ascii="宋体" w:hAnsi="宋体" w:eastAsiaTheme="minorEastAsia"/>
          <w:spacing w:val="-4"/>
          <w:kern w:val="0"/>
          <w:szCs w:val="21"/>
          <w:highlight w:val="none"/>
          <w:u w:val="single"/>
        </w:rPr>
        <w:t xml:space="preserve">              </w:t>
      </w:r>
    </w:p>
    <w:p w14:paraId="77736EA7">
      <w:pPr>
        <w:widowControl/>
        <w:wordWrap w:val="0"/>
        <w:autoSpaceDE w:val="0"/>
        <w:autoSpaceDN w:val="0"/>
        <w:spacing w:line="400" w:lineRule="exact"/>
        <w:ind w:right="808" w:firstLine="404" w:firstLineChars="200"/>
        <w:jc w:val="right"/>
        <w:rPr>
          <w:rFonts w:hint="eastAsia" w:ascii="宋体" w:hAnsi="宋体" w:eastAsiaTheme="minorEastAsia"/>
          <w:spacing w:val="-4"/>
          <w:kern w:val="0"/>
          <w:szCs w:val="21"/>
          <w:highlight w:val="none"/>
          <w:u w:val="single"/>
        </w:rPr>
      </w:pPr>
      <w:r>
        <w:rPr>
          <w:rFonts w:hint="eastAsia" w:ascii="宋体" w:hAnsi="宋体" w:eastAsiaTheme="minorEastAsia"/>
          <w:spacing w:val="-4"/>
          <w:kern w:val="0"/>
          <w:szCs w:val="21"/>
          <w:highlight w:val="none"/>
        </w:rPr>
        <w:t>知悉人（公章）：</w:t>
      </w:r>
      <w:r>
        <w:rPr>
          <w:rFonts w:hint="eastAsia" w:ascii="宋体" w:hAnsi="宋体" w:eastAsiaTheme="minorEastAsia"/>
          <w:spacing w:val="-4"/>
          <w:kern w:val="0"/>
          <w:szCs w:val="21"/>
          <w:highlight w:val="none"/>
          <w:u w:val="single"/>
        </w:rPr>
        <w:t xml:space="preserve">              </w:t>
      </w:r>
    </w:p>
    <w:p w14:paraId="2B34FE65">
      <w:pPr>
        <w:widowControl/>
        <w:wordWrap w:val="0"/>
        <w:autoSpaceDE w:val="0"/>
        <w:autoSpaceDN w:val="0"/>
        <w:spacing w:line="400" w:lineRule="exact"/>
        <w:ind w:right="808" w:firstLine="404" w:firstLineChars="200"/>
        <w:jc w:val="right"/>
        <w:rPr>
          <w:rFonts w:hint="eastAsia" w:ascii="宋体" w:hAnsi="宋体" w:eastAsiaTheme="minorEastAsia"/>
          <w:spacing w:val="-4"/>
          <w:kern w:val="0"/>
          <w:szCs w:val="21"/>
          <w:highlight w:val="none"/>
          <w:u w:val="single"/>
        </w:rPr>
      </w:pPr>
      <w:r>
        <w:rPr>
          <w:rFonts w:hint="eastAsia" w:ascii="宋体" w:hAnsi="宋体" w:eastAsiaTheme="minorEastAsia"/>
          <w:spacing w:val="-4"/>
          <w:kern w:val="0"/>
          <w:szCs w:val="21"/>
          <w:highlight w:val="none"/>
        </w:rPr>
        <w:t xml:space="preserve">     日期：</w:t>
      </w:r>
      <w:r>
        <w:rPr>
          <w:rFonts w:hint="eastAsia" w:ascii="宋体" w:hAnsi="宋体" w:eastAsiaTheme="minorEastAsia"/>
          <w:spacing w:val="-4"/>
          <w:kern w:val="0"/>
          <w:szCs w:val="21"/>
          <w:highlight w:val="none"/>
          <w:u w:val="single"/>
        </w:rPr>
        <w:t xml:space="preserve">              </w:t>
      </w:r>
    </w:p>
    <w:p w14:paraId="7A78518C">
      <w:pPr>
        <w:widowControl/>
        <w:autoSpaceDE w:val="0"/>
        <w:autoSpaceDN w:val="0"/>
        <w:spacing w:line="400" w:lineRule="exact"/>
        <w:ind w:firstLine="406" w:firstLineChars="200"/>
        <w:jc w:val="left"/>
        <w:rPr>
          <w:rFonts w:hint="eastAsia" w:ascii="宋体" w:hAnsi="宋体" w:eastAsiaTheme="minorEastAsia"/>
          <w:b/>
          <w:bCs/>
          <w:color w:val="FF0000"/>
          <w:spacing w:val="-4"/>
          <w:kern w:val="0"/>
          <w:szCs w:val="21"/>
          <w:highlight w:val="none"/>
        </w:rPr>
      </w:pPr>
      <w:r>
        <w:rPr>
          <w:rFonts w:hint="eastAsia" w:ascii="宋体" w:hAnsi="宋体" w:eastAsiaTheme="minorEastAsia"/>
          <w:b/>
          <w:bCs/>
          <w:color w:val="FF0000"/>
          <w:spacing w:val="-4"/>
          <w:kern w:val="0"/>
          <w:szCs w:val="21"/>
          <w:highlight w:val="none"/>
        </w:rPr>
        <w:t>注：</w:t>
      </w:r>
    </w:p>
    <w:p w14:paraId="34AF5C93">
      <w:pPr>
        <w:widowControl/>
        <w:autoSpaceDE w:val="0"/>
        <w:autoSpaceDN w:val="0"/>
        <w:spacing w:line="400" w:lineRule="exact"/>
        <w:ind w:firstLine="406" w:firstLineChars="200"/>
        <w:jc w:val="left"/>
        <w:rPr>
          <w:rFonts w:hint="eastAsia" w:ascii="宋体" w:hAnsi="宋体" w:eastAsiaTheme="minorEastAsia"/>
          <w:b/>
          <w:bCs/>
          <w:color w:val="FF0000"/>
          <w:spacing w:val="-4"/>
          <w:kern w:val="0"/>
          <w:szCs w:val="21"/>
          <w:highlight w:val="none"/>
        </w:rPr>
      </w:pPr>
      <w:r>
        <w:rPr>
          <w:rFonts w:hint="eastAsia" w:ascii="宋体" w:hAnsi="宋体" w:eastAsiaTheme="minorEastAsia"/>
          <w:b/>
          <w:bCs/>
          <w:color w:val="FF0000"/>
          <w:spacing w:val="-4"/>
          <w:kern w:val="0"/>
          <w:szCs w:val="21"/>
          <w:highlight w:val="none"/>
        </w:rPr>
        <w:t>1.</w:t>
      </w:r>
      <w:r>
        <w:rPr>
          <w:rFonts w:hint="eastAsia"/>
          <w:highlight w:val="none"/>
        </w:rPr>
        <w:t xml:space="preserve"> </w:t>
      </w:r>
      <w:r>
        <w:rPr>
          <w:rFonts w:hint="eastAsia" w:ascii="宋体" w:hAnsi="宋体" w:eastAsiaTheme="minorEastAsia"/>
          <w:b/>
          <w:bCs/>
          <w:color w:val="FF0000"/>
          <w:spacing w:val="-4"/>
          <w:kern w:val="0"/>
          <w:szCs w:val="21"/>
          <w:highlight w:val="none"/>
        </w:rPr>
        <w:t>根据《深圳市财政局关于采购文件增加风险告知有关事项的通知》（深财购〔2022〕22 号），该风险知悉确认书用于对供应商违法行为的警示，不作为供应商资格性审查及符合性审查条件。</w:t>
      </w:r>
    </w:p>
    <w:p w14:paraId="213EC2CC">
      <w:pPr>
        <w:widowControl/>
        <w:autoSpaceDE w:val="0"/>
        <w:autoSpaceDN w:val="0"/>
        <w:spacing w:line="400" w:lineRule="exact"/>
        <w:ind w:firstLine="406" w:firstLineChars="200"/>
        <w:jc w:val="left"/>
        <w:rPr>
          <w:rFonts w:hint="eastAsia" w:ascii="宋体" w:hAnsi="宋体" w:eastAsiaTheme="minorEastAsia"/>
          <w:color w:val="FF0000"/>
          <w:spacing w:val="-4"/>
          <w:kern w:val="0"/>
          <w:szCs w:val="21"/>
          <w:highlight w:val="none"/>
        </w:rPr>
      </w:pPr>
      <w:r>
        <w:rPr>
          <w:rFonts w:hint="eastAsia" w:ascii="宋体" w:hAnsi="宋体" w:eastAsiaTheme="minorEastAsia"/>
          <w:b/>
          <w:bCs/>
          <w:color w:val="FF0000"/>
          <w:spacing w:val="-4"/>
          <w:kern w:val="0"/>
          <w:szCs w:val="21"/>
          <w:highlight w:val="none"/>
        </w:rPr>
        <w:t>2.投标供应商负责人或投标授权代表签字并加盖单位公章后，扫描上传至投标文件一并提交。</w:t>
      </w:r>
    </w:p>
    <w:p w14:paraId="018F133B">
      <w:pPr>
        <w:widowControl/>
        <w:spacing w:line="360" w:lineRule="auto"/>
        <w:jc w:val="left"/>
        <w:rPr>
          <w:rFonts w:eastAsiaTheme="minorEastAsia"/>
          <w:b/>
          <w:bCs/>
          <w:kern w:val="0"/>
          <w:sz w:val="24"/>
          <w:highlight w:val="none"/>
        </w:rPr>
      </w:pPr>
    </w:p>
    <w:p w14:paraId="2502AFE8">
      <w:pPr>
        <w:pStyle w:val="18"/>
        <w:rPr>
          <w:highlight w:val="none"/>
        </w:rPr>
      </w:pPr>
      <w:r>
        <w:rPr>
          <w:rFonts w:hint="eastAsia" w:ascii="黑体" w:hAnsi="宋体" w:eastAsia="黑体"/>
          <w:kern w:val="0"/>
          <w:szCs w:val="20"/>
          <w:highlight w:val="none"/>
        </w:rPr>
        <w:t>（二）投标人认为需要加以说明的其他内容（格式自定）</w:t>
      </w:r>
    </w:p>
    <w:p w14:paraId="6CDCBA33">
      <w:pPr>
        <w:pStyle w:val="35"/>
        <w:rPr>
          <w:highlight w:val="none"/>
        </w:rPr>
      </w:pPr>
    </w:p>
    <w:p w14:paraId="4EB53A7F">
      <w:pPr>
        <w:widowControl/>
        <w:jc w:val="left"/>
        <w:rPr>
          <w:rFonts w:hint="eastAsia" w:ascii="宋体" w:hAnsi="宋体"/>
          <w:b/>
          <w:bCs/>
          <w:kern w:val="0"/>
          <w:sz w:val="24"/>
          <w:szCs w:val="20"/>
          <w:highlight w:val="none"/>
        </w:rPr>
      </w:pPr>
      <w:r>
        <w:rPr>
          <w:highlight w:val="none"/>
        </w:rPr>
        <w:br w:type="page"/>
      </w:r>
    </w:p>
    <w:p w14:paraId="209FA4D5">
      <w:pPr>
        <w:pStyle w:val="5"/>
        <w:rPr>
          <w:rFonts w:hint="eastAsia"/>
          <w:sz w:val="28"/>
          <w:szCs w:val="28"/>
          <w:highlight w:val="none"/>
        </w:rPr>
      </w:pPr>
      <w:r>
        <w:rPr>
          <w:rFonts w:hint="eastAsia"/>
          <w:sz w:val="28"/>
          <w:szCs w:val="28"/>
          <w:highlight w:val="none"/>
        </w:rPr>
        <w:t>第五章  合同条款及格式</w:t>
      </w:r>
    </w:p>
    <w:p w14:paraId="1C7B84C8">
      <w:pPr>
        <w:bidi w:val="0"/>
        <w:jc w:val="center"/>
        <w:rPr>
          <w:highlight w:val="none"/>
        </w:rPr>
      </w:pPr>
      <w:r>
        <w:rPr>
          <w:rFonts w:hint="eastAsia"/>
          <w:highlight w:val="none"/>
        </w:rPr>
        <w:t>（仅供参考，具体以项目需求及实际签订为准）</w:t>
      </w:r>
    </w:p>
    <w:p w14:paraId="44954E98">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b/>
          <w:bCs/>
          <w:highlight w:val="none"/>
        </w:rPr>
      </w:pPr>
      <w:r>
        <w:rPr>
          <w:rFonts w:hint="eastAsia" w:ascii="宋体" w:hAnsi="宋体"/>
          <w:b/>
          <w:bCs/>
          <w:highlight w:val="none"/>
        </w:rPr>
        <w:t>甲方：</w:t>
      </w:r>
    </w:p>
    <w:p w14:paraId="7DB0E74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highlight w:val="none"/>
        </w:rPr>
      </w:pPr>
      <w:r>
        <w:rPr>
          <w:rFonts w:hint="eastAsia" w:ascii="宋体" w:hAnsi="宋体"/>
          <w:highlight w:val="none"/>
        </w:rPr>
        <w:t>地址：</w:t>
      </w:r>
    </w:p>
    <w:p w14:paraId="202171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highlight w:val="none"/>
        </w:rPr>
      </w:pPr>
      <w:r>
        <w:rPr>
          <w:rFonts w:hint="eastAsia" w:ascii="宋体" w:hAnsi="宋体"/>
          <w:highlight w:val="none"/>
        </w:rPr>
        <w:t>联系人：</w:t>
      </w:r>
    </w:p>
    <w:p w14:paraId="5D9C90B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b/>
          <w:bCs/>
          <w:highlight w:val="none"/>
        </w:rPr>
      </w:pPr>
      <w:r>
        <w:rPr>
          <w:rFonts w:hint="eastAsia" w:ascii="宋体" w:hAnsi="宋体"/>
          <w:highlight w:val="none"/>
        </w:rPr>
        <w:t>联系电话：</w:t>
      </w:r>
    </w:p>
    <w:p w14:paraId="5A5A474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b/>
          <w:bCs/>
          <w:highlight w:val="none"/>
        </w:rPr>
      </w:pPr>
      <w:r>
        <w:rPr>
          <w:rFonts w:hint="eastAsia" w:ascii="宋体" w:hAnsi="宋体"/>
          <w:b/>
          <w:bCs/>
          <w:highlight w:val="none"/>
        </w:rPr>
        <w:t>乙方：</w:t>
      </w:r>
    </w:p>
    <w:p w14:paraId="5CDDC8E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highlight w:val="none"/>
        </w:rPr>
      </w:pPr>
      <w:r>
        <w:rPr>
          <w:rFonts w:hint="eastAsia" w:ascii="宋体" w:hAnsi="宋体"/>
          <w:highlight w:val="none"/>
        </w:rPr>
        <w:t>地址：</w:t>
      </w:r>
    </w:p>
    <w:p w14:paraId="2A6D779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highlight w:val="none"/>
        </w:rPr>
      </w:pPr>
      <w:r>
        <w:rPr>
          <w:rFonts w:hint="eastAsia" w:ascii="宋体" w:hAnsi="宋体"/>
          <w:highlight w:val="none"/>
        </w:rPr>
        <w:t>联系人：</w:t>
      </w:r>
    </w:p>
    <w:p w14:paraId="354056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highlight w:val="none"/>
        </w:rPr>
      </w:pPr>
      <w:r>
        <w:rPr>
          <w:rFonts w:hint="eastAsia" w:ascii="宋体" w:hAnsi="宋体"/>
          <w:highlight w:val="none"/>
        </w:rPr>
        <w:t>联系电话：</w:t>
      </w:r>
    </w:p>
    <w:p w14:paraId="413B9AC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highlight w:val="none"/>
        </w:rPr>
      </w:pPr>
      <w:r>
        <w:rPr>
          <w:rFonts w:hint="eastAsia" w:ascii="宋体" w:hAnsi="宋体"/>
          <w:highlight w:val="none"/>
        </w:rPr>
        <w:t xml:space="preserve"> 根据</w:t>
      </w:r>
      <w:r>
        <w:rPr>
          <w:rFonts w:hint="eastAsia" w:ascii="宋体" w:hAnsi="宋体"/>
          <w:highlight w:val="none"/>
          <w:lang w:val="en-US" w:eastAsia="zh-CN"/>
        </w:rPr>
        <w:t>深圳交易咨询集团有限公司</w:t>
      </w:r>
      <w:r>
        <w:rPr>
          <w:rFonts w:hint="eastAsia" w:ascii="宋体" w:hAnsi="宋体"/>
          <w:highlight w:val="none"/>
        </w:rPr>
        <w:t>***号项目结果，***单位为中标人。按照《中华人民共和国民法典》（第三编</w:t>
      </w:r>
      <w:r>
        <w:rPr>
          <w:rFonts w:hint="eastAsia" w:ascii="Times New Roman" w:hAnsi="Times New Roman"/>
          <w:highlight w:val="none"/>
        </w:rPr>
        <w:t xml:space="preserve"> </w:t>
      </w:r>
      <w:r>
        <w:rPr>
          <w:rFonts w:hint="eastAsia" w:ascii="宋体" w:hAnsi="宋体"/>
          <w:highlight w:val="none"/>
        </w:rPr>
        <w:t>合同）和《深圳经济特区政府采购条例》，经</w:t>
      </w:r>
      <w:r>
        <w:rPr>
          <w:rFonts w:hint="eastAsia" w:ascii="宋体" w:hAnsi="宋体"/>
          <w:color w:val="0000FF"/>
          <w:highlight w:val="none"/>
        </w:rPr>
        <w:t>深圳市</w:t>
      </w:r>
      <w:r>
        <w:rPr>
          <w:rFonts w:hint="eastAsia" w:ascii="宋体" w:hAnsi="宋体"/>
          <w:color w:val="0000FF"/>
          <w:highlight w:val="none"/>
          <w:lang w:val="en-US" w:eastAsia="zh-CN"/>
        </w:rPr>
        <w:t>宝安区人民医院</w:t>
      </w:r>
      <w:r>
        <w:rPr>
          <w:rFonts w:hint="eastAsia" w:ascii="宋体" w:hAnsi="宋体"/>
          <w:highlight w:val="none"/>
        </w:rPr>
        <w:t>（以下简称甲方）和单位（以下简称乙方）协商，达成以下合同条款：</w:t>
      </w:r>
    </w:p>
    <w:p w14:paraId="614AC2D7">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Times New Roman" w:hAnsi="Times New Roman"/>
          <w:b/>
          <w:highlight w:val="none"/>
        </w:rPr>
      </w:pPr>
      <w:r>
        <w:rPr>
          <w:rFonts w:hint="eastAsia" w:ascii="宋体" w:hAnsi="宋体"/>
          <w:b/>
          <w:highlight w:val="none"/>
        </w:rPr>
        <w:t>第一条</w:t>
      </w:r>
      <w:r>
        <w:rPr>
          <w:rFonts w:hint="eastAsia" w:ascii="Times New Roman" w:hAnsi="Times New Roman"/>
          <w:b/>
          <w:highlight w:val="none"/>
        </w:rPr>
        <w:t xml:space="preserve">  </w:t>
      </w:r>
      <w:r>
        <w:rPr>
          <w:rFonts w:hint="eastAsia" w:ascii="宋体" w:hAnsi="宋体"/>
          <w:b/>
          <w:highlight w:val="none"/>
        </w:rPr>
        <w:t>合同标的</w:t>
      </w:r>
    </w:p>
    <w:p w14:paraId="220E68A1">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Times New Roman" w:hAnsi="Times New Roman"/>
          <w:highlight w:val="none"/>
        </w:rPr>
      </w:pPr>
      <w:r>
        <w:rPr>
          <w:rFonts w:hint="eastAsia" w:ascii="宋体" w:hAnsi="宋体"/>
          <w:highlight w:val="none"/>
        </w:rPr>
        <w:t>乙方根据甲方需求提供下列货物：</w:t>
      </w:r>
    </w:p>
    <w:p w14:paraId="14A17616">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Times New Roman" w:hAnsi="Times New Roman"/>
          <w:highlight w:val="none"/>
        </w:rPr>
      </w:pPr>
      <w:r>
        <w:rPr>
          <w:rFonts w:hint="eastAsia" w:ascii="宋体" w:hAnsi="宋体"/>
          <w:highlight w:val="none"/>
        </w:rPr>
        <w:t>货物名称、规格及数量详见</w:t>
      </w:r>
      <w:r>
        <w:rPr>
          <w:rFonts w:hint="eastAsia" w:ascii="宋体" w:hAnsi="宋体"/>
          <w:highlight w:val="none"/>
          <w:u w:val="single"/>
          <w:lang w:val="en-US" w:eastAsia="zh-CN"/>
        </w:rPr>
        <w:t xml:space="preserve">             </w:t>
      </w:r>
      <w:r>
        <w:rPr>
          <w:rFonts w:hint="eastAsia" w:ascii="宋体" w:hAnsi="宋体"/>
          <w:highlight w:val="none"/>
        </w:rPr>
        <w:t>。</w:t>
      </w:r>
    </w:p>
    <w:p w14:paraId="65B371CF">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Times New Roman" w:hAnsi="Times New Roman"/>
          <w:b/>
          <w:highlight w:val="none"/>
        </w:rPr>
      </w:pPr>
      <w:r>
        <w:rPr>
          <w:rFonts w:hint="eastAsia" w:ascii="宋体" w:hAnsi="宋体"/>
          <w:b/>
          <w:highlight w:val="none"/>
        </w:rPr>
        <w:t>第二条</w:t>
      </w:r>
      <w:r>
        <w:rPr>
          <w:rFonts w:hint="eastAsia" w:ascii="Times New Roman" w:hAnsi="Times New Roman"/>
          <w:b/>
          <w:highlight w:val="none"/>
        </w:rPr>
        <w:t xml:space="preserve">  </w:t>
      </w:r>
      <w:r>
        <w:rPr>
          <w:rFonts w:hint="eastAsia" w:ascii="宋体" w:hAnsi="宋体"/>
          <w:b/>
          <w:highlight w:val="none"/>
        </w:rPr>
        <w:t>合同价款</w:t>
      </w:r>
    </w:p>
    <w:p w14:paraId="09B10046">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Times New Roman" w:hAnsi="Times New Roman"/>
          <w:highlight w:val="none"/>
        </w:rPr>
      </w:pPr>
      <w:r>
        <w:rPr>
          <w:rFonts w:hint="eastAsia" w:ascii="宋体" w:hAnsi="宋体"/>
          <w:highlight w:val="none"/>
        </w:rPr>
        <w:t>本合同项下总价款为（大写）人民币，分项价款详见。本合同总价款已包括乙方为履行本合同义务所发生的一切费用，系固定不变价格，且不随通货膨胀的影响而波动。</w:t>
      </w:r>
    </w:p>
    <w:p w14:paraId="0D9A3D8E">
      <w:pPr>
        <w:keepNext w:val="0"/>
        <w:keepLines w:val="0"/>
        <w:pageBreakBefore w:val="0"/>
        <w:widowControl w:val="0"/>
        <w:numPr>
          <w:ilvl w:val="0"/>
          <w:numId w:val="9"/>
        </w:numPr>
        <w:kinsoku/>
        <w:wordWrap/>
        <w:overflowPunct/>
        <w:topLinePunct w:val="0"/>
        <w:autoSpaceDE/>
        <w:autoSpaceDN/>
        <w:bidi w:val="0"/>
        <w:adjustRightInd/>
        <w:snapToGrid/>
        <w:spacing w:line="240" w:lineRule="auto"/>
        <w:ind w:firstLine="560"/>
        <w:jc w:val="left"/>
        <w:textAlignment w:val="auto"/>
        <w:rPr>
          <w:rFonts w:ascii="Times New Roman" w:hAnsi="Times New Roman"/>
          <w:b/>
          <w:highlight w:val="none"/>
        </w:rPr>
      </w:pPr>
      <w:r>
        <w:rPr>
          <w:rFonts w:hint="eastAsia" w:ascii="Times New Roman" w:hAnsi="Times New Roman"/>
          <w:b/>
          <w:highlight w:val="none"/>
        </w:rPr>
        <w:t xml:space="preserve"> </w:t>
      </w:r>
      <w:r>
        <w:rPr>
          <w:rFonts w:hint="eastAsia" w:ascii="宋体" w:hAnsi="宋体"/>
          <w:b/>
          <w:highlight w:val="none"/>
        </w:rPr>
        <w:t>履行期限</w:t>
      </w:r>
    </w:p>
    <w:p w14:paraId="2FCFA6F4">
      <w:pPr>
        <w:keepNext w:val="0"/>
        <w:keepLines w:val="0"/>
        <w:pageBreakBefore w:val="0"/>
        <w:widowControl w:val="0"/>
        <w:kinsoku/>
        <w:wordWrap/>
        <w:overflowPunct/>
        <w:topLinePunct w:val="0"/>
        <w:autoSpaceDE/>
        <w:autoSpaceDN/>
        <w:bidi w:val="0"/>
        <w:adjustRightInd/>
        <w:snapToGrid/>
        <w:spacing w:line="240" w:lineRule="auto"/>
        <w:ind w:firstLine="630" w:firstLineChars="300"/>
        <w:textAlignment w:val="auto"/>
        <w:rPr>
          <w:rFonts w:ascii="宋体" w:hAnsi="宋体"/>
          <w:highlight w:val="none"/>
        </w:rPr>
      </w:pPr>
      <w:r>
        <w:rPr>
          <w:rFonts w:hint="eastAsia" w:ascii="宋体" w:hAnsi="宋体"/>
          <w:highlight w:val="none"/>
        </w:rPr>
        <w:t>乙方应于本合同签订之日其日内将符合要求的产品向甲方交付（含安装调试），但乙方交付前应向书面通知甲方并征得甲方同意。</w:t>
      </w:r>
    </w:p>
    <w:p w14:paraId="7D58BC2F">
      <w:pPr>
        <w:keepNext w:val="0"/>
        <w:keepLines w:val="0"/>
        <w:pageBreakBefore w:val="0"/>
        <w:widowControl w:val="0"/>
        <w:numPr>
          <w:ilvl w:val="0"/>
          <w:numId w:val="9"/>
        </w:numPr>
        <w:kinsoku/>
        <w:wordWrap/>
        <w:overflowPunct/>
        <w:topLinePunct w:val="0"/>
        <w:autoSpaceDE/>
        <w:autoSpaceDN/>
        <w:bidi w:val="0"/>
        <w:adjustRightInd/>
        <w:snapToGrid/>
        <w:spacing w:line="240" w:lineRule="auto"/>
        <w:ind w:firstLine="560"/>
        <w:jc w:val="left"/>
        <w:textAlignment w:val="auto"/>
        <w:rPr>
          <w:rFonts w:hint="eastAsia" w:ascii="Times New Roman" w:hAnsi="Times New Roman"/>
          <w:b/>
          <w:highlight w:val="none"/>
        </w:rPr>
      </w:pPr>
      <w:r>
        <w:rPr>
          <w:rFonts w:hint="eastAsia" w:ascii="宋体" w:hAnsi="宋体"/>
          <w:b/>
          <w:highlight w:val="none"/>
        </w:rPr>
        <w:t>权利保证</w:t>
      </w:r>
    </w:p>
    <w:p w14:paraId="6195FD39">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宋体" w:hAnsi="宋体"/>
          <w:highlight w:val="none"/>
        </w:rPr>
      </w:pPr>
      <w:r>
        <w:rPr>
          <w:rFonts w:hint="eastAsia" w:ascii="宋体" w:hAnsi="宋体"/>
          <w:highlight w:val="none"/>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14:paraId="2DA2850C">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Times New Roman" w:hAnsi="Times New Roman"/>
          <w:b/>
          <w:highlight w:val="none"/>
        </w:rPr>
      </w:pPr>
      <w:r>
        <w:rPr>
          <w:rFonts w:hint="eastAsia" w:ascii="宋体" w:hAnsi="宋体"/>
          <w:b/>
          <w:highlight w:val="none"/>
        </w:rPr>
        <w:t>第五条</w:t>
      </w:r>
      <w:r>
        <w:rPr>
          <w:rFonts w:hint="eastAsia" w:ascii="Times New Roman" w:hAnsi="Times New Roman"/>
          <w:b/>
          <w:highlight w:val="none"/>
        </w:rPr>
        <w:t xml:space="preserve">  </w:t>
      </w:r>
      <w:r>
        <w:rPr>
          <w:rFonts w:hint="eastAsia" w:ascii="宋体" w:hAnsi="宋体"/>
          <w:b/>
          <w:highlight w:val="none"/>
        </w:rPr>
        <w:t>质量保证</w:t>
      </w:r>
    </w:p>
    <w:p w14:paraId="63675954">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宋体" w:hAnsi="宋体"/>
          <w:highlight w:val="none"/>
        </w:rPr>
      </w:pPr>
      <w:r>
        <w:rPr>
          <w:rFonts w:hint="eastAsia" w:ascii="宋体" w:hAnsi="宋体"/>
          <w:highlight w:val="none"/>
        </w:rPr>
        <w:t>1、乙方所提供的货物的技术规格符合招标文件规定的技术规格，货物符合中华人民共和国的设计和制造生产标准或行业标准。</w:t>
      </w:r>
    </w:p>
    <w:p w14:paraId="0DE627D1">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2、乙方应保证货物是全新、未使用过的原装合格正品（包括零部件），并完全符合甲方要求的质量、规格和性能的要求。如货物安装或配置了软件的，乙方保证相关软件均为正版软件。</w:t>
      </w:r>
    </w:p>
    <w:p w14:paraId="1BEF689E">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3、乙方保证交货时一并提供货物的质量合格凭证或文件。</w:t>
      </w:r>
    </w:p>
    <w:p w14:paraId="0C2BD104">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Times New Roman" w:hAnsi="Times New Roman"/>
          <w:b/>
          <w:highlight w:val="none"/>
        </w:rPr>
      </w:pPr>
      <w:r>
        <w:rPr>
          <w:rFonts w:hint="eastAsia" w:ascii="宋体" w:hAnsi="宋体"/>
          <w:b/>
          <w:highlight w:val="none"/>
        </w:rPr>
        <w:t>第六条</w:t>
      </w:r>
      <w:r>
        <w:rPr>
          <w:rFonts w:hint="eastAsia" w:ascii="Times New Roman" w:hAnsi="Times New Roman"/>
          <w:b/>
          <w:highlight w:val="none"/>
        </w:rPr>
        <w:t xml:space="preserve">  </w:t>
      </w:r>
      <w:r>
        <w:rPr>
          <w:rFonts w:hint="eastAsia" w:ascii="宋体" w:hAnsi="宋体"/>
          <w:b/>
          <w:highlight w:val="none"/>
        </w:rPr>
        <w:t>交货和验收</w:t>
      </w:r>
    </w:p>
    <w:p w14:paraId="1FCB446A">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宋体" w:hAnsi="宋体"/>
          <w:highlight w:val="none"/>
        </w:rPr>
      </w:pPr>
      <w:r>
        <w:rPr>
          <w:rFonts w:hint="eastAsia" w:ascii="宋体" w:hAnsi="宋体"/>
          <w:highlight w:val="none"/>
        </w:rPr>
        <w:t>1、乙方应按照本合同或招投标文件规定的时间和方式向甲方交付货物，交货地点由甲方指定。因交货产生的费用由乙方自行承担。</w:t>
      </w:r>
    </w:p>
    <w:p w14:paraId="183A8B07">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2、乙方交付的货物应当完全符合招投标文件所规定的货物、数量、质量和规格要求。乙方提供的货物不符合招投标文件和合同规定的，甲方有权拒收货物，由此引起的风险，由乙方承担。</w:t>
      </w:r>
    </w:p>
    <w:p w14:paraId="5423760B">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14:paraId="078CDCCB">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4、乙方应在到货（安装、调试完）后  日内向甲方发出验收申请。甲方应当在收到申请  日内组织验收，验收合格的，由甲方向乙方签署货物验收单。验收合格的，由甲方向乙方签署货物验收单。甲方逾期未组织验收，也未提出异议的，视为验收合格。需要安装调试的，安装调试完毕验收合格后才视为最终验收合格和满足付款条件。</w:t>
      </w:r>
    </w:p>
    <w:p w14:paraId="4072DFAF">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5、货物的所有权和灭失的风险自乙方将货物交付给甲方时转移。</w:t>
      </w:r>
    </w:p>
    <w:p w14:paraId="43AE8D20">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Times New Roman" w:hAnsi="Times New Roman"/>
          <w:b/>
          <w:highlight w:val="none"/>
        </w:rPr>
      </w:pPr>
      <w:r>
        <w:rPr>
          <w:rFonts w:hint="eastAsia" w:ascii="宋体" w:hAnsi="宋体"/>
          <w:b/>
          <w:highlight w:val="none"/>
        </w:rPr>
        <w:t>第七条</w:t>
      </w:r>
      <w:r>
        <w:rPr>
          <w:rFonts w:hint="eastAsia" w:ascii="Times New Roman" w:hAnsi="Times New Roman"/>
          <w:b/>
          <w:highlight w:val="none"/>
        </w:rPr>
        <w:t xml:space="preserve">  </w:t>
      </w:r>
      <w:r>
        <w:rPr>
          <w:rFonts w:hint="eastAsia" w:ascii="宋体" w:hAnsi="宋体"/>
          <w:b/>
          <w:highlight w:val="none"/>
        </w:rPr>
        <w:t>保修及其他服务</w:t>
      </w:r>
    </w:p>
    <w:p w14:paraId="5DE94B40">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宋体" w:hAnsi="宋体"/>
          <w:highlight w:val="none"/>
        </w:rPr>
      </w:pPr>
      <w:r>
        <w:rPr>
          <w:rFonts w:hint="eastAsia" w:ascii="宋体" w:hAnsi="宋体"/>
          <w:highlight w:val="none"/>
        </w:rPr>
        <w:t>1、乙方应按照国家有关法律法规规章和“三包”规定和招标文件的要求及乙方在投标文件的相关承诺提供保修及其他服务。</w:t>
      </w:r>
    </w:p>
    <w:p w14:paraId="0F64A17E">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2、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14:paraId="1F45F93F">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3、在甲方提出维修要求后，乙方应于  小时内响应，  小时维修到位，并在  小时内消除故障。消耗品和零配件供应及时，特殊情况下可提供备用机。</w:t>
      </w:r>
    </w:p>
    <w:p w14:paraId="55E1395A">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Times New Roman" w:hAnsi="Times New Roman"/>
          <w:b/>
          <w:highlight w:val="none"/>
        </w:rPr>
      </w:pPr>
      <w:r>
        <w:rPr>
          <w:rFonts w:hint="eastAsia" w:ascii="宋体" w:hAnsi="宋体"/>
          <w:b/>
          <w:highlight w:val="none"/>
        </w:rPr>
        <w:t>第八条</w:t>
      </w:r>
      <w:r>
        <w:rPr>
          <w:rFonts w:hint="eastAsia" w:ascii="Times New Roman" w:hAnsi="Times New Roman"/>
          <w:b/>
          <w:highlight w:val="none"/>
        </w:rPr>
        <w:t xml:space="preserve"> </w:t>
      </w:r>
      <w:r>
        <w:rPr>
          <w:rFonts w:hint="eastAsia" w:ascii="宋体" w:hAnsi="宋体"/>
          <w:b/>
          <w:highlight w:val="none"/>
        </w:rPr>
        <w:t>保密条款</w:t>
      </w:r>
    </w:p>
    <w:p w14:paraId="1F8C4DDE">
      <w:pPr>
        <w:keepNext w:val="0"/>
        <w:keepLines w:val="0"/>
        <w:pageBreakBefore w:val="0"/>
        <w:widowControl w:val="0"/>
        <w:kinsoku/>
        <w:wordWrap/>
        <w:overflowPunct/>
        <w:topLinePunct w:val="0"/>
        <w:autoSpaceDE/>
        <w:autoSpaceDN/>
        <w:bidi w:val="0"/>
        <w:adjustRightInd/>
        <w:snapToGrid/>
        <w:spacing w:line="240" w:lineRule="auto"/>
        <w:ind w:firstLine="630" w:firstLineChars="300"/>
        <w:textAlignment w:val="auto"/>
        <w:rPr>
          <w:rFonts w:ascii="Times New Roman" w:hAnsi="Times New Roman"/>
          <w:highlight w:val="none"/>
        </w:rPr>
      </w:pPr>
      <w:r>
        <w:rPr>
          <w:rFonts w:ascii="Times New Roman" w:hAnsi="Times New Roman"/>
          <w:highlight w:val="none"/>
        </w:rPr>
        <w:t>1</w:t>
      </w:r>
      <w:r>
        <w:rPr>
          <w:rFonts w:hint="eastAsia" w:ascii="宋体" w:hAnsi="宋体"/>
          <w:highlight w:val="none"/>
        </w:rPr>
        <w:t>、乙方对在本合同履行中获取或者知悉甲方提供的资料、信息负有保密义务。</w:t>
      </w:r>
    </w:p>
    <w:p w14:paraId="45710162">
      <w:pPr>
        <w:keepNext w:val="0"/>
        <w:keepLines w:val="0"/>
        <w:pageBreakBefore w:val="0"/>
        <w:widowControl w:val="0"/>
        <w:kinsoku/>
        <w:wordWrap/>
        <w:overflowPunct/>
        <w:topLinePunct w:val="0"/>
        <w:autoSpaceDE/>
        <w:autoSpaceDN/>
        <w:bidi w:val="0"/>
        <w:adjustRightInd/>
        <w:snapToGrid/>
        <w:spacing w:line="240" w:lineRule="auto"/>
        <w:ind w:firstLine="630" w:firstLineChars="300"/>
        <w:textAlignment w:val="auto"/>
        <w:rPr>
          <w:rFonts w:ascii="Times New Roman" w:hAnsi="Times New Roman"/>
          <w:highlight w:val="none"/>
        </w:rPr>
      </w:pPr>
      <w:r>
        <w:rPr>
          <w:rFonts w:ascii="Times New Roman" w:hAnsi="Times New Roman"/>
          <w:highlight w:val="none"/>
        </w:rPr>
        <w:t>2</w:t>
      </w:r>
      <w:r>
        <w:rPr>
          <w:rFonts w:hint="eastAsia" w:ascii="宋体" w:hAnsi="宋体"/>
          <w:highlight w:val="none"/>
        </w:rPr>
        <w:t>、乙方不得私自复印、留存、泄漏本合同履行有关的资料、信息。除非依照法律规定或者经甲方书面同意，乙方不得向第三方提供或披露由甲方提供的资料和信息，也不得用于本合同履行以外的其他用途，并保证采取一切合理和必要的措施防止任何第三方接触到甲方的上述资料和信息。</w:t>
      </w:r>
    </w:p>
    <w:p w14:paraId="560FD83F">
      <w:pPr>
        <w:keepNext w:val="0"/>
        <w:keepLines w:val="0"/>
        <w:pageBreakBefore w:val="0"/>
        <w:widowControl w:val="0"/>
        <w:kinsoku/>
        <w:wordWrap/>
        <w:overflowPunct/>
        <w:topLinePunct w:val="0"/>
        <w:autoSpaceDE/>
        <w:autoSpaceDN/>
        <w:bidi w:val="0"/>
        <w:adjustRightInd/>
        <w:snapToGrid/>
        <w:spacing w:line="240" w:lineRule="auto"/>
        <w:ind w:firstLine="630" w:firstLineChars="300"/>
        <w:textAlignment w:val="auto"/>
        <w:rPr>
          <w:rFonts w:ascii="Times New Roman" w:hAnsi="Times New Roman"/>
          <w:b/>
          <w:highlight w:val="none"/>
        </w:rPr>
      </w:pPr>
      <w:r>
        <w:rPr>
          <w:rFonts w:ascii="Times New Roman" w:hAnsi="Times New Roman"/>
          <w:highlight w:val="none"/>
        </w:rPr>
        <w:t>3</w:t>
      </w:r>
      <w:r>
        <w:rPr>
          <w:rFonts w:hint="eastAsia" w:ascii="宋体" w:hAnsi="宋体"/>
          <w:highlight w:val="none"/>
        </w:rPr>
        <w:t>、保密期限自本协议签订生效之日起至保密信息被依法公开披露或成为公开信息之日止。合同中止、终止或者解除不视为免除保密义务，乙方仍应当承担保密义务。</w:t>
      </w:r>
    </w:p>
    <w:p w14:paraId="07B1AA69">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Times New Roman" w:hAnsi="Times New Roman"/>
          <w:b/>
          <w:highlight w:val="none"/>
        </w:rPr>
      </w:pPr>
      <w:r>
        <w:rPr>
          <w:rFonts w:hint="eastAsia" w:ascii="宋体" w:hAnsi="宋体"/>
          <w:b/>
          <w:highlight w:val="none"/>
        </w:rPr>
        <w:t>第九条</w:t>
      </w:r>
      <w:r>
        <w:rPr>
          <w:rFonts w:hint="eastAsia" w:ascii="Times New Roman" w:hAnsi="Times New Roman"/>
          <w:b/>
          <w:highlight w:val="none"/>
        </w:rPr>
        <w:t xml:space="preserve">  </w:t>
      </w:r>
      <w:r>
        <w:rPr>
          <w:rFonts w:hint="eastAsia" w:ascii="宋体" w:hAnsi="宋体"/>
          <w:b/>
          <w:highlight w:val="none"/>
        </w:rPr>
        <w:t>履约保证金</w:t>
      </w:r>
    </w:p>
    <w:p w14:paraId="740CCF70">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宋体" w:hAnsi="宋体"/>
          <w:highlight w:val="none"/>
        </w:rPr>
      </w:pPr>
      <w:r>
        <w:rPr>
          <w:rFonts w:hint="eastAsia" w:ascii="宋体" w:hAnsi="宋体"/>
          <w:highlight w:val="none"/>
        </w:rPr>
        <w:t>1、乙方应在签订本合同之日，向甲方或甲方指定的机构提交履约保证金_________元。</w:t>
      </w:r>
    </w:p>
    <w:p w14:paraId="6C083CA4">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2、如乙方未能履行合同规定的义务，甲方有权从履约保证金中取得补偿。</w:t>
      </w:r>
    </w:p>
    <w:p w14:paraId="133F45D6">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3、甲方在乙方履行完毕本合同项下全部义务后______天内无息退还乙方。</w:t>
      </w:r>
    </w:p>
    <w:p w14:paraId="1496FFF4">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left"/>
        <w:textAlignment w:val="auto"/>
        <w:rPr>
          <w:rFonts w:hint="eastAsia" w:ascii="Times New Roman" w:hAnsi="Times New Roman"/>
          <w:b/>
          <w:highlight w:val="none"/>
        </w:rPr>
      </w:pPr>
      <w:r>
        <w:rPr>
          <w:rFonts w:hint="eastAsia" w:ascii="宋体" w:hAnsi="宋体"/>
          <w:b/>
          <w:highlight w:val="none"/>
        </w:rPr>
        <w:t>第十条</w:t>
      </w:r>
      <w:r>
        <w:rPr>
          <w:rFonts w:hint="eastAsia" w:ascii="Times New Roman" w:hAnsi="Times New Roman"/>
          <w:b/>
          <w:highlight w:val="none"/>
        </w:rPr>
        <w:t xml:space="preserve">  </w:t>
      </w:r>
      <w:r>
        <w:rPr>
          <w:rFonts w:hint="eastAsia" w:ascii="宋体" w:hAnsi="宋体"/>
          <w:b/>
          <w:highlight w:val="none"/>
        </w:rPr>
        <w:t>货款支付</w:t>
      </w:r>
    </w:p>
    <w:p w14:paraId="287B16D4">
      <w:pPr>
        <w:keepNext w:val="0"/>
        <w:keepLines w:val="0"/>
        <w:pageBreakBefore w:val="0"/>
        <w:widowControl w:val="0"/>
        <w:kinsoku/>
        <w:wordWrap/>
        <w:overflowPunct/>
        <w:topLinePunct w:val="0"/>
        <w:autoSpaceDE/>
        <w:autoSpaceDN/>
        <w:bidi w:val="0"/>
        <w:adjustRightInd/>
        <w:snapToGrid/>
        <w:spacing w:line="240" w:lineRule="auto"/>
        <w:ind w:firstLine="632" w:firstLineChars="300"/>
        <w:textAlignment w:val="auto"/>
        <w:rPr>
          <w:rFonts w:ascii="Times New Roman" w:hAnsi="Times New Roman"/>
          <w:highlight w:val="none"/>
        </w:rPr>
      </w:pPr>
      <w:r>
        <w:rPr>
          <w:rFonts w:hint="eastAsia" w:ascii="宋体" w:hAnsi="宋体"/>
          <w:b/>
          <w:highlight w:val="none"/>
          <w:u w:val="single"/>
        </w:rPr>
        <w:t>（详见商务要求）</w:t>
      </w:r>
    </w:p>
    <w:p w14:paraId="5CEB1265">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left"/>
        <w:textAlignment w:val="auto"/>
        <w:rPr>
          <w:rFonts w:ascii="Times New Roman" w:hAnsi="Times New Roman"/>
          <w:b/>
          <w:highlight w:val="none"/>
        </w:rPr>
      </w:pPr>
      <w:r>
        <w:rPr>
          <w:rFonts w:hint="eastAsia" w:ascii="宋体" w:hAnsi="宋体"/>
          <w:b/>
          <w:highlight w:val="none"/>
        </w:rPr>
        <w:t>第十一条</w:t>
      </w:r>
      <w:r>
        <w:rPr>
          <w:rFonts w:hint="eastAsia" w:ascii="Times New Roman" w:hAnsi="Times New Roman"/>
          <w:b/>
          <w:highlight w:val="none"/>
        </w:rPr>
        <w:t xml:space="preserve"> </w:t>
      </w:r>
      <w:r>
        <w:rPr>
          <w:rFonts w:hint="eastAsia" w:ascii="宋体" w:hAnsi="宋体"/>
          <w:b/>
          <w:highlight w:val="none"/>
        </w:rPr>
        <w:t>违约责任</w:t>
      </w:r>
      <w:r>
        <w:rPr>
          <w:rFonts w:hint="eastAsia" w:ascii="宋体" w:hAnsi="宋体"/>
          <w:b/>
          <w:highlight w:val="none"/>
          <w:u w:val="single"/>
        </w:rPr>
        <w:t>（详见商务要求）</w:t>
      </w:r>
    </w:p>
    <w:p w14:paraId="2C393125">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宋体" w:hAnsi="宋体"/>
          <w:highlight w:val="none"/>
        </w:rPr>
      </w:pPr>
      <w:r>
        <w:rPr>
          <w:rFonts w:hint="eastAsia" w:ascii="宋体" w:hAnsi="宋体"/>
          <w:highlight w:val="none"/>
        </w:rPr>
        <w:t>１、甲方无正当理由拒收货物、拒付货物款的，由甲方向乙方偿付合同总价的【】%违约金。</w:t>
      </w:r>
    </w:p>
    <w:p w14:paraId="3BD125D6">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２、甲方未按合同规定的期限向乙方支付货款的，每逾期1天甲方向乙方偿付欠款总额的【】‰滞纳金，但累计滞纳金总额不超过欠款总额的【】% 。</w:t>
      </w:r>
    </w:p>
    <w:p w14:paraId="5E2D8F90">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３、乙方逾期交付货物的，每逾期1天，乙方向甲方偿付逾期交货部分货款总额的【】‰的滞纳金。如乙方逾期交货达天，甲方有权解除合同，履约保证金不予退回，同时乙方应向甲方支付合同总价【】％的违约金。</w:t>
      </w:r>
    </w:p>
    <w:p w14:paraId="28067214">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4、经甲方验收不合格的，甲方有权拒收。乙方经修理或者更换后仍不合格的，甲方有权解除合同，要求乙方返还甲方已支付的合同款项，并有权要求乙方按合同总额【】％支付违约金。5、在乙方承诺的或国家规定的质量保证期内（取两者中最长的期限），如经乙方两次维修或更换，货物仍不能达到合同约定的质量标准，甲方有权退货，乙方应退回全部货款并赔偿甲方因此遭受的损失。</w:t>
      </w:r>
    </w:p>
    <w:p w14:paraId="5F00A476">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6.乙方违反本合同约定的保密义务，甲方有权要求乙方按合同总额【】%支付违约金；造成不良影响或对甲方造成损失的，甲方有权要求乙方消除影响，承担赔偿责任，并有权解除合同。</w:t>
      </w:r>
    </w:p>
    <w:p w14:paraId="348089E5">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7、因乙方提供的产品受到侵权指控或者引发法律纠纷，影响甲方正常使用或者导致合同目的不能实现的，甲方有权要求乙方按合同总额【】%支付违约金，并有权解除合同。</w:t>
      </w:r>
    </w:p>
    <w:p w14:paraId="73D48630">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8、乙方未履行本合同项下的其他义务或违反其在投标文件中的相关承诺的，应按合同总价款的【】%向甲方承担违约责任。</w:t>
      </w:r>
    </w:p>
    <w:p w14:paraId="7697C1EC">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9、乙方在承担上述一项或多项违约责任后，仍应继续履行合同规定的义务（甲方解除合同的除外）。甲方未能及时追究乙方的任何一项违约责任并不表明甲方放弃追究乙方该项或其他违约责任。</w:t>
      </w:r>
    </w:p>
    <w:p w14:paraId="7AD01269">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Times New Roman" w:hAnsi="Times New Roman"/>
          <w:b/>
          <w:highlight w:val="none"/>
        </w:rPr>
      </w:pPr>
      <w:r>
        <w:rPr>
          <w:rFonts w:hint="eastAsia" w:ascii="宋体" w:hAnsi="宋体"/>
          <w:b/>
          <w:highlight w:val="none"/>
        </w:rPr>
        <w:t>第十二条</w:t>
      </w:r>
      <w:r>
        <w:rPr>
          <w:rFonts w:hint="eastAsia" w:ascii="Times New Roman" w:hAnsi="Times New Roman"/>
          <w:b/>
          <w:highlight w:val="none"/>
        </w:rPr>
        <w:t xml:space="preserve">    </w:t>
      </w:r>
      <w:r>
        <w:rPr>
          <w:rFonts w:hint="eastAsia" w:ascii="宋体" w:hAnsi="宋体"/>
          <w:b/>
          <w:highlight w:val="none"/>
        </w:rPr>
        <w:t>合同的变更和终止</w:t>
      </w:r>
    </w:p>
    <w:p w14:paraId="228EE63F">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宋体" w:hAnsi="宋体"/>
          <w:highlight w:val="none"/>
        </w:rPr>
      </w:pPr>
      <w:r>
        <w:rPr>
          <w:rFonts w:hint="eastAsia" w:ascii="宋体" w:hAnsi="宋体"/>
          <w:highlight w:val="none"/>
        </w:rPr>
        <w:t>除《深圳经济特区政府采购条例》第40条、《中华人民共和国政府采购法》第50条第二款规定或者主管部门另有政策规定的情形外，本合同一经签订，甲乙双方不得擅自变更、中止或终止合同。</w:t>
      </w:r>
    </w:p>
    <w:p w14:paraId="26DE630F">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Times New Roman" w:hAnsi="Times New Roman"/>
          <w:b/>
          <w:highlight w:val="none"/>
        </w:rPr>
      </w:pPr>
      <w:r>
        <w:rPr>
          <w:rFonts w:hint="eastAsia" w:ascii="宋体" w:hAnsi="宋体"/>
          <w:b/>
          <w:highlight w:val="none"/>
        </w:rPr>
        <w:t>第十三条</w:t>
      </w:r>
      <w:r>
        <w:rPr>
          <w:rFonts w:hint="eastAsia" w:ascii="Times New Roman" w:hAnsi="Times New Roman"/>
          <w:b/>
          <w:highlight w:val="none"/>
        </w:rPr>
        <w:t xml:space="preserve">   </w:t>
      </w:r>
      <w:r>
        <w:rPr>
          <w:rFonts w:hint="eastAsia" w:ascii="宋体" w:hAnsi="宋体"/>
          <w:b/>
          <w:highlight w:val="none"/>
        </w:rPr>
        <w:t>争议的解决</w:t>
      </w:r>
    </w:p>
    <w:p w14:paraId="427658D3">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宋体" w:hAnsi="宋体"/>
          <w:highlight w:val="none"/>
        </w:rPr>
      </w:pPr>
      <w:r>
        <w:rPr>
          <w:rFonts w:hint="eastAsia" w:ascii="宋体" w:hAnsi="宋体"/>
          <w:highlight w:val="none"/>
        </w:rPr>
        <w:t>1、因货物的质量问题发生争议的，应当邀请国家认可的质量检测机构对货物质量进行鉴定。货物符合标准的，鉴定费由甲方承担；货物不符合质量标准的，鉴定费由乙方承担。</w:t>
      </w:r>
    </w:p>
    <w:p w14:paraId="491E05CE">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2、因履行本合同引起的或与本合同有关的争议，甲、乙双方应首先通过友好协商解决，如果协商不能解决争议，则向甲方所在地有管辖权的人民法院提起诉讼；</w:t>
      </w:r>
    </w:p>
    <w:p w14:paraId="7517D08E">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Times New Roman" w:hAnsi="Times New Roman"/>
          <w:b/>
          <w:highlight w:val="none"/>
        </w:rPr>
      </w:pPr>
      <w:r>
        <w:rPr>
          <w:rFonts w:hint="eastAsia" w:ascii="宋体" w:hAnsi="宋体"/>
          <w:b/>
          <w:highlight w:val="none"/>
        </w:rPr>
        <w:t>第十四条</w:t>
      </w:r>
      <w:r>
        <w:rPr>
          <w:rFonts w:hint="eastAsia" w:ascii="Times New Roman" w:hAnsi="Times New Roman"/>
          <w:b/>
          <w:highlight w:val="none"/>
        </w:rPr>
        <w:t xml:space="preserve">   </w:t>
      </w:r>
      <w:r>
        <w:rPr>
          <w:rFonts w:hint="eastAsia" w:ascii="宋体" w:hAnsi="宋体"/>
          <w:b/>
          <w:highlight w:val="none"/>
        </w:rPr>
        <w:t>合同生效及其他</w:t>
      </w:r>
    </w:p>
    <w:p w14:paraId="40940F58">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宋体" w:hAnsi="宋体"/>
          <w:highlight w:val="none"/>
        </w:rPr>
      </w:pPr>
      <w:r>
        <w:rPr>
          <w:rFonts w:hint="eastAsia" w:ascii="宋体" w:hAnsi="宋体"/>
          <w:highlight w:val="none"/>
        </w:rPr>
        <w:t>1、下列文件均为本合同的组成部分：</w:t>
      </w:r>
    </w:p>
    <w:p w14:paraId="755386E9">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（1）号招标文件、答疑及补充通知；</w:t>
      </w:r>
    </w:p>
    <w:p w14:paraId="55B5B074">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（2）乙方的投标文件；</w:t>
      </w:r>
    </w:p>
    <w:p w14:paraId="6DE10F59">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（3）本合同执行中甲乙双方共同签署的补充与修正文件。</w:t>
      </w:r>
    </w:p>
    <w:p w14:paraId="7FC79262">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2、本合同一式份，甲、乙方双方各执份，具有同等法律效力。本合同自双方法定代表人（或授权代表）签字并盖章之日起生效。</w:t>
      </w:r>
    </w:p>
    <w:p w14:paraId="2A302312">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甲方（采购人）：   （盖章）       乙方（供应商）：    （盖章）</w:t>
      </w:r>
    </w:p>
    <w:p w14:paraId="3167AC76">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 xml:space="preserve">法定代表人：                     法定代表人： </w:t>
      </w:r>
    </w:p>
    <w:p w14:paraId="1D26156F">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委托代理人：                     委托代理人：</w:t>
      </w:r>
    </w:p>
    <w:p w14:paraId="3BEA5485">
      <w:pPr>
        <w:keepNext w:val="0"/>
        <w:keepLines w:val="0"/>
        <w:pageBreakBefore w:val="0"/>
        <w:widowControl w:val="0"/>
        <w:kinsoku/>
        <w:wordWrap/>
        <w:overflowPunct/>
        <w:topLinePunct w:val="0"/>
        <w:autoSpaceDE/>
        <w:autoSpaceDN/>
        <w:bidi w:val="0"/>
        <w:adjustRightInd/>
        <w:snapToGrid/>
        <w:spacing w:line="240" w:lineRule="auto"/>
        <w:ind w:firstLine="525" w:firstLineChars="250"/>
        <w:textAlignment w:val="auto"/>
        <w:rPr>
          <w:rFonts w:hint="eastAsia" w:ascii="宋体" w:hAnsi="宋体"/>
          <w:b/>
          <w:highlight w:val="none"/>
        </w:rPr>
      </w:pPr>
      <w:r>
        <w:rPr>
          <w:rFonts w:hint="eastAsia" w:ascii="宋体" w:hAnsi="宋体"/>
          <w:highlight w:val="none"/>
        </w:rPr>
        <w:t>日期：   年     月    日         日期：   年     月    日</w:t>
      </w:r>
    </w:p>
    <w:p w14:paraId="26C1DAF6">
      <w:pPr>
        <w:widowControl/>
        <w:jc w:val="left"/>
        <w:rPr>
          <w:rFonts w:hint="eastAsia" w:ascii="宋体" w:hAnsi="宋体"/>
          <w:szCs w:val="21"/>
          <w:highlight w:val="none"/>
        </w:rPr>
      </w:pPr>
      <w:r>
        <w:rPr>
          <w:rFonts w:ascii="宋体" w:hAnsi="宋体"/>
          <w:szCs w:val="21"/>
          <w:highlight w:val="none"/>
        </w:rPr>
        <w:br w:type="page"/>
      </w:r>
    </w:p>
    <w:p w14:paraId="0953CD85">
      <w:pPr>
        <w:pStyle w:val="2"/>
        <w:keepNext w:val="0"/>
        <w:keepLines w:val="0"/>
        <w:pageBreakBefore w:val="0"/>
        <w:widowControl w:val="0"/>
        <w:kinsoku/>
        <w:wordWrap/>
        <w:overflowPunct/>
        <w:topLinePunct w:val="0"/>
        <w:autoSpaceDE/>
        <w:autoSpaceDN/>
        <w:bidi w:val="0"/>
        <w:adjustRightInd w:val="0"/>
        <w:snapToGrid/>
        <w:spacing w:before="120" w:beforeLines="50" w:after="120" w:afterLines="50"/>
        <w:ind w:left="561"/>
        <w:textAlignment w:val="baseline"/>
        <w:outlineLvl w:val="0"/>
        <w:rPr>
          <w:rFonts w:hint="eastAsia"/>
          <w:sz w:val="28"/>
          <w:szCs w:val="28"/>
          <w:highlight w:val="none"/>
        </w:rPr>
      </w:pPr>
      <w:r>
        <w:rPr>
          <w:rFonts w:hint="eastAsia"/>
          <w:sz w:val="28"/>
          <w:szCs w:val="28"/>
          <w:highlight w:val="none"/>
        </w:rPr>
        <w:t>第二册  通用条款（公开招标）</w:t>
      </w:r>
    </w:p>
    <w:p w14:paraId="6F482200">
      <w:pPr>
        <w:pStyle w:val="7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highlight w:val="none"/>
        </w:rPr>
      </w:pPr>
      <w:bookmarkStart w:id="57" w:name="_Hlk72399513"/>
      <w:bookmarkStart w:id="58" w:name="_Hlk72439706"/>
      <w:r>
        <w:rPr>
          <w:rFonts w:hint="eastAsia" w:asciiTheme="majorHAnsi" w:hAnsiTheme="majorHAnsi" w:eastAsiaTheme="majorEastAsia" w:cstheme="majorBidi"/>
          <w:b/>
          <w:bCs/>
          <w:sz w:val="28"/>
          <w:szCs w:val="28"/>
          <w:highlight w:val="none"/>
        </w:rPr>
        <w:t>总则</w:t>
      </w:r>
    </w:p>
    <w:bookmarkEnd w:id="57"/>
    <w:p w14:paraId="3C20EB4D">
      <w:pPr>
        <w:ind w:firstLine="420" w:firstLineChars="200"/>
        <w:rPr>
          <w:rFonts w:hint="eastAsia" w:ascii="黑体" w:hAnsi="宋体" w:eastAsia="黑体"/>
          <w:szCs w:val="21"/>
          <w:highlight w:val="none"/>
        </w:rPr>
      </w:pPr>
      <w:r>
        <w:rPr>
          <w:rFonts w:hint="eastAsia" w:ascii="黑体" w:hAnsi="宋体" w:eastAsia="黑体"/>
          <w:szCs w:val="21"/>
          <w:highlight w:val="none"/>
        </w:rPr>
        <w:t>1. 通用条款说明</w:t>
      </w:r>
    </w:p>
    <w:p w14:paraId="5166FF97">
      <w:pPr>
        <w:ind w:firstLine="420" w:firstLineChars="200"/>
        <w:rPr>
          <w:rFonts w:hint="eastAsia" w:ascii="宋体" w:hAnsi="宋体"/>
          <w:szCs w:val="21"/>
          <w:highlight w:val="none"/>
        </w:rPr>
      </w:pPr>
      <w:r>
        <w:rPr>
          <w:rFonts w:hint="eastAsia" w:ascii="宋体" w:hAnsi="宋体"/>
          <w:szCs w:val="21"/>
          <w:highlight w:val="none"/>
        </w:rPr>
        <w:t>1.1</w:t>
      </w:r>
      <w:r>
        <w:rPr>
          <w:rFonts w:hint="eastAsia" w:ascii="宋体" w:hAnsi="宋体"/>
          <w:szCs w:val="21"/>
          <w:highlight w:val="none"/>
          <w:lang w:eastAsia="zh-CN"/>
        </w:rPr>
        <w:t>代理机构</w:t>
      </w:r>
      <w:r>
        <w:rPr>
          <w:rFonts w:hint="eastAsia" w:ascii="宋体" w:hAnsi="宋体"/>
          <w:szCs w:val="21"/>
          <w:highlight w:val="none"/>
        </w:rPr>
        <w:t>发出招标文件通用条款版本，列出深圳市自行采购项目进行招标采购所适用的通用条款内容。</w:t>
      </w:r>
      <w:bookmarkStart w:id="59" w:name="_Hlk72399729"/>
      <w:r>
        <w:rPr>
          <w:rFonts w:hint="eastAsia" w:ascii="宋体" w:hAnsi="宋体"/>
          <w:szCs w:val="21"/>
          <w:highlight w:val="none"/>
        </w:rPr>
        <w:t>如有需要，</w:t>
      </w:r>
      <w:r>
        <w:rPr>
          <w:rFonts w:hint="eastAsia" w:ascii="宋体" w:hAnsi="宋体"/>
          <w:szCs w:val="21"/>
          <w:highlight w:val="none"/>
          <w:lang w:eastAsia="zh-CN"/>
        </w:rPr>
        <w:t>代理机构</w:t>
      </w:r>
      <w:r>
        <w:rPr>
          <w:rFonts w:hint="eastAsia" w:ascii="宋体" w:hAnsi="宋体"/>
          <w:szCs w:val="21"/>
          <w:highlight w:val="none"/>
        </w:rPr>
        <w:t>可以对通用条款的内容进行补充。</w:t>
      </w:r>
      <w:bookmarkEnd w:id="59"/>
    </w:p>
    <w:p w14:paraId="1EA7FEEA">
      <w:pPr>
        <w:ind w:firstLine="420" w:firstLineChars="200"/>
        <w:rPr>
          <w:rFonts w:hint="eastAsia" w:ascii="宋体" w:hAnsi="宋体"/>
          <w:szCs w:val="21"/>
          <w:highlight w:val="none"/>
        </w:rPr>
      </w:pPr>
      <w:r>
        <w:rPr>
          <w:rFonts w:hint="eastAsia" w:ascii="宋体" w:hAnsi="宋体"/>
          <w:szCs w:val="21"/>
          <w:highlight w:val="none"/>
        </w:rPr>
        <w:t>1.2招标文件分为第一册“专用条款”和第二册“通用条款”。</w:t>
      </w:r>
    </w:p>
    <w:p w14:paraId="3DC8B41B">
      <w:pPr>
        <w:ind w:firstLine="420" w:firstLineChars="200"/>
        <w:rPr>
          <w:rFonts w:hint="eastAsia" w:ascii="宋体" w:hAnsi="宋体"/>
          <w:szCs w:val="21"/>
          <w:highlight w:val="none"/>
        </w:rPr>
      </w:pPr>
      <w:r>
        <w:rPr>
          <w:rFonts w:hint="eastAsia" w:ascii="宋体" w:hAnsi="宋体"/>
          <w:szCs w:val="21"/>
          <w:highlight w:val="none"/>
        </w:rPr>
        <w:t>1.3“专用条款”是对本次采购项目的具体要求，包含招标公告、对通用条款的补充内容及其他关键信息、用户需求书、投标文件格式及附件、合同条款及格式等内容。</w:t>
      </w:r>
    </w:p>
    <w:p w14:paraId="0397186D">
      <w:pPr>
        <w:ind w:firstLine="420" w:firstLineChars="200"/>
        <w:rPr>
          <w:rFonts w:hint="eastAsia" w:ascii="宋体" w:hAnsi="宋体"/>
          <w:szCs w:val="21"/>
          <w:highlight w:val="none"/>
        </w:rPr>
      </w:pPr>
      <w:r>
        <w:rPr>
          <w:rFonts w:hint="eastAsia" w:ascii="宋体" w:hAnsi="宋体"/>
          <w:szCs w:val="21"/>
          <w:highlight w:val="none"/>
        </w:rPr>
        <w:t>1.4“通用条款”是适用于自行采购公开招标项目的基础性条款，具有普遍性和通用性。</w:t>
      </w:r>
    </w:p>
    <w:p w14:paraId="7F48F0B7">
      <w:pPr>
        <w:ind w:firstLine="420" w:firstLineChars="200"/>
        <w:rPr>
          <w:rFonts w:hint="eastAsia" w:ascii="宋体" w:hAnsi="宋体"/>
          <w:szCs w:val="21"/>
          <w:highlight w:val="none"/>
        </w:rPr>
      </w:pPr>
      <w:r>
        <w:rPr>
          <w:rFonts w:hint="eastAsia" w:ascii="宋体" w:hAnsi="宋体"/>
          <w:szCs w:val="21"/>
          <w:highlight w:val="none"/>
        </w:rPr>
        <w:t>1.5 “专用条款”和“通用条款”表述不一致或有冲突时，以“专用条款”为准。</w:t>
      </w:r>
    </w:p>
    <w:p w14:paraId="63D6379A">
      <w:pPr>
        <w:ind w:firstLine="420" w:firstLineChars="200"/>
        <w:rPr>
          <w:rFonts w:hint="eastAsia" w:ascii="黑体" w:hAnsi="宋体" w:eastAsia="黑体"/>
          <w:szCs w:val="21"/>
          <w:highlight w:val="none"/>
        </w:rPr>
      </w:pPr>
      <w:r>
        <w:rPr>
          <w:rFonts w:hint="eastAsia" w:ascii="黑体" w:hAnsi="宋体" w:eastAsia="黑体"/>
          <w:szCs w:val="21"/>
          <w:highlight w:val="none"/>
        </w:rPr>
        <w:t>2</w:t>
      </w:r>
      <w:r>
        <w:rPr>
          <w:rFonts w:ascii="黑体" w:hAnsi="宋体" w:eastAsia="黑体"/>
          <w:szCs w:val="21"/>
          <w:highlight w:val="none"/>
        </w:rPr>
        <w:t>．</w:t>
      </w:r>
      <w:r>
        <w:rPr>
          <w:rFonts w:hint="eastAsia" w:ascii="黑体" w:hAnsi="宋体" w:eastAsia="黑体"/>
          <w:szCs w:val="21"/>
          <w:highlight w:val="none"/>
        </w:rPr>
        <w:t>招标说明</w:t>
      </w:r>
    </w:p>
    <w:p w14:paraId="51CE7E72">
      <w:pPr>
        <w:ind w:firstLine="422" w:firstLineChars="200"/>
        <w:rPr>
          <w:rFonts w:hint="eastAsia" w:ascii="宋体" w:hAnsi="宋体"/>
          <w:b/>
          <w:bCs/>
          <w:color w:val="FF0000"/>
          <w:szCs w:val="21"/>
          <w:highlight w:val="none"/>
        </w:rPr>
      </w:pPr>
      <w:r>
        <w:rPr>
          <w:rFonts w:hint="eastAsia" w:ascii="宋体" w:hAnsi="宋体"/>
          <w:b/>
          <w:bCs/>
          <w:color w:val="FF0000"/>
          <w:szCs w:val="21"/>
          <w:highlight w:val="none"/>
        </w:rPr>
        <w:t>本项目为自行采购项目，参照《深圳经济特区政府采购条例》、《深圳经济特区政府采购条例实施细则》及政府采购其他法律法规，通过公开招标方式确定中标供应商。</w:t>
      </w:r>
    </w:p>
    <w:p w14:paraId="399459B2">
      <w:pPr>
        <w:ind w:firstLine="420" w:firstLineChars="200"/>
        <w:rPr>
          <w:rFonts w:hint="eastAsia" w:ascii="黑体" w:hAnsi="宋体" w:eastAsia="黑体"/>
          <w:szCs w:val="21"/>
          <w:highlight w:val="none"/>
        </w:rPr>
      </w:pPr>
      <w:r>
        <w:rPr>
          <w:rFonts w:hint="eastAsia" w:ascii="黑体" w:hAnsi="宋体" w:eastAsia="黑体"/>
          <w:szCs w:val="21"/>
          <w:highlight w:val="none"/>
        </w:rPr>
        <w:t>3．定义</w:t>
      </w:r>
    </w:p>
    <w:p w14:paraId="09A68237">
      <w:pPr>
        <w:ind w:firstLine="420" w:firstLineChars="200"/>
        <w:rPr>
          <w:rFonts w:hint="eastAsia" w:ascii="宋体" w:hAnsi="宋体"/>
          <w:szCs w:val="21"/>
          <w:highlight w:val="none"/>
        </w:rPr>
      </w:pPr>
      <w:r>
        <w:rPr>
          <w:rFonts w:hint="eastAsia" w:ascii="宋体" w:hAnsi="宋体"/>
          <w:szCs w:val="21"/>
          <w:highlight w:val="none"/>
        </w:rPr>
        <w:t>招标</w:t>
      </w:r>
      <w:r>
        <w:rPr>
          <w:rFonts w:ascii="宋体" w:hAnsi="宋体"/>
          <w:szCs w:val="21"/>
          <w:highlight w:val="none"/>
        </w:rPr>
        <w:t>文件中下列术语应解释为：</w:t>
      </w:r>
    </w:p>
    <w:p w14:paraId="2104E5DB">
      <w:pPr>
        <w:ind w:firstLine="420" w:firstLineChars="200"/>
        <w:rPr>
          <w:rFonts w:hint="eastAsia" w:ascii="宋体" w:hAnsi="宋体"/>
          <w:szCs w:val="21"/>
          <w:highlight w:val="none"/>
        </w:rPr>
      </w:pPr>
      <w:r>
        <w:rPr>
          <w:rFonts w:hint="eastAsia" w:ascii="宋体" w:hAnsi="宋体"/>
          <w:szCs w:val="21"/>
          <w:highlight w:val="none"/>
        </w:rPr>
        <w:t>3.</w:t>
      </w:r>
      <w:r>
        <w:rPr>
          <w:rFonts w:ascii="宋体" w:hAnsi="宋体"/>
          <w:szCs w:val="21"/>
          <w:highlight w:val="none"/>
        </w:rPr>
        <w:t>1</w:t>
      </w:r>
      <w:r>
        <w:rPr>
          <w:rFonts w:hint="eastAsia" w:ascii="宋体" w:hAnsi="宋体"/>
          <w:szCs w:val="21"/>
          <w:highlight w:val="none"/>
        </w:rPr>
        <w:t>“采购人”：指利用财政性资金依法进行</w:t>
      </w:r>
      <w:r>
        <w:rPr>
          <w:rFonts w:hint="eastAsia" w:ascii="宋体" w:hAnsi="宋体"/>
          <w:b/>
          <w:bCs/>
          <w:color w:val="FF0000"/>
          <w:szCs w:val="21"/>
          <w:highlight w:val="none"/>
        </w:rPr>
        <w:t>自行采购</w:t>
      </w:r>
      <w:r>
        <w:rPr>
          <w:rFonts w:hint="eastAsia" w:ascii="宋体" w:hAnsi="宋体"/>
          <w:szCs w:val="21"/>
          <w:highlight w:val="none"/>
        </w:rPr>
        <w:t>的国家机关、事业单位、团体组织；</w:t>
      </w:r>
      <w:r>
        <w:rPr>
          <w:rFonts w:ascii="宋体" w:hAnsi="宋体"/>
          <w:szCs w:val="21"/>
          <w:highlight w:val="none"/>
        </w:rPr>
        <w:t xml:space="preserve"> </w:t>
      </w:r>
    </w:p>
    <w:p w14:paraId="730E907E">
      <w:pPr>
        <w:ind w:firstLine="420" w:firstLineChars="200"/>
        <w:rPr>
          <w:rFonts w:hint="eastAsia" w:ascii="宋体" w:hAnsi="宋体"/>
          <w:szCs w:val="21"/>
          <w:highlight w:val="none"/>
        </w:rPr>
      </w:pPr>
      <w:r>
        <w:rPr>
          <w:rFonts w:hint="eastAsia" w:ascii="宋体" w:hAnsi="宋体"/>
          <w:szCs w:val="21"/>
          <w:highlight w:val="none"/>
        </w:rPr>
        <w:t>3.2 本文件所述的“</w:t>
      </w:r>
      <w:r>
        <w:rPr>
          <w:rFonts w:hint="eastAsia" w:ascii="宋体" w:hAnsi="宋体"/>
          <w:szCs w:val="21"/>
          <w:highlight w:val="none"/>
          <w:lang w:eastAsia="zh-CN"/>
        </w:rPr>
        <w:t>代理机构</w:t>
      </w:r>
      <w:r>
        <w:rPr>
          <w:rFonts w:hint="eastAsia" w:ascii="宋体" w:hAnsi="宋体"/>
          <w:szCs w:val="21"/>
          <w:highlight w:val="none"/>
        </w:rPr>
        <w:t>”</w:t>
      </w:r>
      <w:r>
        <w:rPr>
          <w:rFonts w:ascii="宋体" w:hAnsi="宋体"/>
          <w:szCs w:val="21"/>
          <w:highlight w:val="none"/>
        </w:rPr>
        <w:t>指</w:t>
      </w:r>
      <w:r>
        <w:rPr>
          <w:rFonts w:hint="eastAsia" w:ascii="宋体" w:hAnsi="宋体"/>
          <w:b/>
          <w:bCs/>
          <w:szCs w:val="21"/>
          <w:highlight w:val="none"/>
          <w:lang w:eastAsia="zh-CN"/>
        </w:rPr>
        <w:t>深圳交易咨询集团有限公司</w:t>
      </w:r>
      <w:r>
        <w:rPr>
          <w:rFonts w:hint="eastAsia" w:ascii="宋体" w:hAnsi="宋体"/>
          <w:szCs w:val="21"/>
          <w:highlight w:val="none"/>
        </w:rPr>
        <w:t>；</w:t>
      </w:r>
    </w:p>
    <w:p w14:paraId="6A02909F">
      <w:pPr>
        <w:ind w:firstLine="420" w:firstLineChars="200"/>
        <w:rPr>
          <w:rFonts w:hint="eastAsia" w:ascii="宋体" w:hAnsi="宋体"/>
          <w:szCs w:val="21"/>
          <w:highlight w:val="none"/>
        </w:rPr>
      </w:pPr>
      <w:r>
        <w:rPr>
          <w:rFonts w:hint="eastAsia" w:ascii="宋体" w:hAnsi="宋体"/>
          <w:szCs w:val="21"/>
          <w:highlight w:val="none"/>
        </w:rPr>
        <w:t>3.3“投标人”，即供应商，指参加投标竞争并愿意按照招标文件要求向采购人提供货物、工程或者服务的依法成立的法人、其他组织或者自然人；</w:t>
      </w:r>
    </w:p>
    <w:p w14:paraId="2CE579E8">
      <w:pPr>
        <w:ind w:firstLine="420" w:firstLineChars="200"/>
        <w:rPr>
          <w:rFonts w:hint="eastAsia" w:ascii="宋体" w:hAnsi="宋体"/>
          <w:szCs w:val="21"/>
          <w:highlight w:val="none"/>
        </w:rPr>
      </w:pPr>
      <w:r>
        <w:rPr>
          <w:rFonts w:hint="eastAsia" w:ascii="宋体" w:hAnsi="宋体"/>
          <w:szCs w:val="21"/>
          <w:highlight w:val="none"/>
        </w:rPr>
        <w:t>3.4“评审委员会”是依据《深圳经济特区政府采购条例》、《深圳经济特区政府采购条例实施细则》等有关规定组建的专门负责本次招标其评审工作的临时性机构；</w:t>
      </w:r>
    </w:p>
    <w:p w14:paraId="7C23C49B">
      <w:pPr>
        <w:ind w:firstLine="420" w:firstLineChars="200"/>
        <w:rPr>
          <w:rFonts w:hint="eastAsia" w:ascii="宋体" w:hAnsi="宋体"/>
          <w:szCs w:val="21"/>
          <w:highlight w:val="none"/>
        </w:rPr>
      </w:pPr>
      <w:r>
        <w:rPr>
          <w:rFonts w:hint="eastAsia" w:ascii="宋体" w:hAnsi="宋体"/>
          <w:szCs w:val="21"/>
          <w:highlight w:val="none"/>
        </w:rPr>
        <w:t>3.5“日期”</w:t>
      </w:r>
      <w:r>
        <w:rPr>
          <w:rFonts w:ascii="宋体" w:hAnsi="宋体"/>
          <w:szCs w:val="21"/>
          <w:highlight w:val="none"/>
        </w:rPr>
        <w:t>指</w:t>
      </w:r>
      <w:r>
        <w:rPr>
          <w:rFonts w:hint="eastAsia" w:ascii="宋体" w:hAnsi="宋体"/>
          <w:szCs w:val="21"/>
          <w:highlight w:val="none"/>
        </w:rPr>
        <w:t>公历日；</w:t>
      </w:r>
    </w:p>
    <w:p w14:paraId="7083441D">
      <w:pPr>
        <w:ind w:firstLine="420" w:firstLineChars="200"/>
        <w:rPr>
          <w:rFonts w:hint="eastAsia" w:ascii="宋体" w:hAnsi="宋体"/>
          <w:szCs w:val="21"/>
          <w:highlight w:val="none"/>
        </w:rPr>
      </w:pPr>
      <w:r>
        <w:rPr>
          <w:rFonts w:hint="eastAsia" w:ascii="宋体" w:hAnsi="宋体"/>
          <w:szCs w:val="21"/>
          <w:highlight w:val="none"/>
        </w:rPr>
        <w:t>3.6“合同”指由本次招标所产生的合同或合约文件；</w:t>
      </w:r>
    </w:p>
    <w:p w14:paraId="2F29DCF0">
      <w:pPr>
        <w:ind w:firstLine="420" w:firstLineChars="200"/>
        <w:rPr>
          <w:rFonts w:hint="eastAsia" w:ascii="宋体" w:hAnsi="宋体"/>
          <w:szCs w:val="21"/>
          <w:highlight w:val="none"/>
        </w:rPr>
      </w:pPr>
      <w:r>
        <w:rPr>
          <w:rFonts w:hint="eastAsia" w:ascii="宋体" w:hAnsi="宋体"/>
          <w:szCs w:val="21"/>
          <w:highlight w:val="none"/>
        </w:rPr>
        <w:t>3.7“电子投标文件”指利用深圳市自行采购系统投标文件制作专用软件（以下简称：投标文件制作软件）制作并加密的投标文件,适用于网上投标；（投标文件制作软件可从“下载地址：https://www.szggzy.com/jyfw/details.html?contentId=2053275深圳市自行采购系统投标文件编制工具”下载）</w:t>
      </w:r>
    </w:p>
    <w:p w14:paraId="50844D00">
      <w:pPr>
        <w:ind w:firstLine="420" w:firstLineChars="200"/>
        <w:rPr>
          <w:rFonts w:hint="eastAsia" w:ascii="宋体" w:hAnsi="宋体"/>
          <w:szCs w:val="21"/>
          <w:highlight w:val="none"/>
        </w:rPr>
      </w:pPr>
      <w:r>
        <w:rPr>
          <w:rFonts w:hint="eastAsia" w:ascii="宋体" w:hAnsi="宋体"/>
          <w:szCs w:val="21"/>
          <w:highlight w:val="none"/>
        </w:rPr>
        <w:t>3.8“网上投标”指通过</w:t>
      </w:r>
      <w:r>
        <w:rPr>
          <w:rFonts w:hint="eastAsia" w:ascii="宋体" w:hAnsi="宋体"/>
          <w:b/>
          <w:bCs/>
          <w:color w:val="FF0000"/>
          <w:szCs w:val="21"/>
          <w:highlight w:val="none"/>
        </w:rPr>
        <w:t>深圳市自行采购系统</w:t>
      </w:r>
      <w:r>
        <w:rPr>
          <w:rFonts w:hint="eastAsia" w:ascii="宋体" w:hAnsi="宋体"/>
          <w:szCs w:val="21"/>
          <w:highlight w:val="none"/>
        </w:rPr>
        <w:t>网站上传电子投标文件；</w:t>
      </w:r>
    </w:p>
    <w:p w14:paraId="02651BB0">
      <w:pPr>
        <w:ind w:firstLine="420" w:firstLineChars="200"/>
        <w:rPr>
          <w:rFonts w:hint="eastAsia" w:ascii="宋体" w:hAnsi="宋体"/>
          <w:szCs w:val="21"/>
          <w:highlight w:val="none"/>
        </w:rPr>
      </w:pPr>
      <w:r>
        <w:rPr>
          <w:rFonts w:hint="eastAsia" w:ascii="宋体" w:hAnsi="宋体"/>
          <w:szCs w:val="21"/>
          <w:highlight w:val="none"/>
        </w:rPr>
        <w:t>3.9招标文件中的标题或题名仅起引导作用，而不应视为对招标文件内容的理解和解释。</w:t>
      </w:r>
    </w:p>
    <w:p w14:paraId="4AC306D7">
      <w:pPr>
        <w:ind w:firstLine="420" w:firstLineChars="200"/>
        <w:rPr>
          <w:rFonts w:hint="eastAsia" w:ascii="黑体" w:hAnsi="宋体" w:eastAsia="黑体"/>
          <w:szCs w:val="21"/>
          <w:highlight w:val="none"/>
        </w:rPr>
      </w:pPr>
      <w:r>
        <w:rPr>
          <w:rFonts w:hint="eastAsia" w:ascii="黑体" w:hAnsi="宋体" w:eastAsia="黑体"/>
          <w:szCs w:val="21"/>
          <w:highlight w:val="none"/>
        </w:rPr>
        <w:t xml:space="preserve">4. </w:t>
      </w:r>
      <w:bookmarkStart w:id="60" w:name="_Hlk72398643"/>
      <w:r>
        <w:rPr>
          <w:rFonts w:hint="eastAsia" w:ascii="黑体" w:hAnsi="宋体" w:eastAsia="黑体"/>
          <w:szCs w:val="21"/>
          <w:highlight w:val="none"/>
        </w:rPr>
        <w:t>自行采购供应商责任</w:t>
      </w:r>
    </w:p>
    <w:p w14:paraId="58DCC7AE">
      <w:pPr>
        <w:ind w:firstLine="420" w:firstLineChars="200"/>
        <w:rPr>
          <w:rFonts w:hint="eastAsia" w:ascii="宋体" w:hAnsi="宋体"/>
          <w:szCs w:val="21"/>
          <w:highlight w:val="none"/>
        </w:rPr>
      </w:pPr>
      <w:r>
        <w:rPr>
          <w:rFonts w:hint="eastAsia" w:ascii="宋体" w:hAnsi="宋体"/>
          <w:szCs w:val="21"/>
          <w:highlight w:val="none"/>
        </w:rPr>
        <w:t>4.1欢迎诚信、有实力和有社会责任心的供应商参与自行采购事业。</w:t>
      </w:r>
    </w:p>
    <w:p w14:paraId="19FF5E08">
      <w:pPr>
        <w:ind w:firstLine="420" w:firstLineChars="200"/>
        <w:rPr>
          <w:rFonts w:hint="eastAsia" w:ascii="宋体" w:hAnsi="宋体"/>
          <w:szCs w:val="21"/>
          <w:highlight w:val="none"/>
        </w:rPr>
      </w:pPr>
      <w:r>
        <w:rPr>
          <w:rFonts w:hint="eastAsia" w:ascii="宋体" w:hAnsi="宋体"/>
          <w:szCs w:val="21"/>
          <w:highlight w:val="none"/>
        </w:rPr>
        <w:t>4.2投标人应当遵循公平竞争的原则，不得恶意串通，不得妨碍其他投标人的竞争行为，不得损害采购人或者其他投标人的合法权益。如违反上述要求，经核实后，供应商的投标无效。</w:t>
      </w:r>
    </w:p>
    <w:p w14:paraId="0AE730A6">
      <w:pPr>
        <w:ind w:firstLine="420" w:firstLineChars="200"/>
        <w:rPr>
          <w:rFonts w:hint="eastAsia" w:ascii="黑体" w:hAnsi="宋体" w:eastAsia="黑体"/>
          <w:szCs w:val="21"/>
          <w:highlight w:val="none"/>
        </w:rPr>
      </w:pPr>
      <w:r>
        <w:rPr>
          <w:rFonts w:hint="eastAsia" w:ascii="黑体" w:hAnsi="宋体" w:eastAsia="黑体"/>
          <w:szCs w:val="21"/>
          <w:highlight w:val="none"/>
        </w:rPr>
        <w:t>5．投标人参加自行采购的条件</w:t>
      </w:r>
    </w:p>
    <w:p w14:paraId="0BD15BD8">
      <w:pPr>
        <w:ind w:firstLine="420" w:firstLineChars="200"/>
        <w:jc w:val="left"/>
        <w:rPr>
          <w:rFonts w:hint="eastAsia" w:ascii="宋体" w:hAnsi="宋体"/>
          <w:szCs w:val="21"/>
          <w:highlight w:val="none"/>
        </w:rPr>
      </w:pPr>
      <w:r>
        <w:rPr>
          <w:rFonts w:hint="eastAsia" w:ascii="宋体" w:hAnsi="宋体"/>
          <w:szCs w:val="21"/>
          <w:highlight w:val="none"/>
        </w:rPr>
        <w:t>5.1投标人应在投标前到</w:t>
      </w:r>
      <w:r>
        <w:rPr>
          <w:rFonts w:hint="eastAsia" w:ascii="宋体" w:hAnsi="宋体"/>
          <w:b/>
          <w:bCs/>
          <w:szCs w:val="21"/>
          <w:highlight w:val="none"/>
        </w:rPr>
        <w:t>深圳市自行采购系统</w:t>
      </w:r>
      <w:r>
        <w:rPr>
          <w:rFonts w:hint="eastAsia" w:ascii="宋体" w:hAnsi="宋体"/>
          <w:szCs w:val="21"/>
          <w:highlight w:val="none"/>
        </w:rPr>
        <w:t>进行注册并办理电子密钥。《深圳政府采购自行采购系统用户操作指引（供应商）》详见www.szggzy.com网站“交易服务指南-政府采购-资料下载”。</w:t>
      </w:r>
    </w:p>
    <w:p w14:paraId="2968236A">
      <w:pPr>
        <w:ind w:firstLine="420" w:firstLineChars="200"/>
        <w:rPr>
          <w:rFonts w:hint="eastAsia" w:ascii="宋体" w:hAnsi="宋体"/>
          <w:szCs w:val="21"/>
          <w:highlight w:val="none"/>
        </w:rPr>
      </w:pPr>
      <w:r>
        <w:rPr>
          <w:rFonts w:hint="eastAsia" w:ascii="宋体" w:hAnsi="宋体"/>
          <w:szCs w:val="21"/>
          <w:highlight w:val="none"/>
        </w:rPr>
        <w:t>5.2投标人资格要求</w:t>
      </w:r>
    </w:p>
    <w:p w14:paraId="31BF60CF">
      <w:pPr>
        <w:ind w:firstLine="420" w:firstLineChars="200"/>
        <w:rPr>
          <w:rFonts w:hint="eastAsia" w:ascii="宋体" w:hAnsi="宋体"/>
          <w:szCs w:val="21"/>
          <w:highlight w:val="none"/>
        </w:rPr>
      </w:pPr>
      <w:r>
        <w:rPr>
          <w:rFonts w:hint="eastAsia" w:ascii="宋体" w:hAnsi="宋体"/>
          <w:szCs w:val="21"/>
          <w:highlight w:val="none"/>
        </w:rPr>
        <w:t>参加本项目的投标人应具备的资格条件详见本项目招标公告中 “投标人资格要求”的内容。</w:t>
      </w:r>
    </w:p>
    <w:p w14:paraId="7529A288">
      <w:pPr>
        <w:ind w:firstLine="420" w:firstLineChars="200"/>
        <w:rPr>
          <w:rFonts w:hint="eastAsia" w:ascii="宋体" w:hAnsi="宋体"/>
          <w:szCs w:val="21"/>
          <w:highlight w:val="none"/>
        </w:rPr>
      </w:pPr>
      <w:r>
        <w:rPr>
          <w:rFonts w:hint="eastAsia" w:ascii="宋体" w:hAnsi="宋体"/>
          <w:szCs w:val="21"/>
          <w:highlight w:val="none"/>
        </w:rPr>
        <w:t>5.3联合体投标</w:t>
      </w:r>
    </w:p>
    <w:p w14:paraId="069089D8">
      <w:pPr>
        <w:ind w:firstLine="420" w:firstLineChars="200"/>
        <w:rPr>
          <w:rFonts w:hint="eastAsia" w:ascii="宋体" w:hAnsi="宋体"/>
          <w:szCs w:val="21"/>
          <w:highlight w:val="none"/>
        </w:rPr>
      </w:pPr>
      <w:r>
        <w:rPr>
          <w:rFonts w:hint="eastAsia" w:ascii="宋体" w:hAnsi="宋体"/>
          <w:szCs w:val="21"/>
          <w:highlight w:val="none"/>
        </w:rPr>
        <w:t>5.3.1　以下有关联合体投标的条款仅适用于允许投标人组成联合体投标的项目。</w:t>
      </w:r>
    </w:p>
    <w:p w14:paraId="715F4D95">
      <w:pPr>
        <w:ind w:firstLine="420" w:firstLineChars="200"/>
        <w:rPr>
          <w:rFonts w:hint="eastAsia" w:ascii="宋体" w:hAnsi="宋体"/>
          <w:szCs w:val="21"/>
          <w:highlight w:val="none"/>
        </w:rPr>
      </w:pPr>
      <w:r>
        <w:rPr>
          <w:rFonts w:hint="eastAsia" w:ascii="宋体" w:hAnsi="宋体"/>
          <w:szCs w:val="21"/>
          <w:highlight w:val="none"/>
        </w:rPr>
        <w:t>5.3.2  由两个或两个以上的自然人、法人或者其他组织可以组成一个联合体，以一个供应商的身份共同投标时，应符合以下原则：</w:t>
      </w:r>
    </w:p>
    <w:p w14:paraId="46EDBB24">
      <w:pPr>
        <w:ind w:firstLine="420" w:firstLineChars="200"/>
        <w:rPr>
          <w:rFonts w:hint="eastAsia" w:ascii="宋体" w:hAnsi="宋体"/>
          <w:szCs w:val="21"/>
          <w:highlight w:val="none"/>
        </w:rPr>
      </w:pPr>
      <w:r>
        <w:rPr>
          <w:rFonts w:hint="eastAsia" w:ascii="宋体" w:hAnsi="宋体"/>
          <w:szCs w:val="21"/>
          <w:highlight w:val="none"/>
        </w:rPr>
        <w:t>（1）投标联合体各方参加采购活动应当具备下列条件：</w:t>
      </w:r>
      <w:r>
        <w:rPr>
          <w:rFonts w:ascii="宋体" w:hAnsi="宋体"/>
          <w:szCs w:val="21"/>
          <w:highlight w:val="none"/>
        </w:rPr>
        <w:t xml:space="preserve"> </w:t>
      </w:r>
    </w:p>
    <w:p w14:paraId="21A9CC1D">
      <w:pPr>
        <w:ind w:firstLine="420" w:firstLineChars="200"/>
        <w:rPr>
          <w:rFonts w:hint="eastAsia" w:ascii="宋体" w:hAnsi="宋体"/>
          <w:szCs w:val="21"/>
          <w:highlight w:val="none"/>
        </w:rPr>
      </w:pPr>
      <w:r>
        <w:rPr>
          <w:rFonts w:hint="eastAsia" w:ascii="宋体" w:hAnsi="宋体"/>
          <w:szCs w:val="21"/>
          <w:highlight w:val="none"/>
        </w:rPr>
        <w:t>1、具有独立承担民事责任的能力；</w:t>
      </w:r>
      <w:r>
        <w:rPr>
          <w:rFonts w:ascii="宋体" w:hAnsi="宋体"/>
          <w:szCs w:val="21"/>
          <w:highlight w:val="none"/>
        </w:rPr>
        <w:t xml:space="preserve"> </w:t>
      </w:r>
    </w:p>
    <w:p w14:paraId="04518560">
      <w:pPr>
        <w:ind w:firstLine="420" w:firstLineChars="200"/>
        <w:rPr>
          <w:rFonts w:hint="eastAsia" w:ascii="宋体" w:hAnsi="宋体"/>
          <w:szCs w:val="21"/>
          <w:highlight w:val="none"/>
        </w:rPr>
      </w:pPr>
      <w:r>
        <w:rPr>
          <w:rFonts w:hint="eastAsia" w:ascii="宋体" w:hAnsi="宋体"/>
          <w:szCs w:val="21"/>
          <w:highlight w:val="none"/>
        </w:rPr>
        <w:t>2、有良好的商业信誉和健全的财务会计制度；</w:t>
      </w:r>
      <w:r>
        <w:rPr>
          <w:rFonts w:ascii="宋体" w:hAnsi="宋体"/>
          <w:szCs w:val="21"/>
          <w:highlight w:val="none"/>
        </w:rPr>
        <w:t xml:space="preserve"> </w:t>
      </w:r>
    </w:p>
    <w:p w14:paraId="10D57818">
      <w:pPr>
        <w:ind w:firstLine="420" w:firstLineChars="200"/>
        <w:rPr>
          <w:rFonts w:hint="eastAsia" w:ascii="宋体" w:hAnsi="宋体"/>
          <w:szCs w:val="21"/>
          <w:highlight w:val="none"/>
        </w:rPr>
      </w:pPr>
      <w:r>
        <w:rPr>
          <w:rFonts w:hint="eastAsia" w:ascii="宋体" w:hAnsi="宋体"/>
          <w:szCs w:val="21"/>
          <w:highlight w:val="none"/>
        </w:rPr>
        <w:t>3、具有履行合同所必需的设备和专业技术能力；</w:t>
      </w:r>
      <w:r>
        <w:rPr>
          <w:rFonts w:ascii="宋体" w:hAnsi="宋体"/>
          <w:szCs w:val="21"/>
          <w:highlight w:val="none"/>
        </w:rPr>
        <w:t xml:space="preserve"> </w:t>
      </w:r>
    </w:p>
    <w:p w14:paraId="02B8BDE6">
      <w:pPr>
        <w:ind w:firstLine="420" w:firstLineChars="200"/>
        <w:rPr>
          <w:rFonts w:hint="eastAsia" w:ascii="宋体" w:hAnsi="宋体"/>
          <w:szCs w:val="21"/>
          <w:highlight w:val="none"/>
        </w:rPr>
      </w:pPr>
      <w:r>
        <w:rPr>
          <w:rFonts w:hint="eastAsia" w:ascii="宋体" w:hAnsi="宋体"/>
          <w:szCs w:val="21"/>
          <w:highlight w:val="none"/>
        </w:rPr>
        <w:t>4、有依法缴纳税收和社会保障资金的良好记录；</w:t>
      </w:r>
      <w:r>
        <w:rPr>
          <w:rFonts w:ascii="宋体" w:hAnsi="宋体"/>
          <w:szCs w:val="21"/>
          <w:highlight w:val="none"/>
        </w:rPr>
        <w:t xml:space="preserve"> </w:t>
      </w:r>
    </w:p>
    <w:p w14:paraId="59EF7A5E">
      <w:pPr>
        <w:ind w:firstLine="420" w:firstLineChars="200"/>
        <w:rPr>
          <w:rFonts w:hint="eastAsia" w:ascii="宋体" w:hAnsi="宋体"/>
          <w:szCs w:val="21"/>
          <w:highlight w:val="none"/>
        </w:rPr>
      </w:pPr>
      <w:r>
        <w:rPr>
          <w:rFonts w:hint="eastAsia" w:ascii="宋体" w:hAnsi="宋体"/>
          <w:szCs w:val="21"/>
          <w:highlight w:val="none"/>
        </w:rPr>
        <w:t>5、参加采购活动前三年内，在经营活动中没有重大违法记录；</w:t>
      </w:r>
      <w:r>
        <w:rPr>
          <w:rFonts w:ascii="宋体" w:hAnsi="宋体"/>
          <w:szCs w:val="21"/>
          <w:highlight w:val="none"/>
        </w:rPr>
        <w:t xml:space="preserve"> </w:t>
      </w:r>
    </w:p>
    <w:p w14:paraId="5FCA3C12">
      <w:pPr>
        <w:ind w:firstLine="420" w:firstLineChars="200"/>
        <w:rPr>
          <w:rFonts w:hint="eastAsia" w:ascii="宋体" w:hAnsi="宋体"/>
          <w:szCs w:val="21"/>
          <w:highlight w:val="none"/>
        </w:rPr>
      </w:pPr>
      <w:r>
        <w:rPr>
          <w:rFonts w:hint="eastAsia" w:ascii="宋体" w:hAnsi="宋体"/>
          <w:szCs w:val="21"/>
          <w:highlight w:val="none"/>
        </w:rPr>
        <w:t>6、法律、行政法规规定的其他条件。</w:t>
      </w:r>
      <w:r>
        <w:rPr>
          <w:rFonts w:ascii="宋体" w:hAnsi="宋体"/>
          <w:szCs w:val="21"/>
          <w:highlight w:val="none"/>
        </w:rPr>
        <w:t xml:space="preserve"> </w:t>
      </w:r>
    </w:p>
    <w:p w14:paraId="6EF585DE">
      <w:pPr>
        <w:ind w:firstLine="420" w:firstLineChars="200"/>
        <w:rPr>
          <w:rFonts w:hint="eastAsia" w:ascii="宋体" w:hAnsi="宋体"/>
          <w:szCs w:val="21"/>
          <w:highlight w:val="none"/>
        </w:rPr>
      </w:pPr>
      <w:r>
        <w:rPr>
          <w:rFonts w:hint="eastAsia" w:ascii="宋体" w:hAnsi="宋体"/>
          <w:szCs w:val="21"/>
          <w:highlight w:val="none"/>
        </w:rPr>
        <w:t>（2）在投标截止前，投标联合体各方均应注册成</w:t>
      </w:r>
      <w:r>
        <w:rPr>
          <w:rFonts w:hint="eastAsia" w:ascii="宋体" w:hAnsi="宋体"/>
          <w:b/>
          <w:bCs/>
          <w:color w:val="FF0000"/>
          <w:szCs w:val="21"/>
          <w:highlight w:val="none"/>
        </w:rPr>
        <w:t>深圳市自行采购系统</w:t>
      </w:r>
      <w:r>
        <w:rPr>
          <w:rFonts w:hint="eastAsia" w:ascii="宋体" w:hAnsi="宋体"/>
          <w:szCs w:val="21"/>
          <w:highlight w:val="none"/>
        </w:rPr>
        <w:t>供应商；</w:t>
      </w:r>
    </w:p>
    <w:p w14:paraId="7EA2B06C">
      <w:pPr>
        <w:ind w:firstLine="420" w:firstLineChars="200"/>
        <w:rPr>
          <w:rFonts w:hint="eastAsia" w:ascii="宋体" w:hAnsi="宋体"/>
          <w:szCs w:val="21"/>
          <w:highlight w:val="none"/>
        </w:rPr>
      </w:pPr>
      <w:r>
        <w:rPr>
          <w:rFonts w:hint="eastAsia" w:ascii="宋体" w:hAnsi="宋体"/>
          <w:szCs w:val="21"/>
          <w:highlight w:val="none"/>
        </w:rPr>
        <w:t>（3）联合体中有同类资质的供应商按照联合体分工承担相同工作的，应当按照资质等级较低的供应商确定资质等级；</w:t>
      </w:r>
    </w:p>
    <w:p w14:paraId="12B70A08">
      <w:pPr>
        <w:ind w:firstLine="420" w:firstLineChars="200"/>
        <w:rPr>
          <w:szCs w:val="21"/>
          <w:highlight w:val="none"/>
        </w:rPr>
      </w:pPr>
      <w:r>
        <w:rPr>
          <w:rFonts w:hint="eastAsia"/>
          <w:szCs w:val="21"/>
          <w:highlight w:val="none"/>
        </w:rPr>
        <w:t>（4）是否允许联合体参加投标，应当由采购人和采购代理机构根据项目的实际情况和潜在供应商的数量自主决定，如果决定接受联合体投标则应当在招标公告中明示；</w:t>
      </w:r>
    </w:p>
    <w:p w14:paraId="709F7C18">
      <w:pPr>
        <w:ind w:firstLine="420" w:firstLineChars="200"/>
        <w:rPr>
          <w:rFonts w:hint="eastAsia" w:ascii="宋体" w:hAnsi="宋体"/>
          <w:szCs w:val="21"/>
          <w:highlight w:val="none"/>
        </w:rPr>
      </w:pPr>
      <w:r>
        <w:rPr>
          <w:rFonts w:hint="eastAsia" w:ascii="宋体" w:hAnsi="宋体"/>
          <w:szCs w:val="21"/>
          <w:highlight w:val="none"/>
        </w:rPr>
        <w:t>（5）投标人的投标文件及中标后签署的合同协议对联合体各方均具法律约束力；</w:t>
      </w:r>
    </w:p>
    <w:p w14:paraId="02FDB6CB">
      <w:pPr>
        <w:ind w:firstLine="420" w:firstLineChars="200"/>
        <w:rPr>
          <w:rFonts w:hint="eastAsia" w:ascii="宋体" w:hAnsi="宋体"/>
          <w:szCs w:val="21"/>
          <w:highlight w:val="none"/>
        </w:rPr>
      </w:pPr>
      <w:r>
        <w:rPr>
          <w:rFonts w:hint="eastAsia" w:ascii="宋体" w:hAnsi="宋体"/>
          <w:szCs w:val="21"/>
          <w:highlight w:val="none"/>
        </w:rPr>
        <w:t>（6）联合体各方应当签订联合体投标协议，明确约定各方拟承担的工作和责任，并将该协议随投标文件一并递交给</w:t>
      </w:r>
      <w:r>
        <w:rPr>
          <w:rFonts w:hint="eastAsia" w:ascii="宋体" w:hAnsi="宋体"/>
          <w:szCs w:val="21"/>
          <w:highlight w:val="none"/>
          <w:lang w:eastAsia="zh-CN"/>
        </w:rPr>
        <w:t>代理机构</w:t>
      </w:r>
      <w:r>
        <w:rPr>
          <w:rFonts w:hint="eastAsia" w:ascii="宋体" w:hAnsi="宋体"/>
          <w:szCs w:val="21"/>
          <w:highlight w:val="none"/>
        </w:rPr>
        <w:t>；</w:t>
      </w:r>
    </w:p>
    <w:p w14:paraId="6943ECE9">
      <w:pPr>
        <w:ind w:firstLine="420" w:firstLineChars="200"/>
        <w:rPr>
          <w:rFonts w:hint="eastAsia" w:ascii="宋体" w:hAnsi="宋体"/>
          <w:szCs w:val="21"/>
          <w:highlight w:val="none"/>
        </w:rPr>
      </w:pPr>
      <w:r>
        <w:rPr>
          <w:rFonts w:hint="eastAsia" w:ascii="宋体" w:hAnsi="宋体"/>
          <w:szCs w:val="21"/>
          <w:highlight w:val="none"/>
        </w:rPr>
        <w:t>（7）联合体中标后，联合体各方应当共同与采购人签订合同，就中标项目向采购人承担连带责任；</w:t>
      </w:r>
    </w:p>
    <w:p w14:paraId="73D96A46">
      <w:pPr>
        <w:ind w:firstLine="420" w:firstLineChars="200"/>
        <w:rPr>
          <w:rFonts w:hint="eastAsia" w:ascii="宋体" w:hAnsi="宋体"/>
          <w:szCs w:val="21"/>
          <w:highlight w:val="none"/>
        </w:rPr>
      </w:pPr>
      <w:r>
        <w:rPr>
          <w:rFonts w:hint="eastAsia" w:ascii="宋体" w:hAnsi="宋体"/>
          <w:szCs w:val="21"/>
          <w:highlight w:val="none"/>
        </w:rPr>
        <w:t>（8）以联合体形式参加采购活动的，联合体各方不得再单独参加或者与其他供应商另外组成联合体参加同一合同项下的采购活动，出现上述情况者，其投标和与此有关联合体、总包单位的投标将被拒绝；</w:t>
      </w:r>
    </w:p>
    <w:p w14:paraId="07AAA942">
      <w:pPr>
        <w:ind w:firstLine="420" w:firstLineChars="200"/>
        <w:rPr>
          <w:rFonts w:hint="eastAsia" w:ascii="宋体" w:hAnsi="宋体"/>
          <w:szCs w:val="21"/>
          <w:highlight w:val="none"/>
        </w:rPr>
      </w:pPr>
      <w:r>
        <w:rPr>
          <w:rFonts w:hint="eastAsia" w:ascii="宋体" w:hAnsi="宋体"/>
          <w:szCs w:val="21"/>
          <w:highlight w:val="none"/>
        </w:rPr>
        <w:t>（9）本通用条款中“投标人”一词亦指联合体各方，专用条款另有规定或说明的除外。</w:t>
      </w:r>
    </w:p>
    <w:p w14:paraId="35311311">
      <w:pPr>
        <w:ind w:firstLine="420" w:firstLineChars="200"/>
        <w:rPr>
          <w:rFonts w:hint="eastAsia" w:ascii="黑体" w:hAnsi="宋体" w:eastAsia="黑体"/>
          <w:szCs w:val="21"/>
          <w:highlight w:val="none"/>
        </w:rPr>
      </w:pPr>
      <w:r>
        <w:rPr>
          <w:rFonts w:hint="eastAsia" w:ascii="黑体" w:hAnsi="宋体" w:eastAsia="黑体"/>
          <w:szCs w:val="21"/>
          <w:highlight w:val="none"/>
        </w:rPr>
        <w:t>6．政策导向</w:t>
      </w:r>
    </w:p>
    <w:p w14:paraId="4A5D2493">
      <w:pPr>
        <w:ind w:firstLine="420" w:firstLineChars="200"/>
        <w:rPr>
          <w:rFonts w:hint="eastAsia" w:ascii="宋体" w:hAnsi="宋体"/>
          <w:szCs w:val="21"/>
          <w:highlight w:val="none"/>
        </w:rPr>
      </w:pPr>
      <w:r>
        <w:rPr>
          <w:rFonts w:hint="eastAsia" w:ascii="宋体" w:hAnsi="宋体"/>
          <w:szCs w:val="21"/>
          <w:highlight w:val="none"/>
        </w:rPr>
        <w:t>6.1</w:t>
      </w:r>
      <w:r>
        <w:rPr>
          <w:rFonts w:ascii="宋体" w:hAnsi="宋体"/>
          <w:szCs w:val="21"/>
          <w:highlight w:val="none"/>
        </w:rPr>
        <w:t xml:space="preserve">  </w:t>
      </w:r>
      <w:r>
        <w:rPr>
          <w:rFonts w:hint="eastAsia" w:ascii="宋体" w:hAnsi="宋体"/>
          <w:szCs w:val="21"/>
          <w:highlight w:val="none"/>
        </w:rPr>
        <w:t>采购扶持贫困地区、中小企业、监狱企业和残疾人福利性单位发展，支持节能减排、环境保护。</w:t>
      </w:r>
    </w:p>
    <w:p w14:paraId="7ABFAE72">
      <w:pPr>
        <w:ind w:firstLine="420" w:firstLineChars="200"/>
        <w:rPr>
          <w:szCs w:val="21"/>
          <w:highlight w:val="none"/>
          <w:shd w:val="clear" w:color="auto" w:fill="FFFFFF"/>
        </w:rPr>
      </w:pPr>
      <w:r>
        <w:rPr>
          <w:rFonts w:hint="eastAsia" w:ascii="宋体" w:hAnsi="宋体"/>
          <w:szCs w:val="21"/>
          <w:highlight w:val="none"/>
        </w:rPr>
        <w:t>6.2</w:t>
      </w:r>
      <w:r>
        <w:rPr>
          <w:rFonts w:ascii="宋体" w:hAnsi="宋体"/>
          <w:szCs w:val="21"/>
          <w:highlight w:val="none"/>
        </w:rPr>
        <w:t xml:space="preserve">  </w:t>
      </w:r>
      <w:r>
        <w:rPr>
          <w:rFonts w:hint="eastAsia" w:ascii="宋体" w:hAnsi="宋体"/>
          <w:szCs w:val="21"/>
          <w:highlight w:val="none"/>
        </w:rPr>
        <w:t>本项目落实深圳市政府采购供应商诚信管理政策要求。</w:t>
      </w:r>
    </w:p>
    <w:p w14:paraId="677BAB44">
      <w:pPr>
        <w:ind w:firstLine="420" w:firstLineChars="200"/>
        <w:rPr>
          <w:rFonts w:hint="eastAsia" w:ascii="黑体" w:hAnsi="宋体" w:eastAsia="黑体"/>
          <w:szCs w:val="21"/>
          <w:highlight w:val="none"/>
        </w:rPr>
      </w:pPr>
      <w:r>
        <w:rPr>
          <w:rFonts w:hint="eastAsia" w:ascii="黑体" w:hAnsi="宋体" w:eastAsia="黑体"/>
          <w:szCs w:val="21"/>
          <w:highlight w:val="none"/>
        </w:rPr>
        <w:t>7. 本项目若涉及采购货物，则合格的货物及相应服务应满足以下要求：</w:t>
      </w:r>
    </w:p>
    <w:p w14:paraId="09DFE1BE">
      <w:pPr>
        <w:ind w:firstLine="420" w:firstLineChars="200"/>
        <w:rPr>
          <w:rFonts w:hint="eastAsia" w:ascii="宋体" w:hAnsi="宋体"/>
          <w:szCs w:val="21"/>
          <w:highlight w:val="none"/>
        </w:rPr>
      </w:pPr>
      <w:r>
        <w:rPr>
          <w:rFonts w:hint="eastAsia" w:ascii="宋体" w:hAnsi="宋体"/>
          <w:szCs w:val="21"/>
          <w:highlight w:val="none"/>
        </w:rPr>
        <w:t>7</w:t>
      </w:r>
      <w:r>
        <w:rPr>
          <w:rFonts w:ascii="宋体" w:hAnsi="宋体"/>
          <w:szCs w:val="21"/>
          <w:highlight w:val="none"/>
        </w:rPr>
        <w:t xml:space="preserve">.1  </w:t>
      </w:r>
      <w:r>
        <w:rPr>
          <w:rFonts w:hint="eastAsia" w:ascii="宋体" w:hAnsi="宋体"/>
          <w:szCs w:val="21"/>
          <w:highlight w:val="none"/>
        </w:rPr>
        <w:t>必须是全新、未使用过的原装合格正品（包括零部件），如安装或配置了软件的，须为正版软件。</w:t>
      </w:r>
    </w:p>
    <w:p w14:paraId="0DCB2C3B">
      <w:pPr>
        <w:ind w:firstLine="420" w:firstLineChars="200"/>
        <w:rPr>
          <w:rFonts w:hint="eastAsia" w:ascii="宋体" w:hAnsi="宋体"/>
          <w:szCs w:val="21"/>
          <w:highlight w:val="none"/>
        </w:rPr>
      </w:pPr>
      <w:r>
        <w:rPr>
          <w:rFonts w:hint="eastAsia" w:ascii="宋体" w:hAnsi="宋体"/>
          <w:szCs w:val="21"/>
          <w:highlight w:val="none"/>
        </w:rPr>
        <w:t>7.2  国产的货物及其有关服务必须符合中华人民共和国的设计、制造生产标准及行业标准。招标公告有其他要求的，亦应符合其要求。</w:t>
      </w:r>
    </w:p>
    <w:p w14:paraId="49CCA091">
      <w:pPr>
        <w:ind w:firstLine="420" w:firstLineChars="200"/>
        <w:rPr>
          <w:rFonts w:hint="eastAsia" w:ascii="宋体" w:hAnsi="宋体"/>
          <w:szCs w:val="21"/>
          <w:highlight w:val="none"/>
        </w:rPr>
      </w:pPr>
      <w:r>
        <w:rPr>
          <w:rFonts w:hint="eastAsia" w:ascii="宋体" w:hAnsi="宋体"/>
          <w:szCs w:val="21"/>
          <w:highlight w:val="none"/>
        </w:rPr>
        <w:t>7</w:t>
      </w:r>
      <w:r>
        <w:rPr>
          <w:rFonts w:ascii="宋体" w:hAnsi="宋体"/>
          <w:szCs w:val="21"/>
          <w:highlight w:val="none"/>
        </w:rPr>
        <w:t>.</w:t>
      </w:r>
      <w:r>
        <w:rPr>
          <w:rFonts w:hint="eastAsia" w:ascii="宋体" w:hAnsi="宋体"/>
          <w:szCs w:val="21"/>
          <w:highlight w:val="none"/>
        </w:rPr>
        <w:t>3</w:t>
      </w:r>
      <w:r>
        <w:rPr>
          <w:rFonts w:ascii="宋体" w:hAnsi="宋体"/>
          <w:szCs w:val="21"/>
          <w:highlight w:val="none"/>
        </w:rPr>
        <w:t xml:space="preserve">  </w:t>
      </w:r>
      <w:r>
        <w:rPr>
          <w:rFonts w:hint="eastAsia" w:ascii="宋体" w:hAnsi="宋体"/>
          <w:szCs w:val="21"/>
          <w:highlight w:val="none"/>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1F134F72">
      <w:pPr>
        <w:ind w:firstLine="420" w:firstLineChars="200"/>
        <w:rPr>
          <w:rFonts w:hint="eastAsia" w:ascii="宋体" w:hAnsi="宋体"/>
          <w:szCs w:val="21"/>
          <w:highlight w:val="none"/>
        </w:rPr>
      </w:pPr>
      <w:r>
        <w:rPr>
          <w:rFonts w:hint="eastAsia" w:ascii="宋体" w:hAnsi="宋体"/>
          <w:szCs w:val="21"/>
          <w:highlight w:val="none"/>
        </w:rPr>
        <w:t>7</w:t>
      </w:r>
      <w:r>
        <w:rPr>
          <w:rFonts w:ascii="宋体" w:hAnsi="宋体"/>
          <w:szCs w:val="21"/>
          <w:highlight w:val="none"/>
        </w:rPr>
        <w:t>.</w:t>
      </w:r>
      <w:r>
        <w:rPr>
          <w:rFonts w:hint="eastAsia" w:ascii="宋体" w:hAnsi="宋体"/>
          <w:szCs w:val="21"/>
          <w:highlight w:val="none"/>
        </w:rPr>
        <w:t>4</w:t>
      </w:r>
      <w:r>
        <w:rPr>
          <w:rFonts w:ascii="宋体" w:hAnsi="宋体"/>
          <w:szCs w:val="21"/>
          <w:highlight w:val="none"/>
        </w:rPr>
        <w:t xml:space="preserve">  </w:t>
      </w:r>
      <w:r>
        <w:rPr>
          <w:rFonts w:hint="eastAsia" w:ascii="宋体" w:hAnsi="宋体"/>
          <w:szCs w:val="21"/>
          <w:highlight w:val="none"/>
        </w:rPr>
        <w:t>投标人</w:t>
      </w:r>
      <w:bookmarkStart w:id="61" w:name="_Hlk72152753"/>
      <w:r>
        <w:rPr>
          <w:rFonts w:hint="eastAsia" w:ascii="宋体" w:hAnsi="宋体"/>
          <w:szCs w:val="21"/>
          <w:highlight w:val="none"/>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61"/>
    </w:p>
    <w:p w14:paraId="5685E809">
      <w:pPr>
        <w:ind w:firstLine="420" w:firstLineChars="200"/>
        <w:rPr>
          <w:rFonts w:hint="eastAsia" w:ascii="宋体" w:hAnsi="宋体"/>
          <w:szCs w:val="21"/>
          <w:highlight w:val="none"/>
        </w:rPr>
      </w:pPr>
      <w:r>
        <w:rPr>
          <w:rFonts w:hint="eastAsia" w:ascii="宋体" w:hAnsi="宋体"/>
          <w:szCs w:val="21"/>
          <w:highlight w:val="none"/>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55DD87F2">
      <w:pPr>
        <w:ind w:firstLine="420" w:firstLineChars="200"/>
        <w:rPr>
          <w:rFonts w:hint="eastAsia" w:ascii="宋体" w:hAnsi="宋体"/>
          <w:szCs w:val="21"/>
          <w:highlight w:val="none"/>
        </w:rPr>
      </w:pPr>
      <w:r>
        <w:rPr>
          <w:rFonts w:hint="eastAsia" w:ascii="宋体" w:hAnsi="宋体"/>
          <w:szCs w:val="21"/>
          <w:highlight w:val="none"/>
        </w:rPr>
        <w:t>7.6  工期要求：投标人在投标时对其所投项目应提交交货进度、交货计划等，在合同规定的时间内完成项目实施工作。</w:t>
      </w:r>
    </w:p>
    <w:p w14:paraId="2BFD9B5E">
      <w:pPr>
        <w:ind w:firstLine="420" w:firstLineChars="200"/>
        <w:rPr>
          <w:rFonts w:hint="eastAsia" w:ascii="宋体" w:hAnsi="宋体"/>
          <w:szCs w:val="21"/>
          <w:highlight w:val="none"/>
        </w:rPr>
      </w:pPr>
      <w:r>
        <w:rPr>
          <w:rFonts w:hint="eastAsia" w:ascii="宋体" w:hAnsi="宋体"/>
          <w:szCs w:val="21"/>
          <w:highlight w:val="none"/>
        </w:rPr>
        <w:t>7.7  投标人必须承担的设备运输、安装调试、验收检测和提供设备操作说明书、图纸等其他相关及类似的义务。</w:t>
      </w:r>
    </w:p>
    <w:p w14:paraId="7DD35A78">
      <w:pPr>
        <w:ind w:firstLine="420" w:firstLineChars="200"/>
        <w:rPr>
          <w:rFonts w:hint="eastAsia" w:ascii="黑体" w:hAnsi="宋体" w:eastAsia="黑体"/>
          <w:szCs w:val="21"/>
          <w:highlight w:val="none"/>
        </w:rPr>
      </w:pPr>
      <w:r>
        <w:rPr>
          <w:rFonts w:hint="eastAsia" w:ascii="黑体" w:hAnsi="宋体" w:eastAsia="黑体"/>
          <w:szCs w:val="21"/>
          <w:highlight w:val="none"/>
        </w:rPr>
        <w:t>8．投标费用</w:t>
      </w:r>
    </w:p>
    <w:p w14:paraId="2736C9F7">
      <w:pPr>
        <w:ind w:firstLine="420" w:firstLineChars="200"/>
        <w:rPr>
          <w:rFonts w:hint="eastAsia" w:ascii="宋体" w:hAnsi="宋体"/>
          <w:szCs w:val="21"/>
          <w:highlight w:val="none"/>
        </w:rPr>
      </w:pPr>
      <w:r>
        <w:rPr>
          <w:rFonts w:hint="eastAsia" w:ascii="宋体" w:hAnsi="宋体"/>
          <w:szCs w:val="21"/>
          <w:highlight w:val="none"/>
        </w:rPr>
        <w:t>不论投标结果如何，投标人应承担其编制投标文件与递交投标文件所涉及的一切费用。</w:t>
      </w:r>
    </w:p>
    <w:p w14:paraId="5E0B18F4">
      <w:pPr>
        <w:ind w:firstLine="420" w:firstLineChars="200"/>
        <w:rPr>
          <w:rFonts w:hint="eastAsia" w:ascii="黑体" w:hAnsi="宋体" w:eastAsia="黑体"/>
          <w:szCs w:val="21"/>
          <w:highlight w:val="none"/>
        </w:rPr>
      </w:pPr>
      <w:r>
        <w:rPr>
          <w:rFonts w:hint="eastAsia" w:ascii="黑体" w:hAnsi="宋体" w:eastAsia="黑体"/>
          <w:szCs w:val="21"/>
          <w:highlight w:val="none"/>
        </w:rPr>
        <w:t>9．踏勘现场</w:t>
      </w:r>
    </w:p>
    <w:p w14:paraId="5B2F2B51">
      <w:pPr>
        <w:ind w:firstLine="420" w:firstLineChars="200"/>
        <w:rPr>
          <w:rFonts w:hint="eastAsia" w:ascii="宋体" w:hAnsi="宋体"/>
          <w:szCs w:val="21"/>
          <w:highlight w:val="none"/>
        </w:rPr>
      </w:pPr>
      <w:r>
        <w:rPr>
          <w:rFonts w:hint="eastAsia" w:ascii="宋体" w:hAnsi="宋体"/>
          <w:szCs w:val="21"/>
          <w:highlight w:val="none"/>
        </w:rPr>
        <w:t>9.1如有需要（详见专用条款），采购人或</w:t>
      </w:r>
      <w:r>
        <w:rPr>
          <w:rFonts w:hint="eastAsia" w:ascii="宋体" w:hAnsi="宋体"/>
          <w:szCs w:val="21"/>
          <w:highlight w:val="none"/>
          <w:lang w:eastAsia="zh-CN"/>
        </w:rPr>
        <w:t>代理机构</w:t>
      </w:r>
      <w:r>
        <w:rPr>
          <w:rFonts w:hint="eastAsia" w:ascii="宋体" w:hAnsi="宋体"/>
          <w:szCs w:val="21"/>
          <w:highlight w:val="none"/>
        </w:rPr>
        <w:t>将组织投标人对项目现场及周围环境进行踏勘，以便投标人获取有关编制投标文件和签署合同所需的资料。踏勘现场所发生的费用由投标人自行承担。投标人应按招标文件所约定的时间、地点踏勘现场。</w:t>
      </w:r>
    </w:p>
    <w:p w14:paraId="2297EC4B">
      <w:pPr>
        <w:ind w:firstLine="420" w:firstLineChars="200"/>
        <w:rPr>
          <w:rFonts w:hint="eastAsia" w:ascii="宋体" w:hAnsi="宋体"/>
          <w:szCs w:val="21"/>
          <w:highlight w:val="none"/>
        </w:rPr>
      </w:pPr>
      <w:r>
        <w:rPr>
          <w:rFonts w:hint="eastAsia" w:ascii="宋体" w:hAnsi="宋体"/>
          <w:szCs w:val="21"/>
          <w:highlight w:val="none"/>
        </w:rPr>
        <w:t>9.2投标人及其人员经过采购人的允许，可以进入采购人的项目现场踏勘。若招标文件要求投标人于统一时间地点踏勘现场的，投标人应当按时前往。</w:t>
      </w:r>
    </w:p>
    <w:p w14:paraId="1AB73161">
      <w:pPr>
        <w:ind w:firstLine="420" w:firstLineChars="200"/>
        <w:rPr>
          <w:rFonts w:hint="eastAsia" w:ascii="宋体" w:hAnsi="宋体"/>
          <w:szCs w:val="21"/>
          <w:highlight w:val="none"/>
        </w:rPr>
      </w:pPr>
      <w:r>
        <w:rPr>
          <w:rFonts w:hint="eastAsia" w:ascii="宋体" w:hAnsi="宋体"/>
          <w:szCs w:val="21"/>
          <w:highlight w:val="none"/>
        </w:rPr>
        <w:t>9.3采购人应当通过</w:t>
      </w:r>
      <w:r>
        <w:rPr>
          <w:rFonts w:hint="eastAsia" w:ascii="宋体" w:hAnsi="宋体"/>
          <w:szCs w:val="21"/>
          <w:highlight w:val="none"/>
          <w:lang w:eastAsia="zh-CN"/>
        </w:rPr>
        <w:t>代理机构</w:t>
      </w:r>
      <w:r>
        <w:rPr>
          <w:rFonts w:hint="eastAsia" w:ascii="宋体" w:hAnsi="宋体"/>
          <w:szCs w:val="21"/>
          <w:highlight w:val="none"/>
        </w:rPr>
        <w:t>向投标人提供有关现场的书面资料和数据。</w:t>
      </w:r>
    </w:p>
    <w:p w14:paraId="43068487">
      <w:pPr>
        <w:ind w:firstLine="420" w:firstLineChars="200"/>
        <w:rPr>
          <w:rFonts w:hint="eastAsia" w:ascii="宋体" w:hAnsi="宋体"/>
          <w:szCs w:val="21"/>
          <w:highlight w:val="none"/>
        </w:rPr>
      </w:pPr>
      <w:r>
        <w:rPr>
          <w:rFonts w:hint="eastAsia" w:ascii="宋体" w:hAnsi="宋体"/>
          <w:szCs w:val="21"/>
          <w:highlight w:val="none"/>
        </w:rPr>
        <w:t>9.4任何人或任何组织在踏勘现场时向投标人提供的任何书面资料或口头承诺，未经</w:t>
      </w:r>
      <w:r>
        <w:rPr>
          <w:rFonts w:hint="eastAsia" w:ascii="宋体" w:hAnsi="宋体"/>
          <w:szCs w:val="21"/>
          <w:highlight w:val="none"/>
          <w:lang w:eastAsia="zh-CN"/>
        </w:rPr>
        <w:t>代理机构</w:t>
      </w:r>
      <w:r>
        <w:rPr>
          <w:rFonts w:hint="eastAsia" w:ascii="宋体" w:hAnsi="宋体"/>
          <w:szCs w:val="21"/>
          <w:highlight w:val="none"/>
        </w:rPr>
        <w:t>在网上发布或书面通知，均作无效处理。</w:t>
      </w:r>
    </w:p>
    <w:p w14:paraId="18DBF64E">
      <w:pPr>
        <w:ind w:firstLine="420" w:firstLineChars="200"/>
        <w:rPr>
          <w:rFonts w:hint="eastAsia" w:ascii="宋体" w:hAnsi="宋体"/>
          <w:szCs w:val="21"/>
          <w:highlight w:val="none"/>
        </w:rPr>
      </w:pPr>
      <w:r>
        <w:rPr>
          <w:rFonts w:ascii="宋体" w:hAnsi="宋体"/>
          <w:szCs w:val="21"/>
          <w:highlight w:val="none"/>
        </w:rPr>
        <w:t>9</w:t>
      </w:r>
      <w:r>
        <w:rPr>
          <w:rFonts w:hint="eastAsia" w:ascii="宋体" w:hAnsi="宋体"/>
          <w:szCs w:val="21"/>
          <w:highlight w:val="none"/>
        </w:rPr>
        <w:t>.</w:t>
      </w:r>
      <w:r>
        <w:rPr>
          <w:rFonts w:ascii="宋体" w:hAnsi="宋体"/>
          <w:szCs w:val="21"/>
          <w:highlight w:val="none"/>
        </w:rPr>
        <w:t>5</w:t>
      </w:r>
      <w:r>
        <w:rPr>
          <w:rFonts w:hint="eastAsia" w:ascii="宋体" w:hAnsi="宋体"/>
          <w:szCs w:val="21"/>
          <w:highlight w:val="none"/>
        </w:rPr>
        <w:t>未参与踏勘现场不作为否定投标人资格的理由。</w:t>
      </w:r>
    </w:p>
    <w:p w14:paraId="00B4AA29">
      <w:pPr>
        <w:ind w:firstLine="420" w:firstLineChars="200"/>
        <w:rPr>
          <w:rFonts w:hint="eastAsia" w:ascii="宋体" w:hAnsi="宋体"/>
          <w:szCs w:val="21"/>
          <w:highlight w:val="none"/>
        </w:rPr>
      </w:pPr>
      <w:r>
        <w:rPr>
          <w:rFonts w:hint="eastAsia" w:ascii="黑体" w:hAnsi="宋体" w:eastAsia="黑体"/>
          <w:szCs w:val="21"/>
          <w:highlight w:val="none"/>
        </w:rPr>
        <w:t>1</w:t>
      </w:r>
      <w:r>
        <w:rPr>
          <w:rFonts w:ascii="黑体" w:hAnsi="宋体" w:eastAsia="黑体"/>
          <w:szCs w:val="21"/>
          <w:highlight w:val="none"/>
        </w:rPr>
        <w:t>0</w:t>
      </w:r>
      <w:r>
        <w:rPr>
          <w:rFonts w:hint="eastAsia" w:ascii="黑体" w:hAnsi="宋体" w:eastAsia="黑体"/>
          <w:szCs w:val="21"/>
          <w:highlight w:val="none"/>
        </w:rPr>
        <w:t>．标前会议</w:t>
      </w:r>
    </w:p>
    <w:p w14:paraId="7E35B0A6">
      <w:pPr>
        <w:ind w:firstLine="420" w:firstLineChars="200"/>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0</w:t>
      </w:r>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rPr>
        <w:t>如采购人或</w:t>
      </w:r>
      <w:r>
        <w:rPr>
          <w:rFonts w:hint="eastAsia" w:ascii="宋体" w:hAnsi="宋体"/>
          <w:szCs w:val="21"/>
          <w:highlight w:val="none"/>
          <w:lang w:eastAsia="zh-CN"/>
        </w:rPr>
        <w:t>代理机构</w:t>
      </w:r>
      <w:r>
        <w:rPr>
          <w:rFonts w:hint="eastAsia" w:ascii="宋体" w:hAnsi="宋体"/>
          <w:szCs w:val="21"/>
          <w:highlight w:val="none"/>
        </w:rPr>
        <w:t>认为有必要组织标前会议，投标人应按照招标文件规定的时间或</w:t>
      </w:r>
      <w:r>
        <w:rPr>
          <w:rFonts w:hint="eastAsia" w:ascii="宋体" w:hAnsi="宋体"/>
          <w:szCs w:val="21"/>
          <w:highlight w:val="none"/>
          <w:lang w:eastAsia="zh-CN"/>
        </w:rPr>
        <w:t>代理机构</w:t>
      </w:r>
      <w:r>
        <w:rPr>
          <w:rFonts w:hint="eastAsia" w:ascii="宋体" w:hAnsi="宋体"/>
          <w:szCs w:val="21"/>
          <w:highlight w:val="none"/>
        </w:rPr>
        <w:t>另行书面通知（包括</w:t>
      </w:r>
      <w:r>
        <w:rPr>
          <w:rFonts w:hint="eastAsia" w:ascii="宋体" w:hAnsi="宋体"/>
          <w:szCs w:val="21"/>
          <w:highlight w:val="none"/>
          <w:lang w:eastAsia="zh-CN"/>
        </w:rPr>
        <w:t>代理机构</w:t>
      </w:r>
      <w:r>
        <w:rPr>
          <w:rFonts w:hint="eastAsia" w:ascii="宋体" w:hAnsi="宋体"/>
          <w:szCs w:val="21"/>
          <w:highlight w:val="none"/>
        </w:rPr>
        <w:t>网站发布方式，如更正公告等）的时间和地点，参与标前会议。</w:t>
      </w:r>
    </w:p>
    <w:p w14:paraId="16617911">
      <w:pPr>
        <w:ind w:firstLine="420" w:firstLineChars="200"/>
        <w:rPr>
          <w:rFonts w:hint="eastAsia" w:ascii="宋体" w:hAnsi="宋体"/>
          <w:szCs w:val="21"/>
          <w:highlight w:val="none"/>
        </w:rPr>
      </w:pPr>
      <w:r>
        <w:rPr>
          <w:rFonts w:ascii="宋体" w:hAnsi="宋体"/>
          <w:szCs w:val="21"/>
          <w:highlight w:val="none"/>
        </w:rPr>
        <w:t>10</w:t>
      </w:r>
      <w:r>
        <w:rPr>
          <w:rFonts w:hint="eastAsia" w:ascii="宋体" w:hAnsi="宋体"/>
          <w:szCs w:val="21"/>
          <w:highlight w:val="none"/>
        </w:rPr>
        <w:t>.</w:t>
      </w:r>
      <w:r>
        <w:rPr>
          <w:rFonts w:ascii="宋体" w:hAnsi="宋体"/>
          <w:szCs w:val="21"/>
          <w:highlight w:val="none"/>
        </w:rPr>
        <w:t>2</w:t>
      </w:r>
      <w:r>
        <w:rPr>
          <w:rFonts w:hint="eastAsia" w:ascii="宋体" w:hAnsi="宋体"/>
          <w:szCs w:val="21"/>
          <w:highlight w:val="none"/>
        </w:rPr>
        <w:t>任何人或任何组织在标前会议时向投标人提供的任何书面资料或口头承诺，未经</w:t>
      </w:r>
      <w:r>
        <w:rPr>
          <w:rFonts w:hint="eastAsia" w:ascii="宋体" w:hAnsi="宋体"/>
          <w:szCs w:val="21"/>
          <w:highlight w:val="none"/>
          <w:lang w:eastAsia="zh-CN"/>
        </w:rPr>
        <w:t>代理机构</w:t>
      </w:r>
      <w:r>
        <w:rPr>
          <w:rFonts w:hint="eastAsia" w:ascii="宋体" w:hAnsi="宋体"/>
          <w:szCs w:val="21"/>
          <w:highlight w:val="none"/>
        </w:rPr>
        <w:t>在网上发布或书面通知，均作无效处理。</w:t>
      </w:r>
    </w:p>
    <w:p w14:paraId="3B8F30DC">
      <w:pPr>
        <w:ind w:firstLine="420" w:firstLineChars="200"/>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0</w:t>
      </w:r>
      <w:r>
        <w:rPr>
          <w:rFonts w:hint="eastAsia" w:ascii="宋体" w:hAnsi="宋体"/>
          <w:szCs w:val="21"/>
          <w:highlight w:val="none"/>
        </w:rPr>
        <w:t>.</w:t>
      </w:r>
      <w:r>
        <w:rPr>
          <w:rFonts w:ascii="宋体" w:hAnsi="宋体"/>
          <w:szCs w:val="21"/>
          <w:highlight w:val="none"/>
        </w:rPr>
        <w:t>3</w:t>
      </w:r>
      <w:r>
        <w:rPr>
          <w:rFonts w:hint="eastAsia" w:ascii="宋体" w:hAnsi="宋体"/>
          <w:szCs w:val="21"/>
          <w:highlight w:val="none"/>
        </w:rPr>
        <w:t>未参与标前会议不作为否定投标人资格的理由。</w:t>
      </w:r>
    </w:p>
    <w:bookmarkEnd w:id="60"/>
    <w:p w14:paraId="0166BF03">
      <w:pPr>
        <w:ind w:firstLine="411" w:firstLineChars="196"/>
        <w:rPr>
          <w:rFonts w:hint="eastAsia" w:ascii="宋体" w:hAnsi="宋体"/>
          <w:highlight w:val="none"/>
        </w:rPr>
      </w:pPr>
    </w:p>
    <w:p w14:paraId="32D6A280">
      <w:pPr>
        <w:pStyle w:val="7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highlight w:val="none"/>
        </w:rPr>
      </w:pPr>
      <w:r>
        <w:rPr>
          <w:rFonts w:hint="eastAsia" w:asciiTheme="majorHAnsi" w:hAnsiTheme="majorHAnsi" w:eastAsiaTheme="majorEastAsia" w:cstheme="majorBidi"/>
          <w:b/>
          <w:bCs/>
          <w:sz w:val="28"/>
          <w:szCs w:val="28"/>
          <w:highlight w:val="none"/>
        </w:rPr>
        <w:t>招标文件</w:t>
      </w:r>
    </w:p>
    <w:p w14:paraId="6B28A367">
      <w:pPr>
        <w:ind w:firstLine="420" w:firstLineChars="200"/>
        <w:rPr>
          <w:rFonts w:hint="eastAsia" w:ascii="黑体" w:hAnsi="宋体" w:eastAsia="黑体"/>
          <w:szCs w:val="21"/>
          <w:highlight w:val="none"/>
        </w:rPr>
      </w:pPr>
      <w:r>
        <w:rPr>
          <w:rFonts w:hint="eastAsia" w:ascii="黑体" w:hAnsi="宋体" w:eastAsia="黑体"/>
          <w:szCs w:val="21"/>
          <w:highlight w:val="none"/>
        </w:rPr>
        <w:t>1</w:t>
      </w:r>
      <w:r>
        <w:rPr>
          <w:rFonts w:ascii="黑体" w:hAnsi="宋体" w:eastAsia="黑体"/>
          <w:szCs w:val="21"/>
          <w:highlight w:val="none"/>
        </w:rPr>
        <w:t>1</w:t>
      </w:r>
      <w:r>
        <w:rPr>
          <w:rFonts w:hint="eastAsia" w:ascii="黑体" w:hAnsi="宋体" w:eastAsia="黑体"/>
          <w:szCs w:val="21"/>
          <w:highlight w:val="none"/>
        </w:rPr>
        <w:t>．</w:t>
      </w:r>
      <w:bookmarkStart w:id="62" w:name="_Hlk72399819"/>
      <w:r>
        <w:rPr>
          <w:rFonts w:hint="eastAsia" w:ascii="黑体" w:hAnsi="宋体" w:eastAsia="黑体"/>
          <w:szCs w:val="21"/>
          <w:highlight w:val="none"/>
        </w:rPr>
        <w:t>招标文件的编制与组成</w:t>
      </w:r>
    </w:p>
    <w:p w14:paraId="290A186F">
      <w:pPr>
        <w:snapToGrid w:val="0"/>
        <w:ind w:firstLine="420" w:firstLineChars="200"/>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.1招标文件除以下内容外，</w:t>
      </w:r>
      <w:r>
        <w:rPr>
          <w:rFonts w:hint="eastAsia" w:ascii="宋体" w:hAnsi="宋体"/>
          <w:szCs w:val="21"/>
          <w:highlight w:val="none"/>
          <w:lang w:eastAsia="zh-CN"/>
        </w:rPr>
        <w:t>代理机构</w:t>
      </w:r>
      <w:r>
        <w:rPr>
          <w:rFonts w:hint="eastAsia" w:ascii="宋体" w:hAnsi="宋体"/>
          <w:szCs w:val="21"/>
          <w:highlight w:val="none"/>
        </w:rPr>
        <w:t>在招标期间发出的澄清或修改等相关公告或通知内容，均是招标文件的组成部分，对投标人起约束作用；</w:t>
      </w:r>
    </w:p>
    <w:p w14:paraId="4EED0FB6">
      <w:pPr>
        <w:ind w:firstLine="420" w:firstLineChars="200"/>
        <w:rPr>
          <w:rFonts w:hint="eastAsia" w:ascii="宋体" w:hAnsi="宋体"/>
          <w:szCs w:val="21"/>
          <w:highlight w:val="none"/>
        </w:rPr>
      </w:pPr>
      <w:r>
        <w:rPr>
          <w:rFonts w:hint="eastAsia" w:ascii="宋体" w:hAnsi="宋体"/>
          <w:szCs w:val="21"/>
          <w:highlight w:val="none"/>
        </w:rPr>
        <w:t>招标文件包括下列内容：</w:t>
      </w:r>
    </w:p>
    <w:p w14:paraId="7D199380">
      <w:pPr>
        <w:ind w:firstLine="422" w:firstLineChars="200"/>
        <w:rPr>
          <w:rFonts w:hint="eastAsia" w:ascii="宋体" w:hAnsi="宋体"/>
          <w:b/>
          <w:szCs w:val="21"/>
          <w:highlight w:val="none"/>
        </w:rPr>
      </w:pPr>
      <w:r>
        <w:rPr>
          <w:rFonts w:hint="eastAsia" w:ascii="宋体" w:hAnsi="宋体"/>
          <w:b/>
          <w:szCs w:val="21"/>
          <w:highlight w:val="none"/>
        </w:rPr>
        <w:t>第一册  专用条款</w:t>
      </w:r>
    </w:p>
    <w:p w14:paraId="4E555594">
      <w:pPr>
        <w:ind w:firstLine="422" w:firstLineChars="200"/>
        <w:rPr>
          <w:rFonts w:hint="eastAsia" w:ascii="宋体" w:hAnsi="宋体"/>
          <w:b/>
          <w:szCs w:val="21"/>
          <w:highlight w:val="none"/>
        </w:rPr>
      </w:pPr>
      <w:r>
        <w:rPr>
          <w:rFonts w:hint="eastAsia" w:ascii="宋体" w:hAnsi="宋体"/>
          <w:b/>
          <w:szCs w:val="21"/>
          <w:highlight w:val="none"/>
        </w:rPr>
        <w:t>关键信息</w:t>
      </w:r>
    </w:p>
    <w:p w14:paraId="1BEC7FD6">
      <w:pPr>
        <w:ind w:firstLine="420" w:firstLineChars="200"/>
        <w:rPr>
          <w:rFonts w:hint="eastAsia" w:ascii="宋体" w:hAnsi="宋体"/>
          <w:szCs w:val="21"/>
          <w:highlight w:val="none"/>
        </w:rPr>
      </w:pPr>
      <w:r>
        <w:rPr>
          <w:rFonts w:hint="eastAsia" w:ascii="宋体" w:hAnsi="宋体"/>
          <w:szCs w:val="21"/>
          <w:highlight w:val="none"/>
        </w:rPr>
        <w:t>第一章  招标公告</w:t>
      </w:r>
    </w:p>
    <w:p w14:paraId="66C8824F">
      <w:pPr>
        <w:ind w:firstLine="420" w:firstLineChars="200"/>
        <w:rPr>
          <w:rFonts w:hint="eastAsia" w:ascii="宋体" w:hAnsi="宋体"/>
          <w:szCs w:val="21"/>
          <w:highlight w:val="none"/>
        </w:rPr>
      </w:pPr>
      <w:r>
        <w:rPr>
          <w:rFonts w:hint="eastAsia" w:ascii="宋体" w:hAnsi="宋体"/>
          <w:szCs w:val="21"/>
          <w:highlight w:val="none"/>
        </w:rPr>
        <w:t>第二章  对通用条款的补充内容及其他关键信息</w:t>
      </w:r>
    </w:p>
    <w:p w14:paraId="7CD10FF4">
      <w:pPr>
        <w:ind w:firstLine="420" w:firstLineChars="200"/>
        <w:rPr>
          <w:rFonts w:hint="eastAsia" w:ascii="宋体" w:hAnsi="宋体"/>
          <w:szCs w:val="21"/>
          <w:highlight w:val="none"/>
        </w:rPr>
      </w:pPr>
      <w:r>
        <w:rPr>
          <w:rFonts w:hint="eastAsia" w:ascii="宋体" w:hAnsi="宋体"/>
          <w:szCs w:val="21"/>
          <w:highlight w:val="none"/>
        </w:rPr>
        <w:t>第三章  用户需求书</w:t>
      </w:r>
    </w:p>
    <w:p w14:paraId="2D89ABF1">
      <w:pPr>
        <w:ind w:firstLine="420" w:firstLineChars="200"/>
        <w:rPr>
          <w:rFonts w:hint="eastAsia" w:ascii="宋体" w:hAnsi="宋体"/>
          <w:szCs w:val="21"/>
          <w:highlight w:val="none"/>
        </w:rPr>
      </w:pPr>
      <w:r>
        <w:rPr>
          <w:rFonts w:hint="eastAsia"/>
          <w:szCs w:val="21"/>
          <w:highlight w:val="none"/>
        </w:rPr>
        <w:t xml:space="preserve">第四章 </w:t>
      </w:r>
      <w:r>
        <w:rPr>
          <w:szCs w:val="21"/>
          <w:highlight w:val="none"/>
        </w:rPr>
        <w:t xml:space="preserve"> </w:t>
      </w:r>
      <w:r>
        <w:rPr>
          <w:rFonts w:hint="eastAsia"/>
          <w:szCs w:val="21"/>
          <w:highlight w:val="none"/>
        </w:rPr>
        <w:t>投标文件格式及附件</w:t>
      </w:r>
    </w:p>
    <w:p w14:paraId="42D571F9">
      <w:pPr>
        <w:ind w:firstLine="420" w:firstLineChars="200"/>
        <w:rPr>
          <w:rFonts w:hint="eastAsia" w:ascii="宋体" w:hAnsi="宋体"/>
          <w:szCs w:val="21"/>
          <w:highlight w:val="none"/>
        </w:rPr>
      </w:pPr>
      <w:r>
        <w:rPr>
          <w:rFonts w:hint="eastAsia" w:ascii="宋体" w:hAnsi="宋体"/>
          <w:szCs w:val="21"/>
          <w:highlight w:val="none"/>
        </w:rPr>
        <w:t>第五章  合同条款及格式</w:t>
      </w:r>
    </w:p>
    <w:p w14:paraId="19143204">
      <w:pPr>
        <w:ind w:firstLine="422" w:firstLineChars="200"/>
        <w:rPr>
          <w:rFonts w:hint="eastAsia" w:ascii="宋体" w:hAnsi="宋体"/>
          <w:b/>
          <w:szCs w:val="21"/>
          <w:highlight w:val="none"/>
        </w:rPr>
      </w:pPr>
      <w:r>
        <w:rPr>
          <w:rFonts w:hint="eastAsia" w:ascii="宋体" w:hAnsi="宋体"/>
          <w:b/>
          <w:szCs w:val="21"/>
          <w:highlight w:val="none"/>
        </w:rPr>
        <w:t>第二册  通用条款</w:t>
      </w:r>
    </w:p>
    <w:p w14:paraId="2780EBD2">
      <w:pPr>
        <w:ind w:firstLine="420" w:firstLineChars="200"/>
        <w:rPr>
          <w:rFonts w:hint="eastAsia" w:ascii="宋体" w:hAnsi="宋体"/>
          <w:szCs w:val="21"/>
          <w:highlight w:val="none"/>
        </w:rPr>
      </w:pPr>
      <w:r>
        <w:rPr>
          <w:rFonts w:hint="eastAsia" w:ascii="宋体" w:hAnsi="宋体"/>
          <w:szCs w:val="21"/>
          <w:highlight w:val="none"/>
        </w:rPr>
        <w:t>第一章  总则</w:t>
      </w:r>
    </w:p>
    <w:p w14:paraId="5EDE1FE8">
      <w:pPr>
        <w:ind w:firstLine="420" w:firstLineChars="200"/>
        <w:rPr>
          <w:rFonts w:hint="eastAsia" w:ascii="宋体" w:hAnsi="宋体"/>
          <w:szCs w:val="21"/>
          <w:highlight w:val="none"/>
        </w:rPr>
      </w:pPr>
      <w:r>
        <w:rPr>
          <w:rFonts w:hint="eastAsia" w:ascii="宋体" w:hAnsi="宋体"/>
          <w:szCs w:val="21"/>
          <w:highlight w:val="none"/>
        </w:rPr>
        <w:t>第二章  招标文件</w:t>
      </w:r>
    </w:p>
    <w:p w14:paraId="69EADD83">
      <w:pPr>
        <w:ind w:firstLine="420" w:firstLineChars="200"/>
        <w:rPr>
          <w:rFonts w:hint="eastAsia" w:ascii="宋体" w:hAnsi="宋体"/>
          <w:szCs w:val="21"/>
          <w:highlight w:val="none"/>
        </w:rPr>
      </w:pPr>
      <w:r>
        <w:rPr>
          <w:rFonts w:hint="eastAsia" w:ascii="宋体" w:hAnsi="宋体"/>
          <w:szCs w:val="21"/>
          <w:highlight w:val="none"/>
        </w:rPr>
        <w:t>第三章  投标文件的编制</w:t>
      </w:r>
    </w:p>
    <w:p w14:paraId="35F5BFF3">
      <w:pPr>
        <w:ind w:firstLine="420" w:firstLineChars="200"/>
        <w:rPr>
          <w:rFonts w:hint="eastAsia" w:ascii="宋体" w:hAnsi="宋体"/>
          <w:szCs w:val="21"/>
          <w:highlight w:val="none"/>
        </w:rPr>
      </w:pPr>
      <w:r>
        <w:rPr>
          <w:rFonts w:hint="eastAsia" w:ascii="宋体" w:hAnsi="宋体"/>
          <w:szCs w:val="21"/>
          <w:highlight w:val="none"/>
        </w:rPr>
        <w:t>第四章  投标文件的递交</w:t>
      </w:r>
    </w:p>
    <w:p w14:paraId="4D16C9E8">
      <w:pPr>
        <w:ind w:firstLine="420" w:firstLineChars="200"/>
        <w:rPr>
          <w:rFonts w:hint="eastAsia" w:ascii="宋体" w:hAnsi="宋体"/>
          <w:szCs w:val="21"/>
          <w:highlight w:val="none"/>
        </w:rPr>
      </w:pPr>
      <w:r>
        <w:rPr>
          <w:rFonts w:hint="eastAsia" w:ascii="宋体" w:hAnsi="宋体"/>
          <w:szCs w:val="21"/>
          <w:highlight w:val="none"/>
        </w:rPr>
        <w:t>第五章  开标</w:t>
      </w:r>
    </w:p>
    <w:p w14:paraId="32AE9822">
      <w:pPr>
        <w:ind w:firstLine="420" w:firstLineChars="200"/>
        <w:rPr>
          <w:rFonts w:hint="eastAsia" w:ascii="宋体" w:hAnsi="宋体"/>
          <w:szCs w:val="21"/>
          <w:highlight w:val="none"/>
        </w:rPr>
      </w:pPr>
      <w:r>
        <w:rPr>
          <w:rFonts w:hint="eastAsia" w:ascii="宋体" w:hAnsi="宋体"/>
          <w:szCs w:val="21"/>
          <w:highlight w:val="none"/>
        </w:rPr>
        <w:t>第六章  评审要求</w:t>
      </w:r>
    </w:p>
    <w:p w14:paraId="6EF470F7">
      <w:pPr>
        <w:ind w:firstLine="420" w:firstLineChars="200"/>
        <w:rPr>
          <w:rFonts w:hint="eastAsia" w:ascii="宋体" w:hAnsi="宋体"/>
          <w:szCs w:val="21"/>
          <w:highlight w:val="none"/>
        </w:rPr>
      </w:pPr>
      <w:r>
        <w:rPr>
          <w:rFonts w:hint="eastAsia" w:ascii="宋体" w:hAnsi="宋体"/>
          <w:szCs w:val="21"/>
          <w:highlight w:val="none"/>
        </w:rPr>
        <w:t>第七章  评审程序及评审方法</w:t>
      </w:r>
    </w:p>
    <w:p w14:paraId="065F70BD">
      <w:pPr>
        <w:ind w:firstLine="420" w:firstLineChars="200"/>
        <w:rPr>
          <w:rFonts w:hint="eastAsia" w:ascii="宋体" w:hAnsi="宋体"/>
          <w:szCs w:val="21"/>
          <w:highlight w:val="none"/>
        </w:rPr>
      </w:pPr>
      <w:r>
        <w:rPr>
          <w:rFonts w:hint="eastAsia" w:ascii="宋体" w:hAnsi="宋体"/>
          <w:szCs w:val="21"/>
          <w:highlight w:val="none"/>
        </w:rPr>
        <w:t>第八章  定标及公示</w:t>
      </w:r>
    </w:p>
    <w:p w14:paraId="38639D65">
      <w:pPr>
        <w:ind w:firstLine="420" w:firstLineChars="200"/>
        <w:rPr>
          <w:rFonts w:hint="eastAsia" w:ascii="宋体" w:hAnsi="宋体"/>
          <w:szCs w:val="21"/>
          <w:highlight w:val="none"/>
        </w:rPr>
      </w:pPr>
      <w:r>
        <w:rPr>
          <w:rFonts w:hint="eastAsia" w:ascii="宋体" w:hAnsi="宋体"/>
          <w:szCs w:val="21"/>
          <w:highlight w:val="none"/>
        </w:rPr>
        <w:t>第九章  公开招标失败的后续处理</w:t>
      </w:r>
    </w:p>
    <w:p w14:paraId="1F2F0D37">
      <w:pPr>
        <w:ind w:firstLine="420" w:firstLineChars="200"/>
        <w:rPr>
          <w:rFonts w:hint="eastAsia" w:ascii="宋体" w:hAnsi="宋体"/>
          <w:szCs w:val="21"/>
          <w:highlight w:val="none"/>
        </w:rPr>
      </w:pPr>
      <w:r>
        <w:rPr>
          <w:rFonts w:hint="eastAsia" w:ascii="宋体" w:hAnsi="宋体"/>
          <w:szCs w:val="21"/>
          <w:highlight w:val="none"/>
        </w:rPr>
        <w:t>第十章  合同的授予与备案</w:t>
      </w:r>
    </w:p>
    <w:p w14:paraId="15ADB407">
      <w:pPr>
        <w:ind w:firstLine="420" w:firstLineChars="200"/>
        <w:rPr>
          <w:rFonts w:hint="eastAsia" w:ascii="宋体" w:hAnsi="宋体"/>
          <w:szCs w:val="21"/>
          <w:highlight w:val="none"/>
        </w:rPr>
      </w:pPr>
      <w:r>
        <w:rPr>
          <w:rFonts w:hint="eastAsia" w:ascii="宋体" w:hAnsi="宋体"/>
          <w:szCs w:val="21"/>
          <w:highlight w:val="none"/>
        </w:rPr>
        <w:t>第十一章  质疑处理</w:t>
      </w:r>
    </w:p>
    <w:p w14:paraId="2B2C2084">
      <w:pPr>
        <w:ind w:firstLine="420" w:firstLineChars="200"/>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.2 投标人下载招标文件后，应仔细检查招标文件的所有内容，如有疑问应在答疑截止时间之前向</w:t>
      </w:r>
      <w:r>
        <w:rPr>
          <w:rFonts w:hint="eastAsia" w:ascii="宋体" w:hAnsi="宋体"/>
          <w:szCs w:val="21"/>
          <w:highlight w:val="none"/>
          <w:lang w:eastAsia="zh-CN"/>
        </w:rPr>
        <w:t>代理机构</w:t>
      </w:r>
      <w:r>
        <w:rPr>
          <w:rFonts w:hint="eastAsia" w:ascii="宋体" w:hAnsi="宋体"/>
          <w:szCs w:val="21"/>
          <w:highlight w:val="none"/>
        </w:rPr>
        <w:t>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4010AEA0">
      <w:pPr>
        <w:ind w:firstLine="420" w:firstLineChars="200"/>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.3任何人或任何组织向投标人提交的任何书面或口头资料，未经</w:t>
      </w:r>
      <w:r>
        <w:rPr>
          <w:rFonts w:hint="eastAsia" w:ascii="宋体" w:hAnsi="宋体"/>
          <w:szCs w:val="21"/>
          <w:highlight w:val="none"/>
          <w:lang w:eastAsia="zh-CN"/>
        </w:rPr>
        <w:t>代理机构</w:t>
      </w:r>
      <w:r>
        <w:rPr>
          <w:rFonts w:hint="eastAsia" w:ascii="宋体" w:hAnsi="宋体"/>
          <w:szCs w:val="21"/>
          <w:highlight w:val="none"/>
        </w:rPr>
        <w:t>在网上发布或书面通知，均作无效处理，不得作为招标文件的组成部分。</w:t>
      </w:r>
      <w:r>
        <w:rPr>
          <w:rFonts w:hint="eastAsia" w:ascii="宋体" w:hAnsi="宋体"/>
          <w:szCs w:val="21"/>
          <w:highlight w:val="none"/>
          <w:lang w:eastAsia="zh-CN"/>
        </w:rPr>
        <w:t>代理机构</w:t>
      </w:r>
      <w:r>
        <w:rPr>
          <w:rFonts w:hint="eastAsia" w:ascii="宋体" w:hAnsi="宋体"/>
          <w:szCs w:val="21"/>
          <w:highlight w:val="none"/>
        </w:rPr>
        <w:t>对投标人由此而做出的推论、理解和结论概不负责。</w:t>
      </w:r>
    </w:p>
    <w:p w14:paraId="658148A3">
      <w:pPr>
        <w:ind w:firstLine="420" w:firstLineChars="200"/>
        <w:rPr>
          <w:rFonts w:hint="eastAsia" w:ascii="黑体" w:hAnsi="宋体" w:eastAsia="黑体"/>
          <w:szCs w:val="21"/>
          <w:highlight w:val="none"/>
        </w:rPr>
      </w:pPr>
      <w:r>
        <w:rPr>
          <w:rFonts w:hint="eastAsia" w:ascii="黑体" w:hAnsi="宋体" w:eastAsia="黑体"/>
          <w:szCs w:val="21"/>
          <w:highlight w:val="none"/>
        </w:rPr>
        <w:t>1</w:t>
      </w:r>
      <w:r>
        <w:rPr>
          <w:rFonts w:ascii="黑体" w:hAnsi="宋体" w:eastAsia="黑体"/>
          <w:szCs w:val="21"/>
          <w:highlight w:val="none"/>
        </w:rPr>
        <w:t>2</w:t>
      </w:r>
      <w:r>
        <w:rPr>
          <w:rFonts w:hint="eastAsia" w:ascii="黑体" w:hAnsi="宋体" w:eastAsia="黑体"/>
          <w:szCs w:val="21"/>
          <w:highlight w:val="none"/>
        </w:rPr>
        <w:t>．招标文件的澄清</w:t>
      </w:r>
    </w:p>
    <w:p w14:paraId="0CC21536">
      <w:pPr>
        <w:ind w:firstLine="420" w:firstLineChars="200"/>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.1招标文件澄清的目的是澄清、解答投标人在查阅招标文件后或现场踏勘中可能提出的与投标有关的疑问或询问。</w:t>
      </w:r>
    </w:p>
    <w:p w14:paraId="7953FD17">
      <w:pPr>
        <w:ind w:firstLine="420" w:firstLineChars="200"/>
        <w:rPr>
          <w:rFonts w:hint="eastAsia" w:ascii="宋体" w:hAnsi="宋体"/>
          <w:color w:val="FF0000"/>
          <w:szCs w:val="21"/>
          <w:highlight w:val="none"/>
        </w:rPr>
      </w:pPr>
      <w:r>
        <w:rPr>
          <w:rFonts w:hint="eastAsia" w:ascii="宋体" w:hAnsi="宋体"/>
          <w:color w:val="FF0000"/>
          <w:szCs w:val="21"/>
          <w:highlight w:val="none"/>
        </w:rPr>
        <w:t>1</w:t>
      </w:r>
      <w:r>
        <w:rPr>
          <w:rFonts w:ascii="宋体" w:hAnsi="宋体"/>
          <w:color w:val="FF0000"/>
          <w:szCs w:val="21"/>
          <w:highlight w:val="none"/>
        </w:rPr>
        <w:t>2</w:t>
      </w:r>
      <w:r>
        <w:rPr>
          <w:rFonts w:hint="eastAsia" w:ascii="宋体" w:hAnsi="宋体"/>
          <w:color w:val="FF0000"/>
          <w:szCs w:val="21"/>
          <w:highlight w:val="none"/>
        </w:rPr>
        <w:t>.2投标人如对招标文件内容有疑问，应当在招标公告规定的澄清（提问）截止时间前将疑问内容加盖公章书面提交至</w:t>
      </w:r>
      <w:r>
        <w:rPr>
          <w:rFonts w:hint="eastAsia" w:ascii="宋体" w:hAnsi="宋体"/>
          <w:color w:val="FF0000"/>
          <w:szCs w:val="21"/>
          <w:highlight w:val="none"/>
          <w:lang w:eastAsia="zh-CN"/>
        </w:rPr>
        <w:t>代理机构</w:t>
      </w:r>
      <w:r>
        <w:rPr>
          <w:rFonts w:hint="eastAsia" w:ascii="宋体" w:hAnsi="宋体"/>
          <w:color w:val="FF0000"/>
          <w:szCs w:val="21"/>
          <w:highlight w:val="none"/>
        </w:rPr>
        <w:t>。</w:t>
      </w:r>
    </w:p>
    <w:p w14:paraId="436A46AC">
      <w:pPr>
        <w:ind w:firstLine="420" w:firstLineChars="200"/>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.3不论是</w:t>
      </w:r>
      <w:r>
        <w:rPr>
          <w:rFonts w:hint="eastAsia" w:ascii="宋体" w:hAnsi="宋体"/>
          <w:szCs w:val="21"/>
          <w:highlight w:val="none"/>
          <w:lang w:eastAsia="zh-CN"/>
        </w:rPr>
        <w:t>代理机构</w:t>
      </w:r>
      <w:r>
        <w:rPr>
          <w:rFonts w:hint="eastAsia" w:ascii="宋体" w:hAnsi="宋体"/>
          <w:szCs w:val="21"/>
          <w:highlight w:val="none"/>
        </w:rPr>
        <w:t>根据需要主动对招标文件进行必要的澄清或是根据投标人的要求对招标文件做出澄清，</w:t>
      </w:r>
      <w:r>
        <w:rPr>
          <w:rFonts w:hint="eastAsia" w:ascii="宋体" w:hAnsi="宋体"/>
          <w:szCs w:val="21"/>
          <w:highlight w:val="none"/>
          <w:lang w:eastAsia="zh-CN"/>
        </w:rPr>
        <w:t>代理机构</w:t>
      </w:r>
      <w:r>
        <w:rPr>
          <w:rFonts w:hint="eastAsia" w:ascii="宋体" w:hAnsi="宋体"/>
          <w:szCs w:val="21"/>
          <w:highlight w:val="none"/>
        </w:rPr>
        <w:t>都将在投标截止日期前以书面形式（包括</w:t>
      </w:r>
      <w:r>
        <w:rPr>
          <w:rFonts w:hint="eastAsia" w:ascii="宋体" w:hAnsi="宋体"/>
          <w:szCs w:val="21"/>
          <w:highlight w:val="none"/>
          <w:lang w:eastAsia="zh-CN"/>
        </w:rPr>
        <w:t>代理机构</w:t>
      </w:r>
      <w:r>
        <w:rPr>
          <w:rFonts w:hint="eastAsia" w:ascii="宋体" w:hAnsi="宋体"/>
          <w:szCs w:val="21"/>
          <w:highlight w:val="none"/>
        </w:rPr>
        <w:t>网站发布方式）答复或发送给所有投标人。答复内容是招标文件的组成部分，对投标人起约束作用，其有效性按照本通用条款第1</w:t>
      </w:r>
      <w:r>
        <w:rPr>
          <w:rFonts w:ascii="宋体" w:hAnsi="宋体"/>
          <w:szCs w:val="21"/>
          <w:highlight w:val="none"/>
        </w:rPr>
        <w:t>3.3</w:t>
      </w:r>
      <w:r>
        <w:rPr>
          <w:rFonts w:hint="eastAsia" w:ascii="宋体" w:hAnsi="宋体"/>
          <w:szCs w:val="21"/>
          <w:highlight w:val="none"/>
        </w:rPr>
        <w:t>、1</w:t>
      </w:r>
      <w:r>
        <w:rPr>
          <w:rFonts w:ascii="宋体" w:hAnsi="宋体"/>
          <w:szCs w:val="21"/>
          <w:highlight w:val="none"/>
        </w:rPr>
        <w:t>3.4</w:t>
      </w:r>
      <w:r>
        <w:rPr>
          <w:rFonts w:hint="eastAsia" w:ascii="宋体" w:hAnsi="宋体"/>
          <w:szCs w:val="21"/>
          <w:highlight w:val="none"/>
        </w:rPr>
        <w:t>款规定执行。</w:t>
      </w:r>
    </w:p>
    <w:p w14:paraId="093EE5D4">
      <w:pPr>
        <w:ind w:firstLine="420" w:firstLineChars="200"/>
        <w:rPr>
          <w:rFonts w:hint="eastAsia" w:ascii="黑体" w:hAnsi="宋体" w:eastAsia="黑体"/>
          <w:szCs w:val="21"/>
          <w:highlight w:val="none"/>
        </w:rPr>
      </w:pPr>
      <w:r>
        <w:rPr>
          <w:rFonts w:ascii="黑体" w:hAnsi="宋体" w:eastAsia="黑体"/>
          <w:szCs w:val="21"/>
          <w:highlight w:val="none"/>
        </w:rPr>
        <w:t>1</w:t>
      </w:r>
      <w:r>
        <w:rPr>
          <w:rFonts w:hint="eastAsia" w:ascii="黑体" w:hAnsi="宋体" w:eastAsia="黑体"/>
          <w:szCs w:val="21"/>
          <w:highlight w:val="none"/>
        </w:rPr>
        <w:t>3．招标文件的修改</w:t>
      </w:r>
    </w:p>
    <w:p w14:paraId="762378C7">
      <w:pPr>
        <w:ind w:firstLine="420" w:firstLineChars="200"/>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3.1招标文件发出后，在投标截止日期前任何时候，确需要变更招标文件内容的，</w:t>
      </w:r>
      <w:r>
        <w:rPr>
          <w:rFonts w:hint="eastAsia" w:ascii="宋体" w:hAnsi="宋体"/>
          <w:szCs w:val="21"/>
          <w:highlight w:val="none"/>
          <w:lang w:eastAsia="zh-CN"/>
        </w:rPr>
        <w:t>代理机构</w:t>
      </w:r>
      <w:r>
        <w:rPr>
          <w:rFonts w:hint="eastAsia" w:ascii="宋体" w:hAnsi="宋体"/>
          <w:szCs w:val="21"/>
          <w:highlight w:val="none"/>
        </w:rPr>
        <w:t>可主动或在解答投标人提出的澄清问题时对招标文件进行修改。</w:t>
      </w:r>
    </w:p>
    <w:p w14:paraId="763F6566">
      <w:pPr>
        <w:ind w:firstLine="420" w:firstLineChars="200"/>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3.2招标文件的修改以书面形式（包括</w:t>
      </w:r>
      <w:r>
        <w:rPr>
          <w:rFonts w:hint="eastAsia" w:ascii="宋体" w:hAnsi="宋体"/>
          <w:szCs w:val="21"/>
          <w:highlight w:val="none"/>
          <w:lang w:eastAsia="zh-CN"/>
        </w:rPr>
        <w:t>代理机构</w:t>
      </w:r>
      <w:r>
        <w:rPr>
          <w:rFonts w:hint="eastAsia" w:ascii="宋体" w:hAnsi="宋体"/>
          <w:szCs w:val="21"/>
          <w:highlight w:val="none"/>
        </w:rPr>
        <w:t>网站发布方式，如更正公告等）发送给所有投标人，招标文件的修改内容作为招标文件的组成部分，并具有约束力。</w:t>
      </w:r>
    </w:p>
    <w:p w14:paraId="600A20CB">
      <w:pPr>
        <w:ind w:firstLine="420" w:firstLineChars="200"/>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3.3招标文件、招标文件澄清答复内容、招标文件修改补充内容均以书面形式（包括</w:t>
      </w:r>
      <w:r>
        <w:rPr>
          <w:rFonts w:hint="eastAsia" w:ascii="宋体" w:hAnsi="宋体"/>
          <w:szCs w:val="21"/>
          <w:highlight w:val="none"/>
          <w:lang w:eastAsia="zh-CN"/>
        </w:rPr>
        <w:t>代理机构</w:t>
      </w:r>
      <w:r>
        <w:rPr>
          <w:rFonts w:hint="eastAsia" w:ascii="宋体" w:hAnsi="宋体"/>
          <w:szCs w:val="21"/>
          <w:highlight w:val="none"/>
        </w:rPr>
        <w:t>网站公开发布方式，如更正公告等）明确的内容为准。当招标文件、修改补充通知、招标文件澄清答复内容相互矛盾时，以最后发出的内容为准。</w:t>
      </w:r>
    </w:p>
    <w:p w14:paraId="1415C409">
      <w:pPr>
        <w:ind w:firstLine="420" w:firstLineChars="200"/>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3.4</w:t>
      </w:r>
      <w:r>
        <w:rPr>
          <w:rFonts w:hint="eastAsia" w:ascii="宋体" w:hAnsi="宋体"/>
          <w:szCs w:val="21"/>
          <w:highlight w:val="none"/>
          <w:lang w:eastAsia="zh-CN"/>
        </w:rPr>
        <w:t>代理机构</w:t>
      </w:r>
      <w:r>
        <w:rPr>
          <w:rFonts w:hint="eastAsia" w:ascii="宋体" w:hAnsi="宋体"/>
          <w:szCs w:val="21"/>
          <w:highlight w:val="none"/>
        </w:rPr>
        <w:t>保证招标文件澄清答复内容和招标文件修改补充内容在投标截止时间前以书面形式（包括</w:t>
      </w:r>
      <w:r>
        <w:rPr>
          <w:rFonts w:hint="eastAsia" w:ascii="宋体" w:hAnsi="宋体"/>
          <w:szCs w:val="21"/>
          <w:highlight w:val="none"/>
          <w:lang w:eastAsia="zh-CN"/>
        </w:rPr>
        <w:t>代理机构</w:t>
      </w:r>
      <w:r>
        <w:rPr>
          <w:rFonts w:hint="eastAsia" w:ascii="宋体" w:hAnsi="宋体"/>
          <w:szCs w:val="21"/>
          <w:highlight w:val="none"/>
        </w:rPr>
        <w:t>网站发布方式，如更正公告等）发送给所有投标人。为使投标人在编制投标文件时有充分时间对招标文件的修改部分进行研究，</w:t>
      </w:r>
      <w:r>
        <w:rPr>
          <w:rFonts w:hint="eastAsia" w:ascii="宋体" w:hAnsi="宋体"/>
          <w:szCs w:val="21"/>
          <w:highlight w:val="none"/>
          <w:lang w:eastAsia="zh-CN"/>
        </w:rPr>
        <w:t>代理机构</w:t>
      </w:r>
      <w:r>
        <w:rPr>
          <w:rFonts w:hint="eastAsia" w:ascii="宋体" w:hAnsi="宋体"/>
          <w:szCs w:val="21"/>
          <w:highlight w:val="none"/>
        </w:rPr>
        <w:t>可以酌情延长递交投标文件的截止日期。</w:t>
      </w:r>
      <w:bookmarkEnd w:id="62"/>
    </w:p>
    <w:p w14:paraId="2EE3736D">
      <w:pPr>
        <w:rPr>
          <w:rFonts w:hint="eastAsia" w:ascii="宋体" w:hAnsi="宋体"/>
          <w:szCs w:val="21"/>
          <w:highlight w:val="none"/>
        </w:rPr>
      </w:pPr>
    </w:p>
    <w:p w14:paraId="5CB179D8">
      <w:pPr>
        <w:pStyle w:val="7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highlight w:val="none"/>
        </w:rPr>
      </w:pPr>
      <w:r>
        <w:rPr>
          <w:rFonts w:hint="eastAsia" w:asciiTheme="majorHAnsi" w:hAnsiTheme="majorHAnsi" w:eastAsiaTheme="majorEastAsia" w:cstheme="majorBidi"/>
          <w:b/>
          <w:bCs/>
          <w:sz w:val="28"/>
          <w:szCs w:val="28"/>
          <w:highlight w:val="none"/>
        </w:rPr>
        <w:t>投标文件的编制</w:t>
      </w:r>
    </w:p>
    <w:p w14:paraId="1336BB4A">
      <w:pPr>
        <w:ind w:firstLine="420" w:firstLineChars="200"/>
        <w:rPr>
          <w:rFonts w:hint="eastAsia" w:ascii="黑体" w:hAnsi="宋体" w:eastAsia="黑体"/>
          <w:szCs w:val="21"/>
          <w:highlight w:val="none"/>
        </w:rPr>
      </w:pPr>
      <w:r>
        <w:rPr>
          <w:rFonts w:hint="eastAsia" w:ascii="黑体" w:hAnsi="宋体" w:eastAsia="黑体"/>
          <w:szCs w:val="21"/>
          <w:highlight w:val="none"/>
        </w:rPr>
        <w:t>14．</w:t>
      </w:r>
      <w:bookmarkStart w:id="63" w:name="_Hlk72400236"/>
      <w:r>
        <w:rPr>
          <w:rFonts w:hint="eastAsia" w:ascii="黑体" w:hAnsi="宋体" w:eastAsia="黑体"/>
          <w:szCs w:val="21"/>
          <w:highlight w:val="none"/>
        </w:rPr>
        <w:t>投标文件的语言及度量单位</w:t>
      </w:r>
    </w:p>
    <w:p w14:paraId="56FA3EAA">
      <w:pPr>
        <w:ind w:firstLine="420" w:firstLineChars="200"/>
        <w:rPr>
          <w:rFonts w:hint="eastAsia" w:ascii="宋体" w:hAnsi="宋体"/>
          <w:szCs w:val="21"/>
          <w:highlight w:val="none"/>
        </w:rPr>
      </w:pPr>
      <w:r>
        <w:rPr>
          <w:rFonts w:hint="eastAsia" w:ascii="宋体" w:hAnsi="宋体"/>
          <w:szCs w:val="21"/>
          <w:highlight w:val="none"/>
        </w:rPr>
        <w:t>14.1 投标人与</w:t>
      </w:r>
      <w:r>
        <w:rPr>
          <w:rFonts w:hint="eastAsia" w:ascii="宋体" w:hAnsi="宋体"/>
          <w:szCs w:val="21"/>
          <w:highlight w:val="none"/>
          <w:lang w:eastAsia="zh-CN"/>
        </w:rPr>
        <w:t>代理机构</w:t>
      </w:r>
      <w:r>
        <w:rPr>
          <w:rFonts w:hint="eastAsia" w:ascii="宋体" w:hAnsi="宋体"/>
          <w:szCs w:val="21"/>
          <w:highlight w:val="none"/>
        </w:rPr>
        <w:t>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14:paraId="62F68878">
      <w:pPr>
        <w:ind w:firstLine="420" w:firstLineChars="200"/>
        <w:rPr>
          <w:rFonts w:hint="eastAsia" w:ascii="宋体" w:hAnsi="宋体"/>
          <w:szCs w:val="21"/>
          <w:highlight w:val="none"/>
        </w:rPr>
      </w:pPr>
      <w:r>
        <w:rPr>
          <w:rFonts w:hint="eastAsia" w:ascii="宋体" w:hAnsi="宋体"/>
          <w:szCs w:val="21"/>
          <w:highlight w:val="none"/>
        </w:rPr>
        <w:t>14.2 除技术规范另有规定外，投标文件使用的度量单位，均采用中华人民共和国法定计量单位。</w:t>
      </w:r>
    </w:p>
    <w:bookmarkEnd w:id="63"/>
    <w:p w14:paraId="3E8854DB">
      <w:pPr>
        <w:ind w:firstLine="420" w:firstLineChars="200"/>
        <w:rPr>
          <w:rFonts w:hint="eastAsia" w:ascii="黑体" w:hAnsi="宋体" w:eastAsia="黑体"/>
          <w:szCs w:val="21"/>
          <w:highlight w:val="none"/>
        </w:rPr>
      </w:pPr>
      <w:r>
        <w:rPr>
          <w:rFonts w:hint="eastAsia" w:ascii="黑体" w:hAnsi="宋体" w:eastAsia="黑体"/>
          <w:szCs w:val="21"/>
          <w:highlight w:val="none"/>
        </w:rPr>
        <w:t>15．</w:t>
      </w:r>
      <w:bookmarkStart w:id="64" w:name="_Hlk72401567"/>
      <w:r>
        <w:rPr>
          <w:rFonts w:hint="eastAsia" w:ascii="黑体" w:hAnsi="宋体" w:eastAsia="黑体"/>
          <w:szCs w:val="21"/>
          <w:highlight w:val="none"/>
        </w:rPr>
        <w:t>投标文件的组成</w:t>
      </w:r>
    </w:p>
    <w:p w14:paraId="1B0F530A">
      <w:pPr>
        <w:ind w:firstLine="420" w:firstLineChars="200"/>
        <w:rPr>
          <w:rFonts w:hint="eastAsia" w:ascii="宋体" w:hAnsi="宋体"/>
          <w:szCs w:val="21"/>
          <w:highlight w:val="none"/>
        </w:rPr>
      </w:pPr>
      <w:r>
        <w:rPr>
          <w:rFonts w:hint="eastAsia" w:ascii="宋体" w:hAnsi="宋体"/>
          <w:szCs w:val="21"/>
          <w:highlight w:val="none"/>
        </w:rPr>
        <w:t>具体内容在招标文件专用条款中进行规定。</w:t>
      </w:r>
    </w:p>
    <w:p w14:paraId="7141F1BD">
      <w:pPr>
        <w:ind w:firstLine="420" w:firstLineChars="200"/>
        <w:rPr>
          <w:rFonts w:hint="eastAsia" w:ascii="黑体" w:hAnsi="宋体" w:eastAsia="黑体"/>
          <w:szCs w:val="21"/>
          <w:highlight w:val="none"/>
        </w:rPr>
      </w:pPr>
      <w:r>
        <w:rPr>
          <w:rFonts w:ascii="黑体" w:hAnsi="宋体" w:eastAsia="黑体"/>
          <w:szCs w:val="21"/>
          <w:highlight w:val="none"/>
        </w:rPr>
        <w:t>16．投标文件格式</w:t>
      </w:r>
    </w:p>
    <w:p w14:paraId="421C900F">
      <w:pPr>
        <w:ind w:firstLine="420" w:firstLineChars="200"/>
        <w:rPr>
          <w:rFonts w:hint="eastAsia" w:ascii="宋体" w:hAnsi="宋体"/>
          <w:szCs w:val="21"/>
          <w:highlight w:val="none"/>
        </w:rPr>
      </w:pPr>
      <w:r>
        <w:rPr>
          <w:rFonts w:hint="eastAsia" w:ascii="宋体" w:hAnsi="宋体"/>
          <w:szCs w:val="21"/>
          <w:highlight w:val="none"/>
        </w:rPr>
        <w:t>投标文件包括本通用条款第</w:t>
      </w:r>
      <w:r>
        <w:rPr>
          <w:rFonts w:ascii="宋体" w:hAnsi="宋体"/>
          <w:szCs w:val="21"/>
          <w:highlight w:val="none"/>
        </w:rPr>
        <w:t>15条中规定的内容。如</w:t>
      </w:r>
      <w:r>
        <w:rPr>
          <w:rFonts w:hint="eastAsia" w:ascii="宋体" w:hAnsi="宋体"/>
          <w:szCs w:val="21"/>
          <w:highlight w:val="none"/>
        </w:rPr>
        <w:t>招标</w:t>
      </w:r>
      <w:r>
        <w:rPr>
          <w:rFonts w:ascii="宋体" w:hAnsi="宋体"/>
          <w:szCs w:val="21"/>
          <w:highlight w:val="none"/>
        </w:rPr>
        <w:t>文件提供了投标文件格式，则</w:t>
      </w:r>
      <w:r>
        <w:rPr>
          <w:rFonts w:hint="eastAsia" w:ascii="宋体" w:hAnsi="宋体"/>
          <w:b/>
          <w:bCs/>
          <w:szCs w:val="21"/>
          <w:highlight w:val="none"/>
        </w:rPr>
        <w:t>投标人提交的投标文件应毫无例外地使用招标文件所提供的相应格式</w:t>
      </w:r>
      <w:r>
        <w:rPr>
          <w:rFonts w:hint="eastAsia" w:ascii="宋体" w:hAnsi="宋体"/>
          <w:szCs w:val="21"/>
          <w:highlight w:val="none"/>
        </w:rPr>
        <w:t>（表格均可按同样格式扩展）。</w:t>
      </w:r>
    </w:p>
    <w:p w14:paraId="35F088B0">
      <w:pPr>
        <w:ind w:firstLine="420" w:firstLineChars="200"/>
        <w:rPr>
          <w:rFonts w:hint="eastAsia" w:ascii="黑体" w:hAnsi="宋体" w:eastAsia="黑体"/>
          <w:szCs w:val="21"/>
          <w:highlight w:val="none"/>
        </w:rPr>
      </w:pPr>
      <w:r>
        <w:rPr>
          <w:rFonts w:hint="eastAsia" w:ascii="黑体" w:hAnsi="宋体" w:eastAsia="黑体"/>
          <w:szCs w:val="21"/>
          <w:highlight w:val="none"/>
        </w:rPr>
        <w:t>17．投标货币</w:t>
      </w:r>
    </w:p>
    <w:p w14:paraId="1E9922B1">
      <w:pPr>
        <w:ind w:firstLine="420" w:firstLineChars="200"/>
        <w:rPr>
          <w:rFonts w:hint="eastAsia" w:ascii="宋体" w:hAnsi="宋体"/>
          <w:szCs w:val="21"/>
          <w:highlight w:val="none"/>
        </w:rPr>
      </w:pPr>
      <w:r>
        <w:rPr>
          <w:rFonts w:hint="eastAsia" w:ascii="宋体" w:hAnsi="宋体"/>
          <w:szCs w:val="21"/>
          <w:highlight w:val="none"/>
        </w:rPr>
        <w:t>本项目的投标报价应以人民币计。</w:t>
      </w:r>
    </w:p>
    <w:bookmarkEnd w:id="64"/>
    <w:p w14:paraId="6834741C">
      <w:pPr>
        <w:ind w:firstLine="420" w:firstLineChars="200"/>
        <w:rPr>
          <w:rFonts w:hint="eastAsia" w:ascii="黑体" w:hAnsi="宋体" w:eastAsia="黑体"/>
          <w:szCs w:val="21"/>
          <w:highlight w:val="none"/>
        </w:rPr>
      </w:pPr>
      <w:r>
        <w:rPr>
          <w:rFonts w:hint="eastAsia" w:ascii="黑体" w:hAnsi="宋体" w:eastAsia="黑体"/>
          <w:szCs w:val="21"/>
          <w:highlight w:val="none"/>
        </w:rPr>
        <w:t>18．</w:t>
      </w:r>
      <w:bookmarkStart w:id="65" w:name="_Hlk72401735"/>
      <w:r>
        <w:rPr>
          <w:rFonts w:hint="eastAsia" w:ascii="黑体" w:hAnsi="宋体" w:eastAsia="黑体"/>
          <w:szCs w:val="21"/>
          <w:highlight w:val="none"/>
        </w:rPr>
        <w:t>证明投标文件投标技术方案的合格性和符合招标文件规定的文件要求</w:t>
      </w:r>
    </w:p>
    <w:p w14:paraId="59E7C467">
      <w:pPr>
        <w:ind w:firstLine="420" w:firstLineChars="200"/>
        <w:rPr>
          <w:rFonts w:hint="eastAsia" w:ascii="宋体" w:hAnsi="宋体"/>
          <w:szCs w:val="21"/>
          <w:highlight w:val="none"/>
        </w:rPr>
      </w:pPr>
      <w:r>
        <w:rPr>
          <w:rFonts w:hint="eastAsia" w:ascii="宋体" w:hAnsi="宋体"/>
          <w:szCs w:val="21"/>
          <w:highlight w:val="none"/>
        </w:rPr>
        <w:t>18</w:t>
      </w:r>
      <w:r>
        <w:rPr>
          <w:rFonts w:ascii="宋体" w:hAnsi="宋体"/>
          <w:szCs w:val="21"/>
          <w:highlight w:val="none"/>
        </w:rPr>
        <w:t xml:space="preserve">.1 </w:t>
      </w:r>
      <w:r>
        <w:rPr>
          <w:rFonts w:hint="eastAsia" w:ascii="宋体" w:hAnsi="宋体"/>
          <w:szCs w:val="21"/>
          <w:highlight w:val="none"/>
        </w:rPr>
        <w:t>投标人应提交证明文件，证明其投标技术方案项下的货物和服务的合格性符合招标文件规定。该投标技术方案及其证明文件均作为投标文件组成部分。</w:t>
      </w:r>
    </w:p>
    <w:p w14:paraId="0B282128">
      <w:pPr>
        <w:ind w:firstLine="420" w:firstLineChars="200"/>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8</w:t>
      </w:r>
      <w:r>
        <w:rPr>
          <w:rFonts w:ascii="宋体" w:hAnsi="宋体"/>
          <w:szCs w:val="21"/>
          <w:highlight w:val="none"/>
        </w:rPr>
        <w:t xml:space="preserve">.2 </w:t>
      </w:r>
      <w:r>
        <w:rPr>
          <w:rFonts w:hint="eastAsia" w:ascii="宋体" w:hAnsi="宋体"/>
          <w:szCs w:val="21"/>
          <w:highlight w:val="none"/>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7BB177C7">
      <w:pPr>
        <w:ind w:firstLine="420" w:firstLineChars="200"/>
        <w:rPr>
          <w:rFonts w:hint="eastAsia" w:ascii="宋体" w:hAnsi="宋体"/>
          <w:szCs w:val="21"/>
          <w:highlight w:val="none"/>
        </w:rPr>
      </w:pPr>
      <w:r>
        <w:rPr>
          <w:rFonts w:hint="eastAsia" w:ascii="宋体" w:hAnsi="宋体"/>
          <w:szCs w:val="21"/>
          <w:highlight w:val="none"/>
        </w:rPr>
        <w:t>18.2.1主要技术指标和性能的详细说明。</w:t>
      </w:r>
    </w:p>
    <w:p w14:paraId="18A69437">
      <w:pPr>
        <w:ind w:firstLine="420" w:firstLineChars="200"/>
        <w:rPr>
          <w:rFonts w:hint="eastAsia" w:ascii="宋体" w:hAnsi="宋体"/>
          <w:szCs w:val="21"/>
          <w:highlight w:val="none"/>
        </w:rPr>
      </w:pPr>
      <w:r>
        <w:rPr>
          <w:rFonts w:hint="eastAsia" w:ascii="宋体" w:hAnsi="宋体"/>
          <w:szCs w:val="21"/>
          <w:highlight w:val="none"/>
        </w:rPr>
        <w:t>18.2.</w:t>
      </w:r>
      <w:r>
        <w:rPr>
          <w:rFonts w:ascii="宋体" w:hAnsi="宋体"/>
          <w:szCs w:val="21"/>
          <w:highlight w:val="none"/>
        </w:rPr>
        <w:t>2</w:t>
      </w:r>
      <w:r>
        <w:rPr>
          <w:rFonts w:hint="eastAsia" w:ascii="宋体" w:hAnsi="宋体"/>
          <w:szCs w:val="21"/>
          <w:highlight w:val="none"/>
        </w:rPr>
        <w:t>投标产品从采购人开始使用至招标文件中规定的周期内正常、连续地使用所必须的备件和专用工具清单，包括备件和专用工具的货源及现行价格。</w:t>
      </w:r>
    </w:p>
    <w:p w14:paraId="0C73C0F2">
      <w:pPr>
        <w:ind w:firstLine="420" w:firstLineChars="200"/>
        <w:rPr>
          <w:rFonts w:hint="eastAsia" w:ascii="宋体" w:hAnsi="宋体"/>
          <w:szCs w:val="21"/>
          <w:highlight w:val="none"/>
        </w:rPr>
      </w:pPr>
      <w:r>
        <w:rPr>
          <w:rFonts w:hint="eastAsia" w:ascii="宋体" w:hAnsi="宋体"/>
          <w:szCs w:val="21"/>
          <w:highlight w:val="none"/>
        </w:rPr>
        <w:t>18.2.</w:t>
      </w:r>
      <w:r>
        <w:rPr>
          <w:rFonts w:ascii="宋体" w:hAnsi="宋体"/>
          <w:szCs w:val="21"/>
          <w:highlight w:val="none"/>
        </w:rPr>
        <w:t>3</w:t>
      </w:r>
      <w:r>
        <w:rPr>
          <w:rFonts w:hint="eastAsia" w:ascii="宋体" w:hAnsi="宋体"/>
          <w:szCs w:val="21"/>
          <w:highlight w:val="none"/>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157CC11F">
      <w:pPr>
        <w:ind w:firstLine="420" w:firstLineChars="200"/>
        <w:rPr>
          <w:rFonts w:hint="eastAsia" w:ascii="宋体" w:hAnsi="宋体"/>
          <w:szCs w:val="21"/>
          <w:highlight w:val="none"/>
        </w:rPr>
      </w:pPr>
      <w:r>
        <w:rPr>
          <w:rFonts w:hint="eastAsia" w:ascii="宋体" w:hAnsi="宋体"/>
          <w:szCs w:val="21"/>
          <w:highlight w:val="none"/>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szCs w:val="21"/>
          <w:highlight w:val="none"/>
        </w:rPr>
        <w:t>清晰度要求能够使用电脑阅读、识别和判断</w:t>
      </w:r>
      <w:r>
        <w:rPr>
          <w:rFonts w:hint="eastAsia" w:ascii="宋体" w:hAnsi="宋体"/>
          <w:szCs w:val="21"/>
          <w:highlight w:val="none"/>
        </w:rPr>
        <w:t>；</w:t>
      </w:r>
    </w:p>
    <w:p w14:paraId="6BCB6145">
      <w:pPr>
        <w:ind w:firstLine="420" w:firstLineChars="200"/>
        <w:rPr>
          <w:rFonts w:hint="eastAsia" w:ascii="宋体" w:hAnsi="宋体"/>
          <w:szCs w:val="21"/>
          <w:highlight w:val="none"/>
        </w:rPr>
      </w:pPr>
      <w:r>
        <w:rPr>
          <w:rFonts w:hint="eastAsia" w:ascii="宋体" w:hAnsi="宋体"/>
          <w:szCs w:val="21"/>
          <w:highlight w:val="none"/>
        </w:rPr>
        <w:t>18.2.5我国政府机构出具的产品检验和核准证件应为证件正面、背面和附件标注的全部具体内容；产品检验和核准证件的尺寸和清晰度应该能够在电脑上被阅读、识别和判断，提供原件扫描件。</w:t>
      </w:r>
    </w:p>
    <w:p w14:paraId="232735AF">
      <w:pPr>
        <w:ind w:firstLine="420" w:firstLineChars="200"/>
        <w:rPr>
          <w:rFonts w:hint="eastAsia" w:ascii="宋体" w:hAnsi="宋体"/>
          <w:szCs w:val="21"/>
          <w:highlight w:val="none"/>
        </w:rPr>
      </w:pPr>
      <w:r>
        <w:rPr>
          <w:rFonts w:hint="eastAsia" w:ascii="宋体" w:hAnsi="宋体"/>
          <w:szCs w:val="21"/>
          <w:highlight w:val="none"/>
        </w:rPr>
        <w:t>18.3相关资料不符合18.2款要求的，评审委员会有权认定为投标技术方案不合格响应，其相关分数予以扣减或作投标无效处理。</w:t>
      </w:r>
    </w:p>
    <w:p w14:paraId="6F79827C">
      <w:pPr>
        <w:ind w:firstLine="420" w:firstLineChars="200"/>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szCs w:val="21"/>
          <w:highlight w:val="none"/>
        </w:rPr>
        <w:t>满足要求</w:t>
      </w:r>
      <w:r>
        <w:rPr>
          <w:rFonts w:hint="eastAsia" w:ascii="宋体" w:hAnsi="宋体"/>
          <w:szCs w:val="21"/>
          <w:highlight w:val="none"/>
        </w:rPr>
        <w:t>，由评审委员会来评判。</w:t>
      </w:r>
    </w:p>
    <w:p w14:paraId="4D4780AA">
      <w:pPr>
        <w:ind w:firstLine="420" w:firstLineChars="200"/>
        <w:rPr>
          <w:rFonts w:hint="eastAsia" w:ascii="宋体" w:hAnsi="宋体"/>
          <w:szCs w:val="21"/>
          <w:highlight w:val="none"/>
        </w:rPr>
      </w:pPr>
      <w:r>
        <w:rPr>
          <w:rFonts w:hint="eastAsia" w:ascii="宋体" w:hAnsi="宋体"/>
          <w:szCs w:val="21"/>
          <w:highlight w:val="none"/>
        </w:rPr>
        <w:t>18.5除非另有规定或说明，投标人对同一项目投标时，不得同时提供两套或两套以上的投标方案。</w:t>
      </w:r>
    </w:p>
    <w:bookmarkEnd w:id="65"/>
    <w:p w14:paraId="70ED3CDD">
      <w:pPr>
        <w:ind w:firstLine="420" w:firstLineChars="200"/>
        <w:rPr>
          <w:rFonts w:hint="eastAsia" w:ascii="黑体" w:hAnsi="宋体" w:eastAsia="黑体"/>
          <w:szCs w:val="21"/>
          <w:highlight w:val="none"/>
        </w:rPr>
      </w:pPr>
      <w:r>
        <w:rPr>
          <w:rFonts w:hint="eastAsia" w:ascii="黑体" w:hAnsi="宋体" w:eastAsia="黑体"/>
          <w:szCs w:val="21"/>
          <w:highlight w:val="none"/>
        </w:rPr>
        <w:t>19．</w:t>
      </w:r>
      <w:bookmarkStart w:id="66" w:name="_Hlk72402034"/>
      <w:r>
        <w:rPr>
          <w:rFonts w:hint="eastAsia" w:ascii="黑体" w:hAnsi="宋体" w:eastAsia="黑体"/>
          <w:szCs w:val="21"/>
          <w:highlight w:val="none"/>
        </w:rPr>
        <w:t>投标文件其他证明文件的要求</w:t>
      </w:r>
    </w:p>
    <w:p w14:paraId="3337F816">
      <w:pPr>
        <w:ind w:firstLine="420" w:firstLineChars="200"/>
        <w:rPr>
          <w:rFonts w:hint="eastAsia" w:ascii="宋体" w:hAnsi="宋体"/>
          <w:color w:val="FF0000"/>
          <w:szCs w:val="21"/>
          <w:highlight w:val="none"/>
        </w:rPr>
      </w:pPr>
      <w:r>
        <w:rPr>
          <w:rFonts w:hint="eastAsia" w:ascii="宋体" w:hAnsi="宋体"/>
          <w:szCs w:val="21"/>
          <w:highlight w:val="none"/>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67" w:name="_Hlk71407299"/>
    </w:p>
    <w:bookmarkEnd w:id="67"/>
    <w:p w14:paraId="4238F4B8">
      <w:pPr>
        <w:ind w:firstLine="420" w:firstLineChars="200"/>
        <w:rPr>
          <w:rFonts w:hint="eastAsia" w:ascii="宋体" w:hAnsi="宋体"/>
          <w:szCs w:val="21"/>
          <w:highlight w:val="none"/>
        </w:rPr>
      </w:pPr>
      <w:r>
        <w:rPr>
          <w:rFonts w:hint="eastAsia" w:ascii="宋体" w:hAnsi="宋体"/>
          <w:szCs w:val="21"/>
          <w:highlight w:val="none"/>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1B8961A7">
      <w:pPr>
        <w:ind w:firstLine="420" w:firstLineChars="200"/>
        <w:rPr>
          <w:rFonts w:hint="eastAsia" w:ascii="黑体" w:hAnsi="宋体" w:eastAsia="黑体"/>
          <w:szCs w:val="21"/>
          <w:highlight w:val="none"/>
        </w:rPr>
      </w:pPr>
      <w:r>
        <w:rPr>
          <w:rFonts w:hint="eastAsia" w:ascii="黑体" w:hAnsi="宋体" w:eastAsia="黑体"/>
          <w:szCs w:val="21"/>
          <w:highlight w:val="none"/>
        </w:rPr>
        <w:t>20．投标有效期</w:t>
      </w:r>
    </w:p>
    <w:bookmarkEnd w:id="66"/>
    <w:p w14:paraId="58F172E6">
      <w:pPr>
        <w:ind w:firstLine="420" w:firstLineChars="200"/>
        <w:rPr>
          <w:rFonts w:hint="eastAsia" w:ascii="宋体" w:hAnsi="宋体"/>
          <w:szCs w:val="21"/>
          <w:highlight w:val="none"/>
        </w:rPr>
      </w:pPr>
      <w:bookmarkStart w:id="68" w:name="_Hlk72402214"/>
      <w:r>
        <w:rPr>
          <w:rFonts w:hint="eastAsia" w:ascii="宋体" w:hAnsi="宋体"/>
          <w:szCs w:val="21"/>
          <w:highlight w:val="none"/>
        </w:rPr>
        <w:t>20.1 投标有效期为</w:t>
      </w:r>
      <w:r>
        <w:rPr>
          <w:rFonts w:hint="eastAsia" w:ascii="Arial" w:hAnsi="Arial" w:cs="Arial"/>
          <w:szCs w:val="21"/>
          <w:highlight w:val="none"/>
        </w:rPr>
        <w:t>从投标截止之日算起的日历天数。</w:t>
      </w:r>
      <w:r>
        <w:rPr>
          <w:rFonts w:hint="eastAsia" w:ascii="宋体" w:hAnsi="宋体"/>
          <w:szCs w:val="21"/>
          <w:highlight w:val="none"/>
        </w:rPr>
        <w:t>在此期限内，所有投标文件均保持有效。</w:t>
      </w:r>
    </w:p>
    <w:p w14:paraId="735D7ABE">
      <w:pPr>
        <w:ind w:firstLine="420" w:firstLineChars="200"/>
        <w:rPr>
          <w:rFonts w:hint="eastAsia" w:ascii="宋体" w:hAnsi="宋体"/>
          <w:szCs w:val="21"/>
          <w:highlight w:val="none"/>
        </w:rPr>
      </w:pPr>
      <w:r>
        <w:rPr>
          <w:rFonts w:hint="eastAsia" w:ascii="宋体" w:hAnsi="宋体"/>
          <w:szCs w:val="21"/>
          <w:highlight w:val="none"/>
        </w:rPr>
        <w:t>20.2 在特殊情况下，</w:t>
      </w:r>
      <w:r>
        <w:rPr>
          <w:rFonts w:hint="eastAsia" w:ascii="宋体" w:hAnsi="宋体"/>
          <w:szCs w:val="21"/>
          <w:highlight w:val="none"/>
          <w:lang w:eastAsia="zh-CN"/>
        </w:rPr>
        <w:t>代理机构</w:t>
      </w:r>
      <w:r>
        <w:rPr>
          <w:rFonts w:hint="eastAsia" w:ascii="宋体" w:hAnsi="宋体"/>
          <w:szCs w:val="21"/>
          <w:highlight w:val="none"/>
        </w:rPr>
        <w:t>在原定的投标有效期满之前，</w:t>
      </w:r>
      <w:r>
        <w:rPr>
          <w:rFonts w:hint="eastAsia" w:ascii="宋体" w:hAnsi="宋体"/>
          <w:szCs w:val="21"/>
          <w:highlight w:val="none"/>
          <w:lang w:eastAsia="zh-CN"/>
        </w:rPr>
        <w:t>代理机构</w:t>
      </w:r>
      <w:r>
        <w:rPr>
          <w:rFonts w:hint="eastAsia" w:ascii="宋体" w:hAnsi="宋体"/>
          <w:szCs w:val="21"/>
          <w:highlight w:val="none"/>
        </w:rPr>
        <w:t>可以根据需要以书面形式（包括</w:t>
      </w:r>
      <w:r>
        <w:rPr>
          <w:rFonts w:hint="eastAsia" w:ascii="宋体" w:hAnsi="宋体"/>
          <w:szCs w:val="21"/>
          <w:highlight w:val="none"/>
          <w:lang w:eastAsia="zh-CN"/>
        </w:rPr>
        <w:t>代理机构</w:t>
      </w:r>
      <w:r>
        <w:rPr>
          <w:rFonts w:hint="eastAsia" w:ascii="宋体" w:hAnsi="宋体"/>
          <w:szCs w:val="21"/>
          <w:highlight w:val="none"/>
        </w:rPr>
        <w:t>网站公开发布方式）向投标人提出延长投标有效期的要求，对此要求投标人须以书面形式予以答复，投标人可以拒绝</w:t>
      </w:r>
      <w:r>
        <w:rPr>
          <w:rFonts w:hint="eastAsia" w:ascii="宋体" w:hAnsi="宋体"/>
          <w:szCs w:val="21"/>
          <w:highlight w:val="none"/>
          <w:lang w:eastAsia="zh-CN"/>
        </w:rPr>
        <w:t>代理机构</w:t>
      </w:r>
      <w:r>
        <w:rPr>
          <w:rFonts w:hint="eastAsia" w:ascii="宋体" w:hAnsi="宋体"/>
          <w:szCs w:val="21"/>
          <w:highlight w:val="none"/>
        </w:rPr>
        <w:t>此项要求，其投标在原投标有效期满后不再有效。同意延长投标有效期的投标人不能要求也不允许修改其投标文件。</w:t>
      </w:r>
    </w:p>
    <w:p w14:paraId="7A5D985D">
      <w:pPr>
        <w:ind w:firstLine="420" w:firstLineChars="200"/>
        <w:rPr>
          <w:rFonts w:hint="eastAsia" w:ascii="宋体" w:hAnsi="宋体"/>
          <w:szCs w:val="21"/>
          <w:highlight w:val="none"/>
        </w:rPr>
      </w:pPr>
      <w:r>
        <w:rPr>
          <w:rFonts w:hint="eastAsia" w:ascii="宋体" w:hAnsi="宋体"/>
          <w:szCs w:val="21"/>
          <w:highlight w:val="none"/>
        </w:rPr>
        <w:t>20</w:t>
      </w:r>
      <w:r>
        <w:rPr>
          <w:rFonts w:ascii="宋体" w:hAnsi="宋体"/>
          <w:szCs w:val="21"/>
          <w:highlight w:val="none"/>
        </w:rPr>
        <w:t>.3</w:t>
      </w:r>
      <w:r>
        <w:rPr>
          <w:rFonts w:hint="eastAsia" w:ascii="宋体" w:hAnsi="宋体"/>
          <w:szCs w:val="21"/>
          <w:highlight w:val="none"/>
        </w:rPr>
        <w:t xml:space="preserve"> 中标供应商的投标文件有效期，截止于完成本招标文件规定的全部项目内容，并通过竣工验收及保修期结束。</w:t>
      </w:r>
    </w:p>
    <w:bookmarkEnd w:id="68"/>
    <w:p w14:paraId="3778E277">
      <w:pPr>
        <w:ind w:firstLine="420" w:firstLineChars="200"/>
        <w:rPr>
          <w:rFonts w:hint="eastAsia" w:ascii="黑体" w:hAnsi="宋体" w:eastAsia="黑体"/>
          <w:szCs w:val="21"/>
          <w:highlight w:val="none"/>
        </w:rPr>
      </w:pPr>
      <w:r>
        <w:rPr>
          <w:rFonts w:hint="eastAsia" w:ascii="黑体" w:hAnsi="宋体" w:eastAsia="黑体"/>
          <w:szCs w:val="21"/>
          <w:highlight w:val="none"/>
        </w:rPr>
        <w:t>21．</w:t>
      </w:r>
      <w:bookmarkStart w:id="69" w:name="_Hlk72402325"/>
      <w:r>
        <w:rPr>
          <w:rFonts w:hint="eastAsia" w:ascii="黑体" w:hAnsi="宋体" w:eastAsia="黑体"/>
          <w:szCs w:val="21"/>
          <w:highlight w:val="none"/>
        </w:rPr>
        <w:t xml:space="preserve">关于投标保证金 </w:t>
      </w:r>
    </w:p>
    <w:p w14:paraId="76213A65">
      <w:pPr>
        <w:ind w:firstLine="420" w:firstLineChars="200"/>
        <w:rPr>
          <w:rFonts w:hint="eastAsia" w:ascii="宋体" w:hAnsi="宋体"/>
          <w:szCs w:val="21"/>
          <w:highlight w:val="none"/>
        </w:rPr>
      </w:pPr>
      <w:r>
        <w:rPr>
          <w:rFonts w:hint="eastAsia" w:ascii="宋体" w:hAnsi="宋体"/>
          <w:szCs w:val="21"/>
          <w:highlight w:val="none"/>
        </w:rPr>
        <w:t>21.1</w:t>
      </w:r>
      <w:r>
        <w:rPr>
          <w:rFonts w:hint="eastAsia"/>
          <w:szCs w:val="21"/>
          <w:highlight w:val="none"/>
        </w:rPr>
        <w:t>根据《深圳市财政局关于调整政府采购投标（响应）保证金管理政策的通知》（深财购〔2021〕51号）文的规定，本项目不收取投标保证金。</w:t>
      </w:r>
    </w:p>
    <w:p w14:paraId="0F90F2BA">
      <w:pPr>
        <w:ind w:firstLine="420" w:firstLineChars="200"/>
        <w:rPr>
          <w:rFonts w:hint="eastAsia" w:ascii="黑体" w:hAnsi="宋体" w:eastAsia="黑体"/>
          <w:szCs w:val="21"/>
          <w:highlight w:val="none"/>
        </w:rPr>
      </w:pPr>
      <w:r>
        <w:rPr>
          <w:rFonts w:hint="eastAsia" w:ascii="黑体" w:hAnsi="宋体" w:eastAsia="黑体"/>
          <w:szCs w:val="21"/>
          <w:highlight w:val="none"/>
        </w:rPr>
        <w:t>22．投标人的替代方案</w:t>
      </w:r>
    </w:p>
    <w:p w14:paraId="6FB46526">
      <w:pPr>
        <w:ind w:firstLine="420" w:firstLineChars="200"/>
        <w:rPr>
          <w:rFonts w:hint="eastAsia" w:ascii="宋体" w:hAnsi="宋体"/>
          <w:szCs w:val="21"/>
          <w:highlight w:val="none"/>
        </w:rPr>
      </w:pPr>
      <w:r>
        <w:rPr>
          <w:rFonts w:hint="eastAsia" w:ascii="宋体" w:hAnsi="宋体"/>
          <w:szCs w:val="21"/>
          <w:highlight w:val="none"/>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5A151E8B">
      <w:pPr>
        <w:ind w:firstLine="420" w:firstLineChars="200"/>
        <w:rPr>
          <w:rFonts w:hint="eastAsia" w:ascii="宋体" w:hAnsi="宋体"/>
          <w:szCs w:val="21"/>
          <w:highlight w:val="none"/>
        </w:rPr>
      </w:pPr>
      <w:r>
        <w:rPr>
          <w:rFonts w:hint="eastAsia" w:ascii="宋体" w:hAnsi="宋体"/>
          <w:szCs w:val="21"/>
          <w:highlight w:val="none"/>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他详细资料。</w:t>
      </w:r>
    </w:p>
    <w:bookmarkEnd w:id="69"/>
    <w:p w14:paraId="399B49F5">
      <w:pPr>
        <w:ind w:firstLine="420" w:firstLineChars="200"/>
        <w:rPr>
          <w:rFonts w:hint="eastAsia" w:ascii="黑体" w:hAnsi="宋体" w:eastAsia="黑体"/>
          <w:szCs w:val="21"/>
          <w:highlight w:val="none"/>
        </w:rPr>
      </w:pPr>
      <w:r>
        <w:rPr>
          <w:rFonts w:hint="eastAsia" w:ascii="黑体" w:hAnsi="宋体" w:eastAsia="黑体"/>
          <w:szCs w:val="21"/>
          <w:highlight w:val="none"/>
        </w:rPr>
        <w:t>23．</w:t>
      </w:r>
      <w:bookmarkStart w:id="70" w:name="_Hlk72402860"/>
      <w:r>
        <w:rPr>
          <w:rFonts w:ascii="黑体" w:hAnsi="宋体" w:eastAsia="黑体"/>
          <w:szCs w:val="21"/>
          <w:highlight w:val="none"/>
        </w:rPr>
        <w:t>投标文件的</w:t>
      </w:r>
      <w:r>
        <w:rPr>
          <w:rFonts w:hint="eastAsia" w:ascii="黑体" w:hAnsi="宋体" w:eastAsia="黑体"/>
          <w:szCs w:val="21"/>
          <w:highlight w:val="none"/>
        </w:rPr>
        <w:t>制作</w:t>
      </w:r>
      <w:r>
        <w:rPr>
          <w:rFonts w:ascii="黑体" w:hAnsi="宋体" w:eastAsia="黑体"/>
          <w:szCs w:val="21"/>
          <w:highlight w:val="none"/>
        </w:rPr>
        <w:t>要求</w:t>
      </w:r>
    </w:p>
    <w:p w14:paraId="355284D5">
      <w:pPr>
        <w:ind w:firstLine="420" w:firstLineChars="200"/>
        <w:rPr>
          <w:rFonts w:hint="eastAsia" w:ascii="宋体" w:hAnsi="宋体"/>
          <w:szCs w:val="21"/>
          <w:highlight w:val="none"/>
        </w:rPr>
      </w:pPr>
      <w:r>
        <w:rPr>
          <w:rFonts w:hint="eastAsia" w:ascii="宋体" w:hAnsi="宋体"/>
          <w:szCs w:val="21"/>
          <w:highlight w:val="none"/>
        </w:rPr>
        <w:t>23.1投标人应准备所投项目的电子投标文件一份。</w:t>
      </w:r>
    </w:p>
    <w:p w14:paraId="61F5E36F">
      <w:pPr>
        <w:ind w:firstLine="420" w:firstLineChars="200"/>
        <w:rPr>
          <w:rFonts w:hint="eastAsia" w:ascii="宋体" w:hAnsi="宋体"/>
          <w:szCs w:val="21"/>
          <w:highlight w:val="none"/>
        </w:rPr>
      </w:pPr>
      <w:r>
        <w:rPr>
          <w:rFonts w:hint="eastAsia" w:ascii="宋体" w:hAnsi="宋体"/>
          <w:szCs w:val="21"/>
          <w:highlight w:val="none"/>
        </w:rPr>
        <w:t>23.2投标人在使用《投标书编制软件》编制投标书时须注意：</w:t>
      </w:r>
    </w:p>
    <w:p w14:paraId="5912F70F">
      <w:pPr>
        <w:ind w:firstLine="420" w:firstLineChars="200"/>
        <w:rPr>
          <w:rFonts w:hint="eastAsia" w:ascii="宋体" w:hAnsi="宋体"/>
          <w:szCs w:val="21"/>
          <w:highlight w:val="none"/>
        </w:rPr>
      </w:pPr>
      <w:r>
        <w:rPr>
          <w:rFonts w:hint="eastAsia" w:ascii="宋体" w:hAnsi="宋体"/>
          <w:szCs w:val="21"/>
          <w:highlight w:val="none"/>
        </w:rPr>
        <w:t>23.2.1导入《投标书编制软件》的招标文件项目编号、包号应与以此制作的投标文件项目编号、包号一致。例如，不能将甲项目A包的招标书导入《投标书编制软件》，制作乙项目B包的投标书。</w:t>
      </w:r>
    </w:p>
    <w:p w14:paraId="42EA7C72">
      <w:pPr>
        <w:ind w:firstLine="420" w:firstLineChars="200"/>
        <w:rPr>
          <w:rFonts w:hint="eastAsia" w:ascii="宋体" w:hAnsi="宋体"/>
          <w:szCs w:val="21"/>
          <w:highlight w:val="none"/>
        </w:rPr>
      </w:pPr>
      <w:r>
        <w:rPr>
          <w:rFonts w:hint="eastAsia" w:ascii="宋体" w:hAnsi="宋体"/>
          <w:szCs w:val="21"/>
          <w:highlight w:val="none"/>
        </w:rPr>
        <w:t>23.2.2不能用非本公司的电子密钥加密本公司的投标文件，或者用其他公司的登录用户上传本公司的投标文件。</w:t>
      </w:r>
    </w:p>
    <w:p w14:paraId="7C65E5DD">
      <w:pPr>
        <w:ind w:firstLine="420" w:firstLineChars="200"/>
        <w:rPr>
          <w:rFonts w:hint="eastAsia" w:ascii="宋体" w:hAnsi="宋体"/>
          <w:szCs w:val="21"/>
          <w:highlight w:val="none"/>
        </w:rPr>
      </w:pPr>
      <w:r>
        <w:rPr>
          <w:rFonts w:hint="eastAsia" w:ascii="宋体" w:hAnsi="宋体"/>
          <w:szCs w:val="21"/>
          <w:highlight w:val="none"/>
        </w:rPr>
        <w:t>23.2.3要求用《投标书编制软件》编制投标书的包，不能用其他方式编制投标书。编制投标文件时，电脑须连通互联网。</w:t>
      </w:r>
    </w:p>
    <w:p w14:paraId="7B721388">
      <w:pPr>
        <w:ind w:firstLine="420" w:firstLineChars="200"/>
        <w:rPr>
          <w:rFonts w:hint="eastAsia" w:ascii="宋体" w:hAnsi="宋体"/>
          <w:szCs w:val="21"/>
          <w:highlight w:val="none"/>
        </w:rPr>
      </w:pPr>
      <w:r>
        <w:rPr>
          <w:rFonts w:hint="eastAsia" w:ascii="宋体" w:hAnsi="宋体"/>
          <w:szCs w:val="21"/>
          <w:highlight w:val="none"/>
        </w:rPr>
        <w:t>23.2.4投标文件不能带病毒。</w:t>
      </w:r>
      <w:r>
        <w:rPr>
          <w:rFonts w:hint="eastAsia" w:ascii="宋体" w:hAnsi="宋体"/>
          <w:szCs w:val="21"/>
          <w:highlight w:val="none"/>
          <w:lang w:eastAsia="zh-CN"/>
        </w:rPr>
        <w:t>代理机构</w:t>
      </w:r>
      <w:r>
        <w:rPr>
          <w:rFonts w:hint="eastAsia" w:ascii="宋体" w:hAnsi="宋体"/>
          <w:szCs w:val="21"/>
          <w:highlight w:val="none"/>
        </w:rPr>
        <w:t>将用专业杀毒软件对投标文件进行病毒检测，如果软件报告发现病毒，则</w:t>
      </w:r>
      <w:r>
        <w:rPr>
          <w:rFonts w:hint="eastAsia" w:ascii="宋体" w:hAnsi="宋体"/>
          <w:szCs w:val="21"/>
          <w:highlight w:val="none"/>
          <w:lang w:eastAsia="zh-CN"/>
        </w:rPr>
        <w:t>代理机构</w:t>
      </w:r>
      <w:r>
        <w:rPr>
          <w:rFonts w:hint="eastAsia" w:ascii="宋体" w:hAnsi="宋体"/>
          <w:szCs w:val="21"/>
          <w:highlight w:val="none"/>
        </w:rPr>
        <w:t>认为该投标文件带病毒。</w:t>
      </w:r>
    </w:p>
    <w:p w14:paraId="67A93651">
      <w:pPr>
        <w:ind w:firstLine="420" w:firstLineChars="200"/>
        <w:rPr>
          <w:rFonts w:hint="eastAsia" w:ascii="宋体" w:hAnsi="宋体"/>
          <w:szCs w:val="21"/>
          <w:highlight w:val="none"/>
        </w:rPr>
      </w:pPr>
      <w:r>
        <w:rPr>
          <w:rFonts w:hint="eastAsia" w:ascii="宋体" w:hAnsi="宋体"/>
          <w:szCs w:val="21"/>
          <w:highlight w:val="none"/>
        </w:rPr>
        <w:t>23.2.6投标人在编辑投标文件时，</w:t>
      </w:r>
      <w:r>
        <w:rPr>
          <w:rFonts w:hint="eastAsia" w:ascii="宋体" w:hAnsi="宋体"/>
          <w:b/>
          <w:szCs w:val="21"/>
          <w:highlight w:val="none"/>
        </w:rPr>
        <w:t>在投标文件目录中属于本节点内容的必须在本节点中填写，填写到其他节点或附件，</w:t>
      </w:r>
      <w:r>
        <w:rPr>
          <w:rFonts w:hint="eastAsia" w:ascii="宋体" w:hAnsi="宋体"/>
          <w:szCs w:val="21"/>
          <w:highlight w:val="none"/>
        </w:rPr>
        <w:t>一切后果由供应商自行承担。</w:t>
      </w:r>
    </w:p>
    <w:p w14:paraId="08AD4886">
      <w:pPr>
        <w:ind w:firstLine="420" w:firstLineChars="200"/>
        <w:rPr>
          <w:rFonts w:hint="eastAsia" w:ascii="宋体" w:hAnsi="宋体"/>
          <w:szCs w:val="21"/>
          <w:highlight w:val="none"/>
        </w:rPr>
      </w:pPr>
      <w:r>
        <w:rPr>
          <w:rFonts w:hint="eastAsia" w:ascii="宋体" w:hAnsi="宋体"/>
          <w:szCs w:val="21"/>
          <w:highlight w:val="none"/>
        </w:rPr>
        <w:t>23.2.7</w:t>
      </w:r>
      <w:r>
        <w:rPr>
          <w:rFonts w:hint="eastAsia" w:ascii="宋体" w:hAnsi="宋体"/>
          <w:szCs w:val="21"/>
          <w:highlight w:val="none"/>
          <w:lang w:eastAsia="zh-CN"/>
        </w:rPr>
        <w:t>代理机构</w:t>
      </w:r>
      <w:r>
        <w:rPr>
          <w:rFonts w:hint="eastAsia" w:ascii="宋体" w:hAnsi="宋体"/>
          <w:szCs w:val="21"/>
          <w:highlight w:val="none"/>
        </w:rPr>
        <w:t>不接受投标截止时间后递交的纸质、电子、传真等所有形式的投标文件。由于对网上自行采购系统操作不熟悉或自身电脑、网络等原因导致不能在投标截止时间之前上传投标文件，</w:t>
      </w:r>
      <w:r>
        <w:rPr>
          <w:rFonts w:hint="eastAsia" w:ascii="宋体" w:hAnsi="宋体"/>
          <w:szCs w:val="21"/>
          <w:highlight w:val="none"/>
          <w:lang w:eastAsia="zh-CN"/>
        </w:rPr>
        <w:t>代理机构</w:t>
      </w:r>
      <w:r>
        <w:rPr>
          <w:rFonts w:hint="eastAsia" w:ascii="宋体" w:hAnsi="宋体"/>
          <w:szCs w:val="21"/>
          <w:highlight w:val="none"/>
        </w:rPr>
        <w:t>概不负责。建议于开标前一个工作日完成投标文件的制作与上传，如上传确有困难，请及时咨询。</w:t>
      </w:r>
    </w:p>
    <w:p w14:paraId="5DC8993C">
      <w:pPr>
        <w:ind w:firstLine="420" w:firstLineChars="200"/>
        <w:rPr>
          <w:rFonts w:hint="eastAsia" w:ascii="宋体" w:hAnsi="宋体"/>
          <w:szCs w:val="21"/>
          <w:highlight w:val="none"/>
        </w:rPr>
      </w:pPr>
      <w:r>
        <w:rPr>
          <w:rFonts w:hint="eastAsia" w:ascii="宋体" w:hAnsi="宋体"/>
          <w:szCs w:val="21"/>
          <w:highlight w:val="none"/>
        </w:rPr>
        <w:t>23.2.8如果开标时出现网络故障、技术故障，影响了采购活动，</w:t>
      </w:r>
      <w:r>
        <w:rPr>
          <w:rFonts w:hint="eastAsia" w:ascii="宋体" w:hAnsi="宋体"/>
          <w:szCs w:val="21"/>
          <w:highlight w:val="none"/>
          <w:lang w:eastAsia="zh-CN"/>
        </w:rPr>
        <w:t>代理机构</w:t>
      </w:r>
      <w:r>
        <w:rPr>
          <w:rFonts w:hint="eastAsia" w:ascii="宋体" w:hAnsi="宋体"/>
          <w:szCs w:val="21"/>
          <w:highlight w:val="none"/>
        </w:rPr>
        <w:t>有权采取措施如延期、接受无法从网上上传的投标书等，以保障采购活动的公开、公平和公正。</w:t>
      </w:r>
    </w:p>
    <w:p w14:paraId="20D6C33F">
      <w:pPr>
        <w:ind w:firstLine="420" w:firstLineChars="200"/>
        <w:rPr>
          <w:rFonts w:hint="eastAsia" w:ascii="宋体" w:hAnsi="宋体"/>
          <w:szCs w:val="21"/>
          <w:highlight w:val="none"/>
        </w:rPr>
      </w:pPr>
      <w:r>
        <w:rPr>
          <w:rFonts w:hint="eastAsia" w:ascii="宋体" w:hAnsi="宋体"/>
          <w:szCs w:val="21"/>
          <w:highlight w:val="none"/>
        </w:rPr>
        <w:t>23.3电报、电话、传真形式的投标概不接受。</w:t>
      </w:r>
    </w:p>
    <w:p w14:paraId="43773606">
      <w:pPr>
        <w:ind w:firstLine="422" w:firstLineChars="200"/>
        <w:rPr>
          <w:rFonts w:hint="eastAsia" w:ascii="宋体" w:hAnsi="宋体"/>
          <w:b/>
          <w:szCs w:val="21"/>
          <w:highlight w:val="none"/>
        </w:rPr>
      </w:pPr>
      <w:r>
        <w:rPr>
          <w:rFonts w:hint="eastAsia" w:ascii="宋体" w:hAnsi="宋体"/>
          <w:b/>
          <w:szCs w:val="21"/>
          <w:highlight w:val="none"/>
        </w:rPr>
        <w:t>23.4全流程线上投标的投标文件无须盖章或签字，</w:t>
      </w:r>
      <w:r>
        <w:rPr>
          <w:rFonts w:hint="eastAsia" w:ascii="宋体" w:hAnsi="宋体"/>
          <w:szCs w:val="21"/>
          <w:highlight w:val="none"/>
        </w:rPr>
        <w:t>专用条款另有要求的除外。</w:t>
      </w:r>
    </w:p>
    <w:p w14:paraId="7027C775">
      <w:pPr>
        <w:ind w:firstLine="422" w:firstLineChars="200"/>
        <w:rPr>
          <w:rFonts w:hint="eastAsia" w:ascii="宋体" w:hAnsi="宋体"/>
          <w:highlight w:val="none"/>
        </w:rPr>
      </w:pPr>
      <w:r>
        <w:rPr>
          <w:rFonts w:hint="eastAsia" w:ascii="宋体" w:hAnsi="宋体"/>
          <w:b/>
          <w:szCs w:val="21"/>
          <w:highlight w:val="none"/>
        </w:rPr>
        <w:t>23.5</w:t>
      </w:r>
      <w:r>
        <w:rPr>
          <w:rFonts w:hint="eastAsia" w:ascii="宋体" w:hAnsi="宋体"/>
          <w:szCs w:val="21"/>
          <w:highlight w:val="none"/>
        </w:rPr>
        <w:t xml:space="preserve"> 各类资格（资质）文件提供扫描件，专用条款另有要求的除外。</w:t>
      </w:r>
      <w:bookmarkEnd w:id="70"/>
    </w:p>
    <w:p w14:paraId="7B2196E8">
      <w:pPr>
        <w:ind w:firstLine="411" w:firstLineChars="196"/>
        <w:rPr>
          <w:rFonts w:hint="eastAsia" w:ascii="宋体" w:hAnsi="宋体"/>
          <w:szCs w:val="21"/>
          <w:highlight w:val="none"/>
        </w:rPr>
      </w:pPr>
    </w:p>
    <w:p w14:paraId="53C8CD84">
      <w:pPr>
        <w:pStyle w:val="7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highlight w:val="none"/>
        </w:rPr>
      </w:pPr>
      <w:r>
        <w:rPr>
          <w:rFonts w:hint="eastAsia" w:asciiTheme="majorHAnsi" w:hAnsiTheme="majorHAnsi" w:eastAsiaTheme="majorEastAsia" w:cstheme="majorBidi"/>
          <w:b/>
          <w:bCs/>
          <w:sz w:val="28"/>
          <w:szCs w:val="28"/>
          <w:highlight w:val="none"/>
        </w:rPr>
        <w:t>投标文件的递交</w:t>
      </w:r>
    </w:p>
    <w:p w14:paraId="05985AEF">
      <w:pPr>
        <w:ind w:firstLine="420" w:firstLineChars="200"/>
        <w:rPr>
          <w:rFonts w:hint="eastAsia" w:ascii="黑体" w:hAnsi="宋体" w:eastAsia="黑体"/>
          <w:szCs w:val="21"/>
          <w:highlight w:val="none"/>
        </w:rPr>
      </w:pPr>
      <w:bookmarkStart w:id="71" w:name="_Hlk72405459"/>
      <w:r>
        <w:rPr>
          <w:rFonts w:hint="eastAsia" w:ascii="黑体" w:hAnsi="宋体" w:eastAsia="黑体"/>
          <w:szCs w:val="21"/>
          <w:highlight w:val="none"/>
        </w:rPr>
        <w:t>24．投标文件的保密</w:t>
      </w:r>
    </w:p>
    <w:p w14:paraId="1CE86F41">
      <w:pPr>
        <w:ind w:firstLine="420" w:firstLineChars="200"/>
        <w:rPr>
          <w:rFonts w:hint="eastAsia" w:ascii="宋体" w:hAnsi="宋体" w:eastAsiaTheme="minorEastAsia"/>
          <w:szCs w:val="21"/>
          <w:highlight w:val="none"/>
        </w:rPr>
      </w:pPr>
      <w:r>
        <w:rPr>
          <w:rFonts w:hint="eastAsia" w:ascii="宋体" w:hAnsi="宋体"/>
          <w:szCs w:val="21"/>
          <w:highlight w:val="none"/>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14:paraId="282A004B">
      <w:pPr>
        <w:ind w:firstLine="422" w:firstLineChars="200"/>
        <w:rPr>
          <w:rFonts w:hint="eastAsia" w:ascii="宋体" w:hAnsi="宋体"/>
          <w:b/>
          <w:szCs w:val="21"/>
          <w:highlight w:val="none"/>
        </w:rPr>
      </w:pPr>
      <w:r>
        <w:rPr>
          <w:rFonts w:hint="eastAsia" w:ascii="宋体" w:hAnsi="宋体"/>
          <w:b/>
          <w:szCs w:val="21"/>
          <w:highlight w:val="none"/>
        </w:rPr>
        <w:t>24.2若采购项目出现延期情况：</w:t>
      </w:r>
    </w:p>
    <w:p w14:paraId="757C32B7">
      <w:pPr>
        <w:ind w:firstLine="422" w:firstLineChars="200"/>
        <w:rPr>
          <w:rFonts w:hint="eastAsia" w:ascii="黑体" w:hAnsi="宋体" w:eastAsia="黑体"/>
          <w:b/>
          <w:szCs w:val="21"/>
          <w:highlight w:val="none"/>
        </w:rPr>
      </w:pPr>
      <w:r>
        <w:rPr>
          <w:rFonts w:hint="eastAsia" w:ascii="宋体" w:hAnsi="宋体"/>
          <w:b/>
          <w:szCs w:val="21"/>
          <w:highlight w:val="none"/>
        </w:rPr>
        <w:t>如果供下载的招标文件有更新，投标人必须重新下载招标文件、重新制作投标文件、重新加密投标文件、重新上传投标文件。</w:t>
      </w:r>
    </w:p>
    <w:p w14:paraId="16F62890">
      <w:pPr>
        <w:ind w:firstLine="420" w:firstLineChars="200"/>
        <w:rPr>
          <w:rFonts w:hint="eastAsia" w:ascii="黑体" w:hAnsi="宋体" w:eastAsia="黑体"/>
          <w:szCs w:val="21"/>
          <w:highlight w:val="none"/>
        </w:rPr>
      </w:pPr>
      <w:r>
        <w:rPr>
          <w:rFonts w:hint="eastAsia" w:ascii="黑体" w:hAnsi="宋体" w:eastAsia="黑体"/>
          <w:szCs w:val="21"/>
          <w:highlight w:val="none"/>
        </w:rPr>
        <w:t>25．上传投标文件及投标截止日期</w:t>
      </w:r>
    </w:p>
    <w:p w14:paraId="0AE3D746">
      <w:pPr>
        <w:ind w:firstLine="420" w:firstLineChars="200"/>
        <w:rPr>
          <w:rFonts w:hint="eastAsia" w:ascii="宋体" w:hAnsi="宋体"/>
          <w:szCs w:val="21"/>
          <w:highlight w:val="none"/>
        </w:rPr>
      </w:pPr>
      <w:r>
        <w:rPr>
          <w:rFonts w:hint="eastAsia" w:ascii="宋体" w:hAnsi="宋体"/>
          <w:szCs w:val="21"/>
          <w:highlight w:val="none"/>
        </w:rPr>
        <w:t>25</w:t>
      </w:r>
      <w:r>
        <w:rPr>
          <w:rFonts w:ascii="宋体" w:hAnsi="宋体"/>
          <w:szCs w:val="21"/>
          <w:highlight w:val="none"/>
        </w:rPr>
        <w:t>.</w:t>
      </w:r>
      <w:r>
        <w:rPr>
          <w:rFonts w:hint="eastAsia" w:ascii="宋体" w:hAnsi="宋体"/>
          <w:szCs w:val="21"/>
          <w:highlight w:val="none"/>
        </w:rPr>
        <w:t>1实行网上投标，</w:t>
      </w:r>
      <w:r>
        <w:rPr>
          <w:rFonts w:ascii="宋体" w:hAnsi="宋体"/>
          <w:szCs w:val="21"/>
          <w:highlight w:val="none"/>
        </w:rPr>
        <w:t>投标人必须</w:t>
      </w:r>
      <w:r>
        <w:rPr>
          <w:rFonts w:hint="eastAsia" w:ascii="宋体" w:hAnsi="宋体"/>
          <w:szCs w:val="21"/>
          <w:highlight w:val="none"/>
        </w:rPr>
        <w:t>在招标</w:t>
      </w:r>
      <w:r>
        <w:rPr>
          <w:rFonts w:ascii="宋体" w:hAnsi="宋体"/>
          <w:szCs w:val="21"/>
          <w:highlight w:val="none"/>
        </w:rPr>
        <w:t>文件规定的投标截止时间前</w:t>
      </w:r>
      <w:r>
        <w:rPr>
          <w:rFonts w:hint="eastAsia" w:ascii="宋体" w:hAnsi="宋体"/>
          <w:szCs w:val="21"/>
          <w:highlight w:val="none"/>
        </w:rPr>
        <w:t>用电子密钥登录“深圳市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b/>
          <w:bCs/>
          <w:szCs w:val="21"/>
          <w:highlight w:val="none"/>
        </w:rPr>
        <w:t>深圳市南山区沙河西路3185号南山智谷A座深圳交易集团总部大楼3楼服务大厅</w:t>
      </w:r>
      <w:r>
        <w:rPr>
          <w:rFonts w:ascii="宋体" w:hAnsi="宋体"/>
          <w:b/>
          <w:bCs/>
          <w:szCs w:val="21"/>
          <w:highlight w:val="none"/>
        </w:rPr>
        <w:t>协助上传</w:t>
      </w:r>
      <w:r>
        <w:rPr>
          <w:rFonts w:hint="eastAsia" w:ascii="宋体" w:hAnsi="宋体"/>
          <w:b/>
          <w:bCs/>
          <w:szCs w:val="21"/>
          <w:highlight w:val="none"/>
        </w:rPr>
        <w:t>，</w:t>
      </w:r>
      <w:r>
        <w:rPr>
          <w:rFonts w:ascii="宋体" w:hAnsi="宋体"/>
          <w:b/>
          <w:bCs/>
          <w:szCs w:val="21"/>
          <w:highlight w:val="none"/>
        </w:rPr>
        <w:t>但上传过程</w:t>
      </w:r>
      <w:r>
        <w:rPr>
          <w:rFonts w:hint="eastAsia" w:ascii="宋体" w:hAnsi="宋体"/>
          <w:b/>
          <w:bCs/>
          <w:szCs w:val="21"/>
          <w:highlight w:val="none"/>
        </w:rPr>
        <w:t>中</w:t>
      </w:r>
      <w:r>
        <w:rPr>
          <w:rFonts w:ascii="宋体" w:hAnsi="宋体"/>
          <w:b/>
          <w:bCs/>
          <w:szCs w:val="21"/>
          <w:highlight w:val="none"/>
        </w:rPr>
        <w:t>投标截止时间到达仍无法上传成功的，由投标人自行负责</w:t>
      </w:r>
      <w:r>
        <w:rPr>
          <w:rFonts w:hint="eastAsia" w:ascii="宋体" w:hAnsi="宋体"/>
          <w:szCs w:val="21"/>
          <w:highlight w:val="none"/>
        </w:rPr>
        <w:t>。</w:t>
      </w:r>
    </w:p>
    <w:p w14:paraId="0E17A4D8">
      <w:pPr>
        <w:ind w:firstLine="420" w:firstLineChars="200"/>
        <w:rPr>
          <w:rFonts w:hint="eastAsia" w:ascii="宋体" w:hAnsi="宋体"/>
          <w:szCs w:val="21"/>
          <w:highlight w:val="none"/>
        </w:rPr>
      </w:pPr>
      <w:r>
        <w:rPr>
          <w:rFonts w:hint="eastAsia" w:ascii="宋体" w:hAnsi="宋体"/>
          <w:szCs w:val="21"/>
          <w:highlight w:val="none"/>
        </w:rPr>
        <w:t>25.2</w:t>
      </w:r>
      <w:r>
        <w:rPr>
          <w:rFonts w:hint="eastAsia" w:ascii="宋体" w:hAnsi="宋体"/>
          <w:szCs w:val="21"/>
          <w:highlight w:val="none"/>
          <w:lang w:eastAsia="zh-CN"/>
        </w:rPr>
        <w:t>代理机构</w:t>
      </w:r>
      <w:r>
        <w:rPr>
          <w:rFonts w:hint="eastAsia" w:ascii="宋体" w:hAnsi="宋体"/>
          <w:szCs w:val="21"/>
          <w:highlight w:val="none"/>
        </w:rPr>
        <w:t>可以按本通用条款第13条规定，通过修改招标文件自行决定酌情延长投标截止期。在此情况下，</w:t>
      </w:r>
      <w:r>
        <w:rPr>
          <w:rFonts w:hint="eastAsia" w:ascii="宋体" w:hAnsi="宋体"/>
          <w:szCs w:val="21"/>
          <w:highlight w:val="none"/>
          <w:lang w:eastAsia="zh-CN"/>
        </w:rPr>
        <w:t>代理机构</w:t>
      </w:r>
      <w:r>
        <w:rPr>
          <w:rFonts w:hint="eastAsia" w:ascii="宋体" w:hAnsi="宋体"/>
          <w:szCs w:val="21"/>
          <w:highlight w:val="none"/>
        </w:rPr>
        <w:t>、采购人和投标人受投标截止期制约的所有权利和义务均应延长至新的截止期。</w:t>
      </w:r>
    </w:p>
    <w:p w14:paraId="7D82E1AC">
      <w:pPr>
        <w:ind w:firstLine="420" w:firstLineChars="200"/>
        <w:rPr>
          <w:rFonts w:hint="eastAsia" w:ascii="宋体" w:hAnsi="宋体"/>
          <w:szCs w:val="21"/>
          <w:highlight w:val="none"/>
        </w:rPr>
      </w:pPr>
      <w:r>
        <w:rPr>
          <w:rFonts w:hint="eastAsia" w:ascii="宋体" w:hAnsi="宋体"/>
          <w:szCs w:val="21"/>
          <w:highlight w:val="none"/>
        </w:rPr>
        <w:t>25</w:t>
      </w:r>
      <w:r>
        <w:rPr>
          <w:rFonts w:ascii="宋体" w:hAnsi="宋体"/>
          <w:szCs w:val="21"/>
          <w:highlight w:val="none"/>
        </w:rPr>
        <w:t>.</w:t>
      </w:r>
      <w:r>
        <w:rPr>
          <w:rFonts w:hint="eastAsia" w:ascii="宋体" w:hAnsi="宋体"/>
          <w:szCs w:val="21"/>
          <w:highlight w:val="none"/>
        </w:rPr>
        <w:t>3投标截止时间以后不得上传投标文件。</w:t>
      </w:r>
    </w:p>
    <w:bookmarkEnd w:id="71"/>
    <w:p w14:paraId="3F1ECB1A">
      <w:pPr>
        <w:ind w:firstLine="420" w:firstLineChars="200"/>
        <w:rPr>
          <w:rFonts w:hint="eastAsia" w:ascii="黑体" w:hAnsi="宋体" w:eastAsia="黑体"/>
          <w:szCs w:val="21"/>
          <w:highlight w:val="none"/>
        </w:rPr>
      </w:pPr>
      <w:r>
        <w:rPr>
          <w:rFonts w:hint="eastAsia" w:ascii="黑体" w:hAnsi="宋体" w:eastAsia="黑体"/>
          <w:szCs w:val="21"/>
          <w:highlight w:val="none"/>
        </w:rPr>
        <w:t>26. 样品、现场演示、方案讲解</w:t>
      </w:r>
    </w:p>
    <w:p w14:paraId="288386F6">
      <w:pPr>
        <w:ind w:firstLine="420" w:firstLineChars="200"/>
        <w:rPr>
          <w:rFonts w:hint="eastAsia" w:ascii="宋体" w:hAnsi="宋体"/>
          <w:szCs w:val="21"/>
          <w:highlight w:val="none"/>
        </w:rPr>
      </w:pPr>
      <w:r>
        <w:rPr>
          <w:rFonts w:hint="eastAsia" w:ascii="宋体" w:hAnsi="宋体"/>
          <w:szCs w:val="21"/>
          <w:highlight w:val="none"/>
        </w:rPr>
        <w:t>26.1 样品、现场演示、方案讲解等事项在招标文件专用条款中进行规定。</w:t>
      </w:r>
    </w:p>
    <w:p w14:paraId="42ABC980">
      <w:pPr>
        <w:ind w:firstLine="420" w:firstLineChars="200"/>
        <w:rPr>
          <w:rFonts w:hint="eastAsia" w:ascii="黑体" w:hAnsi="宋体" w:eastAsia="黑体"/>
          <w:szCs w:val="21"/>
          <w:highlight w:val="none"/>
        </w:rPr>
      </w:pPr>
      <w:bookmarkStart w:id="72" w:name="_Hlk72428346"/>
      <w:r>
        <w:rPr>
          <w:rFonts w:ascii="黑体" w:hAnsi="宋体" w:eastAsia="黑体"/>
          <w:szCs w:val="21"/>
          <w:highlight w:val="none"/>
        </w:rPr>
        <w:t>2</w:t>
      </w:r>
      <w:r>
        <w:rPr>
          <w:rFonts w:hint="eastAsia" w:ascii="黑体" w:hAnsi="宋体" w:eastAsia="黑体"/>
          <w:szCs w:val="21"/>
          <w:highlight w:val="none"/>
        </w:rPr>
        <w:t>7．</w:t>
      </w:r>
      <w:r>
        <w:rPr>
          <w:rFonts w:ascii="黑体" w:hAnsi="宋体" w:eastAsia="黑体"/>
          <w:szCs w:val="21"/>
          <w:highlight w:val="none"/>
        </w:rPr>
        <w:t>投标文件的修改和撤销</w:t>
      </w:r>
    </w:p>
    <w:p w14:paraId="310291A9">
      <w:pPr>
        <w:ind w:firstLine="420" w:firstLineChars="200"/>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7</w:t>
      </w:r>
      <w:r>
        <w:rPr>
          <w:rFonts w:ascii="宋体" w:hAnsi="宋体"/>
          <w:szCs w:val="21"/>
          <w:highlight w:val="none"/>
        </w:rPr>
        <w:t>.</w:t>
      </w:r>
      <w:r>
        <w:rPr>
          <w:rFonts w:hint="eastAsia" w:ascii="宋体" w:hAnsi="宋体"/>
          <w:szCs w:val="21"/>
          <w:highlight w:val="none"/>
        </w:rPr>
        <w:t>1</w:t>
      </w:r>
      <w:r>
        <w:rPr>
          <w:rFonts w:ascii="宋体" w:hAnsi="宋体"/>
          <w:szCs w:val="21"/>
          <w:highlight w:val="none"/>
        </w:rPr>
        <w:t>投标方在提交投标文件后可对其投标文件进行修改</w:t>
      </w:r>
      <w:r>
        <w:rPr>
          <w:rFonts w:hint="eastAsia" w:ascii="宋体" w:hAnsi="宋体"/>
          <w:szCs w:val="21"/>
          <w:highlight w:val="none"/>
        </w:rPr>
        <w:t>并重新上传投标文件</w:t>
      </w:r>
      <w:r>
        <w:rPr>
          <w:rFonts w:ascii="宋体" w:hAnsi="宋体"/>
          <w:szCs w:val="21"/>
          <w:highlight w:val="none"/>
        </w:rPr>
        <w:t>或</w:t>
      </w:r>
      <w:r>
        <w:rPr>
          <w:rFonts w:hint="eastAsia" w:ascii="宋体" w:hAnsi="宋体"/>
          <w:szCs w:val="21"/>
          <w:highlight w:val="none"/>
        </w:rPr>
        <w:t>在网上进行</w:t>
      </w:r>
      <w:r>
        <w:rPr>
          <w:rFonts w:ascii="宋体" w:hAnsi="宋体"/>
          <w:szCs w:val="21"/>
          <w:highlight w:val="none"/>
        </w:rPr>
        <w:t>撤销</w:t>
      </w:r>
      <w:r>
        <w:rPr>
          <w:rFonts w:hint="eastAsia" w:ascii="宋体" w:hAnsi="宋体"/>
          <w:szCs w:val="21"/>
          <w:highlight w:val="none"/>
        </w:rPr>
        <w:t>投标的操作</w:t>
      </w:r>
      <w:r>
        <w:rPr>
          <w:rFonts w:ascii="宋体" w:hAnsi="宋体"/>
          <w:szCs w:val="21"/>
          <w:highlight w:val="none"/>
        </w:rPr>
        <w:t>。</w:t>
      </w:r>
    </w:p>
    <w:p w14:paraId="7369C497">
      <w:pPr>
        <w:ind w:firstLine="420" w:firstLineChars="200"/>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7</w:t>
      </w:r>
      <w:r>
        <w:rPr>
          <w:rFonts w:ascii="宋体" w:hAnsi="宋体"/>
          <w:szCs w:val="21"/>
          <w:highlight w:val="none"/>
        </w:rPr>
        <w:t>.</w:t>
      </w:r>
      <w:r>
        <w:rPr>
          <w:rFonts w:hint="eastAsia" w:ascii="宋体" w:hAnsi="宋体"/>
          <w:szCs w:val="21"/>
          <w:highlight w:val="none"/>
        </w:rPr>
        <w:t>2</w:t>
      </w:r>
      <w:r>
        <w:rPr>
          <w:rFonts w:ascii="宋体" w:hAnsi="宋体"/>
          <w:szCs w:val="21"/>
          <w:highlight w:val="none"/>
        </w:rPr>
        <w:t>投标截止时间以后不得修改投标文件。</w:t>
      </w:r>
    </w:p>
    <w:p w14:paraId="5A647C42">
      <w:pPr>
        <w:ind w:firstLine="420" w:firstLineChars="200"/>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7</w:t>
      </w:r>
      <w:r>
        <w:rPr>
          <w:rFonts w:ascii="宋体" w:hAnsi="宋体"/>
          <w:szCs w:val="21"/>
          <w:highlight w:val="none"/>
        </w:rPr>
        <w:t>.</w:t>
      </w:r>
      <w:r>
        <w:rPr>
          <w:rFonts w:hint="eastAsia" w:ascii="宋体" w:hAnsi="宋体"/>
          <w:szCs w:val="21"/>
          <w:highlight w:val="none"/>
        </w:rPr>
        <w:t>3从投标截止期至投标人在投标文件中确定的投标有效期之间的这段时间内，投标人不得撤回其投标。</w:t>
      </w:r>
    </w:p>
    <w:p w14:paraId="2BA8EBB2">
      <w:pPr>
        <w:ind w:firstLine="420" w:firstLineChars="200"/>
        <w:rPr>
          <w:rFonts w:hint="eastAsia" w:ascii="宋体" w:hAnsi="宋体"/>
          <w:szCs w:val="21"/>
          <w:highlight w:val="none"/>
        </w:rPr>
      </w:pPr>
      <w:r>
        <w:rPr>
          <w:rFonts w:hint="eastAsia" w:ascii="宋体" w:hAnsi="宋体"/>
          <w:szCs w:val="21"/>
          <w:highlight w:val="none"/>
        </w:rPr>
        <w:t>27.4</w:t>
      </w:r>
      <w:r>
        <w:rPr>
          <w:rFonts w:hint="eastAsia" w:ascii="宋体" w:hAnsi="宋体"/>
          <w:szCs w:val="21"/>
          <w:highlight w:val="none"/>
          <w:lang w:eastAsia="zh-CN"/>
        </w:rPr>
        <w:t>代理机构</w:t>
      </w:r>
      <w:r>
        <w:rPr>
          <w:rFonts w:hint="eastAsia" w:ascii="宋体" w:hAnsi="宋体"/>
          <w:szCs w:val="21"/>
          <w:highlight w:val="none"/>
        </w:rPr>
        <w:t>不退还投标文件，专用条款另有规定的除外。</w:t>
      </w:r>
    </w:p>
    <w:bookmarkEnd w:id="72"/>
    <w:p w14:paraId="54F1A1A1">
      <w:pPr>
        <w:pStyle w:val="7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highlight w:val="none"/>
        </w:rPr>
      </w:pPr>
      <w:r>
        <w:rPr>
          <w:rFonts w:hint="eastAsia" w:asciiTheme="majorHAnsi" w:hAnsiTheme="majorHAnsi" w:eastAsiaTheme="majorEastAsia" w:cstheme="majorBidi"/>
          <w:b/>
          <w:bCs/>
          <w:sz w:val="28"/>
          <w:szCs w:val="28"/>
          <w:highlight w:val="none"/>
        </w:rPr>
        <w:t>开标</w:t>
      </w:r>
    </w:p>
    <w:p w14:paraId="34CC08D0">
      <w:pPr>
        <w:wordWrap w:val="0"/>
        <w:ind w:firstLine="420" w:firstLineChars="200"/>
        <w:rPr>
          <w:rFonts w:hint="eastAsia" w:ascii="黑体" w:hAnsi="宋体" w:eastAsia="黑体"/>
          <w:szCs w:val="21"/>
          <w:highlight w:val="none"/>
        </w:rPr>
      </w:pPr>
      <w:r>
        <w:rPr>
          <w:rFonts w:hint="eastAsia" w:ascii="黑体" w:hAnsi="宋体" w:eastAsia="黑体"/>
          <w:szCs w:val="21"/>
          <w:highlight w:val="none"/>
        </w:rPr>
        <w:t>28．开标</w:t>
      </w:r>
    </w:p>
    <w:p w14:paraId="64058F0D">
      <w:pPr>
        <w:wordWrap w:val="0"/>
        <w:ind w:firstLine="420" w:firstLineChars="200"/>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1投标人须在开标当日的开标时间至解密截止时间内进行解密，逾期未解密的作无效处理。解密方法：登录“深圳市自行采购系统（https://trade.szggzy.com/ggzy/center/#/login）”，使用本单位制作电子投标文件同一个电子密钥进行在线解密、查询开标情况。</w:t>
      </w:r>
    </w:p>
    <w:p w14:paraId="244F52B5">
      <w:pPr>
        <w:wordWrap w:val="0"/>
        <w:ind w:firstLine="420" w:firstLineChars="200"/>
        <w:rPr>
          <w:rFonts w:hint="eastAsia" w:ascii="宋体" w:hAnsi="宋体"/>
          <w:szCs w:val="21"/>
          <w:highlight w:val="none"/>
        </w:rPr>
      </w:pPr>
      <w:r>
        <w:rPr>
          <w:rFonts w:hint="eastAsia" w:ascii="宋体" w:hAnsi="宋体"/>
          <w:szCs w:val="21"/>
          <w:highlight w:val="none"/>
        </w:rPr>
        <w:t>28.2</w:t>
      </w:r>
      <w:r>
        <w:rPr>
          <w:rFonts w:hint="eastAsia" w:ascii="宋体" w:hAnsi="宋体"/>
          <w:szCs w:val="21"/>
          <w:highlight w:val="none"/>
          <w:lang w:eastAsia="zh-CN"/>
        </w:rPr>
        <w:t>代理机构</w:t>
      </w:r>
      <w:r>
        <w:rPr>
          <w:rFonts w:hint="eastAsia" w:ascii="宋体" w:hAnsi="宋体"/>
          <w:szCs w:val="21"/>
          <w:highlight w:val="none"/>
        </w:rPr>
        <w:t>将在满足开标条件（①解密时间结束，解密后的投标供应商数量满足开标要求或②解密时间结束前所有投标供应商均完成投标文件解密）后，对投标文件进行开标，并在网上公布开标结果。</w:t>
      </w:r>
    </w:p>
    <w:p w14:paraId="1B013CE7">
      <w:pPr>
        <w:ind w:firstLine="315" w:firstLineChars="150"/>
        <w:rPr>
          <w:rFonts w:hint="eastAsia" w:ascii="宋体" w:hAnsi="宋体"/>
          <w:szCs w:val="21"/>
          <w:highlight w:val="none"/>
        </w:rPr>
      </w:pPr>
    </w:p>
    <w:p w14:paraId="3145D96F">
      <w:pPr>
        <w:pStyle w:val="7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highlight w:val="none"/>
        </w:rPr>
      </w:pPr>
      <w:r>
        <w:rPr>
          <w:rFonts w:hint="eastAsia" w:asciiTheme="majorHAnsi" w:hAnsiTheme="majorHAnsi" w:eastAsiaTheme="majorEastAsia" w:cstheme="majorBidi"/>
          <w:b/>
          <w:bCs/>
          <w:sz w:val="28"/>
          <w:szCs w:val="28"/>
          <w:highlight w:val="none"/>
        </w:rPr>
        <w:t>评审要求</w:t>
      </w:r>
    </w:p>
    <w:p w14:paraId="103C128F">
      <w:pPr>
        <w:ind w:firstLine="420" w:firstLineChars="200"/>
        <w:rPr>
          <w:rFonts w:hint="eastAsia" w:ascii="黑体" w:hAnsi="宋体" w:eastAsia="黑体"/>
          <w:szCs w:val="21"/>
          <w:highlight w:val="none"/>
        </w:rPr>
      </w:pPr>
      <w:r>
        <w:rPr>
          <w:rFonts w:hint="eastAsia" w:ascii="黑体" w:hAnsi="宋体" w:eastAsia="黑体"/>
          <w:szCs w:val="21"/>
          <w:highlight w:val="none"/>
        </w:rPr>
        <w:t>29．评审委员会组成</w:t>
      </w:r>
    </w:p>
    <w:p w14:paraId="16900C1F">
      <w:pPr>
        <w:ind w:firstLine="420" w:firstLineChars="200"/>
        <w:rPr>
          <w:rFonts w:hint="eastAsia" w:ascii="宋体" w:hAnsi="宋体"/>
          <w:szCs w:val="21"/>
          <w:highlight w:val="none"/>
        </w:rPr>
      </w:pPr>
      <w:r>
        <w:rPr>
          <w:rFonts w:hint="eastAsia" w:ascii="宋体" w:hAnsi="宋体"/>
          <w:szCs w:val="21"/>
          <w:highlight w:val="none"/>
        </w:rPr>
        <w:t>29.1网上开标结束后召开评审会议，评审委员会由</w:t>
      </w:r>
      <w:r>
        <w:rPr>
          <w:rFonts w:hint="eastAsia" w:ascii="宋体" w:hAnsi="宋体"/>
          <w:szCs w:val="21"/>
          <w:highlight w:val="none"/>
          <w:lang w:eastAsia="zh-CN"/>
        </w:rPr>
        <w:t>代理机构</w:t>
      </w:r>
      <w:r>
        <w:rPr>
          <w:rFonts w:hint="eastAsia" w:ascii="宋体" w:hAnsi="宋体"/>
          <w:szCs w:val="21"/>
          <w:highlight w:val="none"/>
        </w:rPr>
        <w:t>依法组建，负责评审活动。</w:t>
      </w:r>
    </w:p>
    <w:p w14:paraId="6F16B5E8">
      <w:pPr>
        <w:ind w:firstLine="420" w:firstLineChars="200"/>
        <w:rPr>
          <w:rFonts w:hint="eastAsia" w:ascii="宋体" w:hAnsi="宋体"/>
          <w:szCs w:val="21"/>
          <w:highlight w:val="none"/>
        </w:rPr>
      </w:pPr>
      <w:bookmarkStart w:id="73" w:name="_Hlk72436580"/>
      <w:r>
        <w:rPr>
          <w:rFonts w:hint="eastAsia" w:ascii="宋体" w:hAnsi="宋体"/>
          <w:szCs w:val="21"/>
          <w:highlight w:val="none"/>
        </w:rPr>
        <w:t>评审委员会由采购人代表和评审专家组成，成员人数应当为5人以上单数（部分条件下为7人以上单数），其中评审专家不得少于成员总数的三分之二。</w:t>
      </w:r>
      <w:bookmarkEnd w:id="73"/>
      <w:r>
        <w:rPr>
          <w:rFonts w:hint="eastAsia" w:ascii="宋体" w:hAnsi="宋体"/>
          <w:szCs w:val="21"/>
          <w:highlight w:val="none"/>
        </w:rPr>
        <w:t>评定</w:t>
      </w:r>
      <w:r>
        <w:rPr>
          <w:rFonts w:hint="eastAsia"/>
          <w:szCs w:val="21"/>
          <w:highlight w:val="none"/>
        </w:rPr>
        <w:t>分离项目</w:t>
      </w:r>
      <w:r>
        <w:rPr>
          <w:szCs w:val="21"/>
          <w:highlight w:val="none"/>
        </w:rPr>
        <w:t>评审专家</w:t>
      </w:r>
      <w:r>
        <w:rPr>
          <w:rFonts w:hint="eastAsia"/>
          <w:szCs w:val="21"/>
          <w:highlight w:val="none"/>
        </w:rPr>
        <w:t>均</w:t>
      </w:r>
      <w:r>
        <w:rPr>
          <w:szCs w:val="21"/>
          <w:highlight w:val="none"/>
        </w:rPr>
        <w:t>由</w:t>
      </w:r>
      <w:r>
        <w:rPr>
          <w:rFonts w:hint="eastAsia"/>
          <w:szCs w:val="21"/>
          <w:highlight w:val="none"/>
        </w:rPr>
        <w:t>评审专家组成。</w:t>
      </w:r>
      <w:r>
        <w:rPr>
          <w:rFonts w:hint="eastAsia" w:ascii="宋体" w:hAnsi="宋体"/>
          <w:szCs w:val="21"/>
          <w:highlight w:val="none"/>
        </w:rPr>
        <w:t>评审专家一般是从深圳市政府采购评审专家库中随机抽取。采购人代表须持本单位签发的《评审授权书》参加评审。</w:t>
      </w:r>
    </w:p>
    <w:p w14:paraId="58A2AD8B">
      <w:pPr>
        <w:ind w:firstLine="420" w:firstLineChars="200"/>
        <w:rPr>
          <w:rFonts w:hint="eastAsia" w:ascii="宋体" w:hAnsi="宋体"/>
          <w:szCs w:val="21"/>
          <w:highlight w:val="none"/>
        </w:rPr>
      </w:pPr>
      <w:r>
        <w:rPr>
          <w:rFonts w:hint="eastAsia" w:ascii="宋体" w:hAnsi="宋体"/>
          <w:szCs w:val="21"/>
          <w:highlight w:val="none"/>
        </w:rPr>
        <w:t>29.2评审定标应当遵循公平、公正、科学、择优的原则。</w:t>
      </w:r>
    </w:p>
    <w:p w14:paraId="2DAED2CA">
      <w:pPr>
        <w:ind w:firstLine="420" w:firstLineChars="200"/>
        <w:rPr>
          <w:rFonts w:hint="eastAsia" w:ascii="宋体" w:hAnsi="宋体"/>
          <w:szCs w:val="21"/>
          <w:highlight w:val="none"/>
        </w:rPr>
      </w:pPr>
      <w:r>
        <w:rPr>
          <w:rFonts w:hint="eastAsia" w:ascii="宋体" w:hAnsi="宋体"/>
          <w:szCs w:val="21"/>
          <w:highlight w:val="none"/>
        </w:rPr>
        <w:t>29.3评审活动依法进行，任何单位和个人不得非法干预评标过程和结果。</w:t>
      </w:r>
    </w:p>
    <w:p w14:paraId="4ACB5B29">
      <w:pPr>
        <w:ind w:firstLine="420" w:firstLineChars="200"/>
        <w:rPr>
          <w:rFonts w:hint="eastAsia" w:ascii="宋体" w:hAnsi="宋体"/>
          <w:szCs w:val="21"/>
          <w:highlight w:val="none"/>
        </w:rPr>
      </w:pPr>
      <w:r>
        <w:rPr>
          <w:rFonts w:hint="eastAsia" w:ascii="宋体" w:hAnsi="宋体"/>
          <w:szCs w:val="21"/>
          <w:highlight w:val="none"/>
        </w:rPr>
        <w:t>29.4评审过程中不允许违背评标程序或采用招标文件未载明的评标方法或评标因素进行评标。</w:t>
      </w:r>
    </w:p>
    <w:p w14:paraId="0B1C07AB">
      <w:pPr>
        <w:ind w:firstLine="420" w:firstLineChars="200"/>
        <w:rPr>
          <w:rFonts w:hint="eastAsia" w:ascii="宋体" w:hAnsi="宋体"/>
          <w:bCs/>
          <w:szCs w:val="21"/>
          <w:highlight w:val="none"/>
        </w:rPr>
      </w:pPr>
      <w:r>
        <w:rPr>
          <w:rFonts w:hint="eastAsia" w:ascii="宋体" w:hAnsi="宋体"/>
          <w:bCs/>
          <w:szCs w:val="21"/>
          <w:highlight w:val="none"/>
        </w:rPr>
        <w:t>29.5 开标后，直到签订合同为止，凡属于对投标文件的审查、澄清、评价和比较的有关资料以及中标候选人的推荐情况、与评审有关的其他任何情况均严格保密（</w:t>
      </w:r>
      <w:r>
        <w:rPr>
          <w:rFonts w:hint="eastAsia"/>
          <w:szCs w:val="21"/>
          <w:highlight w:val="none"/>
        </w:rPr>
        <w:t>信息公开的内容除外</w:t>
      </w:r>
      <w:r>
        <w:rPr>
          <w:rFonts w:hint="eastAsia" w:ascii="宋体" w:hAnsi="宋体"/>
          <w:bCs/>
          <w:szCs w:val="21"/>
          <w:highlight w:val="none"/>
        </w:rPr>
        <w:t>）。</w:t>
      </w:r>
    </w:p>
    <w:p w14:paraId="128C8C18">
      <w:pPr>
        <w:ind w:firstLine="420" w:firstLineChars="200"/>
        <w:rPr>
          <w:rFonts w:hint="eastAsia" w:ascii="黑体" w:hAnsi="宋体" w:eastAsia="黑体"/>
          <w:szCs w:val="21"/>
          <w:highlight w:val="none"/>
        </w:rPr>
      </w:pPr>
      <w:r>
        <w:rPr>
          <w:rFonts w:hint="eastAsia" w:ascii="黑体" w:hAnsi="宋体" w:eastAsia="黑体"/>
          <w:szCs w:val="21"/>
          <w:highlight w:val="none"/>
        </w:rPr>
        <w:t>30．向评审委员会提供的资料</w:t>
      </w:r>
    </w:p>
    <w:p w14:paraId="1D01FF7F">
      <w:pPr>
        <w:ind w:firstLine="420" w:firstLineChars="200"/>
        <w:rPr>
          <w:rFonts w:hint="eastAsia" w:ascii="宋体" w:hAnsi="宋体"/>
          <w:szCs w:val="21"/>
          <w:highlight w:val="none"/>
        </w:rPr>
      </w:pPr>
      <w:r>
        <w:rPr>
          <w:rFonts w:hint="eastAsia" w:ascii="宋体" w:hAnsi="宋体"/>
          <w:szCs w:val="21"/>
          <w:highlight w:val="none"/>
        </w:rPr>
        <w:t>30.1公开发布的招标文件，包括图纸、服务清单、答疑文件等；</w:t>
      </w:r>
    </w:p>
    <w:p w14:paraId="0DF83A89">
      <w:pPr>
        <w:ind w:firstLine="420" w:firstLineChars="200"/>
        <w:rPr>
          <w:rFonts w:hint="eastAsia" w:ascii="宋体" w:hAnsi="宋体"/>
          <w:szCs w:val="21"/>
          <w:highlight w:val="none"/>
        </w:rPr>
      </w:pPr>
      <w:r>
        <w:rPr>
          <w:rFonts w:hint="eastAsia" w:ascii="宋体" w:hAnsi="宋体"/>
          <w:szCs w:val="21"/>
          <w:highlight w:val="none"/>
        </w:rPr>
        <w:t>30.2其他评标必须的资料。</w:t>
      </w:r>
    </w:p>
    <w:p w14:paraId="3C4E88FB">
      <w:pPr>
        <w:ind w:firstLine="420" w:firstLineChars="200"/>
        <w:rPr>
          <w:rFonts w:hint="eastAsia" w:ascii="宋体" w:hAnsi="宋体"/>
          <w:szCs w:val="21"/>
          <w:highlight w:val="none"/>
        </w:rPr>
      </w:pPr>
      <w:r>
        <w:rPr>
          <w:rFonts w:hint="eastAsia" w:ascii="宋体" w:hAnsi="宋体"/>
          <w:szCs w:val="21"/>
          <w:highlight w:val="none"/>
        </w:rPr>
        <w:t>30.3评审委员会应当认真研究招标文件，至少应了解熟悉以下内容：</w:t>
      </w:r>
    </w:p>
    <w:p w14:paraId="37EBC942">
      <w:pPr>
        <w:ind w:firstLine="420" w:firstLineChars="200"/>
        <w:rPr>
          <w:rFonts w:hint="eastAsia" w:ascii="宋体" w:hAnsi="宋体"/>
          <w:szCs w:val="21"/>
          <w:highlight w:val="none"/>
        </w:rPr>
      </w:pPr>
      <w:r>
        <w:rPr>
          <w:rFonts w:hint="eastAsia" w:ascii="宋体" w:hAnsi="宋体"/>
          <w:szCs w:val="21"/>
          <w:highlight w:val="none"/>
        </w:rPr>
        <w:t>（1）招标的目的；</w:t>
      </w:r>
    </w:p>
    <w:p w14:paraId="5BB225BF">
      <w:pPr>
        <w:ind w:firstLine="420" w:firstLineChars="200"/>
        <w:rPr>
          <w:rFonts w:hint="eastAsia" w:ascii="宋体" w:hAnsi="宋体"/>
          <w:szCs w:val="21"/>
          <w:highlight w:val="none"/>
        </w:rPr>
      </w:pPr>
      <w:r>
        <w:rPr>
          <w:rFonts w:hint="eastAsia" w:ascii="宋体" w:hAnsi="宋体"/>
          <w:szCs w:val="21"/>
          <w:highlight w:val="none"/>
        </w:rPr>
        <w:t>（2）招标项目需求的范围和性质；</w:t>
      </w:r>
    </w:p>
    <w:p w14:paraId="5AF8CEBE">
      <w:pPr>
        <w:ind w:firstLine="420" w:firstLineChars="200"/>
        <w:rPr>
          <w:rFonts w:hint="eastAsia" w:ascii="宋体" w:hAnsi="宋体"/>
          <w:szCs w:val="21"/>
          <w:highlight w:val="none"/>
        </w:rPr>
      </w:pPr>
      <w:r>
        <w:rPr>
          <w:rFonts w:hint="eastAsia" w:ascii="宋体" w:hAnsi="宋体"/>
          <w:szCs w:val="21"/>
          <w:highlight w:val="none"/>
        </w:rPr>
        <w:t>（3）招标文件规定的投标人的资格、财政预算限额、商务条款；</w:t>
      </w:r>
    </w:p>
    <w:p w14:paraId="37010BBA">
      <w:pPr>
        <w:ind w:firstLine="420" w:firstLineChars="200"/>
        <w:rPr>
          <w:rFonts w:hint="eastAsia" w:ascii="宋体" w:hAnsi="宋体"/>
          <w:szCs w:val="21"/>
          <w:highlight w:val="none"/>
        </w:rPr>
      </w:pPr>
      <w:r>
        <w:rPr>
          <w:rFonts w:hint="eastAsia" w:ascii="宋体" w:hAnsi="宋体"/>
          <w:szCs w:val="21"/>
          <w:highlight w:val="none"/>
        </w:rPr>
        <w:t>（4）招标文件规定的评标程序、评标方法和评标因素；</w:t>
      </w:r>
    </w:p>
    <w:p w14:paraId="0057D998">
      <w:pPr>
        <w:ind w:firstLine="420" w:firstLineChars="200"/>
        <w:rPr>
          <w:rFonts w:hint="eastAsia" w:ascii="宋体" w:hAnsi="宋体"/>
          <w:szCs w:val="21"/>
          <w:highlight w:val="none"/>
        </w:rPr>
      </w:pPr>
      <w:r>
        <w:rPr>
          <w:rFonts w:hint="eastAsia" w:ascii="宋体" w:hAnsi="宋体"/>
          <w:szCs w:val="21"/>
          <w:highlight w:val="none"/>
        </w:rPr>
        <w:t>（5）招标文件所列示的资格性审查表及符合性审查表。</w:t>
      </w:r>
    </w:p>
    <w:p w14:paraId="1ACC2106">
      <w:pPr>
        <w:ind w:firstLine="420" w:firstLineChars="200"/>
        <w:rPr>
          <w:rFonts w:hint="eastAsia" w:ascii="黑体" w:hAnsi="宋体" w:eastAsia="黑体"/>
          <w:szCs w:val="21"/>
          <w:highlight w:val="none"/>
        </w:rPr>
      </w:pPr>
      <w:r>
        <w:rPr>
          <w:rFonts w:hint="eastAsia" w:ascii="黑体" w:hAnsi="宋体" w:eastAsia="黑体"/>
          <w:szCs w:val="21"/>
          <w:highlight w:val="none"/>
        </w:rPr>
        <w:t>31．独立评审</w:t>
      </w:r>
    </w:p>
    <w:p w14:paraId="0DDD9BDA">
      <w:pPr>
        <w:ind w:firstLine="420" w:firstLineChars="200"/>
        <w:rPr>
          <w:rFonts w:hint="eastAsia" w:ascii="宋体" w:hAnsi="宋体"/>
          <w:bCs/>
          <w:szCs w:val="21"/>
          <w:highlight w:val="none"/>
        </w:rPr>
      </w:pPr>
      <w:r>
        <w:rPr>
          <w:rFonts w:hint="eastAsia" w:ascii="宋体" w:hAnsi="宋体"/>
          <w:bCs/>
          <w:szCs w:val="21"/>
          <w:highlight w:val="none"/>
        </w:rPr>
        <w:t>3</w:t>
      </w:r>
      <w:r>
        <w:rPr>
          <w:rFonts w:ascii="宋体" w:hAnsi="宋体"/>
          <w:bCs/>
          <w:szCs w:val="21"/>
          <w:highlight w:val="none"/>
        </w:rPr>
        <w:t>1</w:t>
      </w:r>
      <w:r>
        <w:rPr>
          <w:rFonts w:hint="eastAsia" w:ascii="宋体" w:hAnsi="宋体"/>
          <w:bCs/>
          <w:szCs w:val="21"/>
          <w:highlight w:val="none"/>
        </w:rPr>
        <w:t>.1</w:t>
      </w:r>
      <w:r>
        <w:rPr>
          <w:rFonts w:hint="eastAsia" w:ascii="宋体" w:hAnsi="宋体"/>
          <w:szCs w:val="21"/>
          <w:highlight w:val="none"/>
        </w:rPr>
        <w:t>评审委员会</w:t>
      </w:r>
      <w:r>
        <w:rPr>
          <w:rFonts w:hint="eastAsia" w:ascii="宋体" w:hAnsi="宋体"/>
          <w:bCs/>
          <w:szCs w:val="21"/>
          <w:highlight w:val="none"/>
        </w:rPr>
        <w:t>成员的评标活动应当独立进行，并应遵循投标文件初审、澄清有关问题、比较与评价、确定中标供应商、编写评审报告的工作程序。</w:t>
      </w:r>
    </w:p>
    <w:p w14:paraId="0B9B3ABC">
      <w:pPr>
        <w:ind w:firstLine="411" w:firstLineChars="196"/>
        <w:rPr>
          <w:rFonts w:hint="eastAsia" w:ascii="宋体" w:hAnsi="宋体"/>
          <w:bCs/>
          <w:szCs w:val="21"/>
          <w:highlight w:val="none"/>
        </w:rPr>
      </w:pPr>
    </w:p>
    <w:p w14:paraId="17A23E5D">
      <w:pPr>
        <w:pStyle w:val="7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highlight w:val="none"/>
        </w:rPr>
      </w:pPr>
      <w:r>
        <w:rPr>
          <w:rFonts w:hint="eastAsia" w:asciiTheme="majorHAnsi" w:hAnsiTheme="majorHAnsi" w:eastAsiaTheme="majorEastAsia" w:cstheme="majorBidi"/>
          <w:b/>
          <w:bCs/>
          <w:sz w:val="28"/>
          <w:szCs w:val="28"/>
          <w:highlight w:val="none"/>
        </w:rPr>
        <w:t>评审程序及评审方法</w:t>
      </w:r>
    </w:p>
    <w:p w14:paraId="45D3081A">
      <w:pPr>
        <w:ind w:firstLine="420" w:firstLineChars="200"/>
        <w:rPr>
          <w:rFonts w:hint="eastAsia" w:ascii="黑体" w:hAnsi="宋体" w:eastAsia="黑体"/>
          <w:szCs w:val="21"/>
          <w:highlight w:val="none"/>
        </w:rPr>
      </w:pPr>
      <w:r>
        <w:rPr>
          <w:rFonts w:hint="eastAsia" w:ascii="黑体" w:hAnsi="宋体" w:eastAsia="黑体"/>
          <w:szCs w:val="21"/>
          <w:highlight w:val="none"/>
        </w:rPr>
        <w:t>32．投标文件初审</w:t>
      </w:r>
    </w:p>
    <w:p w14:paraId="1455252C">
      <w:pPr>
        <w:ind w:firstLine="420" w:firstLineChars="200"/>
        <w:rPr>
          <w:rFonts w:hint="eastAsia" w:ascii="宋体" w:hAnsi="宋体"/>
          <w:szCs w:val="21"/>
          <w:highlight w:val="none"/>
        </w:rPr>
      </w:pPr>
      <w:r>
        <w:rPr>
          <w:rFonts w:hint="eastAsia" w:ascii="宋体" w:hAnsi="宋体"/>
          <w:szCs w:val="21"/>
          <w:highlight w:val="none"/>
        </w:rPr>
        <w:t>32.1投标文件初审包括资格性审查和符合性审查。</w:t>
      </w:r>
    </w:p>
    <w:p w14:paraId="19F85571">
      <w:pPr>
        <w:ind w:firstLine="420" w:firstLineChars="200"/>
        <w:rPr>
          <w:rFonts w:hint="eastAsia" w:ascii="宋体" w:hAnsi="宋体"/>
          <w:szCs w:val="21"/>
          <w:highlight w:val="none"/>
        </w:rPr>
      </w:pPr>
      <w:r>
        <w:rPr>
          <w:rFonts w:hint="eastAsia" w:ascii="宋体" w:hAnsi="宋体"/>
          <w:szCs w:val="21"/>
          <w:highlight w:val="none"/>
        </w:rPr>
        <w:t>资格性审查：依据法律法规和招标文件的规定，对投标文件中的资格证明等进行审查，以确定投标供应商是否具备投标资格。</w:t>
      </w:r>
    </w:p>
    <w:p w14:paraId="7034CBA5">
      <w:pPr>
        <w:ind w:firstLine="420" w:firstLineChars="200"/>
        <w:rPr>
          <w:rFonts w:hint="eastAsia" w:ascii="宋体" w:hAnsi="宋体"/>
          <w:szCs w:val="21"/>
          <w:highlight w:val="none"/>
        </w:rPr>
      </w:pPr>
      <w:r>
        <w:rPr>
          <w:rFonts w:hint="eastAsia" w:ascii="宋体" w:hAnsi="宋体"/>
          <w:szCs w:val="21"/>
          <w:highlight w:val="none"/>
        </w:rPr>
        <w:t>符合性审查：依据招标文件的规定，对投标文件的有效性、完整性和对招标文件的响应程度进行审查，以确定是否满足符合性审查的要求。</w:t>
      </w:r>
    </w:p>
    <w:p w14:paraId="11D8497C">
      <w:pPr>
        <w:ind w:firstLine="420" w:firstLineChars="200"/>
        <w:rPr>
          <w:rFonts w:hint="eastAsia" w:ascii="宋体" w:hAnsi="宋体"/>
          <w:szCs w:val="21"/>
          <w:highlight w:val="none"/>
        </w:rPr>
      </w:pPr>
      <w:r>
        <w:rPr>
          <w:rFonts w:hint="eastAsia" w:ascii="宋体" w:hAnsi="宋体"/>
          <w:szCs w:val="21"/>
          <w:highlight w:val="none"/>
        </w:rPr>
        <w:t>32.2 投标文件初审内容请详见《资格性审查表》和《符合性审查表》部分。投标人若有一条审查不通过则按投标无效处理。</w:t>
      </w:r>
    </w:p>
    <w:p w14:paraId="336D6C69">
      <w:pPr>
        <w:ind w:firstLine="420" w:firstLineChars="200"/>
        <w:rPr>
          <w:rFonts w:hint="eastAsia" w:ascii="宋体" w:hAnsi="宋体"/>
          <w:bCs/>
          <w:szCs w:val="21"/>
          <w:highlight w:val="none"/>
        </w:rPr>
      </w:pPr>
      <w:r>
        <w:rPr>
          <w:rFonts w:hint="eastAsia" w:ascii="宋体" w:hAnsi="宋体"/>
          <w:bCs/>
          <w:szCs w:val="21"/>
          <w:highlight w:val="none"/>
        </w:rPr>
        <w:t>32.3 投标文件初审中关于供应商家数的计算:</w:t>
      </w:r>
    </w:p>
    <w:p w14:paraId="09BD52D0">
      <w:pPr>
        <w:ind w:firstLine="420" w:firstLineChars="200"/>
        <w:rPr>
          <w:rFonts w:hint="eastAsia" w:ascii="宋体" w:hAnsi="宋体"/>
          <w:bCs/>
          <w:szCs w:val="21"/>
          <w:highlight w:val="none"/>
        </w:rPr>
      </w:pPr>
      <w:r>
        <w:rPr>
          <w:rFonts w:hint="eastAsia" w:ascii="宋体" w:hAnsi="宋体"/>
          <w:bCs/>
          <w:szCs w:val="21"/>
          <w:highlight w:val="none"/>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250BEA1A">
      <w:pPr>
        <w:ind w:firstLine="420" w:firstLineChars="200"/>
        <w:rPr>
          <w:rFonts w:hint="eastAsia" w:ascii="宋体" w:hAnsi="宋体"/>
          <w:bCs/>
          <w:szCs w:val="21"/>
          <w:highlight w:val="none"/>
        </w:rPr>
      </w:pPr>
      <w:r>
        <w:rPr>
          <w:rFonts w:hint="eastAsia" w:ascii="宋体" w:hAnsi="宋体"/>
          <w:bCs/>
          <w:szCs w:val="21"/>
          <w:highlight w:val="none"/>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4CA9AFC1">
      <w:pPr>
        <w:ind w:firstLine="420" w:firstLineChars="200"/>
        <w:rPr>
          <w:rFonts w:hint="eastAsia" w:ascii="宋体" w:hAnsi="宋体"/>
          <w:bCs/>
          <w:szCs w:val="21"/>
          <w:highlight w:val="none"/>
        </w:rPr>
      </w:pPr>
      <w:r>
        <w:rPr>
          <w:rFonts w:hint="eastAsia" w:ascii="宋体" w:hAnsi="宋体"/>
          <w:bCs/>
          <w:szCs w:val="21"/>
          <w:highlight w:val="none"/>
        </w:rPr>
        <w:t>32.3.3非单一产品采购项目，采购人应当根据采购项目技术构成、产品价格比重等合理确定核心产品，并在招标文件中载明。多家投标人提供的核心产品品牌相同的，按前两款规定处理。</w:t>
      </w:r>
    </w:p>
    <w:p w14:paraId="265B21A7">
      <w:pPr>
        <w:ind w:firstLine="420" w:firstLineChars="200"/>
        <w:rPr>
          <w:rFonts w:hint="eastAsia" w:ascii="宋体" w:hAnsi="宋体"/>
          <w:szCs w:val="21"/>
          <w:highlight w:val="none"/>
        </w:rPr>
      </w:pPr>
      <w:r>
        <w:rPr>
          <w:rFonts w:hint="eastAsia" w:ascii="宋体" w:hAnsi="宋体"/>
          <w:szCs w:val="21"/>
          <w:highlight w:val="none"/>
        </w:rPr>
        <w:t>32.4投标人投标文件作无效处理的情形，具体包括但不限于以下：</w:t>
      </w:r>
    </w:p>
    <w:p w14:paraId="608B12DA">
      <w:pPr>
        <w:ind w:firstLine="420" w:firstLineChars="200"/>
        <w:rPr>
          <w:szCs w:val="21"/>
          <w:highlight w:val="none"/>
        </w:rPr>
      </w:pPr>
      <w:r>
        <w:rPr>
          <w:rFonts w:hint="eastAsia" w:ascii="宋体" w:hAnsi="宋体"/>
          <w:szCs w:val="21"/>
          <w:highlight w:val="none"/>
        </w:rPr>
        <w:t>32.4.1</w:t>
      </w:r>
      <w:r>
        <w:rPr>
          <w:rFonts w:hint="eastAsia"/>
          <w:szCs w:val="21"/>
          <w:highlight w:val="none"/>
        </w:rPr>
        <w:t>不同投标人的投标文件由同一单位或者同一个人编制，或者由同一个人分阶段参与编制；</w:t>
      </w:r>
    </w:p>
    <w:p w14:paraId="6EEF3675">
      <w:pPr>
        <w:ind w:firstLine="420" w:firstLineChars="200"/>
        <w:rPr>
          <w:szCs w:val="21"/>
          <w:highlight w:val="none"/>
        </w:rPr>
      </w:pPr>
      <w:r>
        <w:rPr>
          <w:rFonts w:ascii="宋体" w:hAnsi="宋体"/>
          <w:szCs w:val="21"/>
          <w:highlight w:val="none"/>
        </w:rPr>
        <w:t>32.4.</w:t>
      </w:r>
      <w:r>
        <w:rPr>
          <w:rFonts w:hint="eastAsia" w:ascii="宋体" w:hAnsi="宋体"/>
          <w:szCs w:val="21"/>
          <w:highlight w:val="none"/>
        </w:rPr>
        <w:t>2</w:t>
      </w:r>
      <w:r>
        <w:rPr>
          <w:rFonts w:hint="eastAsia"/>
          <w:szCs w:val="21"/>
          <w:highlight w:val="none"/>
        </w:rPr>
        <w:t>不同投标人委托同一单位或者个人办理投标事宜；</w:t>
      </w:r>
    </w:p>
    <w:p w14:paraId="29998160">
      <w:pPr>
        <w:ind w:firstLine="420" w:firstLineChars="200"/>
        <w:rPr>
          <w:rFonts w:hint="eastAsia" w:ascii="宋体" w:hAnsi="宋体"/>
          <w:szCs w:val="21"/>
          <w:highlight w:val="none"/>
        </w:rPr>
      </w:pPr>
      <w:r>
        <w:rPr>
          <w:rFonts w:hint="eastAsia" w:ascii="宋体" w:hAnsi="宋体"/>
          <w:szCs w:val="21"/>
          <w:highlight w:val="none"/>
        </w:rPr>
        <w:t>32.4.3不同投标人的投标文件载明的项目管理成员或者联系人员为同一人；</w:t>
      </w:r>
    </w:p>
    <w:p w14:paraId="26D331EF">
      <w:pPr>
        <w:ind w:firstLine="420" w:firstLineChars="200"/>
        <w:rPr>
          <w:rFonts w:hint="eastAsia" w:ascii="宋体" w:hAnsi="宋体"/>
          <w:szCs w:val="21"/>
          <w:highlight w:val="none"/>
        </w:rPr>
      </w:pPr>
      <w:r>
        <w:rPr>
          <w:rFonts w:hint="eastAsia" w:ascii="宋体" w:hAnsi="宋体"/>
          <w:szCs w:val="21"/>
          <w:highlight w:val="none"/>
        </w:rPr>
        <w:t>32.4.4不同投标人的投标文件异常一致或者投标报价呈规律性差异；</w:t>
      </w:r>
    </w:p>
    <w:p w14:paraId="324EB46C">
      <w:pPr>
        <w:ind w:firstLine="420" w:firstLineChars="200"/>
        <w:rPr>
          <w:rFonts w:hint="eastAsia" w:ascii="宋体" w:hAnsi="宋体"/>
          <w:szCs w:val="21"/>
          <w:highlight w:val="none"/>
        </w:rPr>
      </w:pPr>
      <w:r>
        <w:rPr>
          <w:rFonts w:hint="eastAsia" w:ascii="宋体" w:hAnsi="宋体"/>
          <w:szCs w:val="21"/>
          <w:highlight w:val="none"/>
        </w:rPr>
        <w:t>32.4.5</w:t>
      </w:r>
      <w:r>
        <w:rPr>
          <w:rFonts w:ascii="宋体" w:hAnsi="宋体"/>
          <w:szCs w:val="21"/>
          <w:highlight w:val="none"/>
        </w:rPr>
        <w:t>不同投标供应商的投标文件或部分投标文件相互混装</w:t>
      </w:r>
      <w:r>
        <w:rPr>
          <w:rFonts w:hint="eastAsia" w:ascii="宋体" w:hAnsi="宋体"/>
          <w:szCs w:val="21"/>
          <w:highlight w:val="none"/>
        </w:rPr>
        <w:t>；</w:t>
      </w:r>
    </w:p>
    <w:p w14:paraId="5941DE54">
      <w:pPr>
        <w:ind w:firstLine="420" w:firstLineChars="200"/>
        <w:rPr>
          <w:rFonts w:hint="eastAsia" w:ascii="宋体" w:hAnsi="宋体"/>
          <w:szCs w:val="21"/>
          <w:highlight w:val="none"/>
        </w:rPr>
      </w:pPr>
      <w:r>
        <w:rPr>
          <w:rFonts w:hint="eastAsia" w:ascii="宋体" w:hAnsi="宋体"/>
          <w:szCs w:val="21"/>
          <w:highlight w:val="none"/>
        </w:rPr>
        <w:t>32.4.6投标供应商之间相互约定给予未中标的供应商利益补偿；</w:t>
      </w:r>
    </w:p>
    <w:p w14:paraId="713F6A57">
      <w:pPr>
        <w:ind w:firstLine="420" w:firstLineChars="200"/>
        <w:rPr>
          <w:rFonts w:hint="eastAsia" w:ascii="宋体" w:hAnsi="宋体"/>
          <w:szCs w:val="21"/>
          <w:highlight w:val="none"/>
        </w:rPr>
      </w:pPr>
      <w:r>
        <w:rPr>
          <w:rFonts w:hint="eastAsia" w:ascii="宋体" w:hAnsi="宋体"/>
          <w:szCs w:val="21"/>
          <w:highlight w:val="none"/>
        </w:rPr>
        <w:t>32.4.7不同投标供应商的法定代表人、主要经营负责人、项目投标授权代表人、项目负责人、主要技术人员为同一人、属同一单位或者同一单位缴纳社会保险；</w:t>
      </w:r>
    </w:p>
    <w:p w14:paraId="0C365F25">
      <w:pPr>
        <w:ind w:firstLine="420" w:firstLineChars="200"/>
        <w:rPr>
          <w:rFonts w:hint="eastAsia" w:ascii="宋体" w:hAnsi="宋体"/>
          <w:szCs w:val="21"/>
          <w:highlight w:val="none"/>
        </w:rPr>
      </w:pPr>
      <w:r>
        <w:rPr>
          <w:rFonts w:hint="eastAsia" w:ascii="宋体" w:hAnsi="宋体"/>
          <w:szCs w:val="21"/>
          <w:highlight w:val="none"/>
        </w:rPr>
        <w:t>32.4.8不同投标供应商的投标文件内容存在非正常一致；</w:t>
      </w:r>
    </w:p>
    <w:p w14:paraId="06BDF17C">
      <w:pPr>
        <w:ind w:firstLine="420" w:firstLineChars="200"/>
        <w:rPr>
          <w:rFonts w:hint="eastAsia" w:ascii="宋体" w:hAnsi="宋体"/>
          <w:szCs w:val="21"/>
          <w:highlight w:val="none"/>
        </w:rPr>
      </w:pPr>
      <w:r>
        <w:rPr>
          <w:rFonts w:hint="eastAsia" w:ascii="宋体" w:hAnsi="宋体"/>
          <w:szCs w:val="21"/>
          <w:highlight w:val="none"/>
        </w:rPr>
        <w:t>32.4.9在同一单位工作人员为两家以上（含两家）供应商进行同一项投标活动；</w:t>
      </w:r>
    </w:p>
    <w:p w14:paraId="170F672A">
      <w:pPr>
        <w:ind w:firstLine="420" w:firstLineChars="200"/>
        <w:rPr>
          <w:rFonts w:hint="eastAsia" w:ascii="宋体" w:hAnsi="宋体"/>
          <w:szCs w:val="21"/>
          <w:highlight w:val="none"/>
        </w:rPr>
      </w:pPr>
      <w:r>
        <w:rPr>
          <w:rFonts w:hint="eastAsia" w:ascii="宋体" w:hAnsi="宋体"/>
          <w:szCs w:val="21"/>
          <w:highlight w:val="none"/>
        </w:rPr>
        <w:t>32.4.10主管部门依照法律、法规认定的其他情形。</w:t>
      </w:r>
    </w:p>
    <w:p w14:paraId="7C9FD449">
      <w:pPr>
        <w:ind w:firstLine="420" w:firstLineChars="200"/>
        <w:rPr>
          <w:rFonts w:hint="eastAsia" w:ascii="宋体" w:hAnsi="宋体"/>
          <w:szCs w:val="21"/>
          <w:highlight w:val="none"/>
        </w:rPr>
      </w:pPr>
      <w:r>
        <w:rPr>
          <w:rFonts w:hint="eastAsia" w:ascii="宋体" w:hAnsi="宋体"/>
          <w:szCs w:val="21"/>
          <w:highlight w:val="none"/>
        </w:rPr>
        <w:t>32.5对不属于《资格性审查表》和《符合性审查表》所列的其他情形，除专用条款另有规定和32.4条款所列情形外，不得作为投标无效的理由。</w:t>
      </w:r>
    </w:p>
    <w:p w14:paraId="5B191292">
      <w:pPr>
        <w:ind w:firstLine="420" w:firstLineChars="200"/>
        <w:rPr>
          <w:rFonts w:hint="eastAsia" w:ascii="黑体" w:hAnsi="宋体" w:eastAsia="黑体"/>
          <w:szCs w:val="21"/>
          <w:highlight w:val="none"/>
        </w:rPr>
      </w:pPr>
      <w:r>
        <w:rPr>
          <w:rFonts w:hint="eastAsia" w:ascii="黑体" w:hAnsi="宋体" w:eastAsia="黑体"/>
          <w:szCs w:val="21"/>
          <w:highlight w:val="none"/>
        </w:rPr>
        <w:t>33．澄清有关问题</w:t>
      </w:r>
    </w:p>
    <w:p w14:paraId="26671DDB">
      <w:pPr>
        <w:ind w:firstLine="420" w:firstLineChars="200"/>
        <w:rPr>
          <w:rFonts w:hint="eastAsia" w:ascii="宋体" w:hAnsi="宋体"/>
          <w:szCs w:val="21"/>
          <w:highlight w:val="none"/>
        </w:rPr>
      </w:pPr>
      <w:bookmarkStart w:id="74" w:name="_Hlk71407321"/>
      <w:r>
        <w:rPr>
          <w:rFonts w:hint="eastAsia" w:ascii="宋体" w:hAnsi="宋体"/>
          <w:szCs w:val="21"/>
          <w:highlight w:val="none"/>
        </w:rPr>
        <w:t>3</w:t>
      </w:r>
      <w:r>
        <w:rPr>
          <w:rFonts w:ascii="宋体" w:hAnsi="宋体"/>
          <w:szCs w:val="21"/>
          <w:highlight w:val="none"/>
        </w:rPr>
        <w:t>3.1</w:t>
      </w:r>
      <w:r>
        <w:rPr>
          <w:rFonts w:hint="eastAsia" w:ascii="宋体" w:hAnsi="宋体"/>
          <w:szCs w:val="21"/>
          <w:highlight w:val="none"/>
        </w:rPr>
        <w:t>对招标文件中描述有歧义或前后不一致的地方（不含</w:t>
      </w:r>
      <w:r>
        <w:rPr>
          <w:rFonts w:hint="eastAsia"/>
          <w:szCs w:val="21"/>
          <w:highlight w:val="none"/>
        </w:rPr>
        <w:t>招标</w:t>
      </w:r>
      <w:r>
        <w:rPr>
          <w:szCs w:val="21"/>
          <w:highlight w:val="none"/>
        </w:rPr>
        <w:t>文件存在歧义、重大缺陷导致评</w:t>
      </w:r>
      <w:r>
        <w:rPr>
          <w:rFonts w:hint="eastAsia"/>
          <w:szCs w:val="21"/>
          <w:highlight w:val="none"/>
        </w:rPr>
        <w:t>审</w:t>
      </w:r>
      <w:r>
        <w:rPr>
          <w:szCs w:val="21"/>
          <w:highlight w:val="none"/>
        </w:rPr>
        <w:t>工作无法进行</w:t>
      </w:r>
      <w:r>
        <w:rPr>
          <w:rFonts w:hint="eastAsia"/>
          <w:szCs w:val="21"/>
          <w:highlight w:val="none"/>
        </w:rPr>
        <w:t>的情况）</w:t>
      </w:r>
      <w:r>
        <w:rPr>
          <w:rFonts w:hint="eastAsia" w:ascii="宋体" w:hAnsi="宋体"/>
          <w:szCs w:val="21"/>
          <w:highlight w:val="none"/>
        </w:rPr>
        <w:t>，评审委员会有权进行评判，但对同一条款的评判应适用于每个投标人。</w:t>
      </w:r>
      <w:bookmarkEnd w:id="74"/>
    </w:p>
    <w:p w14:paraId="0B4659DE">
      <w:pPr>
        <w:ind w:firstLine="420" w:firstLineChars="200"/>
        <w:rPr>
          <w:rFonts w:hint="eastAsia" w:ascii="宋体" w:hAnsi="宋体"/>
          <w:szCs w:val="21"/>
          <w:highlight w:val="none"/>
        </w:rPr>
      </w:pPr>
      <w:r>
        <w:rPr>
          <w:rFonts w:hint="eastAsia" w:ascii="宋体" w:hAnsi="宋体"/>
          <w:szCs w:val="21"/>
          <w:highlight w:val="none"/>
        </w:rPr>
        <w:t>3</w:t>
      </w:r>
      <w:r>
        <w:rPr>
          <w:rFonts w:ascii="宋体" w:hAnsi="宋体"/>
          <w:szCs w:val="21"/>
          <w:highlight w:val="none"/>
        </w:rPr>
        <w:t>3.2</w:t>
      </w:r>
      <w:r>
        <w:rPr>
          <w:szCs w:val="21"/>
          <w:highlight w:val="none"/>
        </w:rPr>
        <w:t>评</w:t>
      </w:r>
      <w:r>
        <w:rPr>
          <w:rFonts w:hint="eastAsia"/>
          <w:szCs w:val="21"/>
          <w:highlight w:val="none"/>
        </w:rPr>
        <w:t>审</w:t>
      </w:r>
      <w:r>
        <w:rPr>
          <w:szCs w:val="21"/>
          <w:highlight w:val="none"/>
        </w:rPr>
        <w:t>委员会发现</w:t>
      </w:r>
      <w:r>
        <w:rPr>
          <w:rFonts w:hint="eastAsia"/>
          <w:szCs w:val="21"/>
          <w:highlight w:val="none"/>
        </w:rPr>
        <w:t>招标</w:t>
      </w:r>
      <w:r>
        <w:rPr>
          <w:szCs w:val="21"/>
          <w:highlight w:val="none"/>
        </w:rPr>
        <w:t>文件存在歧义、重大缺陷导致评</w:t>
      </w:r>
      <w:r>
        <w:rPr>
          <w:rFonts w:hint="eastAsia"/>
          <w:szCs w:val="21"/>
          <w:highlight w:val="none"/>
        </w:rPr>
        <w:t>审</w:t>
      </w:r>
      <w:r>
        <w:rPr>
          <w:szCs w:val="21"/>
          <w:highlight w:val="none"/>
        </w:rPr>
        <w:t>工作无法进行，或者</w:t>
      </w:r>
      <w:r>
        <w:rPr>
          <w:rFonts w:hint="eastAsia"/>
          <w:szCs w:val="21"/>
          <w:highlight w:val="none"/>
        </w:rPr>
        <w:t>招标</w:t>
      </w:r>
      <w:r>
        <w:rPr>
          <w:szCs w:val="21"/>
          <w:highlight w:val="none"/>
        </w:rPr>
        <w:t>文件内容违反国家有关强制性规定的，应当停止评</w:t>
      </w:r>
      <w:r>
        <w:rPr>
          <w:rFonts w:hint="eastAsia"/>
          <w:szCs w:val="21"/>
          <w:highlight w:val="none"/>
        </w:rPr>
        <w:t>审</w:t>
      </w:r>
      <w:r>
        <w:rPr>
          <w:szCs w:val="21"/>
          <w:highlight w:val="none"/>
        </w:rPr>
        <w:t>工作，与</w:t>
      </w:r>
      <w:r>
        <w:rPr>
          <w:rFonts w:hint="eastAsia"/>
          <w:szCs w:val="21"/>
          <w:highlight w:val="none"/>
          <w:lang w:eastAsia="zh-CN"/>
        </w:rPr>
        <w:t>代理机构</w:t>
      </w:r>
      <w:r>
        <w:rPr>
          <w:szCs w:val="21"/>
          <w:highlight w:val="none"/>
        </w:rPr>
        <w:t>沟通并作书面记录。</w:t>
      </w:r>
      <w:r>
        <w:rPr>
          <w:rFonts w:hint="eastAsia"/>
          <w:szCs w:val="21"/>
          <w:highlight w:val="none"/>
        </w:rPr>
        <w:t>经</w:t>
      </w:r>
      <w:r>
        <w:rPr>
          <w:szCs w:val="21"/>
          <w:highlight w:val="none"/>
        </w:rPr>
        <w:t>确认后，</w:t>
      </w:r>
      <w:r>
        <w:rPr>
          <w:rFonts w:hint="eastAsia"/>
          <w:szCs w:val="21"/>
          <w:highlight w:val="none"/>
        </w:rPr>
        <w:t>项目</w:t>
      </w:r>
      <w:r>
        <w:rPr>
          <w:szCs w:val="21"/>
          <w:highlight w:val="none"/>
        </w:rPr>
        <w:t>应当修改</w:t>
      </w:r>
      <w:r>
        <w:rPr>
          <w:rFonts w:hint="eastAsia"/>
          <w:szCs w:val="21"/>
          <w:highlight w:val="none"/>
        </w:rPr>
        <w:t>招标</w:t>
      </w:r>
      <w:r>
        <w:rPr>
          <w:szCs w:val="21"/>
          <w:highlight w:val="none"/>
        </w:rPr>
        <w:t>文件，重新组织采购活动。</w:t>
      </w:r>
    </w:p>
    <w:p w14:paraId="5D4B9240">
      <w:pPr>
        <w:ind w:firstLine="420" w:firstLineChars="200"/>
        <w:rPr>
          <w:rFonts w:hint="eastAsia" w:ascii="宋体" w:hAnsi="宋体"/>
          <w:szCs w:val="21"/>
          <w:highlight w:val="none"/>
        </w:rPr>
      </w:pPr>
      <w:r>
        <w:rPr>
          <w:rFonts w:ascii="宋体" w:hAnsi="宋体"/>
          <w:szCs w:val="21"/>
          <w:highlight w:val="none"/>
        </w:rPr>
        <w:t>33.3</w:t>
      </w:r>
      <w:r>
        <w:rPr>
          <w:rFonts w:hint="eastAsia" w:ascii="宋体" w:hAnsi="宋体"/>
          <w:szCs w:val="21"/>
          <w:highlight w:val="none"/>
        </w:rPr>
        <w:t>对于投标文件中含义不明确、同类问题表述不一致或者有明显文字和计算错误的内容，评审委员会应当以书面形式要求投标人作出必要的澄清、说明或者补正。</w:t>
      </w:r>
    </w:p>
    <w:p w14:paraId="4F58CC53">
      <w:pPr>
        <w:ind w:firstLine="420" w:firstLineChars="200"/>
        <w:rPr>
          <w:rFonts w:hint="eastAsia" w:ascii="宋体" w:hAnsi="宋体"/>
          <w:szCs w:val="21"/>
          <w:highlight w:val="none"/>
        </w:rPr>
      </w:pPr>
      <w:r>
        <w:rPr>
          <w:rFonts w:hint="eastAsia" w:ascii="宋体" w:hAnsi="宋体"/>
          <w:szCs w:val="21"/>
          <w:highlight w:val="none"/>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7E5230B1">
      <w:pPr>
        <w:ind w:firstLine="420" w:firstLineChars="200"/>
        <w:rPr>
          <w:rFonts w:hint="eastAsia" w:ascii="宋体" w:hAnsi="宋体"/>
          <w:szCs w:val="21"/>
          <w:highlight w:val="none"/>
        </w:rPr>
      </w:pPr>
      <w:r>
        <w:rPr>
          <w:rFonts w:hint="eastAsia" w:ascii="宋体" w:hAnsi="宋体"/>
          <w:szCs w:val="21"/>
          <w:highlight w:val="none"/>
        </w:rPr>
        <w:t>根据本通用条款第34条，凡属于评审委员会在评审中发现的算术错误进行核实的修改不在此列。</w:t>
      </w:r>
    </w:p>
    <w:p w14:paraId="603341AC">
      <w:pPr>
        <w:ind w:firstLine="420" w:firstLineChars="200"/>
        <w:rPr>
          <w:rFonts w:hint="eastAsia" w:ascii="黑体" w:hAnsi="宋体" w:eastAsia="黑体"/>
          <w:szCs w:val="21"/>
          <w:highlight w:val="none"/>
        </w:rPr>
      </w:pPr>
      <w:bookmarkStart w:id="75" w:name="_Toc73517673"/>
      <w:bookmarkStart w:id="76" w:name="_Toc73521669"/>
      <w:bookmarkStart w:id="77" w:name="_Toc73521581"/>
      <w:bookmarkStart w:id="78" w:name="_Toc73518151"/>
      <w:bookmarkStart w:id="79" w:name="_Toc100052400"/>
      <w:r>
        <w:rPr>
          <w:rFonts w:hint="eastAsia" w:ascii="黑体" w:hAnsi="宋体" w:eastAsia="黑体"/>
          <w:szCs w:val="21"/>
          <w:highlight w:val="none"/>
        </w:rPr>
        <w:t>34．错误的修正</w:t>
      </w:r>
      <w:bookmarkEnd w:id="75"/>
      <w:bookmarkEnd w:id="76"/>
      <w:bookmarkEnd w:id="77"/>
      <w:bookmarkEnd w:id="78"/>
      <w:bookmarkEnd w:id="79"/>
    </w:p>
    <w:p w14:paraId="042E0713">
      <w:pPr>
        <w:ind w:firstLine="420" w:firstLineChars="200"/>
        <w:rPr>
          <w:rFonts w:hint="eastAsia" w:ascii="宋体" w:hAnsi="宋体"/>
          <w:szCs w:val="21"/>
          <w:highlight w:val="none"/>
        </w:rPr>
      </w:pPr>
      <w:r>
        <w:rPr>
          <w:rFonts w:hint="eastAsia" w:ascii="宋体" w:hAnsi="宋体"/>
          <w:szCs w:val="21"/>
          <w:highlight w:val="none"/>
        </w:rPr>
        <w:t>投标文件报价出现前后不一致的，除专用条款另有规定外，按照下列规定修正：</w:t>
      </w:r>
    </w:p>
    <w:p w14:paraId="02E48A1F">
      <w:pPr>
        <w:ind w:firstLine="420" w:firstLineChars="200"/>
        <w:rPr>
          <w:rFonts w:hint="eastAsia" w:ascii="宋体" w:hAnsi="宋体"/>
          <w:szCs w:val="21"/>
          <w:highlight w:val="none"/>
        </w:rPr>
      </w:pPr>
      <w:r>
        <w:rPr>
          <w:rFonts w:hint="eastAsia" w:ascii="宋体" w:hAnsi="宋体"/>
          <w:szCs w:val="21"/>
          <w:highlight w:val="none"/>
        </w:rPr>
        <w:t>34.1投标文件中开标一览表投标报价内容与投标文件中投标报价相应内容不一致的，以开标一览表为准；</w:t>
      </w:r>
    </w:p>
    <w:p w14:paraId="7F77161C">
      <w:pPr>
        <w:ind w:firstLine="420" w:firstLineChars="200"/>
        <w:rPr>
          <w:rFonts w:hint="eastAsia" w:ascii="宋体" w:hAnsi="宋体"/>
          <w:szCs w:val="21"/>
          <w:highlight w:val="none"/>
        </w:rPr>
      </w:pPr>
      <w:r>
        <w:rPr>
          <w:rFonts w:hint="eastAsia" w:ascii="宋体" w:hAnsi="宋体"/>
          <w:szCs w:val="21"/>
          <w:highlight w:val="none"/>
        </w:rPr>
        <w:t>34.2大写金额和小写金额不一致的，以大写金额为准；</w:t>
      </w:r>
    </w:p>
    <w:p w14:paraId="2A7948A7">
      <w:pPr>
        <w:ind w:firstLine="420" w:firstLineChars="200"/>
        <w:rPr>
          <w:rFonts w:hint="eastAsia" w:ascii="宋体" w:hAnsi="宋体"/>
          <w:szCs w:val="21"/>
          <w:highlight w:val="none"/>
        </w:rPr>
      </w:pPr>
      <w:r>
        <w:rPr>
          <w:rFonts w:hint="eastAsia" w:ascii="宋体" w:hAnsi="宋体"/>
          <w:szCs w:val="21"/>
          <w:highlight w:val="none"/>
        </w:rPr>
        <w:t>34.3单价金额小数点或者百分比有明显错位，以开标一览表的总价为准，并修改单价；</w:t>
      </w:r>
    </w:p>
    <w:p w14:paraId="0C657A8C">
      <w:pPr>
        <w:ind w:firstLine="420" w:firstLineChars="200"/>
        <w:rPr>
          <w:rFonts w:hint="eastAsia" w:ascii="宋体" w:hAnsi="宋体"/>
          <w:szCs w:val="21"/>
          <w:highlight w:val="none"/>
        </w:rPr>
      </w:pPr>
      <w:r>
        <w:rPr>
          <w:rFonts w:hint="eastAsia" w:ascii="宋体" w:hAnsi="宋体"/>
          <w:szCs w:val="21"/>
          <w:highlight w:val="none"/>
        </w:rPr>
        <w:t>34.4总价金额与按单价汇总金额不一致的，以单价金额计算结果为准。</w:t>
      </w:r>
    </w:p>
    <w:p w14:paraId="7DD148CF">
      <w:pPr>
        <w:ind w:firstLine="420" w:firstLineChars="200"/>
        <w:rPr>
          <w:rFonts w:hint="eastAsia" w:ascii="宋体" w:hAnsi="宋体"/>
          <w:szCs w:val="21"/>
          <w:highlight w:val="none"/>
        </w:rPr>
      </w:pPr>
      <w:r>
        <w:rPr>
          <w:rFonts w:hint="eastAsia" w:ascii="宋体" w:hAnsi="宋体"/>
          <w:szCs w:val="21"/>
          <w:highlight w:val="none"/>
        </w:rPr>
        <w:t>34.5同时出现两种以上不一致的，按照前款规定的顺序修正。修正后的报价按照本通用条款33条的规定，经投标人确认后产生约束力，投标人不确认的，其投标无效。</w:t>
      </w:r>
    </w:p>
    <w:p w14:paraId="35E09E47">
      <w:pPr>
        <w:ind w:firstLine="420" w:firstLineChars="200"/>
        <w:rPr>
          <w:rFonts w:hint="eastAsia" w:ascii="黑体" w:hAnsi="宋体" w:eastAsia="黑体"/>
          <w:szCs w:val="21"/>
          <w:highlight w:val="none"/>
        </w:rPr>
      </w:pPr>
      <w:r>
        <w:rPr>
          <w:rFonts w:hint="eastAsia" w:ascii="黑体" w:hAnsi="宋体" w:eastAsia="黑体"/>
          <w:szCs w:val="21"/>
          <w:highlight w:val="none"/>
        </w:rPr>
        <w:t>35．投标文件的比较与评价</w:t>
      </w:r>
    </w:p>
    <w:p w14:paraId="34AABB22">
      <w:pPr>
        <w:ind w:firstLine="420" w:firstLineChars="200"/>
        <w:rPr>
          <w:rFonts w:hint="eastAsia" w:ascii="宋体" w:hAnsi="宋体"/>
          <w:szCs w:val="21"/>
          <w:highlight w:val="none"/>
        </w:rPr>
      </w:pPr>
      <w:r>
        <w:rPr>
          <w:rFonts w:hint="eastAsia" w:ascii="宋体" w:hAnsi="宋体"/>
          <w:szCs w:val="21"/>
          <w:highlight w:val="none"/>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1F880C55">
      <w:pPr>
        <w:ind w:firstLine="420" w:firstLineChars="200"/>
        <w:rPr>
          <w:rFonts w:hint="eastAsia" w:ascii="宋体" w:hAnsi="宋体"/>
          <w:szCs w:val="21"/>
          <w:highlight w:val="none"/>
        </w:rPr>
      </w:pPr>
      <w:r>
        <w:rPr>
          <w:rFonts w:hint="eastAsia" w:ascii="宋体" w:hAnsi="宋体"/>
          <w:szCs w:val="21"/>
          <w:highlight w:val="none"/>
        </w:rPr>
        <w:t>评审委员会成员对需要共同认定的事项存在争议的，应当按照少数服从多数的原则作出结论。持不同意见的评审委员会成员应当书面作出说明，否则视为无异议。</w:t>
      </w:r>
    </w:p>
    <w:p w14:paraId="5450161A">
      <w:pPr>
        <w:ind w:firstLine="420" w:firstLineChars="200"/>
        <w:rPr>
          <w:rFonts w:hint="eastAsia" w:ascii="黑体" w:hAnsi="宋体" w:eastAsia="黑体"/>
          <w:szCs w:val="21"/>
          <w:highlight w:val="none"/>
        </w:rPr>
      </w:pPr>
      <w:r>
        <w:rPr>
          <w:rFonts w:hint="eastAsia" w:ascii="黑体" w:hAnsi="宋体" w:eastAsia="黑体"/>
          <w:szCs w:val="21"/>
          <w:highlight w:val="none"/>
        </w:rPr>
        <w:t>36. 实地考察或资料查验</w:t>
      </w:r>
    </w:p>
    <w:p w14:paraId="2B757955">
      <w:pPr>
        <w:ind w:firstLine="420" w:firstLineChars="200"/>
        <w:rPr>
          <w:rFonts w:hint="eastAsia" w:ascii="宋体" w:hAnsi="宋体"/>
          <w:szCs w:val="21"/>
          <w:highlight w:val="none"/>
        </w:rPr>
      </w:pPr>
      <w:r>
        <w:rPr>
          <w:rFonts w:hint="eastAsia" w:ascii="宋体" w:hAnsi="宋体"/>
          <w:szCs w:val="21"/>
          <w:highlight w:val="none"/>
        </w:rPr>
        <w:t>36.1在评审过程中，评审委员会有权决定是否对本项目投标人进行实地考察或资料查验（原件）。投标人应随时做好接受实地考察或资料查验的准备。</w:t>
      </w:r>
    </w:p>
    <w:p w14:paraId="685A0F1B">
      <w:pPr>
        <w:ind w:firstLine="420" w:firstLineChars="200"/>
        <w:rPr>
          <w:rFonts w:hint="eastAsia" w:ascii="黑体" w:hAnsi="宋体" w:eastAsia="黑体"/>
          <w:szCs w:val="21"/>
          <w:highlight w:val="none"/>
        </w:rPr>
      </w:pPr>
      <w:r>
        <w:rPr>
          <w:rFonts w:hint="eastAsia" w:ascii="黑体" w:hAnsi="宋体" w:eastAsia="黑体"/>
          <w:szCs w:val="21"/>
          <w:highlight w:val="none"/>
        </w:rPr>
        <w:t>37．评审方法</w:t>
      </w:r>
    </w:p>
    <w:p w14:paraId="29D7ED5E">
      <w:pPr>
        <w:ind w:firstLine="422" w:firstLineChars="200"/>
        <w:rPr>
          <w:rFonts w:hint="eastAsia" w:ascii="宋体" w:hAnsi="宋体"/>
          <w:b/>
          <w:bCs/>
          <w:szCs w:val="21"/>
          <w:highlight w:val="none"/>
        </w:rPr>
      </w:pPr>
      <w:r>
        <w:rPr>
          <w:rFonts w:hint="eastAsia" w:ascii="宋体" w:hAnsi="宋体"/>
          <w:b/>
          <w:bCs/>
          <w:szCs w:val="21"/>
          <w:highlight w:val="none"/>
        </w:rPr>
        <w:t>37.1.1最低价法</w:t>
      </w:r>
    </w:p>
    <w:p w14:paraId="57338222">
      <w:pPr>
        <w:ind w:firstLine="420" w:firstLineChars="200"/>
        <w:rPr>
          <w:rFonts w:hint="eastAsia" w:ascii="ˎ̥" w:hAnsi="ˎ̥"/>
          <w:szCs w:val="21"/>
          <w:highlight w:val="none"/>
        </w:rPr>
      </w:pPr>
      <w:bookmarkStart w:id="80" w:name="_Hlk72438142"/>
      <w:r>
        <w:rPr>
          <w:rFonts w:ascii="ˎ̥" w:hAnsi="ˎ̥"/>
          <w:szCs w:val="21"/>
          <w:highlight w:val="none"/>
        </w:rPr>
        <w:t>最低价法，是指</w:t>
      </w:r>
      <w:r>
        <w:rPr>
          <w:rFonts w:hint="eastAsia" w:ascii="ˎ̥" w:hAnsi="ˎ̥"/>
          <w:szCs w:val="21"/>
          <w:highlight w:val="none"/>
        </w:rPr>
        <w:t>完全</w:t>
      </w:r>
      <w:r>
        <w:rPr>
          <w:rFonts w:ascii="ˎ̥" w:hAnsi="ˎ̥"/>
          <w:szCs w:val="21"/>
          <w:highlight w:val="none"/>
        </w:rPr>
        <w:t>满足</w:t>
      </w:r>
      <w:r>
        <w:rPr>
          <w:rFonts w:hint="eastAsia" w:ascii="ˎ̥" w:hAnsi="ˎ̥"/>
          <w:szCs w:val="21"/>
          <w:highlight w:val="none"/>
        </w:rPr>
        <w:t>招标</w:t>
      </w:r>
      <w:r>
        <w:rPr>
          <w:rFonts w:ascii="ˎ̥" w:hAnsi="ˎ̥"/>
          <w:szCs w:val="21"/>
          <w:highlight w:val="none"/>
        </w:rPr>
        <w:t>文件实质性要求，</w:t>
      </w:r>
      <w:r>
        <w:rPr>
          <w:rFonts w:hint="eastAsia" w:ascii="ˎ̥" w:hAnsi="ˎ̥"/>
          <w:szCs w:val="21"/>
          <w:highlight w:val="none"/>
        </w:rPr>
        <w:t>按照报价由低到高的顺序，依据招标文件中规定的数量或者比例推荐候选中标供应商。</w:t>
      </w:r>
    </w:p>
    <w:p w14:paraId="5687A764">
      <w:pPr>
        <w:ind w:firstLine="422" w:firstLineChars="200"/>
        <w:rPr>
          <w:rFonts w:hint="eastAsia" w:ascii="宋体" w:hAnsi="宋体"/>
          <w:b/>
          <w:bCs/>
          <w:szCs w:val="21"/>
          <w:highlight w:val="none"/>
        </w:rPr>
      </w:pPr>
      <w:r>
        <w:rPr>
          <w:rFonts w:hint="eastAsia" w:ascii="宋体" w:hAnsi="宋体"/>
          <w:b/>
          <w:bCs/>
          <w:szCs w:val="21"/>
          <w:highlight w:val="none"/>
        </w:rPr>
        <w:t>37.1.2综合评分法</w:t>
      </w:r>
    </w:p>
    <w:p w14:paraId="023A518F">
      <w:pPr>
        <w:ind w:firstLine="420" w:firstLineChars="200"/>
        <w:rPr>
          <w:rFonts w:hint="eastAsia" w:ascii="ˎ̥" w:hAnsi="ˎ̥"/>
          <w:szCs w:val="21"/>
          <w:highlight w:val="none"/>
        </w:rPr>
      </w:pPr>
      <w:r>
        <w:rPr>
          <w:rFonts w:ascii="ˎ̥" w:hAnsi="ˎ̥"/>
          <w:szCs w:val="21"/>
          <w:highlight w:val="none"/>
        </w:rPr>
        <w:t>综合评分法，是指</w:t>
      </w:r>
      <w:r>
        <w:rPr>
          <w:rFonts w:hint="eastAsia" w:ascii="ˎ̥" w:hAnsi="ˎ̥"/>
          <w:szCs w:val="21"/>
          <w:highlight w:val="none"/>
        </w:rPr>
        <w:t>在</w:t>
      </w:r>
      <w:r>
        <w:rPr>
          <w:rFonts w:ascii="ˎ̥" w:hAnsi="ˎ̥"/>
          <w:szCs w:val="21"/>
          <w:highlight w:val="none"/>
        </w:rPr>
        <w:t>满足</w:t>
      </w:r>
      <w:r>
        <w:rPr>
          <w:rFonts w:hint="eastAsia" w:ascii="ˎ̥" w:hAnsi="ˎ̥"/>
          <w:szCs w:val="21"/>
          <w:highlight w:val="none"/>
        </w:rPr>
        <w:t>招标</w:t>
      </w:r>
      <w:r>
        <w:rPr>
          <w:rFonts w:ascii="ˎ̥" w:hAnsi="ˎ̥"/>
          <w:szCs w:val="21"/>
          <w:highlight w:val="none"/>
        </w:rPr>
        <w:t>文件全部实质性要求</w:t>
      </w:r>
      <w:r>
        <w:rPr>
          <w:rFonts w:hint="eastAsia" w:ascii="ˎ̥" w:hAnsi="ˎ̥"/>
          <w:szCs w:val="21"/>
          <w:highlight w:val="none"/>
        </w:rPr>
        <w:t>的前提下</w:t>
      </w:r>
      <w:r>
        <w:rPr>
          <w:rFonts w:ascii="ˎ̥" w:hAnsi="ˎ̥"/>
          <w:szCs w:val="21"/>
          <w:highlight w:val="none"/>
        </w:rPr>
        <w:t>，</w:t>
      </w:r>
      <w:r>
        <w:rPr>
          <w:rFonts w:hint="eastAsia" w:ascii="ˎ̥" w:hAnsi="ˎ̥"/>
          <w:szCs w:val="21"/>
          <w:highlight w:val="none"/>
        </w:rPr>
        <w:t>按照招标文件中规定的各项因素进行综合评审，评审总得分排名前列的投标人，作为推荐的候选中标供应商。</w:t>
      </w:r>
      <w:bookmarkEnd w:id="80"/>
      <w:r>
        <w:rPr>
          <w:rFonts w:hint="eastAsia" w:ascii="宋体" w:hAnsi="宋体"/>
          <w:bCs/>
          <w:color w:val="FF0000"/>
          <w:szCs w:val="21"/>
          <w:highlight w:val="none"/>
        </w:rPr>
        <w:t xml:space="preserve">  </w:t>
      </w:r>
      <w:r>
        <w:rPr>
          <w:rFonts w:hint="eastAsia" w:ascii="宋体" w:hAnsi="宋体"/>
          <w:bCs/>
          <w:szCs w:val="21"/>
          <w:highlight w:val="none"/>
        </w:rPr>
        <w:t xml:space="preserve">                                                                                                                                                                                                                                                                                                                                                                                                                                                                                                                                                                                                                                                                                                                                                                                                                                                                                                                                                                                                                                                                                                                                                                                                                                                                                                                                                                                                                                                                                                                                                                                                                                                                                                                                                                                                                                                                                                                                                                                                                                                                                                                                                                                                                                                                                                                                                                                                                                                                                                                                                                                                                                                                                                                                                                                                                                                                                                                                                                                                                           </w:t>
      </w:r>
    </w:p>
    <w:p w14:paraId="159E3BAB">
      <w:pPr>
        <w:ind w:firstLine="422" w:firstLineChars="200"/>
        <w:rPr>
          <w:rFonts w:hint="eastAsia" w:ascii="宋体" w:hAnsi="宋体"/>
          <w:b/>
          <w:bCs/>
          <w:szCs w:val="21"/>
          <w:highlight w:val="none"/>
        </w:rPr>
      </w:pPr>
      <w:r>
        <w:rPr>
          <w:rFonts w:hint="eastAsia" w:ascii="宋体" w:hAnsi="宋体"/>
          <w:b/>
          <w:bCs/>
          <w:szCs w:val="21"/>
          <w:highlight w:val="none"/>
        </w:rPr>
        <w:t>37.2 本项目采用的评审方法见本项目招标文件第一册“专用条款”的相关内容。</w:t>
      </w:r>
    </w:p>
    <w:p w14:paraId="0CF063D3">
      <w:pPr>
        <w:ind w:firstLine="422" w:firstLineChars="200"/>
        <w:rPr>
          <w:rFonts w:hint="eastAsia" w:ascii="宋体" w:hAnsi="宋体"/>
          <w:b/>
          <w:bCs/>
          <w:szCs w:val="21"/>
          <w:highlight w:val="none"/>
        </w:rPr>
      </w:pPr>
      <w:r>
        <w:rPr>
          <w:rFonts w:hint="eastAsia" w:ascii="宋体" w:hAnsi="宋体"/>
          <w:b/>
          <w:bCs/>
          <w:szCs w:val="21"/>
          <w:highlight w:val="none"/>
        </w:rPr>
        <w:t>37.3重新评审的情形</w:t>
      </w:r>
    </w:p>
    <w:p w14:paraId="4FA6B149">
      <w:pPr>
        <w:ind w:firstLine="420" w:firstLineChars="200"/>
        <w:rPr>
          <w:rFonts w:hint="eastAsia" w:ascii="宋体" w:hAnsi="宋体"/>
          <w:b/>
          <w:bCs/>
          <w:szCs w:val="21"/>
          <w:highlight w:val="none"/>
        </w:rPr>
      </w:pPr>
      <w:r>
        <w:rPr>
          <w:rFonts w:hint="eastAsia" w:ascii="宋体" w:hAnsi="宋体" w:cs="宋体"/>
          <w:kern w:val="0"/>
          <w:szCs w:val="21"/>
          <w:highlight w:val="none"/>
        </w:rPr>
        <w:t>评审结果汇总完成后，除下列情形外，任何人不得修改评审结果：</w:t>
      </w:r>
    </w:p>
    <w:p w14:paraId="2E567BA4">
      <w:pPr>
        <w:ind w:firstLine="420" w:firstLineChars="200"/>
        <w:rPr>
          <w:rFonts w:hint="eastAsia" w:ascii="宋体" w:hAnsi="宋体" w:cs="宋体"/>
          <w:kern w:val="0"/>
          <w:szCs w:val="21"/>
          <w:highlight w:val="none"/>
        </w:rPr>
      </w:pPr>
      <w:r>
        <w:rPr>
          <w:rFonts w:hint="eastAsia" w:ascii="宋体" w:hAnsi="宋体" w:cs="宋体"/>
          <w:kern w:val="0"/>
          <w:szCs w:val="21"/>
          <w:highlight w:val="none"/>
        </w:rPr>
        <w:t>37.3.1分值汇总计算错误的；</w:t>
      </w:r>
    </w:p>
    <w:p w14:paraId="7EF72B3A">
      <w:pPr>
        <w:ind w:firstLine="420" w:firstLineChars="200"/>
        <w:rPr>
          <w:rFonts w:hint="eastAsia" w:ascii="宋体" w:hAnsi="宋体" w:cs="宋体"/>
          <w:kern w:val="0"/>
          <w:szCs w:val="21"/>
          <w:highlight w:val="none"/>
        </w:rPr>
      </w:pPr>
      <w:r>
        <w:rPr>
          <w:rFonts w:hint="eastAsia" w:ascii="宋体" w:hAnsi="宋体" w:cs="宋体"/>
          <w:kern w:val="0"/>
          <w:szCs w:val="21"/>
          <w:highlight w:val="none"/>
        </w:rPr>
        <w:t>37.3.2分项评分超出评分标准范围的；</w:t>
      </w:r>
    </w:p>
    <w:p w14:paraId="3B1DF7A8">
      <w:pPr>
        <w:ind w:firstLine="420" w:firstLineChars="200"/>
        <w:rPr>
          <w:rFonts w:hint="eastAsia" w:ascii="宋体" w:hAnsi="宋体" w:cs="宋体"/>
          <w:kern w:val="0"/>
          <w:szCs w:val="21"/>
          <w:highlight w:val="none"/>
        </w:rPr>
      </w:pPr>
      <w:r>
        <w:rPr>
          <w:rFonts w:hint="eastAsia" w:ascii="宋体" w:hAnsi="宋体" w:cs="宋体"/>
          <w:kern w:val="0"/>
          <w:szCs w:val="21"/>
          <w:highlight w:val="none"/>
        </w:rPr>
        <w:t>37.3.3评审委员会成员对客观评审因素评分不一致的；</w:t>
      </w:r>
    </w:p>
    <w:p w14:paraId="4F558518">
      <w:pPr>
        <w:ind w:firstLine="420" w:firstLineChars="200"/>
        <w:rPr>
          <w:rFonts w:hint="eastAsia" w:ascii="宋体" w:hAnsi="宋体" w:cs="宋体"/>
          <w:kern w:val="0"/>
          <w:szCs w:val="21"/>
          <w:highlight w:val="none"/>
        </w:rPr>
      </w:pPr>
      <w:r>
        <w:rPr>
          <w:rFonts w:hint="eastAsia" w:ascii="宋体" w:hAnsi="宋体" w:cs="宋体"/>
          <w:kern w:val="0"/>
          <w:szCs w:val="21"/>
          <w:highlight w:val="none"/>
        </w:rPr>
        <w:t>37.3.4经评审委员会认定评分畸高、畸低的。</w:t>
      </w:r>
    </w:p>
    <w:p w14:paraId="3D65373C">
      <w:pPr>
        <w:ind w:firstLine="420" w:firstLineChars="200"/>
        <w:rPr>
          <w:rFonts w:hint="eastAsia" w:ascii="宋体" w:hAnsi="宋体" w:cs="宋体"/>
          <w:kern w:val="0"/>
          <w:szCs w:val="21"/>
          <w:highlight w:val="none"/>
        </w:rPr>
      </w:pPr>
      <w:r>
        <w:rPr>
          <w:rFonts w:hint="eastAsia" w:ascii="宋体" w:hAnsi="宋体" w:cs="宋体"/>
          <w:kern w:val="0"/>
          <w:szCs w:val="21"/>
          <w:highlight w:val="none"/>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30C42E57">
      <w:pPr>
        <w:ind w:firstLine="420" w:firstLineChars="200"/>
        <w:rPr>
          <w:rFonts w:hint="eastAsia" w:ascii="宋体" w:hAnsi="宋体" w:cs="宋体"/>
          <w:kern w:val="0"/>
          <w:szCs w:val="21"/>
          <w:highlight w:val="none"/>
        </w:rPr>
      </w:pPr>
      <w:r>
        <w:rPr>
          <w:rFonts w:hint="eastAsia" w:ascii="宋体" w:hAnsi="宋体" w:cs="宋体"/>
          <w:kern w:val="0"/>
          <w:szCs w:val="21"/>
          <w:highlight w:val="none"/>
        </w:rPr>
        <w:t>投标人对本条第一款情形提出质疑的，采购人或者采购代理机构可以组织原评审委员会进行重新评审，重新评审改变评审结果的，应当书面报告本级财政部门。</w:t>
      </w:r>
    </w:p>
    <w:p w14:paraId="5D230BFD">
      <w:pPr>
        <w:ind w:firstLine="422" w:firstLineChars="200"/>
        <w:rPr>
          <w:rFonts w:hint="eastAsia" w:ascii="宋体" w:hAnsi="宋体"/>
          <w:b/>
          <w:bCs/>
          <w:szCs w:val="21"/>
          <w:highlight w:val="none"/>
        </w:rPr>
      </w:pPr>
      <w:r>
        <w:rPr>
          <w:rFonts w:hint="eastAsia" w:ascii="宋体" w:hAnsi="宋体"/>
          <w:b/>
          <w:bCs/>
          <w:szCs w:val="21"/>
          <w:highlight w:val="none"/>
        </w:rPr>
        <w:t xml:space="preserve"> 37.4重新组建评审委员会的情形</w:t>
      </w:r>
    </w:p>
    <w:p w14:paraId="22622808">
      <w:pPr>
        <w:ind w:firstLine="420" w:firstLineChars="200"/>
        <w:rPr>
          <w:rFonts w:hint="eastAsia" w:ascii="宋体" w:hAnsi="宋体" w:cs="宋体"/>
          <w:kern w:val="0"/>
          <w:szCs w:val="21"/>
          <w:highlight w:val="none"/>
        </w:rPr>
      </w:pPr>
      <w:r>
        <w:rPr>
          <w:rFonts w:hint="eastAsia" w:ascii="宋体" w:hAnsi="宋体" w:cs="宋体"/>
          <w:kern w:val="0"/>
          <w:szCs w:val="21"/>
          <w:highlight w:val="none"/>
        </w:rPr>
        <w:t>评审委员会或者其成员存在下列情形导致评审结果无效的，重新组建评审委员会进行评标，并书面报告本级财政部门：</w:t>
      </w:r>
    </w:p>
    <w:p w14:paraId="54572EED">
      <w:pPr>
        <w:ind w:firstLine="420" w:firstLineChars="200"/>
        <w:rPr>
          <w:rFonts w:hint="eastAsia" w:ascii="宋体" w:hAnsi="宋体" w:cs="宋体"/>
          <w:kern w:val="0"/>
          <w:szCs w:val="21"/>
          <w:highlight w:val="none"/>
        </w:rPr>
      </w:pPr>
      <w:r>
        <w:rPr>
          <w:rFonts w:hint="eastAsia" w:ascii="宋体" w:hAnsi="宋体" w:cs="宋体"/>
          <w:kern w:val="0"/>
          <w:szCs w:val="21"/>
          <w:highlight w:val="none"/>
        </w:rPr>
        <w:t>37.4.1评审委员会组成不符合《政府采购货物和服务招标投标管理办法》规定的；</w:t>
      </w:r>
    </w:p>
    <w:p w14:paraId="549D049D">
      <w:pPr>
        <w:ind w:firstLine="420" w:firstLineChars="200"/>
        <w:rPr>
          <w:rFonts w:hint="eastAsia" w:ascii="宋体" w:hAnsi="宋体" w:cs="宋体"/>
          <w:kern w:val="0"/>
          <w:szCs w:val="21"/>
          <w:highlight w:val="none"/>
        </w:rPr>
      </w:pPr>
      <w:r>
        <w:rPr>
          <w:rFonts w:hint="eastAsia" w:ascii="宋体" w:hAnsi="宋体" w:cs="宋体"/>
          <w:kern w:val="0"/>
          <w:szCs w:val="21"/>
          <w:highlight w:val="none"/>
        </w:rPr>
        <w:t>37.4.2有《政府采购货物和服务招标投标管理办法》第六十二条第一至五项情形的；</w:t>
      </w:r>
    </w:p>
    <w:p w14:paraId="73A67F23">
      <w:pPr>
        <w:ind w:firstLine="420" w:firstLineChars="200"/>
        <w:rPr>
          <w:rFonts w:hint="eastAsia" w:ascii="宋体" w:hAnsi="宋体" w:cs="宋体"/>
          <w:kern w:val="0"/>
          <w:szCs w:val="21"/>
          <w:highlight w:val="none"/>
        </w:rPr>
      </w:pPr>
      <w:r>
        <w:rPr>
          <w:rFonts w:hint="eastAsia" w:ascii="宋体" w:hAnsi="宋体" w:cs="宋体"/>
          <w:kern w:val="0"/>
          <w:szCs w:val="21"/>
          <w:highlight w:val="none"/>
        </w:rPr>
        <w:t>37.4.3评审委员会及其成员独立评标受到非法干预的；</w:t>
      </w:r>
    </w:p>
    <w:p w14:paraId="6A1DF0E9">
      <w:pPr>
        <w:ind w:firstLine="420" w:firstLineChars="200"/>
        <w:rPr>
          <w:rFonts w:hint="eastAsia" w:ascii="宋体" w:hAnsi="宋体" w:cs="宋体"/>
          <w:kern w:val="0"/>
          <w:szCs w:val="21"/>
          <w:highlight w:val="none"/>
        </w:rPr>
      </w:pPr>
      <w:r>
        <w:rPr>
          <w:rFonts w:hint="eastAsia" w:ascii="宋体" w:hAnsi="宋体" w:cs="宋体"/>
          <w:kern w:val="0"/>
          <w:szCs w:val="21"/>
          <w:highlight w:val="none"/>
        </w:rPr>
        <w:t>37.4.4有政府采购法实施条例第七十五条规定的违法行为的。</w:t>
      </w:r>
    </w:p>
    <w:p w14:paraId="0E85A7A1">
      <w:pPr>
        <w:ind w:firstLine="420" w:firstLineChars="200"/>
        <w:rPr>
          <w:rFonts w:hint="eastAsia" w:ascii="宋体" w:hAnsi="宋体" w:cs="宋体"/>
          <w:kern w:val="0"/>
          <w:szCs w:val="21"/>
          <w:highlight w:val="none"/>
        </w:rPr>
      </w:pPr>
      <w:r>
        <w:rPr>
          <w:rFonts w:hint="eastAsia" w:ascii="宋体" w:hAnsi="宋体" w:cs="宋体"/>
          <w:kern w:val="0"/>
          <w:szCs w:val="21"/>
          <w:highlight w:val="none"/>
        </w:rPr>
        <w:t>有违法违规行为的原评审委员会成员不得参加重新组建的评审委员会。</w:t>
      </w:r>
    </w:p>
    <w:p w14:paraId="024A4D02">
      <w:pPr>
        <w:ind w:firstLine="411" w:firstLineChars="196"/>
        <w:rPr>
          <w:rFonts w:hint="eastAsia" w:ascii="宋体" w:hAnsi="宋体"/>
          <w:szCs w:val="21"/>
          <w:highlight w:val="none"/>
        </w:rPr>
      </w:pPr>
    </w:p>
    <w:p w14:paraId="15C8F404">
      <w:pPr>
        <w:pStyle w:val="7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highlight w:val="none"/>
        </w:rPr>
      </w:pPr>
      <w:r>
        <w:rPr>
          <w:rFonts w:hint="eastAsia" w:asciiTheme="majorHAnsi" w:hAnsiTheme="majorHAnsi" w:eastAsiaTheme="majorEastAsia" w:cstheme="majorBidi"/>
          <w:b/>
          <w:bCs/>
          <w:sz w:val="28"/>
          <w:szCs w:val="28"/>
          <w:highlight w:val="none"/>
        </w:rPr>
        <w:t>定标及公示</w:t>
      </w:r>
    </w:p>
    <w:p w14:paraId="222091E5">
      <w:pPr>
        <w:ind w:firstLine="420" w:firstLineChars="200"/>
        <w:rPr>
          <w:rFonts w:hint="eastAsia" w:ascii="黑体" w:hAnsi="宋体" w:eastAsia="黑体"/>
          <w:szCs w:val="21"/>
          <w:highlight w:val="none"/>
        </w:rPr>
      </w:pPr>
      <w:r>
        <w:rPr>
          <w:rFonts w:hint="eastAsia" w:ascii="黑体" w:hAnsi="宋体" w:eastAsia="黑体"/>
          <w:szCs w:val="21"/>
          <w:highlight w:val="none"/>
        </w:rPr>
        <w:t>38．定标方法</w:t>
      </w:r>
    </w:p>
    <w:p w14:paraId="0643A303">
      <w:pPr>
        <w:ind w:firstLine="420" w:firstLineChars="200"/>
        <w:rPr>
          <w:rFonts w:hint="eastAsia" w:ascii="宋体" w:hAnsi="宋体"/>
          <w:szCs w:val="21"/>
          <w:highlight w:val="none"/>
        </w:rPr>
      </w:pPr>
      <w:bookmarkStart w:id="81" w:name="_Hlk73782795"/>
      <w:r>
        <w:rPr>
          <w:rFonts w:hint="eastAsia" w:ascii="宋体" w:hAnsi="宋体"/>
          <w:szCs w:val="21"/>
          <w:highlight w:val="none"/>
        </w:rPr>
        <w:t>38.1非评定分离项目定标方法</w:t>
      </w:r>
    </w:p>
    <w:p w14:paraId="7F700C0E">
      <w:pPr>
        <w:ind w:firstLine="420" w:firstLineChars="200"/>
        <w:rPr>
          <w:rFonts w:hint="eastAsia" w:ascii="宋体" w:hAnsi="宋体"/>
          <w:szCs w:val="21"/>
          <w:highlight w:val="none"/>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1.1评审委员会依据本项目招标文件所约定的评审方法进行评审和比较，向</w:t>
      </w:r>
      <w:r>
        <w:rPr>
          <w:rFonts w:hint="eastAsia" w:ascii="宋体" w:hAnsi="宋体"/>
          <w:szCs w:val="21"/>
          <w:highlight w:val="none"/>
          <w:lang w:eastAsia="zh-CN"/>
        </w:rPr>
        <w:t>代理机构</w:t>
      </w:r>
      <w:r>
        <w:rPr>
          <w:rFonts w:hint="eastAsia" w:ascii="宋体" w:hAnsi="宋体"/>
          <w:szCs w:val="21"/>
          <w:highlight w:val="none"/>
        </w:rPr>
        <w:t>提交书面评审报告，并根据评审方法比较评价结果从优到劣进行排序，确定候选中标供应商。</w:t>
      </w:r>
    </w:p>
    <w:p w14:paraId="083095A8">
      <w:pPr>
        <w:ind w:firstLine="420" w:firstLineChars="200"/>
        <w:rPr>
          <w:rFonts w:hint="eastAsia" w:ascii="ˎ̥" w:hAnsi="ˎ̥"/>
          <w:szCs w:val="21"/>
          <w:highlight w:val="none"/>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1.2</w:t>
      </w:r>
      <w:r>
        <w:rPr>
          <w:rFonts w:ascii="ˎ̥" w:hAnsi="ˎ̥"/>
          <w:szCs w:val="21"/>
          <w:highlight w:val="none"/>
        </w:rPr>
        <w:t>采用最低价法的，评</w:t>
      </w:r>
      <w:r>
        <w:rPr>
          <w:rFonts w:hint="eastAsia" w:ascii="ˎ̥" w:hAnsi="ˎ̥"/>
          <w:szCs w:val="21"/>
          <w:highlight w:val="none"/>
        </w:rPr>
        <w:t>审</w:t>
      </w:r>
      <w:r>
        <w:rPr>
          <w:rFonts w:ascii="ˎ̥" w:hAnsi="ˎ̥"/>
          <w:szCs w:val="21"/>
          <w:highlight w:val="none"/>
        </w:rPr>
        <w:t>结果按投标报价由低到高顺序排列。投标报价相同的并列。投标文件满足</w:t>
      </w:r>
      <w:r>
        <w:rPr>
          <w:rFonts w:hint="eastAsia" w:ascii="ˎ̥" w:hAnsi="ˎ̥"/>
          <w:szCs w:val="21"/>
          <w:highlight w:val="none"/>
        </w:rPr>
        <w:t>招标</w:t>
      </w:r>
      <w:r>
        <w:rPr>
          <w:rFonts w:ascii="ˎ̥" w:hAnsi="ˎ̥"/>
          <w:szCs w:val="21"/>
          <w:highlight w:val="none"/>
        </w:rPr>
        <w:t>文件全部实质性要求且投标报价最低的</w:t>
      </w:r>
      <w:r>
        <w:rPr>
          <w:rFonts w:hint="eastAsia" w:ascii="ˎ̥" w:hAnsi="ˎ̥"/>
          <w:szCs w:val="21"/>
          <w:highlight w:val="none"/>
        </w:rPr>
        <w:t>投标人为</w:t>
      </w:r>
      <w:bookmarkStart w:id="82" w:name="_Hlk73821177"/>
      <w:r>
        <w:rPr>
          <w:rFonts w:hint="eastAsia" w:ascii="ˎ̥" w:hAnsi="ˎ̥"/>
          <w:szCs w:val="21"/>
          <w:highlight w:val="none"/>
        </w:rPr>
        <w:t>唯一候选中标供应商</w:t>
      </w:r>
      <w:bookmarkEnd w:id="82"/>
      <w:r>
        <w:rPr>
          <w:rFonts w:ascii="ˎ̥" w:hAnsi="ˎ̥"/>
          <w:szCs w:val="21"/>
          <w:highlight w:val="none"/>
        </w:rPr>
        <w:t>。</w:t>
      </w:r>
    </w:p>
    <w:p w14:paraId="6F60A48E">
      <w:pPr>
        <w:ind w:firstLine="420" w:firstLineChars="200"/>
        <w:rPr>
          <w:rFonts w:hint="eastAsia" w:ascii="ˎ̥" w:hAnsi="ˎ̥" w:eastAsiaTheme="minorEastAsia"/>
          <w:szCs w:val="21"/>
          <w:highlight w:val="none"/>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1.3</w:t>
      </w:r>
      <w:r>
        <w:rPr>
          <w:rFonts w:ascii="宋体" w:hAnsi="宋体"/>
          <w:szCs w:val="21"/>
          <w:highlight w:val="none"/>
        </w:rPr>
        <w:t>采</w:t>
      </w:r>
      <w:r>
        <w:rPr>
          <w:rFonts w:ascii="ˎ̥" w:hAnsi="ˎ̥"/>
          <w:szCs w:val="21"/>
          <w:highlight w:val="none"/>
        </w:rPr>
        <w:t>用综合评分法的，评标结果按评审后得分由高到低顺序排列。得分相同的，按投标报价由低到高顺序排列。得分且投标报价相同的并列。投标文件满足</w:t>
      </w:r>
      <w:r>
        <w:rPr>
          <w:rFonts w:hint="eastAsia" w:ascii="ˎ̥" w:hAnsi="ˎ̥"/>
          <w:szCs w:val="21"/>
          <w:highlight w:val="none"/>
        </w:rPr>
        <w:t>招标</w:t>
      </w:r>
      <w:r>
        <w:rPr>
          <w:rFonts w:ascii="ˎ̥" w:hAnsi="ˎ̥"/>
          <w:szCs w:val="21"/>
          <w:highlight w:val="none"/>
        </w:rPr>
        <w:t>文件全部实质性要求，且按照评审因素的量化指标评审得分最高的投标人</w:t>
      </w:r>
      <w:r>
        <w:rPr>
          <w:rFonts w:hint="eastAsia" w:ascii="ˎ̥" w:hAnsi="ˎ̥"/>
          <w:szCs w:val="21"/>
          <w:highlight w:val="none"/>
        </w:rPr>
        <w:t>为唯一候选中标供应商</w:t>
      </w:r>
      <w:r>
        <w:rPr>
          <w:rFonts w:ascii="ˎ̥" w:hAnsi="ˎ̥"/>
          <w:szCs w:val="21"/>
          <w:highlight w:val="none"/>
        </w:rPr>
        <w:t>。</w:t>
      </w:r>
      <w:r>
        <w:rPr>
          <w:rFonts w:hint="eastAsia" w:ascii="ˎ̥" w:hAnsi="ˎ̥"/>
          <w:szCs w:val="21"/>
          <w:highlight w:val="none"/>
        </w:rPr>
        <w:t>出现</w:t>
      </w:r>
      <w:r>
        <w:rPr>
          <w:rFonts w:ascii="ˎ̥" w:hAnsi="ˎ̥"/>
          <w:szCs w:val="21"/>
          <w:highlight w:val="none"/>
        </w:rPr>
        <w:t>得分且投标报价相同的并列</w:t>
      </w:r>
      <w:r>
        <w:rPr>
          <w:rFonts w:hint="eastAsia" w:ascii="ˎ̥" w:hAnsi="ˎ̥"/>
          <w:szCs w:val="21"/>
          <w:highlight w:val="none"/>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14:paraId="036A77D0">
      <w:pPr>
        <w:ind w:firstLine="420" w:firstLineChars="200"/>
        <w:rPr>
          <w:rFonts w:hint="eastAsia" w:ascii="宋体" w:hAnsi="宋体"/>
          <w:szCs w:val="21"/>
          <w:highlight w:val="none"/>
        </w:rPr>
      </w:pPr>
      <w:r>
        <w:rPr>
          <w:rFonts w:hint="eastAsia" w:ascii="宋体" w:hAnsi="宋体"/>
          <w:szCs w:val="21"/>
          <w:highlight w:val="none"/>
        </w:rPr>
        <w:t>38.2评定分离项目定标方法</w:t>
      </w:r>
    </w:p>
    <w:p w14:paraId="5873AA9D">
      <w:pPr>
        <w:ind w:firstLine="420" w:firstLineChars="200"/>
        <w:rPr>
          <w:rFonts w:hint="eastAsia" w:ascii="宋体" w:hAnsi="宋体"/>
          <w:szCs w:val="21"/>
          <w:highlight w:val="none"/>
        </w:rPr>
      </w:pPr>
      <w:r>
        <w:rPr>
          <w:rFonts w:hint="eastAsia" w:ascii="宋体" w:hAnsi="宋体"/>
          <w:szCs w:val="21"/>
          <w:highlight w:val="none"/>
        </w:rPr>
        <w:t>38.2.1评定分离是指在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199F1582">
      <w:pPr>
        <w:ind w:firstLine="420" w:firstLineChars="200"/>
        <w:rPr>
          <w:szCs w:val="21"/>
          <w:highlight w:val="none"/>
        </w:rPr>
      </w:pPr>
      <w:r>
        <w:rPr>
          <w:rFonts w:ascii="宋体" w:hAnsi="宋体"/>
          <w:szCs w:val="21"/>
          <w:highlight w:val="none"/>
        </w:rPr>
        <w:t xml:space="preserve">38.2.2 </w:t>
      </w:r>
      <w:bookmarkStart w:id="83" w:name="_Hlk71469733"/>
      <w:r>
        <w:rPr>
          <w:szCs w:val="21"/>
          <w:highlight w:val="none"/>
        </w:rPr>
        <w:t>适用评定分离的</w:t>
      </w:r>
      <w:r>
        <w:rPr>
          <w:rFonts w:hint="eastAsia"/>
          <w:szCs w:val="21"/>
          <w:highlight w:val="none"/>
        </w:rPr>
        <w:t>采购</w:t>
      </w:r>
      <w:r>
        <w:rPr>
          <w:szCs w:val="21"/>
          <w:highlight w:val="none"/>
        </w:rPr>
        <w:t>项目，采用综合评分法评</w:t>
      </w:r>
      <w:r>
        <w:rPr>
          <w:rFonts w:hint="eastAsia"/>
          <w:szCs w:val="21"/>
          <w:highlight w:val="none"/>
        </w:rPr>
        <w:t>审。</w:t>
      </w:r>
      <w:r>
        <w:rPr>
          <w:rFonts w:hint="eastAsia" w:ascii="宋体" w:hAnsi="宋体"/>
          <w:szCs w:val="21"/>
          <w:highlight w:val="none"/>
        </w:rPr>
        <w:t>评审委员会按照评审结果，推荐</w:t>
      </w:r>
      <w:r>
        <w:rPr>
          <w:szCs w:val="21"/>
          <w:highlight w:val="none"/>
        </w:rPr>
        <w:t>三个合格的候选中标供应商。</w:t>
      </w:r>
    </w:p>
    <w:p w14:paraId="5BE123B5">
      <w:pPr>
        <w:ind w:firstLine="420" w:firstLineChars="200"/>
        <w:rPr>
          <w:rFonts w:hint="eastAsia" w:ascii="宋体" w:hAnsi="宋体"/>
          <w:szCs w:val="21"/>
          <w:highlight w:val="none"/>
        </w:rPr>
      </w:pPr>
      <w:r>
        <w:rPr>
          <w:rFonts w:hint="eastAsia" w:ascii="宋体" w:hAnsi="宋体"/>
          <w:szCs w:val="21"/>
          <w:highlight w:val="none"/>
        </w:rPr>
        <w:t>38.2.3</w:t>
      </w:r>
      <w:bookmarkStart w:id="84" w:name="_Hlk71469688"/>
      <w:r>
        <w:rPr>
          <w:szCs w:val="21"/>
          <w:highlight w:val="none"/>
        </w:rPr>
        <w:t>适用评定分离的</w:t>
      </w:r>
      <w:r>
        <w:rPr>
          <w:rFonts w:hint="eastAsia"/>
          <w:szCs w:val="21"/>
          <w:highlight w:val="none"/>
        </w:rPr>
        <w:t>采购</w:t>
      </w:r>
      <w:r>
        <w:rPr>
          <w:szCs w:val="21"/>
          <w:highlight w:val="none"/>
        </w:rPr>
        <w:t>项目，</w:t>
      </w:r>
      <w:r>
        <w:rPr>
          <w:rFonts w:hint="eastAsia" w:ascii="宋体" w:hAnsi="宋体"/>
          <w:szCs w:val="21"/>
          <w:highlight w:val="none"/>
        </w:rPr>
        <w:t>按照自定法确定中标供应商：自定法是指采购人组织定标委员会，由定标委员会在三家候选中标供应商中确定中标供应商。</w:t>
      </w:r>
      <w:bookmarkEnd w:id="83"/>
      <w:bookmarkEnd w:id="84"/>
    </w:p>
    <w:p w14:paraId="136DC3DD">
      <w:pPr>
        <w:ind w:firstLine="420" w:firstLineChars="200"/>
        <w:rPr>
          <w:rFonts w:hint="eastAsia" w:ascii="宋体" w:hAnsi="宋体"/>
          <w:szCs w:val="21"/>
          <w:highlight w:val="none"/>
        </w:rPr>
      </w:pPr>
      <w:r>
        <w:rPr>
          <w:rFonts w:ascii="宋体" w:hAnsi="宋体"/>
          <w:szCs w:val="21"/>
          <w:highlight w:val="none"/>
        </w:rPr>
        <w:t>38.2.4</w:t>
      </w:r>
      <w:r>
        <w:rPr>
          <w:rFonts w:hint="eastAsia" w:ascii="宋体" w:hAnsi="宋体"/>
          <w:szCs w:val="21"/>
          <w:highlight w:val="none"/>
          <w:lang w:eastAsia="zh-CN"/>
        </w:rPr>
        <w:t>代理机构</w:t>
      </w:r>
      <w:r>
        <w:rPr>
          <w:szCs w:val="21"/>
          <w:highlight w:val="none"/>
        </w:rPr>
        <w:t>应当自评审结束之日起两个工作日内将候选中标供应商名单及其投标文件、评审报告送交采购人</w:t>
      </w:r>
      <w:r>
        <w:rPr>
          <w:rFonts w:hint="eastAsia" w:ascii="宋体" w:hAnsi="宋体"/>
          <w:szCs w:val="21"/>
          <w:highlight w:val="none"/>
        </w:rPr>
        <w:t>。</w:t>
      </w:r>
      <w:r>
        <w:rPr>
          <w:szCs w:val="21"/>
          <w:highlight w:val="none"/>
        </w:rPr>
        <w:t>采购人应当安排专人对定标过程进行书面记录，形成定标报告，作为采购文件的组成部分存档，并及时将定标结果反馈</w:t>
      </w:r>
      <w:r>
        <w:rPr>
          <w:rFonts w:hint="eastAsia"/>
          <w:szCs w:val="21"/>
          <w:highlight w:val="none"/>
          <w:lang w:eastAsia="zh-CN"/>
        </w:rPr>
        <w:t>代理机构</w:t>
      </w:r>
      <w:r>
        <w:rPr>
          <w:rFonts w:hint="eastAsia"/>
          <w:szCs w:val="21"/>
          <w:highlight w:val="none"/>
        </w:rPr>
        <w:t>。具体定标程序及相关要求以参照《</w:t>
      </w:r>
      <w:r>
        <w:rPr>
          <w:szCs w:val="21"/>
          <w:highlight w:val="none"/>
        </w:rPr>
        <w:t>深圳市财政局关于印发</w:t>
      </w:r>
      <w:r>
        <w:rPr>
          <w:rFonts w:hint="eastAsia" w:ascii="宋体" w:hAnsi="宋体"/>
          <w:szCs w:val="21"/>
          <w:highlight w:val="none"/>
        </w:rPr>
        <w:t>〈</w:t>
      </w:r>
      <w:r>
        <w:rPr>
          <w:szCs w:val="21"/>
          <w:highlight w:val="none"/>
        </w:rPr>
        <w:t>深圳市政府采购评标定标分离管理办法</w:t>
      </w:r>
      <w:r>
        <w:rPr>
          <w:rFonts w:hint="eastAsia" w:ascii="宋体" w:hAnsi="宋体"/>
          <w:szCs w:val="21"/>
          <w:highlight w:val="none"/>
        </w:rPr>
        <w:t>〉</w:t>
      </w:r>
      <w:r>
        <w:rPr>
          <w:szCs w:val="21"/>
          <w:highlight w:val="none"/>
        </w:rPr>
        <w:t>的通知</w:t>
      </w:r>
      <w:r>
        <w:rPr>
          <w:rFonts w:hint="eastAsia"/>
          <w:szCs w:val="21"/>
          <w:highlight w:val="none"/>
        </w:rPr>
        <w:t>》（深财规【2</w:t>
      </w:r>
      <w:r>
        <w:rPr>
          <w:szCs w:val="21"/>
          <w:highlight w:val="none"/>
        </w:rPr>
        <w:t>020</w:t>
      </w:r>
      <w:r>
        <w:rPr>
          <w:rFonts w:hint="eastAsia"/>
          <w:szCs w:val="21"/>
          <w:highlight w:val="none"/>
        </w:rPr>
        <w:t>】1号）执行。</w:t>
      </w:r>
    </w:p>
    <w:p w14:paraId="150CE955">
      <w:pPr>
        <w:ind w:firstLine="420" w:firstLineChars="200"/>
        <w:rPr>
          <w:rFonts w:hint="eastAsia" w:ascii="宋体" w:hAnsi="宋体"/>
          <w:szCs w:val="21"/>
          <w:highlight w:val="none"/>
        </w:rPr>
      </w:pPr>
      <w:r>
        <w:rPr>
          <w:rFonts w:hint="eastAsia" w:ascii="宋体" w:hAnsi="宋体"/>
          <w:szCs w:val="21"/>
          <w:highlight w:val="none"/>
        </w:rPr>
        <w:t>说明：采购人及投标供应商应按照上述方法提前做好相关准备。</w:t>
      </w:r>
    </w:p>
    <w:p w14:paraId="43F18AEE">
      <w:pPr>
        <w:ind w:firstLine="420" w:firstLineChars="200"/>
        <w:rPr>
          <w:rFonts w:hint="eastAsia" w:ascii="宋体" w:hAnsi="宋体"/>
          <w:szCs w:val="21"/>
          <w:highlight w:val="none"/>
        </w:rPr>
      </w:pPr>
      <w:r>
        <w:rPr>
          <w:rFonts w:hint="eastAsia" w:ascii="宋体" w:hAnsi="宋体"/>
          <w:szCs w:val="21"/>
          <w:highlight w:val="none"/>
        </w:rPr>
        <w:t>38.3专用条款另有规定的，按专用条款相关要求定标。</w:t>
      </w:r>
      <w:bookmarkEnd w:id="81"/>
    </w:p>
    <w:p w14:paraId="24281575">
      <w:pPr>
        <w:ind w:firstLine="420" w:firstLineChars="200"/>
        <w:rPr>
          <w:rFonts w:hint="eastAsia" w:ascii="黑体" w:hAnsi="宋体" w:eastAsia="黑体"/>
          <w:szCs w:val="21"/>
          <w:highlight w:val="none"/>
        </w:rPr>
      </w:pPr>
      <w:r>
        <w:rPr>
          <w:rFonts w:hint="eastAsia" w:ascii="黑体" w:hAnsi="宋体" w:eastAsia="黑体"/>
          <w:szCs w:val="21"/>
          <w:highlight w:val="none"/>
        </w:rPr>
        <w:t>39．编写评审报告</w:t>
      </w:r>
    </w:p>
    <w:p w14:paraId="43AF2BAD">
      <w:pPr>
        <w:ind w:firstLine="420" w:firstLineChars="200"/>
        <w:rPr>
          <w:rFonts w:hint="eastAsia" w:ascii="宋体" w:hAnsi="宋体"/>
          <w:szCs w:val="21"/>
          <w:highlight w:val="none"/>
        </w:rPr>
      </w:pPr>
      <w:r>
        <w:rPr>
          <w:rFonts w:hint="eastAsia" w:ascii="宋体" w:hAnsi="宋体"/>
          <w:szCs w:val="21"/>
          <w:highlight w:val="none"/>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773AD296">
      <w:pPr>
        <w:ind w:firstLine="420" w:firstLineChars="200"/>
        <w:rPr>
          <w:rFonts w:hint="eastAsia" w:ascii="黑体" w:hAnsi="宋体" w:eastAsia="黑体"/>
          <w:szCs w:val="21"/>
          <w:highlight w:val="none"/>
        </w:rPr>
      </w:pPr>
      <w:r>
        <w:rPr>
          <w:rFonts w:hint="eastAsia" w:ascii="黑体" w:hAnsi="宋体" w:eastAsia="黑体"/>
          <w:szCs w:val="21"/>
          <w:highlight w:val="none"/>
        </w:rPr>
        <w:t>40．中标（成交）公告</w:t>
      </w:r>
    </w:p>
    <w:p w14:paraId="22055039">
      <w:pPr>
        <w:ind w:firstLine="420" w:firstLineChars="200"/>
        <w:rPr>
          <w:rFonts w:hint="eastAsia" w:ascii="宋体" w:hAnsi="宋体"/>
          <w:szCs w:val="21"/>
          <w:highlight w:val="none"/>
        </w:rPr>
      </w:pPr>
      <w:r>
        <w:rPr>
          <w:rFonts w:hint="eastAsia" w:ascii="宋体" w:hAnsi="宋体"/>
          <w:szCs w:val="21"/>
          <w:highlight w:val="none"/>
        </w:rPr>
        <w:t>40.1</w:t>
      </w:r>
      <w:bookmarkStart w:id="85" w:name="_Hlk72438709"/>
      <w:r>
        <w:rPr>
          <w:rFonts w:hint="eastAsia" w:ascii="宋体" w:hAnsi="宋体"/>
          <w:szCs w:val="21"/>
          <w:highlight w:val="none"/>
        </w:rPr>
        <w:t>为体现“公开、公平、公正”的原则，评审结束后经采购人确认（确定）评审结果，</w:t>
      </w:r>
      <w:r>
        <w:rPr>
          <w:rFonts w:hint="eastAsia" w:ascii="宋体" w:hAnsi="宋体"/>
          <w:szCs w:val="21"/>
          <w:highlight w:val="none"/>
          <w:lang w:eastAsia="zh-CN"/>
        </w:rPr>
        <w:t>代理机构</w:t>
      </w:r>
      <w:r>
        <w:rPr>
          <w:rFonts w:hint="eastAsia" w:ascii="宋体" w:hAnsi="宋体"/>
          <w:szCs w:val="21"/>
          <w:highlight w:val="none"/>
        </w:rPr>
        <w:t>将在深圳交易集团（深圳公共资源交易中心）官网</w:t>
      </w:r>
      <w:r>
        <w:rPr>
          <w:rFonts w:hint="eastAsia" w:ascii="宋体" w:hAnsi="宋体"/>
          <w:b/>
          <w:bCs/>
          <w:szCs w:val="21"/>
          <w:highlight w:val="none"/>
        </w:rPr>
        <w:t>https://www.szexgrp.com/jyfw/zfcg-view.html?id=zfcg</w:t>
      </w:r>
      <w:r>
        <w:rPr>
          <w:rFonts w:hint="eastAsia" w:ascii="宋体" w:hAnsi="宋体"/>
          <w:szCs w:val="21"/>
          <w:highlight w:val="none"/>
        </w:rPr>
        <w:t>上发布中标结果公告。</w:t>
      </w:r>
      <w:bookmarkEnd w:id="85"/>
      <w:bookmarkStart w:id="86" w:name="_Hlk72438751"/>
      <w:r>
        <w:rPr>
          <w:rFonts w:hint="eastAsia" w:ascii="宋体" w:hAnsi="宋体"/>
          <w:szCs w:val="21"/>
          <w:highlight w:val="none"/>
        </w:rPr>
        <w:t>中标(成交)公告公示内容包含:采购人名称、项目名称、预算金额、采购方式、成交供应商名称、成交金额。供应商如对评审结果有异议，</w:t>
      </w:r>
      <w:r>
        <w:rPr>
          <w:rFonts w:ascii="宋体" w:hAnsi="宋体"/>
          <w:szCs w:val="21"/>
          <w:highlight w:val="none"/>
        </w:rPr>
        <w:t>可在发布公示日期起</w:t>
      </w:r>
      <w:r>
        <w:rPr>
          <w:rFonts w:hint="eastAsia" w:ascii="宋体" w:hAnsi="宋体"/>
          <w:szCs w:val="21"/>
          <w:highlight w:val="none"/>
        </w:rPr>
        <w:t>七</w:t>
      </w:r>
      <w:r>
        <w:rPr>
          <w:rFonts w:ascii="宋体" w:hAnsi="宋体"/>
          <w:szCs w:val="21"/>
          <w:highlight w:val="none"/>
        </w:rPr>
        <w:t>个工作日内向</w:t>
      </w:r>
      <w:r>
        <w:rPr>
          <w:rFonts w:hint="eastAsia" w:ascii="宋体" w:hAnsi="宋体"/>
          <w:szCs w:val="21"/>
          <w:highlight w:val="none"/>
          <w:lang w:eastAsia="zh-CN"/>
        </w:rPr>
        <w:t>代理机构</w:t>
      </w:r>
      <w:r>
        <w:rPr>
          <w:rFonts w:ascii="宋体" w:hAnsi="宋体"/>
          <w:szCs w:val="21"/>
          <w:highlight w:val="none"/>
        </w:rPr>
        <w:t xml:space="preserve">提出。 </w:t>
      </w:r>
      <w:r>
        <w:rPr>
          <w:rFonts w:hint="eastAsia" w:ascii="宋体" w:hAnsi="宋体"/>
          <w:szCs w:val="21"/>
          <w:highlight w:val="none"/>
        </w:rPr>
        <w:t xml:space="preserve"> 监督电话：0755-</w:t>
      </w:r>
      <w:r>
        <w:rPr>
          <w:rFonts w:hint="eastAsia" w:ascii="宋体" w:hAnsi="宋体"/>
          <w:szCs w:val="21"/>
          <w:highlight w:val="none"/>
          <w:lang w:eastAsia="zh-CN"/>
        </w:rPr>
        <w:t>22965602</w:t>
      </w:r>
      <w:r>
        <w:rPr>
          <w:rFonts w:ascii="宋体" w:hAnsi="宋体"/>
          <w:szCs w:val="21"/>
          <w:highlight w:val="none"/>
        </w:rPr>
        <w:t>。</w:t>
      </w:r>
      <w:r>
        <w:rPr>
          <w:rFonts w:hint="eastAsia" w:ascii="宋体" w:hAnsi="宋体"/>
          <w:szCs w:val="21"/>
          <w:highlight w:val="none"/>
        </w:rPr>
        <w:t>若在公示期内未提出质疑，则视为认同该评审结果。</w:t>
      </w:r>
    </w:p>
    <w:bookmarkEnd w:id="86"/>
    <w:p w14:paraId="5DA8B86A">
      <w:pPr>
        <w:ind w:firstLine="420" w:firstLineChars="200"/>
        <w:rPr>
          <w:rFonts w:hint="eastAsia" w:ascii="宋体" w:hAnsi="宋体"/>
          <w:szCs w:val="21"/>
          <w:highlight w:val="none"/>
        </w:rPr>
      </w:pPr>
      <w:r>
        <w:rPr>
          <w:rFonts w:hint="eastAsia" w:ascii="宋体" w:hAnsi="宋体"/>
          <w:szCs w:val="21"/>
          <w:highlight w:val="none"/>
        </w:rPr>
        <w:t>40.2质疑、投诉供应商应保证质疑、投诉内容的真实性和可靠性，并承担相应的法律责任。</w:t>
      </w:r>
    </w:p>
    <w:p w14:paraId="13A73013">
      <w:pPr>
        <w:ind w:firstLine="420" w:firstLineChars="200"/>
        <w:rPr>
          <w:rFonts w:hint="eastAsia" w:ascii="黑体" w:hAnsi="宋体" w:eastAsia="黑体"/>
          <w:szCs w:val="21"/>
          <w:highlight w:val="none"/>
        </w:rPr>
      </w:pPr>
      <w:r>
        <w:rPr>
          <w:rFonts w:hint="eastAsia" w:ascii="黑体" w:hAnsi="宋体" w:eastAsia="黑体"/>
          <w:szCs w:val="21"/>
          <w:highlight w:val="none"/>
        </w:rPr>
        <w:t>41．中标通知书</w:t>
      </w:r>
    </w:p>
    <w:p w14:paraId="51E6FB12">
      <w:pPr>
        <w:ind w:firstLine="420" w:firstLineChars="200"/>
        <w:rPr>
          <w:rFonts w:hint="eastAsia" w:ascii="宋体" w:hAnsi="宋体"/>
          <w:szCs w:val="21"/>
          <w:highlight w:val="none"/>
        </w:rPr>
      </w:pPr>
      <w:r>
        <w:rPr>
          <w:rFonts w:hint="eastAsia" w:ascii="宋体" w:hAnsi="宋体"/>
          <w:szCs w:val="21"/>
          <w:highlight w:val="none"/>
        </w:rPr>
        <w:t>41</w:t>
      </w:r>
      <w:r>
        <w:rPr>
          <w:rFonts w:ascii="宋体" w:hAnsi="宋体"/>
          <w:szCs w:val="21"/>
          <w:highlight w:val="none"/>
        </w:rPr>
        <w:t>.</w:t>
      </w:r>
      <w:r>
        <w:rPr>
          <w:rFonts w:hint="eastAsia" w:ascii="宋体" w:hAnsi="宋体"/>
          <w:szCs w:val="21"/>
          <w:highlight w:val="none"/>
        </w:rPr>
        <w:t>1</w:t>
      </w:r>
      <w:bookmarkStart w:id="87" w:name="_Hlk72438863"/>
      <w:r>
        <w:rPr>
          <w:rFonts w:hint="eastAsia" w:ascii="宋体" w:hAnsi="宋体"/>
          <w:szCs w:val="21"/>
          <w:highlight w:val="none"/>
        </w:rPr>
        <w:t>中标公告公布以后无异常的情况下,中标供应商和采购人可自行在</w:t>
      </w:r>
      <w:r>
        <w:rPr>
          <w:rFonts w:hint="eastAsia" w:ascii="宋体" w:hAnsi="宋体"/>
          <w:b/>
          <w:bCs/>
          <w:szCs w:val="21"/>
          <w:highlight w:val="none"/>
        </w:rPr>
        <w:t>“</w:t>
      </w:r>
      <w:r>
        <w:rPr>
          <w:rFonts w:hint="eastAsia" w:ascii="宋体" w:hAnsi="宋体"/>
          <w:szCs w:val="21"/>
          <w:highlight w:val="none"/>
        </w:rPr>
        <w:t>深圳市自行采购系统（https://trade.szggzy.com/ggzy/center/#/login）</w:t>
      </w:r>
      <w:r>
        <w:rPr>
          <w:rFonts w:hint="eastAsia" w:ascii="宋体" w:hAnsi="宋体"/>
          <w:b/>
          <w:bCs/>
          <w:szCs w:val="21"/>
          <w:highlight w:val="none"/>
        </w:rPr>
        <w:t>”</w:t>
      </w:r>
      <w:r>
        <w:rPr>
          <w:rFonts w:hint="eastAsia" w:ascii="宋体" w:hAnsi="宋体"/>
          <w:szCs w:val="21"/>
          <w:highlight w:val="none"/>
        </w:rPr>
        <w:t>上打印</w:t>
      </w:r>
      <w:r>
        <w:rPr>
          <w:rFonts w:hint="eastAsia" w:ascii="宋体" w:hAnsi="宋体"/>
          <w:b/>
          <w:szCs w:val="21"/>
          <w:highlight w:val="none"/>
        </w:rPr>
        <w:t>《数字中标通知书》</w:t>
      </w:r>
      <w:r>
        <w:rPr>
          <w:rFonts w:hint="eastAsia" w:ascii="宋体" w:hAnsi="宋体"/>
          <w:szCs w:val="21"/>
          <w:highlight w:val="none"/>
        </w:rPr>
        <w:t>。</w:t>
      </w:r>
      <w:bookmarkEnd w:id="87"/>
    </w:p>
    <w:p w14:paraId="2BC039D8">
      <w:pPr>
        <w:ind w:firstLine="420" w:firstLineChars="200"/>
        <w:rPr>
          <w:rFonts w:hint="eastAsia" w:ascii="宋体" w:hAnsi="宋体"/>
          <w:szCs w:val="21"/>
          <w:highlight w:val="none"/>
        </w:rPr>
      </w:pPr>
      <w:r>
        <w:rPr>
          <w:rFonts w:hint="eastAsia" w:ascii="宋体" w:hAnsi="宋体"/>
          <w:szCs w:val="21"/>
          <w:highlight w:val="none"/>
        </w:rPr>
        <w:t>41</w:t>
      </w:r>
      <w:r>
        <w:rPr>
          <w:rFonts w:ascii="宋体" w:hAnsi="宋体"/>
          <w:szCs w:val="21"/>
          <w:highlight w:val="none"/>
        </w:rPr>
        <w:t>.2</w:t>
      </w:r>
      <w:r>
        <w:rPr>
          <w:rFonts w:hint="eastAsia" w:ascii="宋体" w:hAnsi="宋体"/>
          <w:szCs w:val="21"/>
          <w:highlight w:val="none"/>
        </w:rPr>
        <w:t>中标通知书是合同的重要组成部分。</w:t>
      </w:r>
    </w:p>
    <w:p w14:paraId="0DE65B7F">
      <w:pPr>
        <w:ind w:firstLine="420" w:firstLineChars="200"/>
        <w:rPr>
          <w:rFonts w:hint="eastAsia" w:ascii="宋体" w:hAnsi="宋体"/>
          <w:szCs w:val="21"/>
          <w:highlight w:val="none"/>
        </w:rPr>
      </w:pPr>
      <w:bookmarkStart w:id="88" w:name="_Hlk71407340"/>
      <w:r>
        <w:rPr>
          <w:rFonts w:hint="eastAsia" w:ascii="宋体" w:hAnsi="宋体"/>
          <w:szCs w:val="21"/>
          <w:highlight w:val="none"/>
        </w:rPr>
        <w:t>41.3因质疑投诉或其他原因导致项目结果变更或采购终止的，</w:t>
      </w:r>
      <w:r>
        <w:rPr>
          <w:rFonts w:hint="eastAsia" w:ascii="宋体" w:hAnsi="宋体"/>
          <w:szCs w:val="21"/>
          <w:highlight w:val="none"/>
          <w:lang w:eastAsia="zh-CN"/>
        </w:rPr>
        <w:t>代理机构</w:t>
      </w:r>
      <w:r>
        <w:rPr>
          <w:rFonts w:hint="eastAsia" w:ascii="宋体" w:hAnsi="宋体"/>
          <w:szCs w:val="21"/>
          <w:highlight w:val="none"/>
        </w:rPr>
        <w:t>有权吊销中标通知书。</w:t>
      </w:r>
    </w:p>
    <w:bookmarkEnd w:id="88"/>
    <w:p w14:paraId="50644D5A">
      <w:pPr>
        <w:ind w:firstLine="411" w:firstLineChars="196"/>
        <w:rPr>
          <w:rFonts w:hint="eastAsia" w:ascii="宋体" w:hAnsi="宋体"/>
          <w:szCs w:val="21"/>
          <w:highlight w:val="none"/>
        </w:rPr>
      </w:pPr>
    </w:p>
    <w:p w14:paraId="4784CE9F">
      <w:pPr>
        <w:pStyle w:val="7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highlight w:val="none"/>
        </w:rPr>
      </w:pPr>
      <w:r>
        <w:rPr>
          <w:rFonts w:hint="eastAsia" w:asciiTheme="majorHAnsi" w:hAnsiTheme="majorHAnsi" w:eastAsiaTheme="majorEastAsia" w:cstheme="majorBidi"/>
          <w:b/>
          <w:bCs/>
          <w:sz w:val="28"/>
          <w:szCs w:val="28"/>
          <w:highlight w:val="none"/>
        </w:rPr>
        <w:t>公开招标失败的后续处理</w:t>
      </w:r>
    </w:p>
    <w:p w14:paraId="517D864B">
      <w:pPr>
        <w:ind w:firstLine="420" w:firstLineChars="200"/>
        <w:rPr>
          <w:rFonts w:hint="eastAsia" w:ascii="黑体" w:hAnsi="宋体" w:eastAsia="黑体"/>
          <w:szCs w:val="21"/>
          <w:highlight w:val="none"/>
        </w:rPr>
      </w:pPr>
      <w:r>
        <w:rPr>
          <w:rFonts w:hint="eastAsia" w:ascii="黑体" w:hAnsi="宋体" w:eastAsia="黑体"/>
          <w:szCs w:val="21"/>
          <w:highlight w:val="none"/>
        </w:rPr>
        <w:t>42．公开招标失败的处理</w:t>
      </w:r>
    </w:p>
    <w:p w14:paraId="783E7D51">
      <w:pPr>
        <w:ind w:firstLine="411" w:firstLineChars="196"/>
        <w:rPr>
          <w:rFonts w:hint="eastAsia" w:ascii="宋体" w:hAnsi="宋体"/>
          <w:highlight w:val="none"/>
        </w:rPr>
      </w:pPr>
      <w:r>
        <w:rPr>
          <w:rFonts w:hint="eastAsia" w:ascii="宋体" w:hAnsi="宋体"/>
          <w:szCs w:val="21"/>
          <w:highlight w:val="none"/>
        </w:rPr>
        <w:t>42.1本项目公开招标过程中若由于投标截止后</w:t>
      </w:r>
      <w:r>
        <w:rPr>
          <w:rFonts w:hint="eastAsia" w:ascii="宋体" w:hAnsi="宋体"/>
          <w:highlight w:val="none"/>
        </w:rPr>
        <w:t>实际递交</w:t>
      </w:r>
      <w:r>
        <w:rPr>
          <w:rFonts w:ascii="宋体" w:hAnsi="宋体"/>
          <w:highlight w:val="none"/>
        </w:rPr>
        <w:t>投标</w:t>
      </w:r>
      <w:r>
        <w:rPr>
          <w:rFonts w:hint="eastAsia" w:ascii="宋体" w:hAnsi="宋体"/>
          <w:highlight w:val="none"/>
        </w:rPr>
        <w:t>文件的供应商数量不足、经</w:t>
      </w:r>
      <w:r>
        <w:rPr>
          <w:rFonts w:hint="eastAsia" w:ascii="宋体" w:hAnsi="宋体"/>
          <w:szCs w:val="21"/>
          <w:highlight w:val="none"/>
        </w:rPr>
        <w:t>评审委员会</w:t>
      </w:r>
      <w:r>
        <w:rPr>
          <w:rFonts w:hint="eastAsia" w:ascii="宋体" w:hAnsi="宋体"/>
          <w:highlight w:val="none"/>
        </w:rPr>
        <w:t>评审对招标文件作实质响应的供应商不足等原因造成公开招标失败，可由</w:t>
      </w:r>
      <w:r>
        <w:rPr>
          <w:rFonts w:hint="eastAsia" w:ascii="宋体" w:hAnsi="宋体" w:cs="宋体"/>
          <w:highlight w:val="none"/>
          <w:lang w:eastAsia="zh-CN"/>
        </w:rPr>
        <w:t>代理机构</w:t>
      </w:r>
      <w:r>
        <w:rPr>
          <w:rFonts w:hint="eastAsia" w:ascii="宋体" w:hAnsi="宋体"/>
          <w:highlight w:val="none"/>
        </w:rPr>
        <w:t>重新组织采购。</w:t>
      </w:r>
    </w:p>
    <w:p w14:paraId="3B3A91EA">
      <w:pPr>
        <w:ind w:firstLine="411" w:firstLineChars="196"/>
        <w:rPr>
          <w:rFonts w:hint="eastAsia" w:ascii="宋体" w:hAnsi="宋体"/>
          <w:szCs w:val="21"/>
          <w:highlight w:val="none"/>
        </w:rPr>
      </w:pPr>
      <w:r>
        <w:rPr>
          <w:rFonts w:hint="eastAsia" w:ascii="宋体" w:hAnsi="宋体"/>
          <w:szCs w:val="21"/>
          <w:highlight w:val="none"/>
        </w:rPr>
        <w:t>42.2对公开招标失败的项目，评审委员会在出具该项目招标失败结论的同时，可以提出重新采购组织形式的建议，以及进一步完善招标文件的资格、技术、商务要求的修改建议。</w:t>
      </w:r>
    </w:p>
    <w:p w14:paraId="6D24BF7C">
      <w:pPr>
        <w:ind w:firstLine="411" w:firstLineChars="196"/>
        <w:rPr>
          <w:rFonts w:hint="eastAsia" w:ascii="宋体" w:hAnsi="宋体"/>
          <w:szCs w:val="21"/>
          <w:highlight w:val="none"/>
        </w:rPr>
      </w:pPr>
      <w:r>
        <w:rPr>
          <w:rFonts w:hint="eastAsia" w:ascii="宋体" w:hAnsi="宋体"/>
          <w:szCs w:val="21"/>
          <w:highlight w:val="none"/>
        </w:rPr>
        <w:t>42.3重新组织采购有以下两种组织形式：</w:t>
      </w:r>
    </w:p>
    <w:p w14:paraId="09278A87">
      <w:pPr>
        <w:ind w:firstLine="411" w:firstLineChars="196"/>
        <w:rPr>
          <w:rFonts w:hint="eastAsia" w:ascii="宋体" w:hAnsi="宋体"/>
          <w:highlight w:val="none"/>
        </w:rPr>
      </w:pPr>
      <w:r>
        <w:rPr>
          <w:rFonts w:hint="eastAsia" w:ascii="宋体" w:hAnsi="宋体"/>
          <w:highlight w:val="none"/>
        </w:rPr>
        <w:t>（1）由</w:t>
      </w:r>
      <w:r>
        <w:rPr>
          <w:rFonts w:hint="eastAsia" w:ascii="宋体" w:hAnsi="宋体"/>
          <w:highlight w:val="none"/>
          <w:lang w:eastAsia="zh-CN"/>
        </w:rPr>
        <w:t>代理机构</w:t>
      </w:r>
      <w:r>
        <w:rPr>
          <w:rFonts w:hint="eastAsia" w:ascii="宋体" w:hAnsi="宋体"/>
          <w:highlight w:val="none"/>
        </w:rPr>
        <w:t>重新组织公开招标；</w:t>
      </w:r>
    </w:p>
    <w:p w14:paraId="4CBD820B">
      <w:pPr>
        <w:ind w:firstLine="411" w:firstLineChars="196"/>
        <w:rPr>
          <w:rFonts w:hint="eastAsia" w:ascii="宋体" w:hAnsi="宋体"/>
          <w:highlight w:val="none"/>
        </w:rPr>
      </w:pPr>
      <w:r>
        <w:rPr>
          <w:rFonts w:hint="eastAsia" w:ascii="宋体" w:hAnsi="宋体"/>
          <w:highlight w:val="none"/>
        </w:rPr>
        <w:t>（2）根据实际情况需要向采购人主管部门提出非公开招标方式申请，经采购人主管部门批准，公开招标失败采购项目可转为竞争性谈判或单一来源谈判方式采购。</w:t>
      </w:r>
    </w:p>
    <w:p w14:paraId="5DC5D8ED">
      <w:pPr>
        <w:ind w:firstLine="411" w:firstLineChars="196"/>
        <w:rPr>
          <w:rFonts w:hint="eastAsia" w:ascii="宋体" w:hAnsi="宋体"/>
          <w:highlight w:val="none"/>
        </w:rPr>
      </w:pPr>
      <w:r>
        <w:rPr>
          <w:rFonts w:hint="eastAsia" w:ascii="宋体" w:hAnsi="宋体"/>
          <w:highlight w:val="none"/>
        </w:rPr>
        <w:t>42.4公开招标失败的采购项目重新组织公开招标，由</w:t>
      </w:r>
      <w:r>
        <w:rPr>
          <w:rFonts w:hint="eastAsia" w:ascii="宋体" w:hAnsi="宋体"/>
          <w:highlight w:val="none"/>
          <w:lang w:eastAsia="zh-CN"/>
        </w:rPr>
        <w:t>代理机构</w:t>
      </w:r>
      <w:r>
        <w:rPr>
          <w:rFonts w:hint="eastAsia" w:ascii="宋体" w:hAnsi="宋体"/>
          <w:highlight w:val="none"/>
        </w:rPr>
        <w:t>重新按公开招标流程组织采购活动。</w:t>
      </w:r>
    </w:p>
    <w:p w14:paraId="2F2B3933">
      <w:pPr>
        <w:ind w:firstLine="420" w:firstLineChars="200"/>
        <w:rPr>
          <w:rFonts w:hint="eastAsia" w:ascii="黑体" w:hAnsi="宋体" w:eastAsia="黑体"/>
          <w:sz w:val="24"/>
          <w:highlight w:val="none"/>
        </w:rPr>
      </w:pPr>
      <w:r>
        <w:rPr>
          <w:rFonts w:hint="eastAsia" w:ascii="宋体" w:hAnsi="宋体"/>
          <w:highlight w:val="none"/>
        </w:rPr>
        <w:t>42.5公开招标失败的采购项目经采购人主管部门批准转为竞争性谈判或单一来源谈判方式采购的，按规定要求组织自行采购工作。</w:t>
      </w:r>
    </w:p>
    <w:p w14:paraId="1ED80FB5">
      <w:pPr>
        <w:ind w:firstLine="420" w:firstLineChars="200"/>
        <w:rPr>
          <w:rFonts w:hint="eastAsia" w:ascii="宋体" w:hAnsi="宋体"/>
          <w:szCs w:val="21"/>
          <w:highlight w:val="none"/>
        </w:rPr>
      </w:pPr>
    </w:p>
    <w:p w14:paraId="1E1AC221">
      <w:pPr>
        <w:rPr>
          <w:rFonts w:hint="eastAsia" w:ascii="黑体" w:hAnsi="宋体" w:eastAsia="黑体"/>
          <w:sz w:val="24"/>
          <w:highlight w:val="none"/>
        </w:rPr>
      </w:pPr>
    </w:p>
    <w:p w14:paraId="12F49701">
      <w:pPr>
        <w:pStyle w:val="7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highlight w:val="none"/>
        </w:rPr>
      </w:pPr>
      <w:bookmarkStart w:id="89" w:name="_Hlk72439043"/>
      <w:r>
        <w:rPr>
          <w:rFonts w:hint="eastAsia" w:asciiTheme="majorHAnsi" w:hAnsiTheme="majorHAnsi" w:eastAsiaTheme="majorEastAsia" w:cstheme="majorBidi"/>
          <w:b/>
          <w:bCs/>
          <w:sz w:val="28"/>
          <w:szCs w:val="28"/>
          <w:highlight w:val="none"/>
        </w:rPr>
        <w:t>合同的授予与备案</w:t>
      </w:r>
      <w:bookmarkEnd w:id="89"/>
    </w:p>
    <w:p w14:paraId="483BAC31">
      <w:pPr>
        <w:ind w:firstLine="420" w:firstLineChars="200"/>
        <w:rPr>
          <w:rFonts w:hint="eastAsia" w:ascii="黑体" w:hAnsi="宋体" w:eastAsia="黑体"/>
          <w:szCs w:val="21"/>
          <w:highlight w:val="none"/>
        </w:rPr>
      </w:pPr>
      <w:bookmarkStart w:id="90" w:name="_Toc73521586"/>
      <w:bookmarkStart w:id="91" w:name="_Toc73517679"/>
      <w:bookmarkStart w:id="92" w:name="_Toc73521674"/>
      <w:bookmarkStart w:id="93" w:name="_Toc73518157"/>
      <w:bookmarkStart w:id="94" w:name="_Toc100052408"/>
      <w:bookmarkStart w:id="95" w:name="_Hlk72439088"/>
      <w:r>
        <w:rPr>
          <w:rFonts w:hint="eastAsia" w:ascii="黑体" w:hAnsi="宋体" w:eastAsia="黑体"/>
          <w:szCs w:val="21"/>
          <w:highlight w:val="none"/>
        </w:rPr>
        <w:t>43．合同授予标准</w:t>
      </w:r>
      <w:bookmarkEnd w:id="90"/>
      <w:bookmarkEnd w:id="91"/>
      <w:bookmarkEnd w:id="92"/>
      <w:bookmarkEnd w:id="93"/>
      <w:bookmarkEnd w:id="94"/>
    </w:p>
    <w:p w14:paraId="6665AB07">
      <w:pPr>
        <w:ind w:firstLine="420" w:firstLineChars="200"/>
        <w:rPr>
          <w:rFonts w:hint="eastAsia" w:ascii="宋体" w:hAnsi="宋体"/>
          <w:szCs w:val="21"/>
          <w:highlight w:val="none"/>
        </w:rPr>
      </w:pPr>
      <w:r>
        <w:rPr>
          <w:rFonts w:hint="eastAsia" w:ascii="宋体" w:hAnsi="宋体"/>
          <w:szCs w:val="21"/>
          <w:highlight w:val="none"/>
        </w:rPr>
        <w:t>本项目的合同将授予经本招标文件规定评审确定的中标供应商。</w:t>
      </w:r>
    </w:p>
    <w:p w14:paraId="59BDA61D">
      <w:pPr>
        <w:ind w:firstLine="420" w:firstLineChars="200"/>
        <w:rPr>
          <w:rFonts w:hint="eastAsia" w:ascii="黑体" w:hAnsi="宋体" w:eastAsia="黑体"/>
          <w:szCs w:val="21"/>
          <w:highlight w:val="none"/>
        </w:rPr>
      </w:pPr>
      <w:bookmarkStart w:id="96" w:name="_Toc73521587"/>
      <w:bookmarkStart w:id="97" w:name="_Toc73517680"/>
      <w:bookmarkStart w:id="98" w:name="_Toc100052409"/>
      <w:bookmarkStart w:id="99" w:name="_Toc73521675"/>
      <w:bookmarkStart w:id="100" w:name="_Toc73518158"/>
      <w:r>
        <w:rPr>
          <w:rFonts w:hint="eastAsia" w:ascii="黑体" w:hAnsi="宋体" w:eastAsia="黑体"/>
          <w:szCs w:val="21"/>
          <w:highlight w:val="none"/>
        </w:rPr>
        <w:t>44．</w:t>
      </w:r>
      <w:bookmarkEnd w:id="96"/>
      <w:bookmarkEnd w:id="97"/>
      <w:bookmarkEnd w:id="98"/>
      <w:bookmarkEnd w:id="99"/>
      <w:bookmarkEnd w:id="100"/>
      <w:r>
        <w:rPr>
          <w:rFonts w:hint="eastAsia" w:ascii="黑体" w:hAnsi="宋体" w:eastAsia="黑体"/>
          <w:szCs w:val="21"/>
          <w:highlight w:val="none"/>
        </w:rPr>
        <w:t>接受和拒绝任何或所有投标的权力</w:t>
      </w:r>
    </w:p>
    <w:p w14:paraId="6143BC07">
      <w:pPr>
        <w:ind w:firstLine="420" w:firstLineChars="200"/>
        <w:rPr>
          <w:rFonts w:hint="eastAsia" w:ascii="宋体" w:hAnsi="宋体"/>
          <w:szCs w:val="21"/>
          <w:highlight w:val="none"/>
        </w:rPr>
      </w:pPr>
      <w:r>
        <w:rPr>
          <w:rFonts w:hint="eastAsia" w:ascii="宋体" w:hAnsi="宋体"/>
          <w:szCs w:val="21"/>
          <w:highlight w:val="none"/>
          <w:lang w:eastAsia="zh-CN"/>
        </w:rPr>
        <w:t>代理机构</w:t>
      </w:r>
      <w:r>
        <w:rPr>
          <w:rFonts w:hint="eastAsia" w:ascii="宋体" w:hAnsi="宋体"/>
          <w:szCs w:val="21"/>
          <w:highlight w:val="none"/>
        </w:rPr>
        <w:t>和采购人保留在投标之前任何时候接受或拒绝任何投标或所有投标，以及宣布招标无效的权力，对受影响的投标人不承担任何责任，也无义务向受影响的投标人解释采取这一行动的理由。</w:t>
      </w:r>
    </w:p>
    <w:p w14:paraId="5B4A35BB">
      <w:pPr>
        <w:ind w:firstLine="420" w:firstLineChars="200"/>
        <w:rPr>
          <w:rFonts w:hint="eastAsia" w:ascii="黑体" w:hAnsi="宋体" w:eastAsia="黑体"/>
          <w:szCs w:val="21"/>
          <w:highlight w:val="none"/>
        </w:rPr>
      </w:pPr>
      <w:bookmarkStart w:id="101" w:name="_Toc73518160"/>
      <w:bookmarkStart w:id="102" w:name="_Toc73517682"/>
      <w:bookmarkStart w:id="103" w:name="_Toc100052410"/>
      <w:bookmarkStart w:id="104" w:name="_Toc73521589"/>
      <w:bookmarkStart w:id="105" w:name="_Toc73521677"/>
      <w:r>
        <w:rPr>
          <w:rFonts w:hint="eastAsia" w:ascii="黑体" w:hAnsi="宋体" w:eastAsia="黑体"/>
          <w:szCs w:val="21"/>
          <w:highlight w:val="none"/>
        </w:rPr>
        <w:t>45．合同的签订</w:t>
      </w:r>
      <w:bookmarkEnd w:id="101"/>
      <w:bookmarkEnd w:id="102"/>
      <w:bookmarkEnd w:id="103"/>
      <w:bookmarkEnd w:id="104"/>
      <w:bookmarkEnd w:id="105"/>
    </w:p>
    <w:p w14:paraId="4969C8D8">
      <w:pPr>
        <w:ind w:firstLine="420" w:firstLineChars="200"/>
        <w:rPr>
          <w:rFonts w:hint="eastAsia" w:ascii="宋体" w:hAnsi="宋体"/>
          <w:szCs w:val="21"/>
          <w:highlight w:val="none"/>
        </w:rPr>
      </w:pPr>
      <w:r>
        <w:rPr>
          <w:rFonts w:hint="eastAsia" w:ascii="宋体" w:hAnsi="宋体"/>
          <w:szCs w:val="21"/>
          <w:highlight w:val="none"/>
        </w:rPr>
        <w:t>45.1中标人将于中标通知书发出之日起十个工作日内，按照采购文件（招标文件和投标文件等）内容与采购人签订采购合同；合同的实质性内容应当符合招标文件的规定；</w:t>
      </w:r>
    </w:p>
    <w:p w14:paraId="652E1A4B">
      <w:pPr>
        <w:ind w:firstLine="420" w:firstLineChars="200"/>
        <w:rPr>
          <w:rFonts w:hint="eastAsia" w:ascii="宋体" w:hAnsi="宋体"/>
          <w:szCs w:val="21"/>
          <w:highlight w:val="none"/>
        </w:rPr>
      </w:pPr>
      <w:r>
        <w:rPr>
          <w:rFonts w:hint="eastAsia" w:ascii="宋体" w:hAnsi="宋体"/>
          <w:szCs w:val="21"/>
          <w:highlight w:val="none"/>
        </w:rPr>
        <w:t>45.2中标人应当按照合同约定履行义务，完成中标项目，不得将中标项目转让（转包）给他人。</w:t>
      </w:r>
    </w:p>
    <w:p w14:paraId="0E5B043D">
      <w:pPr>
        <w:ind w:firstLine="420" w:firstLineChars="200"/>
        <w:rPr>
          <w:rFonts w:hint="eastAsia" w:ascii="黑体" w:hAnsi="宋体" w:eastAsia="黑体"/>
          <w:szCs w:val="21"/>
          <w:highlight w:val="none"/>
        </w:rPr>
      </w:pPr>
      <w:bookmarkStart w:id="106" w:name="_Toc73518161"/>
      <w:bookmarkStart w:id="107" w:name="_Toc100052411"/>
      <w:bookmarkStart w:id="108" w:name="_Toc73521678"/>
      <w:bookmarkStart w:id="109" w:name="_Toc73521590"/>
      <w:bookmarkStart w:id="110" w:name="_Toc73517683"/>
      <w:r>
        <w:rPr>
          <w:rFonts w:hint="eastAsia" w:ascii="黑体" w:hAnsi="宋体" w:eastAsia="黑体"/>
          <w:szCs w:val="21"/>
          <w:highlight w:val="none"/>
        </w:rPr>
        <w:t>46．履约担保</w:t>
      </w:r>
      <w:bookmarkEnd w:id="106"/>
      <w:bookmarkEnd w:id="107"/>
      <w:bookmarkEnd w:id="108"/>
      <w:bookmarkEnd w:id="109"/>
      <w:bookmarkEnd w:id="110"/>
    </w:p>
    <w:p w14:paraId="70AD883D">
      <w:pPr>
        <w:ind w:firstLine="420" w:firstLineChars="200"/>
        <w:rPr>
          <w:rFonts w:hint="eastAsia" w:ascii="宋体" w:hAnsi="宋体"/>
          <w:szCs w:val="21"/>
          <w:highlight w:val="none"/>
        </w:rPr>
      </w:pPr>
      <w:r>
        <w:rPr>
          <w:rFonts w:hint="eastAsia" w:ascii="宋体" w:hAnsi="宋体"/>
          <w:szCs w:val="21"/>
          <w:highlight w:val="none"/>
        </w:rPr>
        <w:t>46.1在签订项目合同的同时，中标人应按“对通用条款的补充内容”中规定的金额向采购人提交履约担保；</w:t>
      </w:r>
    </w:p>
    <w:p w14:paraId="49DDAA7F">
      <w:pPr>
        <w:ind w:firstLine="420" w:firstLineChars="200"/>
        <w:rPr>
          <w:rFonts w:hint="eastAsia" w:ascii="宋体" w:hAnsi="宋体"/>
          <w:szCs w:val="21"/>
          <w:highlight w:val="none"/>
        </w:rPr>
      </w:pPr>
      <w:r>
        <w:rPr>
          <w:rFonts w:hint="eastAsia" w:ascii="宋体" w:hAnsi="宋体"/>
          <w:szCs w:val="21"/>
          <w:highlight w:val="none"/>
        </w:rPr>
        <w:t>46.2，允许供应商自主选择以支票、汇票、本票、保函等非现金方式提交履约担保；</w:t>
      </w:r>
      <w:r>
        <w:rPr>
          <w:szCs w:val="21"/>
          <w:highlight w:val="none"/>
        </w:rPr>
        <w:t>中标</w:t>
      </w:r>
      <w:r>
        <w:rPr>
          <w:rFonts w:hint="eastAsia"/>
          <w:szCs w:val="21"/>
          <w:highlight w:val="none"/>
        </w:rPr>
        <w:t>人</w:t>
      </w:r>
      <w:r>
        <w:rPr>
          <w:szCs w:val="21"/>
          <w:highlight w:val="none"/>
        </w:rPr>
        <w:t>提交履约</w:t>
      </w:r>
      <w:r>
        <w:rPr>
          <w:rFonts w:hint="eastAsia"/>
          <w:szCs w:val="21"/>
          <w:highlight w:val="none"/>
        </w:rPr>
        <w:t>担保不是</w:t>
      </w:r>
      <w:r>
        <w:rPr>
          <w:szCs w:val="21"/>
          <w:highlight w:val="none"/>
        </w:rPr>
        <w:t>合同签订的</w:t>
      </w:r>
      <w:r>
        <w:rPr>
          <w:rFonts w:hint="eastAsia"/>
          <w:szCs w:val="21"/>
          <w:highlight w:val="none"/>
        </w:rPr>
        <w:t>前提</w:t>
      </w:r>
      <w:r>
        <w:rPr>
          <w:szCs w:val="21"/>
          <w:highlight w:val="none"/>
        </w:rPr>
        <w:t>条件，不要求中标</w:t>
      </w:r>
      <w:r>
        <w:rPr>
          <w:rFonts w:hint="eastAsia"/>
          <w:szCs w:val="21"/>
          <w:highlight w:val="none"/>
        </w:rPr>
        <w:t>人</w:t>
      </w:r>
      <w:r>
        <w:rPr>
          <w:szCs w:val="21"/>
          <w:highlight w:val="none"/>
        </w:rPr>
        <w:t>提供除法律、法规明确规定外的其他担保</w:t>
      </w:r>
      <w:r>
        <w:rPr>
          <w:rFonts w:hint="eastAsia"/>
          <w:szCs w:val="21"/>
          <w:highlight w:val="none"/>
        </w:rPr>
        <w:t>。</w:t>
      </w:r>
    </w:p>
    <w:p w14:paraId="69F0262D">
      <w:pPr>
        <w:ind w:firstLine="420" w:firstLineChars="200"/>
        <w:rPr>
          <w:rFonts w:hint="eastAsia" w:ascii="黑体" w:hAnsi="宋体" w:eastAsia="黑体"/>
          <w:szCs w:val="21"/>
          <w:highlight w:val="none"/>
        </w:rPr>
      </w:pPr>
      <w:r>
        <w:rPr>
          <w:rFonts w:hint="eastAsia" w:ascii="黑体" w:hAnsi="宋体" w:eastAsia="黑体"/>
          <w:szCs w:val="21"/>
          <w:highlight w:val="none"/>
        </w:rPr>
        <w:t>47. 合同备案</w:t>
      </w:r>
    </w:p>
    <w:p w14:paraId="0C138D10">
      <w:pPr>
        <w:ind w:firstLine="420" w:firstLineChars="200"/>
        <w:rPr>
          <w:rFonts w:hint="eastAsia" w:ascii="宋体" w:hAnsi="宋体"/>
          <w:szCs w:val="21"/>
          <w:highlight w:val="none"/>
        </w:rPr>
      </w:pPr>
      <w:r>
        <w:rPr>
          <w:rFonts w:hint="eastAsia" w:ascii="宋体" w:hAnsi="宋体"/>
          <w:szCs w:val="21"/>
          <w:highlight w:val="none"/>
          <w:lang w:eastAsia="zh-Hans"/>
        </w:rPr>
        <w:t>采购人与中标供应商自中标通知书发出之日起10个工作日内签订采购合同，</w:t>
      </w:r>
      <w:r>
        <w:rPr>
          <w:rFonts w:hint="eastAsia" w:ascii="宋体" w:hAnsi="宋体"/>
          <w:szCs w:val="21"/>
          <w:highlight w:val="none"/>
        </w:rPr>
        <w:t>并按采购人内控制度规定提交备案。</w:t>
      </w:r>
    </w:p>
    <w:p w14:paraId="45BFC8B5">
      <w:pPr>
        <w:ind w:firstLine="420" w:firstLineChars="200"/>
        <w:rPr>
          <w:rFonts w:hint="eastAsia" w:ascii="黑体" w:hAnsi="宋体" w:eastAsia="黑体"/>
          <w:szCs w:val="21"/>
          <w:highlight w:val="none"/>
        </w:rPr>
      </w:pPr>
      <w:r>
        <w:rPr>
          <w:rFonts w:hint="eastAsia" w:ascii="黑体" w:hAnsi="宋体" w:eastAsia="黑体"/>
          <w:szCs w:val="21"/>
          <w:highlight w:val="none"/>
        </w:rPr>
        <w:t>48. 合同变更</w:t>
      </w:r>
    </w:p>
    <w:p w14:paraId="38126020">
      <w:pPr>
        <w:ind w:firstLine="420" w:firstLineChars="200"/>
        <w:rPr>
          <w:rFonts w:hint="eastAsia" w:ascii="宋体" w:hAnsi="宋体"/>
          <w:szCs w:val="21"/>
          <w:highlight w:val="none"/>
        </w:rPr>
      </w:pPr>
      <w:r>
        <w:rPr>
          <w:rFonts w:hint="eastAsia" w:ascii="宋体" w:hAnsi="宋体"/>
          <w:szCs w:val="21"/>
          <w:highlight w:val="none"/>
        </w:rPr>
        <w:t>合同变更事宜参照《深圳市财政局关于优化政府采购合同备案的通知》（深财发保〔2022〕2号）相关规定，按采购人内控制度执行。</w:t>
      </w:r>
    </w:p>
    <w:p w14:paraId="3EF32A31">
      <w:pPr>
        <w:ind w:firstLine="420" w:firstLineChars="200"/>
        <w:rPr>
          <w:rFonts w:hint="eastAsia" w:ascii="黑体" w:hAnsi="宋体" w:eastAsia="黑体"/>
          <w:szCs w:val="21"/>
          <w:highlight w:val="none"/>
        </w:rPr>
      </w:pPr>
      <w:r>
        <w:rPr>
          <w:rFonts w:hint="eastAsia" w:ascii="黑体" w:hAnsi="宋体" w:eastAsia="黑体"/>
          <w:szCs w:val="21"/>
          <w:highlight w:val="none"/>
        </w:rPr>
        <w:t>49. 项目验收</w:t>
      </w:r>
    </w:p>
    <w:p w14:paraId="2D4DD656">
      <w:pPr>
        <w:widowControl/>
        <w:ind w:firstLine="420" w:firstLineChars="200"/>
        <w:jc w:val="left"/>
        <w:rPr>
          <w:rFonts w:hint="eastAsia" w:ascii="宋体" w:hAnsi="宋体"/>
          <w:szCs w:val="21"/>
          <w:highlight w:val="none"/>
        </w:rPr>
      </w:pPr>
      <w:r>
        <w:rPr>
          <w:rFonts w:hint="eastAsia" w:ascii="宋体" w:hAnsi="宋体"/>
          <w:szCs w:val="21"/>
          <w:highlight w:val="none"/>
        </w:rPr>
        <w:t>49.1采购人应当按照招标文件和合同规定的标准和方法，及时组织验收。</w:t>
      </w:r>
      <w:r>
        <w:rPr>
          <w:rFonts w:ascii="宋体" w:hAnsi="宋体"/>
          <w:szCs w:val="21"/>
          <w:highlight w:val="none"/>
        </w:rPr>
        <w:t xml:space="preserve"> </w:t>
      </w:r>
    </w:p>
    <w:p w14:paraId="5CCEBB3D">
      <w:pPr>
        <w:ind w:firstLine="420" w:firstLineChars="200"/>
        <w:rPr>
          <w:rFonts w:hint="eastAsia" w:ascii="黑体" w:hAnsi="宋体" w:eastAsia="黑体"/>
          <w:szCs w:val="21"/>
          <w:highlight w:val="none"/>
        </w:rPr>
      </w:pPr>
      <w:r>
        <w:rPr>
          <w:rFonts w:hint="eastAsia" w:ascii="黑体" w:hAnsi="宋体" w:eastAsia="黑体"/>
          <w:szCs w:val="21"/>
          <w:highlight w:val="none"/>
        </w:rPr>
        <w:t>50. 宣传</w:t>
      </w:r>
    </w:p>
    <w:p w14:paraId="558C3CAB">
      <w:pPr>
        <w:ind w:firstLine="420" w:firstLineChars="200"/>
        <w:rPr>
          <w:rFonts w:hint="eastAsia" w:ascii="宋体" w:hAnsi="宋体"/>
          <w:szCs w:val="21"/>
          <w:highlight w:val="none"/>
        </w:rPr>
      </w:pPr>
      <w:r>
        <w:rPr>
          <w:rFonts w:hint="eastAsia" w:ascii="宋体" w:hAnsi="宋体"/>
          <w:szCs w:val="21"/>
          <w:highlight w:val="none"/>
        </w:rPr>
        <w:t>凡与采购活动有关的宣传或广告，若当中提及本项目采购，必须事先将具体对外宣传方案报采购人预算主管部门，并征得其同意。对外市场宣传包括但不限于以下形式：</w:t>
      </w:r>
    </w:p>
    <w:p w14:paraId="554AFA15">
      <w:pPr>
        <w:ind w:firstLine="420" w:firstLineChars="200"/>
        <w:rPr>
          <w:rFonts w:hint="eastAsia" w:ascii="宋体" w:hAnsi="宋体"/>
          <w:szCs w:val="21"/>
          <w:highlight w:val="none"/>
        </w:rPr>
      </w:pPr>
      <w:r>
        <w:rPr>
          <w:rFonts w:hint="eastAsia" w:ascii="宋体" w:hAnsi="宋体"/>
          <w:szCs w:val="21"/>
          <w:highlight w:val="none"/>
        </w:rPr>
        <w:t>a.名片、宣传册、广告标语等；</w:t>
      </w:r>
    </w:p>
    <w:p w14:paraId="250EA150">
      <w:pPr>
        <w:ind w:firstLine="420" w:firstLineChars="200"/>
        <w:rPr>
          <w:rFonts w:hint="eastAsia" w:ascii="宋体" w:hAnsi="宋体"/>
          <w:szCs w:val="21"/>
          <w:highlight w:val="none"/>
        </w:rPr>
      </w:pPr>
      <w:r>
        <w:rPr>
          <w:rFonts w:hint="eastAsia" w:ascii="宋体" w:hAnsi="宋体"/>
          <w:szCs w:val="21"/>
          <w:highlight w:val="none"/>
        </w:rPr>
        <w:t>b.案例介绍、推广等；</w:t>
      </w:r>
    </w:p>
    <w:p w14:paraId="310A8CEB">
      <w:pPr>
        <w:ind w:firstLine="420" w:firstLineChars="200"/>
        <w:rPr>
          <w:rFonts w:hint="eastAsia" w:ascii="宋体" w:hAnsi="宋体"/>
          <w:szCs w:val="21"/>
          <w:highlight w:val="none"/>
        </w:rPr>
      </w:pPr>
      <w:r>
        <w:rPr>
          <w:rFonts w:hint="eastAsia" w:ascii="宋体" w:hAnsi="宋体"/>
          <w:szCs w:val="21"/>
          <w:highlight w:val="none"/>
        </w:rPr>
        <w:t>c.工作人员向其他消费群体宣传。</w:t>
      </w:r>
    </w:p>
    <w:p w14:paraId="015E1170">
      <w:pPr>
        <w:ind w:firstLine="420" w:firstLineChars="200"/>
        <w:rPr>
          <w:rFonts w:hint="eastAsia" w:ascii="黑体" w:hAnsi="宋体" w:eastAsia="黑体"/>
          <w:szCs w:val="21"/>
          <w:highlight w:val="none"/>
        </w:rPr>
      </w:pPr>
      <w:r>
        <w:rPr>
          <w:rFonts w:hint="eastAsia" w:ascii="黑体" w:hAnsi="宋体" w:eastAsia="黑体"/>
          <w:szCs w:val="21"/>
          <w:highlight w:val="none"/>
        </w:rPr>
        <w:t>51. 供应商违法责任</w:t>
      </w:r>
    </w:p>
    <w:p w14:paraId="6972F713">
      <w:pPr>
        <w:ind w:firstLine="420" w:firstLineChars="200"/>
        <w:rPr>
          <w:rFonts w:hint="eastAsia" w:ascii="宋体" w:hAnsi="宋体"/>
          <w:szCs w:val="21"/>
          <w:highlight w:val="none"/>
        </w:rPr>
      </w:pPr>
      <w:r>
        <w:rPr>
          <w:rFonts w:hint="eastAsia" w:ascii="宋体" w:hAnsi="宋体"/>
          <w:szCs w:val="21"/>
          <w:highlight w:val="none"/>
        </w:rPr>
        <w:t>5</w:t>
      </w:r>
      <w:r>
        <w:rPr>
          <w:rFonts w:ascii="宋体" w:hAnsi="宋体"/>
          <w:szCs w:val="21"/>
          <w:highlight w:val="none"/>
        </w:rPr>
        <w:t>1.1</w:t>
      </w:r>
      <w:r>
        <w:rPr>
          <w:rFonts w:hint="eastAsia" w:ascii="宋体" w:hAnsi="宋体"/>
          <w:szCs w:val="21"/>
          <w:highlight w:val="none"/>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31B2F29A">
      <w:pPr>
        <w:ind w:firstLine="420" w:firstLineChars="200"/>
        <w:rPr>
          <w:rFonts w:hint="eastAsia" w:ascii="宋体" w:hAnsi="宋体"/>
          <w:szCs w:val="21"/>
          <w:highlight w:val="none"/>
        </w:rPr>
      </w:pPr>
      <w:r>
        <w:rPr>
          <w:rFonts w:hint="eastAsia" w:ascii="宋体" w:hAnsi="宋体"/>
          <w:szCs w:val="21"/>
          <w:highlight w:val="none"/>
        </w:rPr>
        <w:t>（1）在采购活动中应当回避而未回避的；</w:t>
      </w:r>
    </w:p>
    <w:p w14:paraId="15688E8E">
      <w:pPr>
        <w:ind w:firstLine="420" w:firstLineChars="200"/>
        <w:rPr>
          <w:rFonts w:hint="eastAsia" w:ascii="宋体" w:hAnsi="宋体"/>
          <w:szCs w:val="21"/>
          <w:highlight w:val="none"/>
        </w:rPr>
      </w:pPr>
      <w:r>
        <w:rPr>
          <w:rFonts w:hint="eastAsia" w:ascii="宋体" w:hAnsi="宋体"/>
          <w:szCs w:val="21"/>
          <w:highlight w:val="none"/>
        </w:rPr>
        <w:t>（2）未按本条例规定签订、履行采购合同，造成严重后果的；</w:t>
      </w:r>
    </w:p>
    <w:p w14:paraId="05EE654F">
      <w:pPr>
        <w:ind w:firstLine="420" w:firstLineChars="200"/>
        <w:rPr>
          <w:rFonts w:hint="eastAsia" w:ascii="宋体" w:hAnsi="宋体"/>
          <w:szCs w:val="21"/>
          <w:highlight w:val="none"/>
        </w:rPr>
      </w:pPr>
      <w:r>
        <w:rPr>
          <w:rFonts w:hint="eastAsia" w:ascii="宋体" w:hAnsi="宋体"/>
          <w:szCs w:val="21"/>
          <w:highlight w:val="none"/>
        </w:rPr>
        <w:t>（3）隐瞒真实情况，提供虚假资料的；</w:t>
      </w:r>
    </w:p>
    <w:p w14:paraId="2614ABD2">
      <w:pPr>
        <w:ind w:firstLine="420" w:firstLineChars="200"/>
        <w:rPr>
          <w:rFonts w:hint="eastAsia" w:ascii="宋体" w:hAnsi="宋体"/>
          <w:szCs w:val="21"/>
          <w:highlight w:val="none"/>
        </w:rPr>
      </w:pPr>
      <w:r>
        <w:rPr>
          <w:rFonts w:hint="eastAsia" w:ascii="宋体" w:hAnsi="宋体"/>
          <w:szCs w:val="21"/>
          <w:highlight w:val="none"/>
        </w:rPr>
        <w:t>（4）以非法手段排斥其他供应商参与竞争的；</w:t>
      </w:r>
    </w:p>
    <w:p w14:paraId="108C47B8">
      <w:pPr>
        <w:ind w:firstLine="420" w:firstLineChars="200"/>
        <w:rPr>
          <w:rFonts w:hint="eastAsia" w:ascii="宋体" w:hAnsi="宋体"/>
          <w:szCs w:val="21"/>
          <w:highlight w:val="none"/>
        </w:rPr>
      </w:pPr>
      <w:r>
        <w:rPr>
          <w:rFonts w:hint="eastAsia" w:ascii="宋体" w:hAnsi="宋体"/>
          <w:szCs w:val="21"/>
          <w:highlight w:val="none"/>
        </w:rPr>
        <w:t>（5）与其他采购参加人串通投标的；</w:t>
      </w:r>
    </w:p>
    <w:p w14:paraId="54235940">
      <w:pPr>
        <w:ind w:firstLine="420" w:firstLineChars="200"/>
        <w:rPr>
          <w:rFonts w:hint="eastAsia" w:ascii="宋体" w:hAnsi="宋体"/>
          <w:szCs w:val="21"/>
          <w:highlight w:val="none"/>
        </w:rPr>
      </w:pPr>
      <w:r>
        <w:rPr>
          <w:rFonts w:hint="eastAsia" w:ascii="宋体" w:hAnsi="宋体"/>
          <w:szCs w:val="21"/>
          <w:highlight w:val="none"/>
        </w:rPr>
        <w:t>（6）恶意投诉的；</w:t>
      </w:r>
    </w:p>
    <w:p w14:paraId="2AFBE431">
      <w:pPr>
        <w:ind w:firstLine="420" w:firstLineChars="200"/>
        <w:rPr>
          <w:rFonts w:hint="eastAsia" w:ascii="宋体" w:hAnsi="宋体"/>
          <w:szCs w:val="21"/>
          <w:highlight w:val="none"/>
        </w:rPr>
      </w:pPr>
      <w:r>
        <w:rPr>
          <w:rFonts w:hint="eastAsia" w:ascii="宋体" w:hAnsi="宋体"/>
          <w:szCs w:val="21"/>
          <w:highlight w:val="none"/>
        </w:rPr>
        <w:t>（7）向采购项目相关人行贿或者提供其他不当利益的；</w:t>
      </w:r>
    </w:p>
    <w:p w14:paraId="37174E3A">
      <w:pPr>
        <w:ind w:firstLine="420" w:firstLineChars="200"/>
        <w:rPr>
          <w:rFonts w:hint="eastAsia" w:ascii="宋体" w:hAnsi="宋体"/>
          <w:szCs w:val="21"/>
          <w:highlight w:val="none"/>
        </w:rPr>
      </w:pPr>
      <w:r>
        <w:rPr>
          <w:rFonts w:hint="eastAsia" w:ascii="宋体" w:hAnsi="宋体"/>
          <w:szCs w:val="21"/>
          <w:highlight w:val="none"/>
        </w:rPr>
        <w:t>（8）阻碍、抗拒主管部门监督检查的；</w:t>
      </w:r>
    </w:p>
    <w:p w14:paraId="5C620F57">
      <w:pPr>
        <w:ind w:firstLine="420" w:firstLineChars="200"/>
        <w:rPr>
          <w:rFonts w:hint="eastAsia" w:ascii="宋体" w:hAnsi="宋体"/>
          <w:szCs w:val="21"/>
          <w:highlight w:val="none"/>
        </w:rPr>
      </w:pPr>
      <w:r>
        <w:rPr>
          <w:rFonts w:hint="eastAsia" w:ascii="宋体" w:hAnsi="宋体"/>
          <w:szCs w:val="21"/>
          <w:highlight w:val="none"/>
        </w:rPr>
        <w:t>（9）其他违反本条例规定的行为。</w:t>
      </w:r>
    </w:p>
    <w:p w14:paraId="63652E94">
      <w:pPr>
        <w:ind w:firstLine="420" w:firstLineChars="200"/>
        <w:rPr>
          <w:rFonts w:hint="eastAsia" w:ascii="宋体" w:hAnsi="宋体"/>
          <w:szCs w:val="21"/>
          <w:highlight w:val="none"/>
        </w:rPr>
      </w:pPr>
      <w:r>
        <w:rPr>
          <w:rFonts w:hint="eastAsia" w:ascii="宋体" w:hAnsi="宋体"/>
          <w:szCs w:val="21"/>
          <w:highlight w:val="none"/>
        </w:rPr>
        <w:t>5</w:t>
      </w:r>
      <w:r>
        <w:rPr>
          <w:rFonts w:ascii="宋体" w:hAnsi="宋体"/>
          <w:szCs w:val="21"/>
          <w:highlight w:val="none"/>
        </w:rPr>
        <w:t xml:space="preserve">1.2 </w:t>
      </w:r>
      <w:r>
        <w:rPr>
          <w:rFonts w:hint="eastAsia" w:ascii="宋体" w:hAnsi="宋体"/>
          <w:szCs w:val="21"/>
          <w:highlight w:val="none"/>
        </w:rPr>
        <w:t>根据《深圳市财政局关于调整政府采购投标（响应）保证金管理政策的通知 》（深财购〔2021〕51 号）的要求，供应商在政府采购活动中出现《深圳经济特区政府采购条例实施细则》第八十条所列情形的，</w:t>
      </w:r>
      <w:bookmarkStart w:id="111" w:name="_Hlk72440769"/>
      <w:r>
        <w:rPr>
          <w:rFonts w:hint="eastAsia" w:ascii="宋体" w:hAnsi="宋体"/>
          <w:szCs w:val="21"/>
          <w:highlight w:val="none"/>
          <w:lang w:eastAsia="zh-CN"/>
        </w:rPr>
        <w:t>代理机构</w:t>
      </w:r>
      <w:r>
        <w:rPr>
          <w:rFonts w:hint="eastAsia" w:ascii="宋体" w:hAnsi="宋体"/>
          <w:szCs w:val="21"/>
          <w:highlight w:val="none"/>
        </w:rPr>
        <w:t>或采购人不予退还其交纳的谈判保证金，情节严重的，并由主管部门</w:t>
      </w:r>
      <w:bookmarkEnd w:id="111"/>
      <w:r>
        <w:rPr>
          <w:rFonts w:hint="eastAsia" w:ascii="宋体" w:hAnsi="宋体"/>
          <w:szCs w:val="21"/>
          <w:highlight w:val="none"/>
        </w:rPr>
        <w:t>记入供应商诚信档案，予以通报：</w:t>
      </w:r>
    </w:p>
    <w:p w14:paraId="5D3B4AD9">
      <w:pPr>
        <w:ind w:firstLine="420" w:firstLineChars="200"/>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）投标截止后，撤销投标的；</w:t>
      </w:r>
    </w:p>
    <w:p w14:paraId="24A1554C">
      <w:pPr>
        <w:ind w:firstLine="420" w:firstLineChars="200"/>
        <w:rPr>
          <w:rFonts w:hint="eastAsia" w:ascii="宋体" w:hAnsi="宋体"/>
          <w:szCs w:val="21"/>
          <w:highlight w:val="none"/>
        </w:rPr>
      </w:pPr>
      <w:r>
        <w:rPr>
          <w:rFonts w:ascii="宋体" w:hAnsi="宋体"/>
          <w:szCs w:val="21"/>
          <w:highlight w:val="none"/>
        </w:rPr>
        <w:t>（</w:t>
      </w:r>
      <w:r>
        <w:rPr>
          <w:rFonts w:hint="eastAsia" w:ascii="宋体" w:hAnsi="宋体"/>
          <w:szCs w:val="21"/>
          <w:highlight w:val="none"/>
        </w:rPr>
        <w:t>2</w:t>
      </w:r>
      <w:r>
        <w:rPr>
          <w:rFonts w:ascii="宋体" w:hAnsi="宋体"/>
          <w:szCs w:val="21"/>
          <w:highlight w:val="none"/>
        </w:rPr>
        <w:t>）中标后无正当理由未在规定期限内签订合同的；</w:t>
      </w:r>
    </w:p>
    <w:p w14:paraId="3D2F882F">
      <w:pPr>
        <w:ind w:firstLine="420" w:firstLineChars="200"/>
        <w:rPr>
          <w:rFonts w:hint="eastAsia" w:ascii="宋体" w:hAnsi="宋体"/>
          <w:szCs w:val="21"/>
          <w:highlight w:val="none"/>
        </w:rPr>
      </w:pPr>
      <w:r>
        <w:rPr>
          <w:rFonts w:ascii="宋体" w:hAnsi="宋体"/>
          <w:szCs w:val="21"/>
          <w:highlight w:val="none"/>
        </w:rPr>
        <w:t>（</w:t>
      </w:r>
      <w:r>
        <w:rPr>
          <w:rFonts w:hint="eastAsia" w:ascii="宋体" w:hAnsi="宋体"/>
          <w:szCs w:val="21"/>
          <w:highlight w:val="none"/>
        </w:rPr>
        <w:t>3</w:t>
      </w:r>
      <w:r>
        <w:rPr>
          <w:rFonts w:ascii="宋体" w:hAnsi="宋体"/>
          <w:szCs w:val="21"/>
          <w:highlight w:val="none"/>
        </w:rPr>
        <w:t>）将中标项目转让给他人、或者在投标文件中未说明且未经采购人、采购</w:t>
      </w:r>
      <w:r>
        <w:rPr>
          <w:rFonts w:hint="eastAsia" w:ascii="宋体" w:hAnsi="宋体"/>
          <w:szCs w:val="21"/>
          <w:highlight w:val="none"/>
        </w:rPr>
        <w:t>招标</w:t>
      </w:r>
      <w:r>
        <w:rPr>
          <w:rFonts w:ascii="宋体" w:hAnsi="宋体"/>
          <w:szCs w:val="21"/>
          <w:highlight w:val="none"/>
        </w:rPr>
        <w:t>机构同意，将中标项目分包给他人的；</w:t>
      </w:r>
    </w:p>
    <w:p w14:paraId="54BA2614">
      <w:pPr>
        <w:ind w:firstLine="420" w:firstLineChars="200"/>
        <w:rPr>
          <w:rFonts w:hint="eastAsia" w:ascii="宋体" w:hAnsi="宋体"/>
          <w:szCs w:val="21"/>
          <w:highlight w:val="none"/>
        </w:rPr>
      </w:pPr>
      <w:r>
        <w:rPr>
          <w:rFonts w:ascii="宋体" w:hAnsi="宋体"/>
          <w:szCs w:val="21"/>
          <w:highlight w:val="none"/>
        </w:rPr>
        <w:t>（</w:t>
      </w:r>
      <w:r>
        <w:rPr>
          <w:rFonts w:hint="eastAsia" w:ascii="宋体" w:hAnsi="宋体"/>
          <w:szCs w:val="21"/>
          <w:highlight w:val="none"/>
        </w:rPr>
        <w:t>4</w:t>
      </w:r>
      <w:r>
        <w:rPr>
          <w:rFonts w:ascii="宋体" w:hAnsi="宋体"/>
          <w:szCs w:val="21"/>
          <w:highlight w:val="none"/>
        </w:rPr>
        <w:t>）拒绝履行合同义务的</w:t>
      </w:r>
      <w:r>
        <w:rPr>
          <w:rFonts w:hint="eastAsia" w:ascii="宋体" w:hAnsi="宋体"/>
          <w:szCs w:val="21"/>
          <w:highlight w:val="none"/>
        </w:rPr>
        <w:t>。</w:t>
      </w:r>
    </w:p>
    <w:p w14:paraId="728412F8">
      <w:pPr>
        <w:pStyle w:val="18"/>
        <w:rPr>
          <w:highlight w:val="none"/>
        </w:rPr>
      </w:pPr>
    </w:p>
    <w:bookmarkEnd w:id="95"/>
    <w:p w14:paraId="0E543ACF">
      <w:pPr>
        <w:pStyle w:val="7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highlight w:val="none"/>
        </w:rPr>
      </w:pPr>
      <w:r>
        <w:rPr>
          <w:rFonts w:hint="eastAsia" w:asciiTheme="majorHAnsi" w:hAnsiTheme="majorHAnsi" w:eastAsiaTheme="majorEastAsia" w:cstheme="majorBidi"/>
          <w:b/>
          <w:bCs/>
          <w:sz w:val="28"/>
          <w:szCs w:val="28"/>
          <w:highlight w:val="none"/>
        </w:rPr>
        <w:t>质疑处理</w:t>
      </w:r>
    </w:p>
    <w:p w14:paraId="17B32B89">
      <w:pPr>
        <w:ind w:firstLine="420" w:firstLineChars="200"/>
        <w:rPr>
          <w:rFonts w:hint="eastAsia" w:ascii="黑体" w:hAnsi="宋体" w:eastAsia="黑体"/>
          <w:szCs w:val="21"/>
          <w:highlight w:val="none"/>
        </w:rPr>
      </w:pPr>
      <w:r>
        <w:rPr>
          <w:rFonts w:hint="eastAsia" w:ascii="黑体" w:hAnsi="宋体" w:eastAsia="黑体"/>
          <w:szCs w:val="21"/>
          <w:highlight w:val="none"/>
        </w:rPr>
        <w:t>52.质疑提出与答复</w:t>
      </w:r>
    </w:p>
    <w:p w14:paraId="75588146">
      <w:pPr>
        <w:ind w:firstLine="420" w:firstLineChars="200"/>
        <w:rPr>
          <w:rFonts w:hint="eastAsia" w:ascii="宋体" w:hAnsi="宋体"/>
          <w:szCs w:val="21"/>
          <w:highlight w:val="none"/>
        </w:rPr>
      </w:pPr>
      <w:r>
        <w:rPr>
          <w:rFonts w:hint="eastAsia" w:ascii="宋体" w:hAnsi="宋体"/>
          <w:szCs w:val="21"/>
          <w:highlight w:val="none"/>
        </w:rPr>
        <w:t>52.1提出质疑</w:t>
      </w:r>
    </w:p>
    <w:p w14:paraId="7EFC496F">
      <w:pPr>
        <w:ind w:firstLine="420" w:firstLineChars="200"/>
        <w:rPr>
          <w:rFonts w:hint="eastAsia" w:ascii="宋体" w:hAnsi="宋体"/>
          <w:szCs w:val="21"/>
          <w:highlight w:val="none"/>
        </w:rPr>
      </w:pPr>
      <w:r>
        <w:rPr>
          <w:rFonts w:hint="eastAsia" w:ascii="宋体" w:hAnsi="宋体"/>
          <w:szCs w:val="21"/>
          <w:highlight w:val="none"/>
        </w:rPr>
        <w:t>参与采购活动的供应商认为自己的权益在采购活动中受到损害的，应当自知道或者应当知道其权益受到损害之日起七个工作日内向采购人、</w:t>
      </w:r>
      <w:r>
        <w:rPr>
          <w:rFonts w:hint="eastAsia" w:ascii="宋体" w:hAnsi="宋体"/>
          <w:szCs w:val="21"/>
          <w:highlight w:val="none"/>
          <w:lang w:eastAsia="zh-CN"/>
        </w:rPr>
        <w:t>代理机构</w:t>
      </w:r>
      <w:r>
        <w:rPr>
          <w:rFonts w:hint="eastAsia" w:ascii="宋体" w:hAnsi="宋体"/>
          <w:szCs w:val="21"/>
          <w:highlight w:val="none"/>
        </w:rPr>
        <w:t>以书面形式提出质疑。</w:t>
      </w:r>
    </w:p>
    <w:p w14:paraId="5A41B434">
      <w:pPr>
        <w:ind w:firstLine="420" w:firstLineChars="200"/>
        <w:rPr>
          <w:rFonts w:hint="eastAsia" w:ascii="宋体" w:hAnsi="宋体"/>
          <w:szCs w:val="21"/>
          <w:highlight w:val="none"/>
        </w:rPr>
      </w:pPr>
      <w:r>
        <w:rPr>
          <w:rFonts w:hint="eastAsia" w:ascii="宋体" w:hAnsi="宋体"/>
          <w:szCs w:val="21"/>
          <w:highlight w:val="none"/>
        </w:rPr>
        <w:t>52.2</w:t>
      </w:r>
      <w:r>
        <w:rPr>
          <w:rFonts w:ascii="宋体" w:hAnsi="宋体"/>
          <w:szCs w:val="21"/>
          <w:highlight w:val="none"/>
        </w:rPr>
        <w:t>法律依据</w:t>
      </w:r>
    </w:p>
    <w:p w14:paraId="512FB17C">
      <w:pPr>
        <w:ind w:firstLine="420" w:firstLineChars="200"/>
        <w:rPr>
          <w:rFonts w:hint="eastAsia" w:ascii="宋体" w:hAnsi="宋体"/>
          <w:szCs w:val="21"/>
          <w:highlight w:val="none"/>
        </w:rPr>
      </w:pPr>
      <w:r>
        <w:rPr>
          <w:rFonts w:hint="eastAsia" w:ascii="宋体" w:hAnsi="宋体"/>
          <w:szCs w:val="21"/>
          <w:highlight w:val="none"/>
        </w:rPr>
        <w:t>《中华人民共和国政府采购法》、《中华人民共和国政府采购法实施条例》、</w:t>
      </w:r>
      <w:r>
        <w:rPr>
          <w:rFonts w:ascii="宋体" w:hAnsi="宋体"/>
          <w:szCs w:val="21"/>
          <w:highlight w:val="none"/>
        </w:rPr>
        <w:t>《</w:t>
      </w:r>
      <w:r>
        <w:rPr>
          <w:rFonts w:hint="eastAsia" w:ascii="宋体" w:hAnsi="宋体"/>
          <w:szCs w:val="21"/>
          <w:highlight w:val="none"/>
        </w:rPr>
        <w:t>深圳经济特区政府采购</w:t>
      </w:r>
      <w:r>
        <w:rPr>
          <w:rFonts w:ascii="宋体" w:hAnsi="宋体"/>
          <w:szCs w:val="21"/>
          <w:highlight w:val="none"/>
        </w:rPr>
        <w:t>条例</w:t>
      </w:r>
      <w:r>
        <w:rPr>
          <w:rFonts w:hint="eastAsia" w:ascii="宋体" w:hAnsi="宋体"/>
          <w:szCs w:val="21"/>
          <w:highlight w:val="none"/>
        </w:rPr>
        <w:t>》、《深圳经济特区政府采购条例实施细则》、《政府采购质疑和投诉办法》（财政部令第94号）和其他有关法律法规规定。</w:t>
      </w:r>
    </w:p>
    <w:p w14:paraId="52B2927B">
      <w:pPr>
        <w:ind w:firstLine="420" w:firstLineChars="200"/>
        <w:rPr>
          <w:rFonts w:hint="eastAsia" w:ascii="宋体" w:hAnsi="宋体"/>
          <w:szCs w:val="21"/>
          <w:highlight w:val="none"/>
        </w:rPr>
      </w:pPr>
      <w:r>
        <w:rPr>
          <w:rFonts w:hint="eastAsia" w:ascii="宋体" w:hAnsi="宋体"/>
          <w:szCs w:val="21"/>
          <w:highlight w:val="none"/>
        </w:rPr>
        <w:t>52.3质疑条件</w:t>
      </w:r>
    </w:p>
    <w:p w14:paraId="0BCA3A96">
      <w:pPr>
        <w:ind w:firstLine="420" w:firstLineChars="200"/>
        <w:rPr>
          <w:rFonts w:hint="eastAsia" w:ascii="宋体" w:hAnsi="宋体"/>
          <w:szCs w:val="21"/>
          <w:highlight w:val="none"/>
        </w:rPr>
      </w:pPr>
      <w:r>
        <w:rPr>
          <w:rFonts w:hint="eastAsia" w:ascii="宋体" w:hAnsi="宋体"/>
          <w:szCs w:val="21"/>
          <w:highlight w:val="none"/>
        </w:rPr>
        <w:t>52.3.1提出质疑的供应商应当是参与所质疑项目采购活动的供应商；</w:t>
      </w:r>
      <w:bookmarkStart w:id="112" w:name="_Hlk75374941"/>
      <w:r>
        <w:rPr>
          <w:rFonts w:hint="eastAsia" w:ascii="宋体" w:hAnsi="宋体"/>
          <w:szCs w:val="21"/>
          <w:highlight w:val="none"/>
        </w:rPr>
        <w:t>以联合体形式参与的，质疑应当由组成联合体的所有成员共同提出</w:t>
      </w:r>
      <w:bookmarkEnd w:id="112"/>
      <w:r>
        <w:rPr>
          <w:rFonts w:hint="eastAsia" w:ascii="宋体" w:hAnsi="宋体"/>
          <w:szCs w:val="21"/>
          <w:highlight w:val="none"/>
        </w:rPr>
        <w:t>；</w:t>
      </w:r>
    </w:p>
    <w:p w14:paraId="10D11BC2">
      <w:pPr>
        <w:ind w:firstLine="420" w:firstLineChars="200"/>
        <w:rPr>
          <w:rFonts w:hint="eastAsia" w:ascii="宋体" w:hAnsi="宋体"/>
          <w:szCs w:val="21"/>
          <w:highlight w:val="none"/>
        </w:rPr>
      </w:pPr>
      <w:r>
        <w:rPr>
          <w:rFonts w:hint="eastAsia" w:ascii="宋体" w:hAnsi="宋体"/>
          <w:szCs w:val="21"/>
          <w:highlight w:val="none"/>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7500E2EF">
      <w:pPr>
        <w:ind w:firstLine="420" w:firstLineChars="200"/>
        <w:rPr>
          <w:rFonts w:hint="eastAsia" w:ascii="宋体" w:hAnsi="宋体"/>
          <w:szCs w:val="21"/>
          <w:highlight w:val="none"/>
        </w:rPr>
      </w:pPr>
      <w:r>
        <w:rPr>
          <w:rFonts w:hint="eastAsia" w:ascii="宋体" w:hAnsi="宋体"/>
          <w:szCs w:val="21"/>
          <w:highlight w:val="none"/>
        </w:rPr>
        <w:t>52.3.3应提交书面质疑函，质疑函应当包括以下内容：</w:t>
      </w:r>
      <w:r>
        <w:rPr>
          <w:rFonts w:ascii="宋体" w:hAnsi="宋体"/>
          <w:szCs w:val="21"/>
          <w:highlight w:val="none"/>
        </w:rPr>
        <w:t xml:space="preserve"> </w:t>
      </w:r>
    </w:p>
    <w:p w14:paraId="713ECC17">
      <w:pPr>
        <w:ind w:firstLine="420" w:firstLineChars="200"/>
        <w:rPr>
          <w:rFonts w:hint="eastAsia" w:ascii="宋体" w:hAnsi="宋体"/>
          <w:szCs w:val="21"/>
          <w:highlight w:val="none"/>
        </w:rPr>
      </w:pPr>
      <w:r>
        <w:rPr>
          <w:rFonts w:hint="eastAsia" w:ascii="宋体" w:hAnsi="宋体"/>
          <w:szCs w:val="21"/>
          <w:highlight w:val="none"/>
        </w:rPr>
        <w:t>（1）供应商的名称（或者姓名）、地址、邮编、邮箱、联系人及联系电话；</w:t>
      </w:r>
    </w:p>
    <w:p w14:paraId="716B206C">
      <w:pPr>
        <w:ind w:firstLine="420" w:firstLineChars="200"/>
        <w:rPr>
          <w:rFonts w:hint="eastAsia" w:ascii="宋体" w:hAnsi="宋体"/>
          <w:szCs w:val="21"/>
          <w:highlight w:val="none"/>
        </w:rPr>
      </w:pPr>
      <w:r>
        <w:rPr>
          <w:rFonts w:hint="eastAsia" w:ascii="宋体" w:hAnsi="宋体"/>
          <w:szCs w:val="21"/>
          <w:highlight w:val="none"/>
        </w:rPr>
        <w:t>（2）质疑项目的名称、编号；</w:t>
      </w:r>
    </w:p>
    <w:p w14:paraId="3901A16B">
      <w:pPr>
        <w:ind w:firstLine="420" w:firstLineChars="200"/>
        <w:rPr>
          <w:rFonts w:hint="eastAsia" w:ascii="宋体" w:hAnsi="宋体"/>
          <w:szCs w:val="21"/>
          <w:highlight w:val="none"/>
        </w:rPr>
      </w:pPr>
      <w:r>
        <w:rPr>
          <w:rFonts w:hint="eastAsia" w:ascii="宋体" w:hAnsi="宋体"/>
          <w:szCs w:val="21"/>
          <w:highlight w:val="none"/>
        </w:rPr>
        <w:t>（3）具体、明确的质疑对象、质疑事项和质疑请求；</w:t>
      </w:r>
    </w:p>
    <w:p w14:paraId="0CF52ECA">
      <w:pPr>
        <w:ind w:firstLine="420" w:firstLineChars="200"/>
        <w:rPr>
          <w:rFonts w:hint="eastAsia" w:ascii="宋体" w:hAnsi="宋体"/>
          <w:szCs w:val="21"/>
          <w:highlight w:val="none"/>
        </w:rPr>
      </w:pPr>
      <w:r>
        <w:rPr>
          <w:rFonts w:hint="eastAsia" w:ascii="宋体" w:hAnsi="宋体"/>
          <w:szCs w:val="21"/>
          <w:highlight w:val="none"/>
        </w:rPr>
        <w:t>（4）因质疑事项而受损害的权益；</w:t>
      </w:r>
    </w:p>
    <w:p w14:paraId="7966E656">
      <w:pPr>
        <w:ind w:firstLine="420" w:firstLineChars="200"/>
        <w:rPr>
          <w:rFonts w:hint="eastAsia" w:ascii="宋体" w:hAnsi="宋体"/>
          <w:szCs w:val="21"/>
          <w:highlight w:val="none"/>
        </w:rPr>
      </w:pPr>
      <w:r>
        <w:rPr>
          <w:rFonts w:hint="eastAsia" w:ascii="宋体" w:hAnsi="宋体"/>
          <w:szCs w:val="21"/>
          <w:highlight w:val="none"/>
        </w:rPr>
        <w:t>（5）事实依据；</w:t>
      </w:r>
    </w:p>
    <w:p w14:paraId="3F5050FC">
      <w:pPr>
        <w:ind w:firstLine="420" w:firstLineChars="200"/>
        <w:rPr>
          <w:rFonts w:hint="eastAsia" w:ascii="宋体" w:hAnsi="宋体"/>
          <w:szCs w:val="21"/>
          <w:highlight w:val="none"/>
        </w:rPr>
      </w:pPr>
      <w:r>
        <w:rPr>
          <w:rFonts w:hint="eastAsia" w:ascii="宋体" w:hAnsi="宋体"/>
          <w:szCs w:val="21"/>
          <w:highlight w:val="none"/>
        </w:rPr>
        <w:t>（6）必要的法律依据；</w:t>
      </w:r>
    </w:p>
    <w:p w14:paraId="139F5420">
      <w:pPr>
        <w:ind w:firstLine="420" w:firstLineChars="200"/>
        <w:rPr>
          <w:rFonts w:hint="eastAsia" w:ascii="宋体" w:hAnsi="宋体"/>
          <w:szCs w:val="21"/>
          <w:highlight w:val="none"/>
        </w:rPr>
      </w:pPr>
      <w:r>
        <w:rPr>
          <w:rFonts w:hint="eastAsia" w:ascii="宋体" w:hAnsi="宋体"/>
          <w:szCs w:val="21"/>
          <w:highlight w:val="none"/>
        </w:rPr>
        <w:t>（7）提出质疑的日期。</w:t>
      </w:r>
    </w:p>
    <w:p w14:paraId="47E3C2AE">
      <w:pPr>
        <w:ind w:firstLine="420" w:firstLineChars="200"/>
        <w:rPr>
          <w:rFonts w:hint="eastAsia" w:ascii="宋体" w:hAnsi="宋体"/>
          <w:szCs w:val="21"/>
          <w:highlight w:val="none"/>
        </w:rPr>
      </w:pPr>
      <w:r>
        <w:rPr>
          <w:rFonts w:hint="eastAsia" w:ascii="宋体" w:hAnsi="宋体"/>
          <w:szCs w:val="21"/>
          <w:highlight w:val="none"/>
        </w:rPr>
        <w:t>供应商为自然人的，应当由本人签字；供应商为法人或者其他组织的，应当由法定代表人（负责人），或者其授权代理人签字或者盖章，并加盖公章。</w:t>
      </w:r>
    </w:p>
    <w:p w14:paraId="5F9F25C7">
      <w:pPr>
        <w:ind w:firstLine="420" w:firstLineChars="200"/>
        <w:rPr>
          <w:rFonts w:hint="eastAsia" w:ascii="宋体" w:hAnsi="宋体"/>
          <w:szCs w:val="21"/>
          <w:highlight w:val="none"/>
        </w:rPr>
      </w:pPr>
      <w:r>
        <w:rPr>
          <w:rFonts w:hint="eastAsia" w:ascii="宋体" w:hAnsi="宋体"/>
          <w:szCs w:val="21"/>
          <w:highlight w:val="none"/>
        </w:rPr>
        <w:t>52.4提交</w:t>
      </w:r>
      <w:r>
        <w:rPr>
          <w:rFonts w:ascii="宋体" w:hAnsi="宋体"/>
          <w:szCs w:val="21"/>
          <w:highlight w:val="none"/>
        </w:rPr>
        <w:t>材料</w:t>
      </w:r>
    </w:p>
    <w:p w14:paraId="00119DCE">
      <w:pPr>
        <w:ind w:firstLine="420" w:firstLineChars="200"/>
        <w:rPr>
          <w:rFonts w:hint="eastAsia" w:ascii="宋体" w:hAnsi="宋体"/>
          <w:szCs w:val="21"/>
          <w:highlight w:val="none"/>
        </w:rPr>
      </w:pPr>
      <w:r>
        <w:rPr>
          <w:rFonts w:hint="eastAsia" w:ascii="宋体" w:hAnsi="宋体"/>
          <w:szCs w:val="21"/>
          <w:highlight w:val="none"/>
        </w:rPr>
        <w:t>供应商质疑实行实名制。供应商为自然人的，应当提交本人身份证复印件；供应商为法人或者其他组织的，应当根据自身性质提交营业执照复印件或者其他证明文件（如事业单位法人证书等）复印件。</w:t>
      </w:r>
    </w:p>
    <w:p w14:paraId="1B9DAA22">
      <w:pPr>
        <w:ind w:firstLine="420" w:firstLineChars="200"/>
        <w:rPr>
          <w:rFonts w:hint="eastAsia" w:ascii="宋体" w:hAnsi="宋体"/>
          <w:szCs w:val="21"/>
          <w:highlight w:val="none"/>
        </w:rPr>
      </w:pPr>
      <w:r>
        <w:rPr>
          <w:rFonts w:hint="eastAsia" w:ascii="宋体" w:hAnsi="宋体"/>
          <w:szCs w:val="21"/>
          <w:highlight w:val="none"/>
        </w:rPr>
        <w:t>供应商可以委托代理人进行质疑。</w:t>
      </w:r>
      <w:r>
        <w:rPr>
          <w:rFonts w:ascii="宋体" w:hAnsi="宋体"/>
          <w:szCs w:val="21"/>
          <w:highlight w:val="none"/>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16DF8F43">
      <w:pPr>
        <w:ind w:firstLine="420" w:firstLineChars="200"/>
        <w:rPr>
          <w:rFonts w:hint="eastAsia" w:ascii="宋体" w:hAnsi="宋体"/>
          <w:szCs w:val="21"/>
          <w:highlight w:val="none"/>
        </w:rPr>
      </w:pPr>
      <w:r>
        <w:rPr>
          <w:rFonts w:hint="eastAsia" w:ascii="宋体" w:hAnsi="宋体"/>
          <w:szCs w:val="21"/>
          <w:highlight w:val="none"/>
        </w:rPr>
        <w:t>52.5收文地点</w:t>
      </w:r>
    </w:p>
    <w:p w14:paraId="09511434">
      <w:pPr>
        <w:ind w:firstLine="422" w:firstLineChars="200"/>
        <w:rPr>
          <w:rFonts w:hint="eastAsia" w:ascii="宋体" w:hAnsi="宋体"/>
          <w:b/>
          <w:bCs/>
          <w:szCs w:val="21"/>
          <w:highlight w:val="none"/>
        </w:rPr>
      </w:pPr>
      <w:r>
        <w:rPr>
          <w:rFonts w:hint="eastAsia" w:ascii="宋体" w:hAnsi="宋体"/>
          <w:b/>
          <w:bCs/>
          <w:szCs w:val="21"/>
          <w:highlight w:val="none"/>
        </w:rPr>
        <w:t>地址：</w:t>
      </w:r>
      <w:r>
        <w:rPr>
          <w:rFonts w:hint="eastAsia" w:ascii="宋体" w:hAnsi="宋体"/>
          <w:b/>
          <w:bCs/>
          <w:szCs w:val="21"/>
          <w:highlight w:val="none"/>
          <w:lang w:eastAsia="zh-CN"/>
        </w:rPr>
        <w:t>深圳市南山区南山智谷产业园A座（交易集团总部大楼）21/25楼</w:t>
      </w:r>
      <w:r>
        <w:rPr>
          <w:rFonts w:hint="eastAsia" w:ascii="宋体" w:hAnsi="宋体"/>
          <w:b/>
          <w:bCs/>
          <w:szCs w:val="21"/>
          <w:highlight w:val="none"/>
        </w:rPr>
        <w:t>，质疑咨询电话：0755-</w:t>
      </w:r>
      <w:r>
        <w:rPr>
          <w:rFonts w:hint="eastAsia" w:ascii="宋体" w:hAnsi="宋体"/>
          <w:b/>
          <w:highlight w:val="none"/>
          <w:lang w:eastAsia="zh-CN"/>
        </w:rPr>
        <w:t>22965602</w:t>
      </w:r>
      <w:r>
        <w:rPr>
          <w:rFonts w:hint="eastAsia" w:ascii="宋体" w:hAnsi="宋体"/>
          <w:b/>
          <w:bCs/>
          <w:szCs w:val="21"/>
          <w:highlight w:val="none"/>
        </w:rPr>
        <w:t>。</w:t>
      </w:r>
    </w:p>
    <w:p w14:paraId="7DD81DC6">
      <w:pPr>
        <w:ind w:firstLine="420" w:firstLineChars="200"/>
        <w:rPr>
          <w:rFonts w:hint="eastAsia" w:ascii="宋体" w:hAnsi="宋体"/>
          <w:szCs w:val="21"/>
          <w:highlight w:val="none"/>
        </w:rPr>
      </w:pPr>
      <w:r>
        <w:rPr>
          <w:rFonts w:hint="eastAsia" w:ascii="宋体" w:hAnsi="宋体"/>
          <w:szCs w:val="21"/>
          <w:highlight w:val="none"/>
        </w:rPr>
        <w:t>52.6收文办理</w:t>
      </w:r>
      <w:r>
        <w:rPr>
          <w:rFonts w:ascii="宋体" w:hAnsi="宋体"/>
          <w:szCs w:val="21"/>
          <w:highlight w:val="none"/>
        </w:rPr>
        <w:t>程序</w:t>
      </w:r>
    </w:p>
    <w:p w14:paraId="1960A7FE">
      <w:pPr>
        <w:ind w:firstLine="420" w:firstLineChars="200"/>
        <w:rPr>
          <w:rFonts w:hint="eastAsia" w:ascii="宋体" w:hAnsi="宋体"/>
          <w:szCs w:val="21"/>
          <w:highlight w:val="none"/>
        </w:rPr>
      </w:pPr>
      <w:r>
        <w:rPr>
          <w:rFonts w:hint="eastAsia" w:ascii="宋体" w:hAnsi="宋体"/>
          <w:szCs w:val="21"/>
          <w:highlight w:val="none"/>
        </w:rPr>
        <w:t>52.6.1供应商提交的质疑符合受理条件的，</w:t>
      </w:r>
      <w:r>
        <w:rPr>
          <w:rFonts w:hint="eastAsia" w:ascii="宋体" w:hAnsi="宋体"/>
          <w:szCs w:val="21"/>
          <w:highlight w:val="none"/>
          <w:lang w:eastAsia="zh-CN"/>
        </w:rPr>
        <w:t>代理机构</w:t>
      </w:r>
      <w:r>
        <w:rPr>
          <w:rFonts w:hint="eastAsia" w:ascii="宋体" w:hAnsi="宋体"/>
          <w:szCs w:val="21"/>
          <w:highlight w:val="none"/>
        </w:rPr>
        <w:t>自收到质疑材料之日起即为受理，应当向供应商出具质疑函收文回执并可以要求其递交质疑的法定代表人（负责人）或者授权代理人签署质疑文书送达地址确认书。</w:t>
      </w:r>
    </w:p>
    <w:p w14:paraId="6AD80DFF">
      <w:pPr>
        <w:ind w:firstLine="420" w:firstLineChars="200"/>
        <w:rPr>
          <w:rFonts w:hint="eastAsia" w:ascii="仿宋" w:hAnsi="仿宋" w:eastAsia="仿宋"/>
          <w:szCs w:val="21"/>
          <w:highlight w:val="none"/>
        </w:rPr>
      </w:pPr>
      <w:r>
        <w:rPr>
          <w:rFonts w:hint="eastAsia" w:ascii="宋体" w:hAnsi="宋体"/>
          <w:szCs w:val="21"/>
          <w:highlight w:val="none"/>
        </w:rPr>
        <w:t>52.6.2供应商提交的质疑材料不符合质疑条件的，视情况处理：</w:t>
      </w:r>
    </w:p>
    <w:p w14:paraId="5C34BE4D">
      <w:pPr>
        <w:ind w:firstLine="420" w:firstLineChars="200"/>
        <w:rPr>
          <w:rFonts w:hint="eastAsia" w:ascii="宋体" w:hAnsi="宋体"/>
          <w:szCs w:val="21"/>
          <w:highlight w:val="none"/>
        </w:rPr>
      </w:pPr>
      <w:r>
        <w:rPr>
          <w:rFonts w:hint="eastAsia" w:ascii="宋体" w:hAnsi="宋体"/>
          <w:szCs w:val="21"/>
          <w:highlight w:val="none"/>
        </w:rPr>
        <w:t>供应商提交的质疑材料不全或者未按要求签字或者盖章的，</w:t>
      </w:r>
      <w:r>
        <w:rPr>
          <w:rFonts w:hint="eastAsia" w:ascii="宋体" w:hAnsi="宋体"/>
          <w:szCs w:val="21"/>
          <w:highlight w:val="none"/>
          <w:lang w:eastAsia="zh-CN"/>
        </w:rPr>
        <w:t>代理机构</w:t>
      </w:r>
      <w:r>
        <w:rPr>
          <w:rFonts w:hint="eastAsia" w:ascii="宋体" w:hAnsi="宋体"/>
          <w:szCs w:val="21"/>
          <w:highlight w:val="none"/>
        </w:rPr>
        <w:t>应当一次性告知供应商需补正的内容和补正期限。</w:t>
      </w:r>
    </w:p>
    <w:p w14:paraId="015434A5">
      <w:pPr>
        <w:ind w:firstLine="420" w:firstLineChars="200"/>
        <w:rPr>
          <w:rFonts w:hint="eastAsia" w:ascii="宋体" w:hAnsi="宋体"/>
          <w:szCs w:val="21"/>
          <w:highlight w:val="none"/>
        </w:rPr>
      </w:pPr>
      <w:r>
        <w:rPr>
          <w:rFonts w:hint="eastAsia" w:ascii="宋体" w:hAnsi="宋体"/>
          <w:szCs w:val="21"/>
          <w:highlight w:val="none"/>
        </w:rPr>
        <w:t>供应商提交的质疑存在下列情形之一的，不予受理：</w:t>
      </w:r>
    </w:p>
    <w:p w14:paraId="3C372025">
      <w:pPr>
        <w:ind w:firstLine="420" w:firstLineChars="200"/>
        <w:rPr>
          <w:rFonts w:hint="eastAsia" w:ascii="宋体" w:hAnsi="宋体"/>
          <w:szCs w:val="21"/>
          <w:highlight w:val="none"/>
        </w:rPr>
      </w:pPr>
      <w:r>
        <w:rPr>
          <w:rFonts w:hint="eastAsia" w:ascii="宋体" w:hAnsi="宋体"/>
          <w:szCs w:val="21"/>
          <w:highlight w:val="none"/>
        </w:rPr>
        <w:t>（1）质疑主体不满足要求的；</w:t>
      </w:r>
    </w:p>
    <w:p w14:paraId="5A466253">
      <w:pPr>
        <w:ind w:firstLine="420" w:firstLineChars="200"/>
        <w:rPr>
          <w:rFonts w:hint="eastAsia" w:ascii="宋体" w:hAnsi="宋体"/>
          <w:szCs w:val="21"/>
          <w:highlight w:val="none"/>
        </w:rPr>
      </w:pPr>
      <w:r>
        <w:rPr>
          <w:rFonts w:hint="eastAsia" w:ascii="宋体" w:hAnsi="宋体"/>
          <w:szCs w:val="21"/>
          <w:highlight w:val="none"/>
        </w:rPr>
        <w:t>（2）供应商自身权益未受到损害的；</w:t>
      </w:r>
    </w:p>
    <w:p w14:paraId="32309CCA">
      <w:pPr>
        <w:ind w:firstLine="420" w:firstLineChars="200"/>
        <w:rPr>
          <w:rFonts w:hint="eastAsia" w:ascii="宋体" w:hAnsi="宋体"/>
          <w:szCs w:val="21"/>
          <w:highlight w:val="none"/>
        </w:rPr>
      </w:pPr>
      <w:r>
        <w:rPr>
          <w:rFonts w:hint="eastAsia" w:ascii="宋体" w:hAnsi="宋体"/>
          <w:szCs w:val="21"/>
          <w:highlight w:val="none"/>
        </w:rPr>
        <w:t>（3）供应商未在法定质疑期限内提出质疑的；</w:t>
      </w:r>
    </w:p>
    <w:p w14:paraId="5D587062">
      <w:pPr>
        <w:ind w:firstLine="420" w:firstLineChars="200"/>
        <w:rPr>
          <w:rFonts w:hint="eastAsia" w:ascii="宋体" w:hAnsi="宋体"/>
          <w:szCs w:val="21"/>
          <w:highlight w:val="none"/>
        </w:rPr>
      </w:pPr>
      <w:r>
        <w:rPr>
          <w:rFonts w:hint="eastAsia" w:ascii="宋体" w:hAnsi="宋体"/>
          <w:szCs w:val="21"/>
          <w:highlight w:val="none"/>
        </w:rPr>
        <w:t>（4）质疑材料不全或者未按要求签字或者盖章的情况下，要求补正后，逾期未补正或者补正后仍不符合规定的；</w:t>
      </w:r>
    </w:p>
    <w:p w14:paraId="173B4323">
      <w:pPr>
        <w:ind w:firstLine="420" w:firstLineChars="200"/>
        <w:rPr>
          <w:rFonts w:hint="eastAsia" w:ascii="宋体" w:hAnsi="宋体"/>
          <w:szCs w:val="21"/>
          <w:highlight w:val="none"/>
        </w:rPr>
      </w:pPr>
      <w:r>
        <w:rPr>
          <w:rFonts w:hint="eastAsia" w:ascii="宋体" w:hAnsi="宋体"/>
          <w:szCs w:val="21"/>
          <w:highlight w:val="none"/>
        </w:rPr>
        <w:t>（5）其他不符合受理条件情形的。</w:t>
      </w:r>
    </w:p>
    <w:p w14:paraId="062E3EEF">
      <w:pPr>
        <w:ind w:firstLine="420" w:firstLineChars="200"/>
        <w:rPr>
          <w:rFonts w:hint="eastAsia" w:ascii="宋体" w:hAnsi="宋体"/>
          <w:szCs w:val="21"/>
          <w:highlight w:val="none"/>
        </w:rPr>
      </w:pPr>
      <w:r>
        <w:rPr>
          <w:rFonts w:hint="eastAsia" w:ascii="宋体" w:hAnsi="宋体"/>
          <w:szCs w:val="21"/>
          <w:highlight w:val="none"/>
        </w:rPr>
        <w:t>质疑事项不予受理的，</w:t>
      </w:r>
      <w:r>
        <w:rPr>
          <w:rFonts w:hint="eastAsia" w:ascii="宋体" w:hAnsi="宋体"/>
          <w:szCs w:val="21"/>
          <w:highlight w:val="none"/>
          <w:lang w:eastAsia="zh-CN"/>
        </w:rPr>
        <w:t>代理机构</w:t>
      </w:r>
      <w:r>
        <w:rPr>
          <w:rFonts w:hint="eastAsia" w:ascii="宋体" w:hAnsi="宋体"/>
          <w:szCs w:val="21"/>
          <w:highlight w:val="none"/>
        </w:rPr>
        <w:t>应当向供应商出具不符合质疑条件告知书。</w:t>
      </w:r>
    </w:p>
    <w:p w14:paraId="0515A6CD">
      <w:pPr>
        <w:ind w:firstLine="420" w:firstLineChars="200"/>
        <w:rPr>
          <w:rFonts w:hint="eastAsia" w:ascii="宋体" w:hAnsi="宋体"/>
          <w:szCs w:val="21"/>
          <w:highlight w:val="none"/>
        </w:rPr>
      </w:pPr>
      <w:r>
        <w:rPr>
          <w:rFonts w:hint="eastAsia" w:ascii="宋体" w:hAnsi="宋体"/>
          <w:szCs w:val="21"/>
          <w:highlight w:val="none"/>
        </w:rPr>
        <w:t>52.7质疑答复时限</w:t>
      </w:r>
    </w:p>
    <w:p w14:paraId="408843FD">
      <w:pPr>
        <w:ind w:firstLine="420" w:firstLineChars="200"/>
        <w:rPr>
          <w:rFonts w:hint="eastAsia" w:ascii="宋体" w:hAnsi="宋体"/>
          <w:szCs w:val="21"/>
          <w:highlight w:val="none"/>
        </w:rPr>
      </w:pPr>
      <w:r>
        <w:rPr>
          <w:rFonts w:hint="eastAsia" w:ascii="宋体" w:hAnsi="宋体"/>
          <w:szCs w:val="21"/>
          <w:highlight w:val="none"/>
        </w:rPr>
        <w:t>自收文之日起七个工作日内。</w:t>
      </w:r>
    </w:p>
    <w:p w14:paraId="678E1EBB">
      <w:pPr>
        <w:ind w:firstLine="420" w:firstLineChars="200"/>
        <w:rPr>
          <w:rFonts w:hint="eastAsia" w:ascii="宋体" w:hAnsi="宋体"/>
          <w:szCs w:val="21"/>
          <w:highlight w:val="none"/>
        </w:rPr>
      </w:pPr>
      <w:r>
        <w:rPr>
          <w:rFonts w:hint="eastAsia" w:ascii="宋体" w:hAnsi="宋体"/>
          <w:szCs w:val="21"/>
          <w:highlight w:val="none"/>
        </w:rPr>
        <w:t>52.8</w:t>
      </w:r>
      <w:r>
        <w:rPr>
          <w:rFonts w:hint="eastAsia" w:ascii="宋体" w:hAnsi="宋体"/>
          <w:highlight w:val="none"/>
        </w:rPr>
        <w:t>争议（投诉）</w:t>
      </w:r>
    </w:p>
    <w:p w14:paraId="4AAF3FB5">
      <w:pPr>
        <w:ind w:firstLine="420" w:firstLineChars="200"/>
        <w:rPr>
          <w:rFonts w:hint="eastAsia" w:ascii="宋体" w:hAnsi="宋体"/>
          <w:szCs w:val="21"/>
          <w:highlight w:val="none"/>
        </w:rPr>
      </w:pPr>
      <w:r>
        <w:rPr>
          <w:rFonts w:hint="eastAsia" w:ascii="宋体" w:hAnsi="宋体"/>
          <w:szCs w:val="21"/>
          <w:highlight w:val="none"/>
        </w:rPr>
        <w:t>对质疑答复不满意或者未在规定时间内答复的，提出质疑的供应商可以在答复期满后15个工作日内向本项目预算主管单位投诉。</w:t>
      </w:r>
    </w:p>
    <w:p w14:paraId="4FFB44CC">
      <w:pPr>
        <w:ind w:firstLine="420" w:firstLineChars="200"/>
        <w:rPr>
          <w:rFonts w:hint="eastAsia" w:ascii="黑体" w:hAnsi="宋体" w:eastAsia="黑体"/>
          <w:szCs w:val="21"/>
          <w:highlight w:val="none"/>
        </w:rPr>
      </w:pPr>
      <w:r>
        <w:rPr>
          <w:rFonts w:hint="eastAsia" w:ascii="黑体" w:hAnsi="宋体" w:eastAsia="黑体"/>
          <w:szCs w:val="21"/>
          <w:highlight w:val="none"/>
        </w:rPr>
        <w:t>53. 质疑后续处理</w:t>
      </w:r>
    </w:p>
    <w:p w14:paraId="7D8C8525">
      <w:pPr>
        <w:ind w:firstLine="420" w:firstLineChars="200"/>
        <w:rPr>
          <w:rFonts w:hint="eastAsia" w:ascii="宋体" w:hAnsi="宋体"/>
          <w:szCs w:val="21"/>
          <w:highlight w:val="none"/>
        </w:rPr>
      </w:pPr>
      <w:r>
        <w:rPr>
          <w:rFonts w:hint="eastAsia" w:ascii="宋体" w:hAnsi="宋体"/>
          <w:szCs w:val="21"/>
          <w:highlight w:val="none"/>
        </w:rPr>
        <w:t>53.1供应商质疑不成立，或者成立但未对中标、成交结果构成影响的，继续开展采购活动。</w:t>
      </w:r>
    </w:p>
    <w:p w14:paraId="730BD3EF">
      <w:pPr>
        <w:ind w:firstLine="420" w:firstLineChars="200"/>
        <w:jc w:val="left"/>
        <w:rPr>
          <w:szCs w:val="21"/>
          <w:highlight w:val="none"/>
        </w:rPr>
      </w:pPr>
      <w:r>
        <w:rPr>
          <w:rFonts w:hint="eastAsia" w:ascii="宋体" w:hAnsi="宋体"/>
          <w:szCs w:val="21"/>
          <w:highlight w:val="none"/>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1EA62018">
      <w:pPr>
        <w:jc w:val="center"/>
        <w:rPr>
          <w:highlight w:val="none"/>
        </w:rPr>
      </w:pPr>
      <w:r>
        <w:rPr>
          <w:highlight w:val="none"/>
        </w:rPr>
        <w:t>---- END ----</w:t>
      </w:r>
      <w:bookmarkEnd w:id="58"/>
    </w:p>
    <w:p w14:paraId="43190E8E">
      <w:pPr>
        <w:rPr>
          <w:rFonts w:hint="eastAsia" w:ascii="宋体" w:hAnsi="宋体"/>
          <w:szCs w:val="21"/>
          <w:highlight w:val="none"/>
        </w:rPr>
      </w:pPr>
    </w:p>
    <w:sectPr>
      <w:headerReference r:id="rId4" w:type="first"/>
      <w:footerReference r:id="rId7" w:type="first"/>
      <w:headerReference r:id="rId3" w:type="default"/>
      <w:footerReference r:id="rId5" w:type="default"/>
      <w:footerReference r:id="rId6" w:type="even"/>
      <w:pgSz w:w="11907" w:h="16840"/>
      <w:pgMar w:top="1440" w:right="1797" w:bottom="1440" w:left="1797" w:header="851" w:footer="992" w:gutter="0"/>
      <w:pgNumType w:fmt="decimal" w:start="1"/>
      <w:cols w:space="425"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D0209">
    <w:pPr>
      <w:pStyle w:val="27"/>
    </w:pPr>
    <w:r>
      <w:rPr>
        <w:sz w:val="18"/>
      </w:rPr>
      <mc:AlternateContent>
        <mc:Choice Requires="wps">
          <w:drawing>
            <wp:anchor distT="0" distB="0" distL="114300" distR="114300" simplePos="0" relativeHeight="251659264" behindDoc="0" locked="0" layoutInCell="1" allowOverlap="1">
              <wp:simplePos x="0" y="0"/>
              <wp:positionH relativeFrom="margin">
                <wp:posOffset>2419985</wp:posOffset>
              </wp:positionH>
              <wp:positionV relativeFrom="paragraph">
                <wp:posOffset>-77470</wp:posOffset>
              </wp:positionV>
              <wp:extent cx="429895" cy="215265"/>
              <wp:effectExtent l="0" t="0" r="0" b="0"/>
              <wp:wrapNone/>
              <wp:docPr id="3" name="文本框 3"/>
              <wp:cNvGraphicFramePr/>
              <a:graphic xmlns:a="http://schemas.openxmlformats.org/drawingml/2006/main">
                <a:graphicData uri="http://schemas.microsoft.com/office/word/2010/wordprocessingShape">
                  <wps:wsp>
                    <wps:cNvSpPr txBox="1"/>
                    <wps:spPr>
                      <a:xfrm>
                        <a:off x="0" y="0"/>
                        <a:ext cx="429895" cy="2152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FE4043">
                          <w:pPr>
                            <w:pStyle w:val="27"/>
                            <w:jc w:val="center"/>
                            <w:rPr>
                              <w:b/>
                              <w:bCs/>
                            </w:rPr>
                          </w:pPr>
                          <w:r>
                            <w:rPr>
                              <w:b/>
                              <w:bCs/>
                            </w:rPr>
                            <w:fldChar w:fldCharType="begin"/>
                          </w:r>
                          <w:r>
                            <w:rPr>
                              <w:b/>
                              <w:bCs/>
                            </w:rPr>
                            <w:instrText xml:space="preserve"> PAGE  \* MERGEFORMAT </w:instrText>
                          </w:r>
                          <w:r>
                            <w:rPr>
                              <w:b/>
                              <w:bCs/>
                            </w:rPr>
                            <w:fldChar w:fldCharType="separate"/>
                          </w:r>
                          <w:r>
                            <w:rPr>
                              <w:b/>
                              <w:bCs/>
                            </w:rPr>
                            <w:t>2</w:t>
                          </w:r>
                          <w:r>
                            <w:rPr>
                              <w:b/>
                              <w:bCs/>
                            </w:rPr>
                            <w:fldChar w:fldCharType="end"/>
                          </w:r>
                          <w:r>
                            <w:rPr>
                              <w:b/>
                              <w:bCs/>
                            </w:rPr>
                            <w:t xml:space="preserve"> / </w:t>
                          </w:r>
                          <w:r>
                            <w:rPr>
                              <w:b/>
                              <w:bCs/>
                            </w:rPr>
                            <w:fldChar w:fldCharType="begin"/>
                          </w:r>
                          <w:r>
                            <w:rPr>
                              <w:b/>
                              <w:bCs/>
                            </w:rPr>
                            <w:instrText xml:space="preserve"> NUMPAGES  \* MERGEFORMAT </w:instrText>
                          </w:r>
                          <w:r>
                            <w:rPr>
                              <w:b/>
                              <w:bCs/>
                            </w:rPr>
                            <w:fldChar w:fldCharType="separate"/>
                          </w:r>
                          <w:r>
                            <w:rPr>
                              <w:b/>
                              <w:bCs/>
                            </w:rPr>
                            <w:t>57</w:t>
                          </w:r>
                          <w:r>
                            <w:rPr>
                              <w:b/>
                              <w:bCs/>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90.55pt;margin-top:-6.1pt;height:16.95pt;width:33.85pt;mso-position-horizontal-relative:margin;z-index:251659264;mso-width-relative:page;mso-height-relative:page;" filled="f" stroked="f" coordsize="21600,21600" o:gfxdata="UEsDBAoAAAAAAIdO4kAAAAAAAAAAAAAAAAAEAAAAZHJzL1BLAwQUAAAACACHTuJAfJ6/4tgAAAAK&#10;AQAADwAAAGRycy9kb3ducmV2LnhtbE2Pu07EMBBFeyT+wRokul3bYQVRyGQLHh3PBSTonHhIIvyI&#10;bCe7/D2mgnI0R/eeW28P1rCFQhy9Q5BrAYxc5/XoeoTXl9tVCSwm5bQy3hHCN0XYNsdHtaq037tn&#10;WnapZznExUohDClNFeexG8iquPYTufz79MGqlM/Qcx3UPodbwwshzrlVo8sNg5roaqDuazdbBPMe&#10;w10r0sdy3d+np0c+v93IB8TTEykugSU6pD8YfvWzOjTZqfWz05EZhLNSyowirGRRAMvEZlPmMS1C&#10;IS+ANzX/P6H5AVBLAwQUAAAACACHTuJA29wGZjkCAABhBAAADgAAAGRycy9lMm9Eb2MueG1srVTN&#10;jtMwEL4j8Q6W7zT9odVu1XRVtipCqtiVFsTZdZzGku0xttukPAC8AScu3HmuPgdjJ+mihcMeuLiT&#10;mfGMv2++6eKm0YochfMSTE5HgyElwnAopNnn9OOHzasrSnxgpmAKjMjpSXh6s3z5YlHbuRhDBaoQ&#10;jmAR4+e1zWkVgp1nmeeV0MwPwAqDwRKcZgE/3T4rHKuxulbZeDicZTW4wjrgwnv0rtsg7Sq65xSE&#10;spRcrIEftDChreqEYgEh+UpaT5fptWUpeLgrSy8CUTlFpCGd2ATtXTyz5YLN947ZSvLuCew5T3iC&#10;STNpsOml1JoFRg5O/lVKS+7AQxkGHHTWAkmMIIrR8Ak3DxWzImFBqr29kO7/X1n+/njviCxyOqHE&#10;MI0DP3//dv7x6/zzK5lEemrr55j1YDEvNG+gQdH0fo/OiLopnY6/iIdgHMk9XcgVTSAcna/H11fX&#10;U0o4hsaj6Xg2jVWyx8vW+fBWgCbRyKnD2SVK2XHrQ5vap8ReBjZSqTQ/ZUid09lkOkwXLhEsrgz2&#10;iBDap0YrNLumw7WD4oSwHLS68JZvJDbfMh/umUMhIBJclXCHR6kAm0BnUVKB+/Ivf8zH+WCUkhqF&#10;lVP/+cCcoES9Mzi5qMLecL2x6w1z0LeAWh3hElqeTLzggurN0oH+hBu0il0wxAzHXjkNvXkbWnnj&#10;BnKxWqWkg3VyX7UXUHeWha15sDy2aalcHQKUMrEcKWp56ZhD5aU5dVsSpf3nd8p6/GdY/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8nr/i2AAAAAoBAAAPAAAAAAAAAAEAIAAAACIAAABkcnMvZG93&#10;bnJldi54bWxQSwECFAAUAAAACACHTuJA29wGZjkCAABhBAAADgAAAAAAAAABACAAAAAnAQAAZHJz&#10;L2Uyb0RvYy54bWxQSwUGAAAAAAYABgBZAQAA0gUAAAAA&#10;">
              <v:fill on="f" focussize="0,0"/>
              <v:stroke on="f" weight="0.5pt"/>
              <v:imagedata o:title=""/>
              <o:lock v:ext="edit" aspectratio="f"/>
              <v:textbox inset="0mm,0mm,0mm,0mm">
                <w:txbxContent>
                  <w:p w14:paraId="7EFE4043">
                    <w:pPr>
                      <w:pStyle w:val="27"/>
                      <w:jc w:val="center"/>
                      <w:rPr>
                        <w:b/>
                        <w:bCs/>
                      </w:rPr>
                    </w:pPr>
                    <w:r>
                      <w:rPr>
                        <w:b/>
                        <w:bCs/>
                      </w:rPr>
                      <w:fldChar w:fldCharType="begin"/>
                    </w:r>
                    <w:r>
                      <w:rPr>
                        <w:b/>
                        <w:bCs/>
                      </w:rPr>
                      <w:instrText xml:space="preserve"> PAGE  \* MERGEFORMAT </w:instrText>
                    </w:r>
                    <w:r>
                      <w:rPr>
                        <w:b/>
                        <w:bCs/>
                      </w:rPr>
                      <w:fldChar w:fldCharType="separate"/>
                    </w:r>
                    <w:r>
                      <w:rPr>
                        <w:b/>
                        <w:bCs/>
                      </w:rPr>
                      <w:t>2</w:t>
                    </w:r>
                    <w:r>
                      <w:rPr>
                        <w:b/>
                        <w:bCs/>
                      </w:rPr>
                      <w:fldChar w:fldCharType="end"/>
                    </w:r>
                    <w:r>
                      <w:rPr>
                        <w:b/>
                        <w:bCs/>
                      </w:rPr>
                      <w:t xml:space="preserve"> / </w:t>
                    </w:r>
                    <w:r>
                      <w:rPr>
                        <w:b/>
                        <w:bCs/>
                      </w:rPr>
                      <w:fldChar w:fldCharType="begin"/>
                    </w:r>
                    <w:r>
                      <w:rPr>
                        <w:b/>
                        <w:bCs/>
                      </w:rPr>
                      <w:instrText xml:space="preserve"> NUMPAGES  \* MERGEFORMAT </w:instrText>
                    </w:r>
                    <w:r>
                      <w:rPr>
                        <w:b/>
                        <w:bCs/>
                      </w:rPr>
                      <w:fldChar w:fldCharType="separate"/>
                    </w:r>
                    <w:r>
                      <w:rPr>
                        <w:b/>
                        <w:bCs/>
                      </w:rPr>
                      <w:t>57</w:t>
                    </w:r>
                    <w:r>
                      <w:rPr>
                        <w:b/>
                        <w:bCs/>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B3733">
    <w:pPr>
      <w:pStyle w:val="27"/>
      <w:framePr w:wrap="around" w:vAnchor="text" w:hAnchor="margin" w:xAlign="center" w:y="1"/>
      <w:rPr>
        <w:rStyle w:val="46"/>
      </w:rPr>
    </w:pPr>
    <w:r>
      <w:rPr>
        <w:rStyle w:val="46"/>
      </w:rPr>
      <w:fldChar w:fldCharType="begin"/>
    </w:r>
    <w:r>
      <w:rPr>
        <w:rStyle w:val="46"/>
      </w:rPr>
      <w:instrText xml:space="preserve">PAGE  </w:instrText>
    </w:r>
    <w:r>
      <w:rPr>
        <w:rStyle w:val="46"/>
      </w:rPr>
      <w:fldChar w:fldCharType="separate"/>
    </w:r>
    <w:r>
      <w:rPr>
        <w:rStyle w:val="46"/>
      </w:rPr>
      <w:t>10</w:t>
    </w:r>
    <w:r>
      <w:rPr>
        <w:rStyle w:val="46"/>
      </w:rPr>
      <w:fldChar w:fldCharType="end"/>
    </w:r>
  </w:p>
  <w:p w14:paraId="6EF81845">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91933">
    <w:pPr>
      <w:pStyle w:val="27"/>
    </w:pPr>
    <w:r>
      <w:rPr>
        <w:sz w:val="18"/>
      </w:rPr>
      <mc:AlternateContent>
        <mc:Choice Requires="wps">
          <w:drawing>
            <wp:anchor distT="0" distB="0" distL="114300" distR="114300" simplePos="0" relativeHeight="251660288" behindDoc="0" locked="0" layoutInCell="1" allowOverlap="1">
              <wp:simplePos x="0" y="0"/>
              <wp:positionH relativeFrom="margin">
                <wp:posOffset>2367280</wp:posOffset>
              </wp:positionH>
              <wp:positionV relativeFrom="paragraph">
                <wp:posOffset>-86360</wp:posOffset>
              </wp:positionV>
              <wp:extent cx="647065" cy="224155"/>
              <wp:effectExtent l="0" t="0" r="0" b="0"/>
              <wp:wrapNone/>
              <wp:docPr id="4" name="文本框 4"/>
              <wp:cNvGraphicFramePr/>
              <a:graphic xmlns:a="http://schemas.openxmlformats.org/drawingml/2006/main">
                <a:graphicData uri="http://schemas.microsoft.com/office/word/2010/wordprocessingShape">
                  <wps:wsp>
                    <wps:cNvSpPr txBox="1"/>
                    <wps:spPr>
                      <a:xfrm>
                        <a:off x="0" y="0"/>
                        <a:ext cx="647065" cy="2241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9CAA3F">
                          <w:pPr>
                            <w:pStyle w:val="27"/>
                            <w:jc w:val="center"/>
                            <w:rPr>
                              <w:b/>
                              <w:bCs/>
                            </w:rPr>
                          </w:pPr>
                          <w:r>
                            <w:rPr>
                              <w:b/>
                              <w:bCs/>
                            </w:rPr>
                            <w:fldChar w:fldCharType="begin"/>
                          </w:r>
                          <w:r>
                            <w:rPr>
                              <w:b/>
                              <w:bCs/>
                            </w:rPr>
                            <w:instrText xml:space="preserve"> PAGE  \* MERGEFORMAT </w:instrText>
                          </w:r>
                          <w:r>
                            <w:rPr>
                              <w:b/>
                              <w:bCs/>
                            </w:rPr>
                            <w:fldChar w:fldCharType="separate"/>
                          </w:r>
                          <w:r>
                            <w:rPr>
                              <w:b/>
                              <w:bCs/>
                            </w:rPr>
                            <w:t>1</w:t>
                          </w:r>
                          <w:r>
                            <w:rPr>
                              <w:b/>
                              <w:bCs/>
                            </w:rPr>
                            <w:fldChar w:fldCharType="end"/>
                          </w:r>
                          <w:r>
                            <w:rPr>
                              <w:b/>
                              <w:bCs/>
                            </w:rPr>
                            <w:t xml:space="preserve"> / </w:t>
                          </w:r>
                          <w:r>
                            <w:rPr>
                              <w:b/>
                              <w:bCs/>
                            </w:rPr>
                            <w:fldChar w:fldCharType="begin"/>
                          </w:r>
                          <w:r>
                            <w:rPr>
                              <w:b/>
                              <w:bCs/>
                            </w:rPr>
                            <w:instrText xml:space="preserve"> NUMPAGES  \* MERGEFORMAT </w:instrText>
                          </w:r>
                          <w:r>
                            <w:rPr>
                              <w:b/>
                              <w:bCs/>
                            </w:rPr>
                            <w:fldChar w:fldCharType="separate"/>
                          </w:r>
                          <w:r>
                            <w:rPr>
                              <w:b/>
                              <w:bCs/>
                            </w:rPr>
                            <w:t>57</w:t>
                          </w:r>
                          <w:r>
                            <w:rPr>
                              <w:b/>
                              <w:bCs/>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86.4pt;margin-top:-6.8pt;height:17.65pt;width:50.95pt;mso-position-horizontal-relative:margin;z-index:251660288;mso-width-relative:page;mso-height-relative:page;" filled="f" stroked="f" coordsize="21600,21600" o:gfxdata="UEsDBAoAAAAAAIdO4kAAAAAAAAAAAAAAAAAEAAAAZHJzL1BLAwQUAAAACACHTuJAhoIm49kAAAAK&#10;AQAADwAAAGRycy9kb3ducmV2LnhtbE2Py07DMBRE90j8g3WR2LWO06pBITdd8NjxLFQqOyc2SYQf&#10;kX2Tlr/HrGA5mtHMmWp7sobNOsTBOwSxzIBp13o1uA7h/e1+cQUsknRKGu80wreOsK3PzypZKn90&#10;r3reUcdSiYulROiJxpLz2Pbayrj0o3bJ+/TBSkoydFwFeUzl1vA8yzbcysGlhV6O+qbX7ddusgjm&#10;EMNDk9HHfNs90sszn/Z34gnx8kJk18BIn+gvDL/4CR3qxNT4yanIDMKqyBM6ISzEagMsJdbFugDW&#10;IOSiAF5X/P+F+gdQSwMEFAAAAAgAh07iQDH2SpM3AgAAYQQAAA4AAABkcnMvZTJvRG9jLnhtbK1U&#10;zY7TMBC+I/EOlu80aWkLqpquylZFSBW7UkGcXcdpLNkeYztNygPAG3Diwp3n6nMwzk8XLRz2wMWd&#10;zIxn/H3zTZc3jVbkJJyXYDI6HqWUCMMhl+aY0Y8fti9eU+IDMzlTYERGz8LTm9XzZ8vaLsQESlC5&#10;cASLGL+obUbLEOwiSTwvhWZ+BFYYDBbgNAv46Y5J7liN1bVKJmk6T2pwuXXAhffo3XRB2ld0TykI&#10;RSG52ACvtDChq+qEYgEh+VJaT1fta4tC8HBXFF4EojKKSEN7YhO0D/FMVku2ODpmS8n7J7CnPOER&#10;Js2kwabXUhsWGKmc/KuUltyBhyKMOOikA9IygijG6SNu9iWzosWCVHt7Jd3/v7L8/eneEZlndEqJ&#10;YRoHfvn+7fLj1+XnVzKN9NTWLzBrbzEvNG+gQdEMfo/OiLopnI6/iIdgHMk9X8kVTSAcnfPpq3Q+&#10;o4RjaDKZjmezWCV5uGydD28FaBKNjDqcXUspO+186FKHlNjLwFYq1c5PGVJjg5eztL1wjWBxZbBH&#10;hNA9NVqhOTQ9rgPkZ4TloNOFt3wrsfmO+XDPHAoBkeCqhDs8CgXYBHqLkhLcl3/5Yz7OB6OU1Cis&#10;jPrPFXOCEvXO4OSiCgfDDcZhMEylbwG1OsYltLw18YILajALB/oTbtA6dsEQMxx7ZTQM5m3o5I0b&#10;yMV63SZV1slj2V1A3VkWdmZveWzTUbmuAhSyZTlS1PHSM4fKa+fUb0mU9p/fbdbDP8Pq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aCJuPZAAAACgEAAA8AAAAAAAAAAQAgAAAAIgAAAGRycy9kb3du&#10;cmV2LnhtbFBLAQIUABQAAAAIAIdO4kAx9kqTNwIAAGEEAAAOAAAAAAAAAAEAIAAAACgBAABkcnMv&#10;ZTJvRG9jLnhtbFBLBQYAAAAABgAGAFkBAADRBQAAAAA=&#10;">
              <v:fill on="f" focussize="0,0"/>
              <v:stroke on="f" weight="0.5pt"/>
              <v:imagedata o:title=""/>
              <o:lock v:ext="edit" aspectratio="f"/>
              <v:textbox inset="0mm,0mm,0mm,0mm">
                <w:txbxContent>
                  <w:p w14:paraId="4F9CAA3F">
                    <w:pPr>
                      <w:pStyle w:val="27"/>
                      <w:jc w:val="center"/>
                      <w:rPr>
                        <w:b/>
                        <w:bCs/>
                      </w:rPr>
                    </w:pPr>
                    <w:r>
                      <w:rPr>
                        <w:b/>
                        <w:bCs/>
                      </w:rPr>
                      <w:fldChar w:fldCharType="begin"/>
                    </w:r>
                    <w:r>
                      <w:rPr>
                        <w:b/>
                        <w:bCs/>
                      </w:rPr>
                      <w:instrText xml:space="preserve"> PAGE  \* MERGEFORMAT </w:instrText>
                    </w:r>
                    <w:r>
                      <w:rPr>
                        <w:b/>
                        <w:bCs/>
                      </w:rPr>
                      <w:fldChar w:fldCharType="separate"/>
                    </w:r>
                    <w:r>
                      <w:rPr>
                        <w:b/>
                        <w:bCs/>
                      </w:rPr>
                      <w:t>1</w:t>
                    </w:r>
                    <w:r>
                      <w:rPr>
                        <w:b/>
                        <w:bCs/>
                      </w:rPr>
                      <w:fldChar w:fldCharType="end"/>
                    </w:r>
                    <w:r>
                      <w:rPr>
                        <w:b/>
                        <w:bCs/>
                      </w:rPr>
                      <w:t xml:space="preserve"> / </w:t>
                    </w:r>
                    <w:r>
                      <w:rPr>
                        <w:b/>
                        <w:bCs/>
                      </w:rPr>
                      <w:fldChar w:fldCharType="begin"/>
                    </w:r>
                    <w:r>
                      <w:rPr>
                        <w:b/>
                        <w:bCs/>
                      </w:rPr>
                      <w:instrText xml:space="preserve"> NUMPAGES  \* MERGEFORMAT </w:instrText>
                    </w:r>
                    <w:r>
                      <w:rPr>
                        <w:b/>
                        <w:bCs/>
                      </w:rPr>
                      <w:fldChar w:fldCharType="separate"/>
                    </w:r>
                    <w:r>
                      <w:rPr>
                        <w:b/>
                        <w:bCs/>
                      </w:rPr>
                      <w:t>57</w:t>
                    </w:r>
                    <w:r>
                      <w:rPr>
                        <w:b/>
                        <w:bCs/>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D9A69">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A228A">
    <w:pPr>
      <w:pStyle w:val="2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30691"/>
    <w:multiLevelType w:val="singleLevel"/>
    <w:tmpl w:val="B4F30691"/>
    <w:lvl w:ilvl="0" w:tentative="0">
      <w:start w:val="3"/>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3">
    <w:nsid w:val="FFFFFF89"/>
    <w:multiLevelType w:val="singleLevel"/>
    <w:tmpl w:val="FFFFFF89"/>
    <w:lvl w:ilvl="0" w:tentative="0">
      <w:start w:val="1"/>
      <w:numFmt w:val="bullet"/>
      <w:pStyle w:val="14"/>
      <w:lvlText w:val=""/>
      <w:lvlJc w:val="left"/>
      <w:pPr>
        <w:tabs>
          <w:tab w:val="left" w:pos="360"/>
        </w:tabs>
        <w:ind w:left="360" w:hanging="360" w:hangingChars="200"/>
      </w:pPr>
      <w:rPr>
        <w:rFonts w:hint="default" w:ascii="Wingdings" w:hAnsi="Wingdings"/>
      </w:rPr>
    </w:lvl>
  </w:abstractNum>
  <w:abstractNum w:abstractNumId="4">
    <w:nsid w:val="088204B4"/>
    <w:multiLevelType w:val="multilevel"/>
    <w:tmpl w:val="088204B4"/>
    <w:lvl w:ilvl="0" w:tentative="0">
      <w:start w:val="3"/>
      <w:numFmt w:val="chineseCounting"/>
      <w:suff w:val="space"/>
      <w:lvlText w:val="第%1条"/>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12503483"/>
    <w:multiLevelType w:val="multilevel"/>
    <w:tmpl w:val="12503483"/>
    <w:lvl w:ilvl="0" w:tentative="0">
      <w:start w:val="1"/>
      <w:numFmt w:val="bullet"/>
      <w:pStyle w:val="113"/>
      <w:lvlText w:val=""/>
      <w:lvlJc w:val="left"/>
      <w:pPr>
        <w:tabs>
          <w:tab w:val="left" w:pos="420"/>
        </w:tabs>
        <w:ind w:left="420" w:hanging="420"/>
      </w:pPr>
      <w:rPr>
        <w:rFonts w:hint="default" w:ascii="Wingdings" w:hAnsi="Wingdings"/>
      </w:rPr>
    </w:lvl>
    <w:lvl w:ilvl="1" w:tentative="0">
      <w:start w:val="1"/>
      <w:numFmt w:val="bullet"/>
      <w:pStyle w:val="112"/>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160D20D0"/>
    <w:multiLevelType w:val="multilevel"/>
    <w:tmpl w:val="160D20D0"/>
    <w:lvl w:ilvl="0" w:tentative="0">
      <w:start w:val="1"/>
      <w:numFmt w:val="bullet"/>
      <w:pStyle w:val="81"/>
      <w:lvlText w:val=""/>
      <w:lvlJc w:val="left"/>
      <w:pPr>
        <w:tabs>
          <w:tab w:val="left" w:pos="840"/>
        </w:tabs>
        <w:ind w:left="840" w:hanging="420"/>
      </w:pPr>
      <w:rPr>
        <w:rFonts w:hint="default" w:ascii="Wingdings" w:hAnsi="Wingdings"/>
      </w:rPr>
    </w:lvl>
    <w:lvl w:ilvl="1" w:tentative="0">
      <w:start w:val="1"/>
      <w:numFmt w:val="bullet"/>
      <w:pStyle w:val="82"/>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7">
    <w:nsid w:val="2F395B7B"/>
    <w:multiLevelType w:val="multilevel"/>
    <w:tmpl w:val="2F395B7B"/>
    <w:lvl w:ilvl="0" w:tentative="0">
      <w:start w:val="1"/>
      <w:numFmt w:val="bullet"/>
      <w:pStyle w:val="173"/>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8">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AEF7716"/>
    <w:multiLevelType w:val="multilevel"/>
    <w:tmpl w:val="7AEF7716"/>
    <w:lvl w:ilvl="0" w:tentative="0">
      <w:start w:val="1"/>
      <w:numFmt w:val="chineseCountingThousand"/>
      <w:pStyle w:val="126"/>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6"/>
  </w:num>
  <w:num w:numId="4">
    <w:abstractNumId w:val="5"/>
  </w:num>
  <w:num w:numId="5">
    <w:abstractNumId w:val="9"/>
  </w:num>
  <w:num w:numId="6">
    <w:abstractNumId w:val="7"/>
  </w:num>
  <w:num w:numId="7">
    <w:abstractNumId w:val="0"/>
  </w:num>
  <w:num w:numId="8">
    <w:abstractNumId w:val="1"/>
  </w:num>
  <w:num w:numId="9">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BmYzVhOTc4YmY4MGI2NTYwZDU1MzU4OTQwOTA3OTU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0423"/>
    <w:rsid w:val="00011EA6"/>
    <w:rsid w:val="00012B21"/>
    <w:rsid w:val="00012CCE"/>
    <w:rsid w:val="0001300F"/>
    <w:rsid w:val="00013262"/>
    <w:rsid w:val="0001480D"/>
    <w:rsid w:val="00014A5C"/>
    <w:rsid w:val="00015388"/>
    <w:rsid w:val="00015BDD"/>
    <w:rsid w:val="00015C88"/>
    <w:rsid w:val="000162DC"/>
    <w:rsid w:val="000169F2"/>
    <w:rsid w:val="00016D97"/>
    <w:rsid w:val="0001716B"/>
    <w:rsid w:val="00017F81"/>
    <w:rsid w:val="00020691"/>
    <w:rsid w:val="000211EA"/>
    <w:rsid w:val="00021953"/>
    <w:rsid w:val="000234B2"/>
    <w:rsid w:val="00025AE4"/>
    <w:rsid w:val="0002684B"/>
    <w:rsid w:val="000269F0"/>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817"/>
    <w:rsid w:val="00035CD1"/>
    <w:rsid w:val="00036A2B"/>
    <w:rsid w:val="000377D2"/>
    <w:rsid w:val="00040D3C"/>
    <w:rsid w:val="00040E5A"/>
    <w:rsid w:val="000417D2"/>
    <w:rsid w:val="00042897"/>
    <w:rsid w:val="00042C84"/>
    <w:rsid w:val="00043739"/>
    <w:rsid w:val="00043A89"/>
    <w:rsid w:val="00045739"/>
    <w:rsid w:val="00046D30"/>
    <w:rsid w:val="000510B6"/>
    <w:rsid w:val="00051133"/>
    <w:rsid w:val="00051EB5"/>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C25"/>
    <w:rsid w:val="00064231"/>
    <w:rsid w:val="000647AF"/>
    <w:rsid w:val="00064892"/>
    <w:rsid w:val="00064C7A"/>
    <w:rsid w:val="00066026"/>
    <w:rsid w:val="000661FF"/>
    <w:rsid w:val="00066537"/>
    <w:rsid w:val="0006660A"/>
    <w:rsid w:val="0006670C"/>
    <w:rsid w:val="00067960"/>
    <w:rsid w:val="0007003A"/>
    <w:rsid w:val="00070210"/>
    <w:rsid w:val="000707BF"/>
    <w:rsid w:val="000722CF"/>
    <w:rsid w:val="0007277D"/>
    <w:rsid w:val="000734CD"/>
    <w:rsid w:val="00074403"/>
    <w:rsid w:val="00074CF0"/>
    <w:rsid w:val="000750DC"/>
    <w:rsid w:val="00075735"/>
    <w:rsid w:val="0007583C"/>
    <w:rsid w:val="00076057"/>
    <w:rsid w:val="000770EC"/>
    <w:rsid w:val="00081E95"/>
    <w:rsid w:val="00082667"/>
    <w:rsid w:val="00082AD2"/>
    <w:rsid w:val="00083DC6"/>
    <w:rsid w:val="000840D4"/>
    <w:rsid w:val="00084857"/>
    <w:rsid w:val="00084F26"/>
    <w:rsid w:val="0008503C"/>
    <w:rsid w:val="000850AF"/>
    <w:rsid w:val="0008517A"/>
    <w:rsid w:val="000852EB"/>
    <w:rsid w:val="00086539"/>
    <w:rsid w:val="000869D8"/>
    <w:rsid w:val="00086CA6"/>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DD1"/>
    <w:rsid w:val="000A21A5"/>
    <w:rsid w:val="000A2A76"/>
    <w:rsid w:val="000A3908"/>
    <w:rsid w:val="000A4C29"/>
    <w:rsid w:val="000A5EA4"/>
    <w:rsid w:val="000A69DB"/>
    <w:rsid w:val="000A6E2B"/>
    <w:rsid w:val="000A79D3"/>
    <w:rsid w:val="000A7F0F"/>
    <w:rsid w:val="000B05E2"/>
    <w:rsid w:val="000B0C99"/>
    <w:rsid w:val="000B0F8B"/>
    <w:rsid w:val="000B2213"/>
    <w:rsid w:val="000B2568"/>
    <w:rsid w:val="000B41BB"/>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D6B"/>
    <w:rsid w:val="000D62C8"/>
    <w:rsid w:val="000D7A20"/>
    <w:rsid w:val="000E0BFC"/>
    <w:rsid w:val="000E161C"/>
    <w:rsid w:val="000E266E"/>
    <w:rsid w:val="000E2B61"/>
    <w:rsid w:val="000E470B"/>
    <w:rsid w:val="000E4A66"/>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570"/>
    <w:rsid w:val="0010184B"/>
    <w:rsid w:val="00101CE5"/>
    <w:rsid w:val="00101DD0"/>
    <w:rsid w:val="00102555"/>
    <w:rsid w:val="001029C0"/>
    <w:rsid w:val="00102B4B"/>
    <w:rsid w:val="00103AB9"/>
    <w:rsid w:val="00103E80"/>
    <w:rsid w:val="00104CC6"/>
    <w:rsid w:val="001061A4"/>
    <w:rsid w:val="001069C1"/>
    <w:rsid w:val="00107187"/>
    <w:rsid w:val="00107272"/>
    <w:rsid w:val="00107D54"/>
    <w:rsid w:val="00110B62"/>
    <w:rsid w:val="001110F0"/>
    <w:rsid w:val="00111581"/>
    <w:rsid w:val="00111CEB"/>
    <w:rsid w:val="00111F8F"/>
    <w:rsid w:val="0011235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4A48"/>
    <w:rsid w:val="00125689"/>
    <w:rsid w:val="00125C8A"/>
    <w:rsid w:val="001261FC"/>
    <w:rsid w:val="00126CD7"/>
    <w:rsid w:val="001306FE"/>
    <w:rsid w:val="00130827"/>
    <w:rsid w:val="001308A2"/>
    <w:rsid w:val="00131140"/>
    <w:rsid w:val="001312D1"/>
    <w:rsid w:val="00132FD3"/>
    <w:rsid w:val="00133A61"/>
    <w:rsid w:val="001341E8"/>
    <w:rsid w:val="001362BD"/>
    <w:rsid w:val="0013673A"/>
    <w:rsid w:val="00137F86"/>
    <w:rsid w:val="001410EB"/>
    <w:rsid w:val="00141B41"/>
    <w:rsid w:val="0014335A"/>
    <w:rsid w:val="00143554"/>
    <w:rsid w:val="00143653"/>
    <w:rsid w:val="00143934"/>
    <w:rsid w:val="00143B3A"/>
    <w:rsid w:val="00143C19"/>
    <w:rsid w:val="00143E43"/>
    <w:rsid w:val="00143FFC"/>
    <w:rsid w:val="001453B3"/>
    <w:rsid w:val="00146ABB"/>
    <w:rsid w:val="00147338"/>
    <w:rsid w:val="00147A48"/>
    <w:rsid w:val="00150143"/>
    <w:rsid w:val="0015073C"/>
    <w:rsid w:val="001509AB"/>
    <w:rsid w:val="001529F9"/>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3AF0"/>
    <w:rsid w:val="001645C4"/>
    <w:rsid w:val="00164E23"/>
    <w:rsid w:val="0016595F"/>
    <w:rsid w:val="00166A2C"/>
    <w:rsid w:val="00166BF2"/>
    <w:rsid w:val="00166CC3"/>
    <w:rsid w:val="00166F71"/>
    <w:rsid w:val="00167DF2"/>
    <w:rsid w:val="001709DE"/>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A027A"/>
    <w:rsid w:val="001A08E4"/>
    <w:rsid w:val="001A0D2C"/>
    <w:rsid w:val="001A11D8"/>
    <w:rsid w:val="001A12B5"/>
    <w:rsid w:val="001A174B"/>
    <w:rsid w:val="001A1C72"/>
    <w:rsid w:val="001A2976"/>
    <w:rsid w:val="001A3980"/>
    <w:rsid w:val="001A3B1B"/>
    <w:rsid w:val="001A3D2F"/>
    <w:rsid w:val="001A422B"/>
    <w:rsid w:val="001A440A"/>
    <w:rsid w:val="001A47C6"/>
    <w:rsid w:val="001A4A55"/>
    <w:rsid w:val="001A5C6F"/>
    <w:rsid w:val="001A6A4F"/>
    <w:rsid w:val="001A76B7"/>
    <w:rsid w:val="001B015C"/>
    <w:rsid w:val="001B1339"/>
    <w:rsid w:val="001B1B58"/>
    <w:rsid w:val="001B1D3B"/>
    <w:rsid w:val="001B1F55"/>
    <w:rsid w:val="001B2049"/>
    <w:rsid w:val="001B2934"/>
    <w:rsid w:val="001B4A37"/>
    <w:rsid w:val="001B4BB2"/>
    <w:rsid w:val="001B6FAD"/>
    <w:rsid w:val="001C04B2"/>
    <w:rsid w:val="001C13DE"/>
    <w:rsid w:val="001C1FDE"/>
    <w:rsid w:val="001C2063"/>
    <w:rsid w:val="001C21E1"/>
    <w:rsid w:val="001C3426"/>
    <w:rsid w:val="001C4768"/>
    <w:rsid w:val="001C49E9"/>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DF1"/>
    <w:rsid w:val="001D4151"/>
    <w:rsid w:val="001D4BB9"/>
    <w:rsid w:val="001D501B"/>
    <w:rsid w:val="001D58E5"/>
    <w:rsid w:val="001D5EAE"/>
    <w:rsid w:val="001E07AA"/>
    <w:rsid w:val="001E0FAB"/>
    <w:rsid w:val="001E1880"/>
    <w:rsid w:val="001E2502"/>
    <w:rsid w:val="001E292F"/>
    <w:rsid w:val="001E351C"/>
    <w:rsid w:val="001E38F8"/>
    <w:rsid w:val="001E474D"/>
    <w:rsid w:val="001E506D"/>
    <w:rsid w:val="001E5194"/>
    <w:rsid w:val="001E5A81"/>
    <w:rsid w:val="001E62FB"/>
    <w:rsid w:val="001E6362"/>
    <w:rsid w:val="001E6A0B"/>
    <w:rsid w:val="001E6B23"/>
    <w:rsid w:val="001E77DA"/>
    <w:rsid w:val="001E7A2F"/>
    <w:rsid w:val="001E7AB0"/>
    <w:rsid w:val="001E7DD0"/>
    <w:rsid w:val="001F0349"/>
    <w:rsid w:val="001F077B"/>
    <w:rsid w:val="001F0B74"/>
    <w:rsid w:val="001F2648"/>
    <w:rsid w:val="001F35BF"/>
    <w:rsid w:val="001F41B9"/>
    <w:rsid w:val="001F4BE8"/>
    <w:rsid w:val="001F4EB8"/>
    <w:rsid w:val="001F560A"/>
    <w:rsid w:val="001F5FF7"/>
    <w:rsid w:val="001F6318"/>
    <w:rsid w:val="001F65B1"/>
    <w:rsid w:val="001F6B83"/>
    <w:rsid w:val="001F6F6A"/>
    <w:rsid w:val="001F7595"/>
    <w:rsid w:val="001F7C3B"/>
    <w:rsid w:val="001F7FE7"/>
    <w:rsid w:val="002000B8"/>
    <w:rsid w:val="00200B4C"/>
    <w:rsid w:val="00201D62"/>
    <w:rsid w:val="00203267"/>
    <w:rsid w:val="00203897"/>
    <w:rsid w:val="0020391D"/>
    <w:rsid w:val="00205AE4"/>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2E6"/>
    <w:rsid w:val="0021667D"/>
    <w:rsid w:val="002166A1"/>
    <w:rsid w:val="002166A6"/>
    <w:rsid w:val="00216BB6"/>
    <w:rsid w:val="00217BA3"/>
    <w:rsid w:val="0022048B"/>
    <w:rsid w:val="002207F8"/>
    <w:rsid w:val="0022175C"/>
    <w:rsid w:val="00222261"/>
    <w:rsid w:val="00222773"/>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2209"/>
    <w:rsid w:val="00244711"/>
    <w:rsid w:val="00244AE4"/>
    <w:rsid w:val="00245EBE"/>
    <w:rsid w:val="00246305"/>
    <w:rsid w:val="00246C63"/>
    <w:rsid w:val="002472C1"/>
    <w:rsid w:val="002473F4"/>
    <w:rsid w:val="00250600"/>
    <w:rsid w:val="002506E1"/>
    <w:rsid w:val="00250F42"/>
    <w:rsid w:val="00252934"/>
    <w:rsid w:val="00252EBA"/>
    <w:rsid w:val="0025361A"/>
    <w:rsid w:val="002545EF"/>
    <w:rsid w:val="00254B44"/>
    <w:rsid w:val="00254E99"/>
    <w:rsid w:val="00255B9B"/>
    <w:rsid w:val="00256596"/>
    <w:rsid w:val="0025705E"/>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2D7B"/>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3CFB"/>
    <w:rsid w:val="00293EB5"/>
    <w:rsid w:val="0029449E"/>
    <w:rsid w:val="0029488D"/>
    <w:rsid w:val="00294E82"/>
    <w:rsid w:val="002951FD"/>
    <w:rsid w:val="0029530C"/>
    <w:rsid w:val="002955E3"/>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A7EEA"/>
    <w:rsid w:val="002B0660"/>
    <w:rsid w:val="002B18D6"/>
    <w:rsid w:val="002B1B98"/>
    <w:rsid w:val="002B1EA6"/>
    <w:rsid w:val="002B22D4"/>
    <w:rsid w:val="002B3259"/>
    <w:rsid w:val="002B3984"/>
    <w:rsid w:val="002B4595"/>
    <w:rsid w:val="002B45EE"/>
    <w:rsid w:val="002B4BF3"/>
    <w:rsid w:val="002B55C8"/>
    <w:rsid w:val="002B5E4B"/>
    <w:rsid w:val="002B660D"/>
    <w:rsid w:val="002B6C0C"/>
    <w:rsid w:val="002B723D"/>
    <w:rsid w:val="002B7969"/>
    <w:rsid w:val="002B7C07"/>
    <w:rsid w:val="002B7D1C"/>
    <w:rsid w:val="002C0031"/>
    <w:rsid w:val="002C0485"/>
    <w:rsid w:val="002C0762"/>
    <w:rsid w:val="002C0C86"/>
    <w:rsid w:val="002C1397"/>
    <w:rsid w:val="002C257A"/>
    <w:rsid w:val="002C2BEC"/>
    <w:rsid w:val="002C30C0"/>
    <w:rsid w:val="002C4F4B"/>
    <w:rsid w:val="002C5836"/>
    <w:rsid w:val="002C6EC0"/>
    <w:rsid w:val="002C7A58"/>
    <w:rsid w:val="002D0356"/>
    <w:rsid w:val="002D07C0"/>
    <w:rsid w:val="002D08AE"/>
    <w:rsid w:val="002D0F98"/>
    <w:rsid w:val="002D18D7"/>
    <w:rsid w:val="002D1DFB"/>
    <w:rsid w:val="002D2F66"/>
    <w:rsid w:val="002D3196"/>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4864"/>
    <w:rsid w:val="002F48F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661C"/>
    <w:rsid w:val="00306D5D"/>
    <w:rsid w:val="00306FF4"/>
    <w:rsid w:val="003074C6"/>
    <w:rsid w:val="0030757F"/>
    <w:rsid w:val="00307A08"/>
    <w:rsid w:val="0031060A"/>
    <w:rsid w:val="00310B78"/>
    <w:rsid w:val="00310EE1"/>
    <w:rsid w:val="003110CD"/>
    <w:rsid w:val="003122B0"/>
    <w:rsid w:val="00312390"/>
    <w:rsid w:val="003138EB"/>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5F09"/>
    <w:rsid w:val="0034629D"/>
    <w:rsid w:val="0034652C"/>
    <w:rsid w:val="00346606"/>
    <w:rsid w:val="0034680C"/>
    <w:rsid w:val="00346B62"/>
    <w:rsid w:val="00346E40"/>
    <w:rsid w:val="00346E73"/>
    <w:rsid w:val="00350219"/>
    <w:rsid w:val="00350368"/>
    <w:rsid w:val="0035067B"/>
    <w:rsid w:val="00350B6E"/>
    <w:rsid w:val="00351A4A"/>
    <w:rsid w:val="00351BDF"/>
    <w:rsid w:val="00351D95"/>
    <w:rsid w:val="00351E32"/>
    <w:rsid w:val="00351FB4"/>
    <w:rsid w:val="00352E52"/>
    <w:rsid w:val="00353860"/>
    <w:rsid w:val="00353C7B"/>
    <w:rsid w:val="00354CD9"/>
    <w:rsid w:val="003556C1"/>
    <w:rsid w:val="00355EEE"/>
    <w:rsid w:val="00356B23"/>
    <w:rsid w:val="003603E5"/>
    <w:rsid w:val="00360494"/>
    <w:rsid w:val="00360C00"/>
    <w:rsid w:val="00360E7E"/>
    <w:rsid w:val="00361935"/>
    <w:rsid w:val="0036239D"/>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DD6"/>
    <w:rsid w:val="00374FA4"/>
    <w:rsid w:val="003756C6"/>
    <w:rsid w:val="00375EF9"/>
    <w:rsid w:val="00375EFF"/>
    <w:rsid w:val="00376E35"/>
    <w:rsid w:val="003773E4"/>
    <w:rsid w:val="00377F6C"/>
    <w:rsid w:val="00380094"/>
    <w:rsid w:val="00380256"/>
    <w:rsid w:val="0038165D"/>
    <w:rsid w:val="003817CA"/>
    <w:rsid w:val="00381812"/>
    <w:rsid w:val="00382BE9"/>
    <w:rsid w:val="00382D6B"/>
    <w:rsid w:val="00383071"/>
    <w:rsid w:val="00383BBC"/>
    <w:rsid w:val="0038418D"/>
    <w:rsid w:val="003849DF"/>
    <w:rsid w:val="00384F0A"/>
    <w:rsid w:val="00385444"/>
    <w:rsid w:val="00385717"/>
    <w:rsid w:val="00385F39"/>
    <w:rsid w:val="00386070"/>
    <w:rsid w:val="003863FD"/>
    <w:rsid w:val="003900A5"/>
    <w:rsid w:val="00390941"/>
    <w:rsid w:val="00390C0A"/>
    <w:rsid w:val="003917AD"/>
    <w:rsid w:val="00391FAB"/>
    <w:rsid w:val="00392539"/>
    <w:rsid w:val="00392677"/>
    <w:rsid w:val="00393431"/>
    <w:rsid w:val="00393633"/>
    <w:rsid w:val="003939C4"/>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304"/>
    <w:rsid w:val="003A3551"/>
    <w:rsid w:val="003A38F0"/>
    <w:rsid w:val="003A443D"/>
    <w:rsid w:val="003A4708"/>
    <w:rsid w:val="003A4BA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599F"/>
    <w:rsid w:val="003B7298"/>
    <w:rsid w:val="003C0036"/>
    <w:rsid w:val="003C0FF8"/>
    <w:rsid w:val="003C18C4"/>
    <w:rsid w:val="003C4333"/>
    <w:rsid w:val="003C43DA"/>
    <w:rsid w:val="003C4FD5"/>
    <w:rsid w:val="003C5585"/>
    <w:rsid w:val="003C57DD"/>
    <w:rsid w:val="003C582B"/>
    <w:rsid w:val="003C614D"/>
    <w:rsid w:val="003C77E9"/>
    <w:rsid w:val="003C7C63"/>
    <w:rsid w:val="003D152F"/>
    <w:rsid w:val="003D19EE"/>
    <w:rsid w:val="003D2333"/>
    <w:rsid w:val="003D2374"/>
    <w:rsid w:val="003D2B3A"/>
    <w:rsid w:val="003D3241"/>
    <w:rsid w:val="003D4419"/>
    <w:rsid w:val="003D4804"/>
    <w:rsid w:val="003D50BA"/>
    <w:rsid w:val="003D5413"/>
    <w:rsid w:val="003D73E4"/>
    <w:rsid w:val="003D7685"/>
    <w:rsid w:val="003D7E9A"/>
    <w:rsid w:val="003E0366"/>
    <w:rsid w:val="003E100C"/>
    <w:rsid w:val="003E1678"/>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548"/>
    <w:rsid w:val="003F2B3D"/>
    <w:rsid w:val="003F2EDF"/>
    <w:rsid w:val="003F3105"/>
    <w:rsid w:val="003F3BBA"/>
    <w:rsid w:val="003F3C44"/>
    <w:rsid w:val="003F4091"/>
    <w:rsid w:val="003F4172"/>
    <w:rsid w:val="003F4249"/>
    <w:rsid w:val="003F4E3B"/>
    <w:rsid w:val="003F5086"/>
    <w:rsid w:val="003F5108"/>
    <w:rsid w:val="003F57AA"/>
    <w:rsid w:val="003F5D2C"/>
    <w:rsid w:val="003F64BC"/>
    <w:rsid w:val="003F6CAF"/>
    <w:rsid w:val="003F7679"/>
    <w:rsid w:val="003F78A0"/>
    <w:rsid w:val="004001D3"/>
    <w:rsid w:val="00400C13"/>
    <w:rsid w:val="00400F3A"/>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11B37"/>
    <w:rsid w:val="004125ED"/>
    <w:rsid w:val="00412B4D"/>
    <w:rsid w:val="00413B39"/>
    <w:rsid w:val="00413D4D"/>
    <w:rsid w:val="0041450E"/>
    <w:rsid w:val="0041456E"/>
    <w:rsid w:val="00414BE5"/>
    <w:rsid w:val="00415370"/>
    <w:rsid w:val="00415781"/>
    <w:rsid w:val="00415F31"/>
    <w:rsid w:val="00416485"/>
    <w:rsid w:val="00416D6F"/>
    <w:rsid w:val="00416F40"/>
    <w:rsid w:val="00417769"/>
    <w:rsid w:val="004177B0"/>
    <w:rsid w:val="00417F0D"/>
    <w:rsid w:val="00417FE4"/>
    <w:rsid w:val="0042049A"/>
    <w:rsid w:val="00421795"/>
    <w:rsid w:val="00421EF2"/>
    <w:rsid w:val="00422668"/>
    <w:rsid w:val="004252CD"/>
    <w:rsid w:val="0042602D"/>
    <w:rsid w:val="00427004"/>
    <w:rsid w:val="0042772E"/>
    <w:rsid w:val="00430CF3"/>
    <w:rsid w:val="00431AC1"/>
    <w:rsid w:val="00431DE1"/>
    <w:rsid w:val="004329C9"/>
    <w:rsid w:val="00432B8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47719"/>
    <w:rsid w:val="0045016B"/>
    <w:rsid w:val="004501B4"/>
    <w:rsid w:val="0045082F"/>
    <w:rsid w:val="00450C00"/>
    <w:rsid w:val="0045135E"/>
    <w:rsid w:val="004522E5"/>
    <w:rsid w:val="00452434"/>
    <w:rsid w:val="0045273C"/>
    <w:rsid w:val="00452C53"/>
    <w:rsid w:val="004539C7"/>
    <w:rsid w:val="00453F8A"/>
    <w:rsid w:val="00454597"/>
    <w:rsid w:val="004548E6"/>
    <w:rsid w:val="0045543A"/>
    <w:rsid w:val="00455880"/>
    <w:rsid w:val="00455D1D"/>
    <w:rsid w:val="004561F9"/>
    <w:rsid w:val="0045637C"/>
    <w:rsid w:val="004569A3"/>
    <w:rsid w:val="00456A7F"/>
    <w:rsid w:val="004578ED"/>
    <w:rsid w:val="00457B0C"/>
    <w:rsid w:val="004611B6"/>
    <w:rsid w:val="004615A1"/>
    <w:rsid w:val="00461997"/>
    <w:rsid w:val="00462CE0"/>
    <w:rsid w:val="00463F8B"/>
    <w:rsid w:val="004649AD"/>
    <w:rsid w:val="004650E7"/>
    <w:rsid w:val="0046687B"/>
    <w:rsid w:val="004674FB"/>
    <w:rsid w:val="00470418"/>
    <w:rsid w:val="004704DA"/>
    <w:rsid w:val="004704EA"/>
    <w:rsid w:val="00470567"/>
    <w:rsid w:val="0047056A"/>
    <w:rsid w:val="0047071D"/>
    <w:rsid w:val="00471464"/>
    <w:rsid w:val="004727C4"/>
    <w:rsid w:val="00473579"/>
    <w:rsid w:val="00474E5A"/>
    <w:rsid w:val="004754AE"/>
    <w:rsid w:val="0047558F"/>
    <w:rsid w:val="0047561A"/>
    <w:rsid w:val="00475FD5"/>
    <w:rsid w:val="0047770B"/>
    <w:rsid w:val="00477AFC"/>
    <w:rsid w:val="00477EA3"/>
    <w:rsid w:val="004812F4"/>
    <w:rsid w:val="0048231B"/>
    <w:rsid w:val="00482BD9"/>
    <w:rsid w:val="004838D4"/>
    <w:rsid w:val="004845AC"/>
    <w:rsid w:val="00484C31"/>
    <w:rsid w:val="004850AC"/>
    <w:rsid w:val="00485E3C"/>
    <w:rsid w:val="00486F09"/>
    <w:rsid w:val="004877FB"/>
    <w:rsid w:val="004906DB"/>
    <w:rsid w:val="00490C0F"/>
    <w:rsid w:val="00491FF2"/>
    <w:rsid w:val="004925EE"/>
    <w:rsid w:val="00492735"/>
    <w:rsid w:val="004945E8"/>
    <w:rsid w:val="004946D8"/>
    <w:rsid w:val="00494FC9"/>
    <w:rsid w:val="00495228"/>
    <w:rsid w:val="004953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084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295C"/>
    <w:rsid w:val="004E38B2"/>
    <w:rsid w:val="004E3936"/>
    <w:rsid w:val="004E4277"/>
    <w:rsid w:val="004E490B"/>
    <w:rsid w:val="004E57F7"/>
    <w:rsid w:val="004E5D9C"/>
    <w:rsid w:val="004E6707"/>
    <w:rsid w:val="004E6985"/>
    <w:rsid w:val="004E6B8E"/>
    <w:rsid w:val="004F0543"/>
    <w:rsid w:val="004F126D"/>
    <w:rsid w:val="004F22C9"/>
    <w:rsid w:val="004F2385"/>
    <w:rsid w:val="004F326E"/>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8C5"/>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70DD"/>
    <w:rsid w:val="005476CE"/>
    <w:rsid w:val="00547BCB"/>
    <w:rsid w:val="0055035F"/>
    <w:rsid w:val="005507FD"/>
    <w:rsid w:val="005511C0"/>
    <w:rsid w:val="005518FE"/>
    <w:rsid w:val="0055232C"/>
    <w:rsid w:val="0055278E"/>
    <w:rsid w:val="005533E8"/>
    <w:rsid w:val="00553C8A"/>
    <w:rsid w:val="00554528"/>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80B"/>
    <w:rsid w:val="00565AF7"/>
    <w:rsid w:val="005663EB"/>
    <w:rsid w:val="00570C34"/>
    <w:rsid w:val="00571020"/>
    <w:rsid w:val="0057189C"/>
    <w:rsid w:val="005719D3"/>
    <w:rsid w:val="00571BD2"/>
    <w:rsid w:val="00571CD7"/>
    <w:rsid w:val="00571D59"/>
    <w:rsid w:val="00572338"/>
    <w:rsid w:val="00572E3E"/>
    <w:rsid w:val="005732E0"/>
    <w:rsid w:val="005738F7"/>
    <w:rsid w:val="0057420B"/>
    <w:rsid w:val="005756C1"/>
    <w:rsid w:val="0057593B"/>
    <w:rsid w:val="0057799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7DC4"/>
    <w:rsid w:val="005903E4"/>
    <w:rsid w:val="005907D5"/>
    <w:rsid w:val="005913EE"/>
    <w:rsid w:val="00592461"/>
    <w:rsid w:val="00592B29"/>
    <w:rsid w:val="00592B43"/>
    <w:rsid w:val="00592F2B"/>
    <w:rsid w:val="005941F1"/>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C14"/>
    <w:rsid w:val="005A7C48"/>
    <w:rsid w:val="005A7DBE"/>
    <w:rsid w:val="005A7E1A"/>
    <w:rsid w:val="005B0476"/>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3E2"/>
    <w:rsid w:val="005B672C"/>
    <w:rsid w:val="005B747D"/>
    <w:rsid w:val="005B7733"/>
    <w:rsid w:val="005B7A22"/>
    <w:rsid w:val="005C0602"/>
    <w:rsid w:val="005C0D5D"/>
    <w:rsid w:val="005C0D70"/>
    <w:rsid w:val="005C191A"/>
    <w:rsid w:val="005C2AA9"/>
    <w:rsid w:val="005C330D"/>
    <w:rsid w:val="005C40C7"/>
    <w:rsid w:val="005C4114"/>
    <w:rsid w:val="005C4B98"/>
    <w:rsid w:val="005C4EFF"/>
    <w:rsid w:val="005C4F43"/>
    <w:rsid w:val="005D0189"/>
    <w:rsid w:val="005D0B55"/>
    <w:rsid w:val="005D160D"/>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4E3A"/>
    <w:rsid w:val="005F5573"/>
    <w:rsid w:val="005F5D1D"/>
    <w:rsid w:val="005F60C9"/>
    <w:rsid w:val="005F64C6"/>
    <w:rsid w:val="005F6F05"/>
    <w:rsid w:val="006008F1"/>
    <w:rsid w:val="00601714"/>
    <w:rsid w:val="00601735"/>
    <w:rsid w:val="00601A07"/>
    <w:rsid w:val="006029E7"/>
    <w:rsid w:val="00602BD2"/>
    <w:rsid w:val="006041DD"/>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201"/>
    <w:rsid w:val="00616225"/>
    <w:rsid w:val="00616917"/>
    <w:rsid w:val="0061705E"/>
    <w:rsid w:val="00617A8B"/>
    <w:rsid w:val="00620C43"/>
    <w:rsid w:val="00621904"/>
    <w:rsid w:val="00622248"/>
    <w:rsid w:val="00622FEA"/>
    <w:rsid w:val="0062344F"/>
    <w:rsid w:val="00623CDF"/>
    <w:rsid w:val="00623DB1"/>
    <w:rsid w:val="00623DB4"/>
    <w:rsid w:val="006245F3"/>
    <w:rsid w:val="00624DBE"/>
    <w:rsid w:val="00625450"/>
    <w:rsid w:val="0062624F"/>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3F6"/>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14B8"/>
    <w:rsid w:val="00672DFC"/>
    <w:rsid w:val="00672F5B"/>
    <w:rsid w:val="00673BD7"/>
    <w:rsid w:val="00673DEE"/>
    <w:rsid w:val="006744F6"/>
    <w:rsid w:val="006745F8"/>
    <w:rsid w:val="00674E69"/>
    <w:rsid w:val="0067553E"/>
    <w:rsid w:val="00675A33"/>
    <w:rsid w:val="0067602A"/>
    <w:rsid w:val="00676070"/>
    <w:rsid w:val="006763ED"/>
    <w:rsid w:val="00676433"/>
    <w:rsid w:val="0067720F"/>
    <w:rsid w:val="0067738E"/>
    <w:rsid w:val="00677F23"/>
    <w:rsid w:val="00680936"/>
    <w:rsid w:val="00680BBE"/>
    <w:rsid w:val="00680D8C"/>
    <w:rsid w:val="00680D99"/>
    <w:rsid w:val="006821B2"/>
    <w:rsid w:val="00682725"/>
    <w:rsid w:val="00682A1B"/>
    <w:rsid w:val="00682D73"/>
    <w:rsid w:val="00682ED3"/>
    <w:rsid w:val="006843F8"/>
    <w:rsid w:val="006846E8"/>
    <w:rsid w:val="0068541E"/>
    <w:rsid w:val="00685E9D"/>
    <w:rsid w:val="00685EBD"/>
    <w:rsid w:val="0068605C"/>
    <w:rsid w:val="006861AC"/>
    <w:rsid w:val="006861C3"/>
    <w:rsid w:val="0068639D"/>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939"/>
    <w:rsid w:val="006B0A56"/>
    <w:rsid w:val="006B2048"/>
    <w:rsid w:val="006B20A6"/>
    <w:rsid w:val="006B32D5"/>
    <w:rsid w:val="006B342E"/>
    <w:rsid w:val="006B3812"/>
    <w:rsid w:val="006B3B80"/>
    <w:rsid w:val="006B6870"/>
    <w:rsid w:val="006B6F32"/>
    <w:rsid w:val="006B7130"/>
    <w:rsid w:val="006B73CC"/>
    <w:rsid w:val="006B7695"/>
    <w:rsid w:val="006B7C0F"/>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253B"/>
    <w:rsid w:val="006D325A"/>
    <w:rsid w:val="006D407B"/>
    <w:rsid w:val="006D4242"/>
    <w:rsid w:val="006D44E6"/>
    <w:rsid w:val="006D45F0"/>
    <w:rsid w:val="006D495A"/>
    <w:rsid w:val="006D4C8F"/>
    <w:rsid w:val="006D52A0"/>
    <w:rsid w:val="006D57CB"/>
    <w:rsid w:val="006D5819"/>
    <w:rsid w:val="006D5E6F"/>
    <w:rsid w:val="006D693F"/>
    <w:rsid w:val="006D6CDD"/>
    <w:rsid w:val="006D7604"/>
    <w:rsid w:val="006D765E"/>
    <w:rsid w:val="006E03D1"/>
    <w:rsid w:val="006E0455"/>
    <w:rsid w:val="006E150D"/>
    <w:rsid w:val="006E3289"/>
    <w:rsid w:val="006E33E4"/>
    <w:rsid w:val="006E4238"/>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D7B"/>
    <w:rsid w:val="006F524D"/>
    <w:rsid w:val="006F6360"/>
    <w:rsid w:val="006F6436"/>
    <w:rsid w:val="006F65C5"/>
    <w:rsid w:val="006F687A"/>
    <w:rsid w:val="006F68EF"/>
    <w:rsid w:val="006F6D38"/>
    <w:rsid w:val="006F6D4C"/>
    <w:rsid w:val="006F6E67"/>
    <w:rsid w:val="006F7157"/>
    <w:rsid w:val="006F78E0"/>
    <w:rsid w:val="00701210"/>
    <w:rsid w:val="00702428"/>
    <w:rsid w:val="00702B1B"/>
    <w:rsid w:val="00702ED6"/>
    <w:rsid w:val="007032B3"/>
    <w:rsid w:val="00703C62"/>
    <w:rsid w:val="00704164"/>
    <w:rsid w:val="007044BF"/>
    <w:rsid w:val="00706388"/>
    <w:rsid w:val="00706A58"/>
    <w:rsid w:val="00707517"/>
    <w:rsid w:val="007078ED"/>
    <w:rsid w:val="00710187"/>
    <w:rsid w:val="007110E1"/>
    <w:rsid w:val="007115CE"/>
    <w:rsid w:val="00711B18"/>
    <w:rsid w:val="00714394"/>
    <w:rsid w:val="00714ED6"/>
    <w:rsid w:val="007151B7"/>
    <w:rsid w:val="007153FC"/>
    <w:rsid w:val="00715E8D"/>
    <w:rsid w:val="0071648F"/>
    <w:rsid w:val="00716D8A"/>
    <w:rsid w:val="00717854"/>
    <w:rsid w:val="00720CCE"/>
    <w:rsid w:val="00721C26"/>
    <w:rsid w:val="00721F7E"/>
    <w:rsid w:val="00722C0F"/>
    <w:rsid w:val="00722E29"/>
    <w:rsid w:val="00723ECB"/>
    <w:rsid w:val="00723F94"/>
    <w:rsid w:val="00724606"/>
    <w:rsid w:val="00724A36"/>
    <w:rsid w:val="00724A60"/>
    <w:rsid w:val="00724E85"/>
    <w:rsid w:val="00725113"/>
    <w:rsid w:val="0072525D"/>
    <w:rsid w:val="00725A26"/>
    <w:rsid w:val="00726E8A"/>
    <w:rsid w:val="00727047"/>
    <w:rsid w:val="00727C5E"/>
    <w:rsid w:val="00734510"/>
    <w:rsid w:val="00734887"/>
    <w:rsid w:val="00736530"/>
    <w:rsid w:val="007365B6"/>
    <w:rsid w:val="007373C8"/>
    <w:rsid w:val="007401E2"/>
    <w:rsid w:val="00740205"/>
    <w:rsid w:val="00740D67"/>
    <w:rsid w:val="007411E5"/>
    <w:rsid w:val="00741605"/>
    <w:rsid w:val="00742AD3"/>
    <w:rsid w:val="00742F72"/>
    <w:rsid w:val="00743319"/>
    <w:rsid w:val="007436F2"/>
    <w:rsid w:val="0074436D"/>
    <w:rsid w:val="007446DA"/>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D6A"/>
    <w:rsid w:val="0075711E"/>
    <w:rsid w:val="007579F2"/>
    <w:rsid w:val="007602CB"/>
    <w:rsid w:val="0076094F"/>
    <w:rsid w:val="00761434"/>
    <w:rsid w:val="00761FD5"/>
    <w:rsid w:val="007620C9"/>
    <w:rsid w:val="00762372"/>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47C"/>
    <w:rsid w:val="0077270D"/>
    <w:rsid w:val="00773874"/>
    <w:rsid w:val="00774B47"/>
    <w:rsid w:val="00775D3B"/>
    <w:rsid w:val="0077615A"/>
    <w:rsid w:val="00777483"/>
    <w:rsid w:val="007806A0"/>
    <w:rsid w:val="00782346"/>
    <w:rsid w:val="007828DB"/>
    <w:rsid w:val="007838CD"/>
    <w:rsid w:val="007840F3"/>
    <w:rsid w:val="00784EC7"/>
    <w:rsid w:val="00785491"/>
    <w:rsid w:val="007858C0"/>
    <w:rsid w:val="00785C4E"/>
    <w:rsid w:val="00786128"/>
    <w:rsid w:val="00786550"/>
    <w:rsid w:val="0078679A"/>
    <w:rsid w:val="007871FE"/>
    <w:rsid w:val="007902AD"/>
    <w:rsid w:val="00790606"/>
    <w:rsid w:val="007908ED"/>
    <w:rsid w:val="00790F74"/>
    <w:rsid w:val="007912E8"/>
    <w:rsid w:val="00791D92"/>
    <w:rsid w:val="00792288"/>
    <w:rsid w:val="00792447"/>
    <w:rsid w:val="007928C6"/>
    <w:rsid w:val="007929C0"/>
    <w:rsid w:val="007951F4"/>
    <w:rsid w:val="00795BF6"/>
    <w:rsid w:val="0079694C"/>
    <w:rsid w:val="00796F99"/>
    <w:rsid w:val="00797AF9"/>
    <w:rsid w:val="00797FBD"/>
    <w:rsid w:val="007A0187"/>
    <w:rsid w:val="007A19AC"/>
    <w:rsid w:val="007A2640"/>
    <w:rsid w:val="007A268F"/>
    <w:rsid w:val="007A4A53"/>
    <w:rsid w:val="007A4C93"/>
    <w:rsid w:val="007A4E17"/>
    <w:rsid w:val="007A5936"/>
    <w:rsid w:val="007A5AC6"/>
    <w:rsid w:val="007A6A01"/>
    <w:rsid w:val="007A7D0A"/>
    <w:rsid w:val="007A7F6D"/>
    <w:rsid w:val="007B0799"/>
    <w:rsid w:val="007B0FBD"/>
    <w:rsid w:val="007B1BAF"/>
    <w:rsid w:val="007B2393"/>
    <w:rsid w:val="007B2FE8"/>
    <w:rsid w:val="007B30DB"/>
    <w:rsid w:val="007B30F2"/>
    <w:rsid w:val="007B35F7"/>
    <w:rsid w:val="007B4DD5"/>
    <w:rsid w:val="007B4EEA"/>
    <w:rsid w:val="007B4F72"/>
    <w:rsid w:val="007B5148"/>
    <w:rsid w:val="007B5A16"/>
    <w:rsid w:val="007B64D8"/>
    <w:rsid w:val="007B660D"/>
    <w:rsid w:val="007B7219"/>
    <w:rsid w:val="007C03FE"/>
    <w:rsid w:val="007C0E04"/>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E43"/>
    <w:rsid w:val="007D13E7"/>
    <w:rsid w:val="007D153B"/>
    <w:rsid w:val="007D1E37"/>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80D"/>
    <w:rsid w:val="007E3B9D"/>
    <w:rsid w:val="007E3EE9"/>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A15"/>
    <w:rsid w:val="007F2D90"/>
    <w:rsid w:val="007F321F"/>
    <w:rsid w:val="007F3D9B"/>
    <w:rsid w:val="007F3F6F"/>
    <w:rsid w:val="007F48A9"/>
    <w:rsid w:val="007F4A1F"/>
    <w:rsid w:val="007F4E28"/>
    <w:rsid w:val="007F4E6E"/>
    <w:rsid w:val="007F4F82"/>
    <w:rsid w:val="007F6D96"/>
    <w:rsid w:val="007F7CFA"/>
    <w:rsid w:val="0080033E"/>
    <w:rsid w:val="00801D7A"/>
    <w:rsid w:val="008020F2"/>
    <w:rsid w:val="00802462"/>
    <w:rsid w:val="008036FC"/>
    <w:rsid w:val="00803F74"/>
    <w:rsid w:val="00804653"/>
    <w:rsid w:val="00804C48"/>
    <w:rsid w:val="0080505A"/>
    <w:rsid w:val="00805478"/>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56AC"/>
    <w:rsid w:val="00826173"/>
    <w:rsid w:val="00826F4C"/>
    <w:rsid w:val="008302D6"/>
    <w:rsid w:val="008305FD"/>
    <w:rsid w:val="00831573"/>
    <w:rsid w:val="00833946"/>
    <w:rsid w:val="00833C51"/>
    <w:rsid w:val="008349A6"/>
    <w:rsid w:val="00835271"/>
    <w:rsid w:val="00835679"/>
    <w:rsid w:val="008360DF"/>
    <w:rsid w:val="008365D4"/>
    <w:rsid w:val="0083731C"/>
    <w:rsid w:val="008377DA"/>
    <w:rsid w:val="00837BD7"/>
    <w:rsid w:val="008403A7"/>
    <w:rsid w:val="00840591"/>
    <w:rsid w:val="0084119A"/>
    <w:rsid w:val="00841F21"/>
    <w:rsid w:val="00842991"/>
    <w:rsid w:val="008429B0"/>
    <w:rsid w:val="00843900"/>
    <w:rsid w:val="00844C5B"/>
    <w:rsid w:val="00845083"/>
    <w:rsid w:val="0084581F"/>
    <w:rsid w:val="00845898"/>
    <w:rsid w:val="00845A15"/>
    <w:rsid w:val="0084632F"/>
    <w:rsid w:val="00851810"/>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0AF"/>
    <w:rsid w:val="008751C1"/>
    <w:rsid w:val="00876C1B"/>
    <w:rsid w:val="00876E70"/>
    <w:rsid w:val="008804E1"/>
    <w:rsid w:val="00880ABB"/>
    <w:rsid w:val="00880E30"/>
    <w:rsid w:val="008815B6"/>
    <w:rsid w:val="008818F6"/>
    <w:rsid w:val="00881D45"/>
    <w:rsid w:val="008829F8"/>
    <w:rsid w:val="0088398E"/>
    <w:rsid w:val="00885182"/>
    <w:rsid w:val="0088647E"/>
    <w:rsid w:val="00887E02"/>
    <w:rsid w:val="00890382"/>
    <w:rsid w:val="0089046A"/>
    <w:rsid w:val="00891106"/>
    <w:rsid w:val="008916CB"/>
    <w:rsid w:val="00892833"/>
    <w:rsid w:val="00893479"/>
    <w:rsid w:val="0089375D"/>
    <w:rsid w:val="008943CB"/>
    <w:rsid w:val="008946B9"/>
    <w:rsid w:val="008960A2"/>
    <w:rsid w:val="00896E62"/>
    <w:rsid w:val="008979BC"/>
    <w:rsid w:val="008A056E"/>
    <w:rsid w:val="008A0882"/>
    <w:rsid w:val="008A10C1"/>
    <w:rsid w:val="008A181A"/>
    <w:rsid w:val="008A1A6F"/>
    <w:rsid w:val="008A1C47"/>
    <w:rsid w:val="008A2289"/>
    <w:rsid w:val="008A26F5"/>
    <w:rsid w:val="008A3766"/>
    <w:rsid w:val="008A3F08"/>
    <w:rsid w:val="008A4F66"/>
    <w:rsid w:val="008A525C"/>
    <w:rsid w:val="008A5290"/>
    <w:rsid w:val="008A593A"/>
    <w:rsid w:val="008A6A60"/>
    <w:rsid w:val="008A6B89"/>
    <w:rsid w:val="008A6C5A"/>
    <w:rsid w:val="008A6CCA"/>
    <w:rsid w:val="008B1417"/>
    <w:rsid w:val="008B1B85"/>
    <w:rsid w:val="008B1B8C"/>
    <w:rsid w:val="008B2170"/>
    <w:rsid w:val="008B25B1"/>
    <w:rsid w:val="008B2C59"/>
    <w:rsid w:val="008B2DF3"/>
    <w:rsid w:val="008B353B"/>
    <w:rsid w:val="008B3761"/>
    <w:rsid w:val="008B376A"/>
    <w:rsid w:val="008B444E"/>
    <w:rsid w:val="008B569F"/>
    <w:rsid w:val="008B71B6"/>
    <w:rsid w:val="008B7220"/>
    <w:rsid w:val="008C0669"/>
    <w:rsid w:val="008C08A5"/>
    <w:rsid w:val="008C1DD7"/>
    <w:rsid w:val="008C26FA"/>
    <w:rsid w:val="008C36BB"/>
    <w:rsid w:val="008C38A4"/>
    <w:rsid w:val="008C4566"/>
    <w:rsid w:val="008C46B6"/>
    <w:rsid w:val="008C46C3"/>
    <w:rsid w:val="008C522A"/>
    <w:rsid w:val="008C5E71"/>
    <w:rsid w:val="008C64E3"/>
    <w:rsid w:val="008C6A8B"/>
    <w:rsid w:val="008C7409"/>
    <w:rsid w:val="008C77F7"/>
    <w:rsid w:val="008D00EA"/>
    <w:rsid w:val="008D0D1E"/>
    <w:rsid w:val="008D1175"/>
    <w:rsid w:val="008D13C7"/>
    <w:rsid w:val="008D1627"/>
    <w:rsid w:val="008D1DA0"/>
    <w:rsid w:val="008D284E"/>
    <w:rsid w:val="008D3E1A"/>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74B"/>
    <w:rsid w:val="00905908"/>
    <w:rsid w:val="00905F22"/>
    <w:rsid w:val="00906C96"/>
    <w:rsid w:val="009075A4"/>
    <w:rsid w:val="009101AF"/>
    <w:rsid w:val="00910400"/>
    <w:rsid w:val="00911808"/>
    <w:rsid w:val="00912F37"/>
    <w:rsid w:val="009131C8"/>
    <w:rsid w:val="009145FB"/>
    <w:rsid w:val="00914811"/>
    <w:rsid w:val="00915283"/>
    <w:rsid w:val="00915786"/>
    <w:rsid w:val="00917141"/>
    <w:rsid w:val="0091746C"/>
    <w:rsid w:val="00917D06"/>
    <w:rsid w:val="009207DB"/>
    <w:rsid w:val="00921879"/>
    <w:rsid w:val="00922024"/>
    <w:rsid w:val="00922A45"/>
    <w:rsid w:val="009233CE"/>
    <w:rsid w:val="00923C3F"/>
    <w:rsid w:val="009245B3"/>
    <w:rsid w:val="00924853"/>
    <w:rsid w:val="009252E0"/>
    <w:rsid w:val="00925501"/>
    <w:rsid w:val="00926982"/>
    <w:rsid w:val="00926B5A"/>
    <w:rsid w:val="00926D4C"/>
    <w:rsid w:val="009270C4"/>
    <w:rsid w:val="00931743"/>
    <w:rsid w:val="00931AF8"/>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1D3B"/>
    <w:rsid w:val="00942120"/>
    <w:rsid w:val="009425F7"/>
    <w:rsid w:val="00943827"/>
    <w:rsid w:val="00943BC0"/>
    <w:rsid w:val="00943E23"/>
    <w:rsid w:val="00944BF0"/>
    <w:rsid w:val="00944F29"/>
    <w:rsid w:val="00946136"/>
    <w:rsid w:val="00946CD9"/>
    <w:rsid w:val="00947046"/>
    <w:rsid w:val="00947A00"/>
    <w:rsid w:val="009505F4"/>
    <w:rsid w:val="00951216"/>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6D65"/>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0B6"/>
    <w:rsid w:val="00994B5F"/>
    <w:rsid w:val="00995768"/>
    <w:rsid w:val="00996326"/>
    <w:rsid w:val="00996B7D"/>
    <w:rsid w:val="00996F95"/>
    <w:rsid w:val="009976A3"/>
    <w:rsid w:val="00997745"/>
    <w:rsid w:val="00997EA5"/>
    <w:rsid w:val="009A07D5"/>
    <w:rsid w:val="009A1BC9"/>
    <w:rsid w:val="009A1FE7"/>
    <w:rsid w:val="009A28D9"/>
    <w:rsid w:val="009A2967"/>
    <w:rsid w:val="009A36B7"/>
    <w:rsid w:val="009A3720"/>
    <w:rsid w:val="009A42CF"/>
    <w:rsid w:val="009A44E8"/>
    <w:rsid w:val="009A4A49"/>
    <w:rsid w:val="009A581E"/>
    <w:rsid w:val="009A679E"/>
    <w:rsid w:val="009B0460"/>
    <w:rsid w:val="009B1DA5"/>
    <w:rsid w:val="009B1E1D"/>
    <w:rsid w:val="009B2602"/>
    <w:rsid w:val="009B28FD"/>
    <w:rsid w:val="009B2AD6"/>
    <w:rsid w:val="009B3172"/>
    <w:rsid w:val="009B4575"/>
    <w:rsid w:val="009B45C7"/>
    <w:rsid w:val="009B461D"/>
    <w:rsid w:val="009B5594"/>
    <w:rsid w:val="009B59ED"/>
    <w:rsid w:val="009B6EE8"/>
    <w:rsid w:val="009B729E"/>
    <w:rsid w:val="009B7498"/>
    <w:rsid w:val="009C0191"/>
    <w:rsid w:val="009C264B"/>
    <w:rsid w:val="009C34F1"/>
    <w:rsid w:val="009C381A"/>
    <w:rsid w:val="009C3B80"/>
    <w:rsid w:val="009C3D84"/>
    <w:rsid w:val="009C42E2"/>
    <w:rsid w:val="009C48C6"/>
    <w:rsid w:val="009C5D76"/>
    <w:rsid w:val="009C5DFB"/>
    <w:rsid w:val="009C5FDE"/>
    <w:rsid w:val="009C6C9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393"/>
    <w:rsid w:val="009E04BB"/>
    <w:rsid w:val="009E0525"/>
    <w:rsid w:val="009E05A9"/>
    <w:rsid w:val="009E1370"/>
    <w:rsid w:val="009E20A6"/>
    <w:rsid w:val="009E233F"/>
    <w:rsid w:val="009E2F30"/>
    <w:rsid w:val="009E323A"/>
    <w:rsid w:val="009E328B"/>
    <w:rsid w:val="009E396A"/>
    <w:rsid w:val="009E4130"/>
    <w:rsid w:val="009E6122"/>
    <w:rsid w:val="009E6DD0"/>
    <w:rsid w:val="009E6DEE"/>
    <w:rsid w:val="009E6E87"/>
    <w:rsid w:val="009E700C"/>
    <w:rsid w:val="009E7491"/>
    <w:rsid w:val="009F082A"/>
    <w:rsid w:val="009F0BD9"/>
    <w:rsid w:val="009F12B4"/>
    <w:rsid w:val="009F33FA"/>
    <w:rsid w:val="009F347C"/>
    <w:rsid w:val="009F4A46"/>
    <w:rsid w:val="009F4D19"/>
    <w:rsid w:val="009F54D7"/>
    <w:rsid w:val="009F6619"/>
    <w:rsid w:val="009F68FF"/>
    <w:rsid w:val="009F6FEE"/>
    <w:rsid w:val="009F768E"/>
    <w:rsid w:val="009F7F88"/>
    <w:rsid w:val="00A000EE"/>
    <w:rsid w:val="00A00E77"/>
    <w:rsid w:val="00A01A4C"/>
    <w:rsid w:val="00A01C1F"/>
    <w:rsid w:val="00A01C98"/>
    <w:rsid w:val="00A04B6F"/>
    <w:rsid w:val="00A054CB"/>
    <w:rsid w:val="00A05DF4"/>
    <w:rsid w:val="00A05E8F"/>
    <w:rsid w:val="00A05F37"/>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C82"/>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90"/>
    <w:rsid w:val="00A461B1"/>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1AB"/>
    <w:rsid w:val="00A62757"/>
    <w:rsid w:val="00A639E0"/>
    <w:rsid w:val="00A63D89"/>
    <w:rsid w:val="00A64368"/>
    <w:rsid w:val="00A64393"/>
    <w:rsid w:val="00A647EC"/>
    <w:rsid w:val="00A6526E"/>
    <w:rsid w:val="00A65DA4"/>
    <w:rsid w:val="00A66E04"/>
    <w:rsid w:val="00A67194"/>
    <w:rsid w:val="00A671B3"/>
    <w:rsid w:val="00A6735F"/>
    <w:rsid w:val="00A676F1"/>
    <w:rsid w:val="00A67968"/>
    <w:rsid w:val="00A7040E"/>
    <w:rsid w:val="00A70D5A"/>
    <w:rsid w:val="00A71E1C"/>
    <w:rsid w:val="00A734F2"/>
    <w:rsid w:val="00A73DEE"/>
    <w:rsid w:val="00A74254"/>
    <w:rsid w:val="00A74678"/>
    <w:rsid w:val="00A75AEA"/>
    <w:rsid w:val="00A75EA3"/>
    <w:rsid w:val="00A76063"/>
    <w:rsid w:val="00A767EB"/>
    <w:rsid w:val="00A771BF"/>
    <w:rsid w:val="00A77299"/>
    <w:rsid w:val="00A803C1"/>
    <w:rsid w:val="00A805F1"/>
    <w:rsid w:val="00A815B6"/>
    <w:rsid w:val="00A81953"/>
    <w:rsid w:val="00A82067"/>
    <w:rsid w:val="00A827C9"/>
    <w:rsid w:val="00A83BF3"/>
    <w:rsid w:val="00A85B31"/>
    <w:rsid w:val="00A860FD"/>
    <w:rsid w:val="00A861F3"/>
    <w:rsid w:val="00A866EA"/>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110E"/>
    <w:rsid w:val="00AB11CF"/>
    <w:rsid w:val="00AB1287"/>
    <w:rsid w:val="00AB1CE8"/>
    <w:rsid w:val="00AB2470"/>
    <w:rsid w:val="00AB3EC9"/>
    <w:rsid w:val="00AB3FCD"/>
    <w:rsid w:val="00AB43FC"/>
    <w:rsid w:val="00AB4506"/>
    <w:rsid w:val="00AB5190"/>
    <w:rsid w:val="00AB5513"/>
    <w:rsid w:val="00AB6DFC"/>
    <w:rsid w:val="00AB6E0F"/>
    <w:rsid w:val="00AB7354"/>
    <w:rsid w:val="00AB75DD"/>
    <w:rsid w:val="00AB7C46"/>
    <w:rsid w:val="00AC071C"/>
    <w:rsid w:val="00AC0836"/>
    <w:rsid w:val="00AC2076"/>
    <w:rsid w:val="00AC3637"/>
    <w:rsid w:val="00AC3D4F"/>
    <w:rsid w:val="00AC3D5B"/>
    <w:rsid w:val="00AC3DB7"/>
    <w:rsid w:val="00AC4699"/>
    <w:rsid w:val="00AC57CD"/>
    <w:rsid w:val="00AC59DF"/>
    <w:rsid w:val="00AC63A8"/>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071"/>
    <w:rsid w:val="00AE2330"/>
    <w:rsid w:val="00AE27D6"/>
    <w:rsid w:val="00AE3354"/>
    <w:rsid w:val="00AE55BC"/>
    <w:rsid w:val="00AE56D1"/>
    <w:rsid w:val="00AE5A99"/>
    <w:rsid w:val="00AE62E7"/>
    <w:rsid w:val="00AE686D"/>
    <w:rsid w:val="00AE6B27"/>
    <w:rsid w:val="00AE77AC"/>
    <w:rsid w:val="00AF0DC0"/>
    <w:rsid w:val="00AF0F96"/>
    <w:rsid w:val="00AF17E4"/>
    <w:rsid w:val="00AF1CE6"/>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2315"/>
    <w:rsid w:val="00B02BF0"/>
    <w:rsid w:val="00B034DD"/>
    <w:rsid w:val="00B03AB4"/>
    <w:rsid w:val="00B04C3C"/>
    <w:rsid w:val="00B05B91"/>
    <w:rsid w:val="00B06ED4"/>
    <w:rsid w:val="00B077CC"/>
    <w:rsid w:val="00B07A28"/>
    <w:rsid w:val="00B07C8A"/>
    <w:rsid w:val="00B1123F"/>
    <w:rsid w:val="00B11A4E"/>
    <w:rsid w:val="00B13397"/>
    <w:rsid w:val="00B1400D"/>
    <w:rsid w:val="00B144AA"/>
    <w:rsid w:val="00B147C9"/>
    <w:rsid w:val="00B14B00"/>
    <w:rsid w:val="00B15BB2"/>
    <w:rsid w:val="00B1666B"/>
    <w:rsid w:val="00B16CEE"/>
    <w:rsid w:val="00B16EBE"/>
    <w:rsid w:val="00B20655"/>
    <w:rsid w:val="00B20BD6"/>
    <w:rsid w:val="00B21443"/>
    <w:rsid w:val="00B21D0E"/>
    <w:rsid w:val="00B22C57"/>
    <w:rsid w:val="00B23C76"/>
    <w:rsid w:val="00B23EEE"/>
    <w:rsid w:val="00B25E1E"/>
    <w:rsid w:val="00B267F7"/>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53E"/>
    <w:rsid w:val="00B426B6"/>
    <w:rsid w:val="00B42C20"/>
    <w:rsid w:val="00B43AD9"/>
    <w:rsid w:val="00B443D5"/>
    <w:rsid w:val="00B44482"/>
    <w:rsid w:val="00B4498A"/>
    <w:rsid w:val="00B44CAB"/>
    <w:rsid w:val="00B45012"/>
    <w:rsid w:val="00B450D9"/>
    <w:rsid w:val="00B45D36"/>
    <w:rsid w:val="00B46FF2"/>
    <w:rsid w:val="00B539EB"/>
    <w:rsid w:val="00B53D7D"/>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2B7F"/>
    <w:rsid w:val="00B73D1E"/>
    <w:rsid w:val="00B74530"/>
    <w:rsid w:val="00B74E4D"/>
    <w:rsid w:val="00B75D3F"/>
    <w:rsid w:val="00B75D4C"/>
    <w:rsid w:val="00B76F2C"/>
    <w:rsid w:val="00B774EE"/>
    <w:rsid w:val="00B77723"/>
    <w:rsid w:val="00B77863"/>
    <w:rsid w:val="00B80008"/>
    <w:rsid w:val="00B801AC"/>
    <w:rsid w:val="00B809E2"/>
    <w:rsid w:val="00B815D3"/>
    <w:rsid w:val="00B81BB3"/>
    <w:rsid w:val="00B8270D"/>
    <w:rsid w:val="00B827E7"/>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8E8"/>
    <w:rsid w:val="00B94BE5"/>
    <w:rsid w:val="00B9556B"/>
    <w:rsid w:val="00B96069"/>
    <w:rsid w:val="00B968F3"/>
    <w:rsid w:val="00B96E78"/>
    <w:rsid w:val="00BA0A76"/>
    <w:rsid w:val="00BA11A9"/>
    <w:rsid w:val="00BA30C2"/>
    <w:rsid w:val="00BA31C6"/>
    <w:rsid w:val="00BA4B0A"/>
    <w:rsid w:val="00BA699B"/>
    <w:rsid w:val="00BA76AB"/>
    <w:rsid w:val="00BA7A5F"/>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560"/>
    <w:rsid w:val="00BC06FE"/>
    <w:rsid w:val="00BC1765"/>
    <w:rsid w:val="00BC1FD6"/>
    <w:rsid w:val="00BC25D7"/>
    <w:rsid w:val="00BC320C"/>
    <w:rsid w:val="00BC43C2"/>
    <w:rsid w:val="00BC464D"/>
    <w:rsid w:val="00BC4883"/>
    <w:rsid w:val="00BC5454"/>
    <w:rsid w:val="00BC5F7F"/>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34A"/>
    <w:rsid w:val="00BE5A5B"/>
    <w:rsid w:val="00BE5B7C"/>
    <w:rsid w:val="00BE61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5B1B"/>
    <w:rsid w:val="00BF6338"/>
    <w:rsid w:val="00BF6D56"/>
    <w:rsid w:val="00BF7CE1"/>
    <w:rsid w:val="00C00D03"/>
    <w:rsid w:val="00C00D9C"/>
    <w:rsid w:val="00C01DFC"/>
    <w:rsid w:val="00C02513"/>
    <w:rsid w:val="00C0270E"/>
    <w:rsid w:val="00C0282B"/>
    <w:rsid w:val="00C044E4"/>
    <w:rsid w:val="00C047A4"/>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078"/>
    <w:rsid w:val="00C16439"/>
    <w:rsid w:val="00C206DC"/>
    <w:rsid w:val="00C2092E"/>
    <w:rsid w:val="00C20F37"/>
    <w:rsid w:val="00C211AE"/>
    <w:rsid w:val="00C213FD"/>
    <w:rsid w:val="00C21C42"/>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D84"/>
    <w:rsid w:val="00C3131B"/>
    <w:rsid w:val="00C317A7"/>
    <w:rsid w:val="00C31B0E"/>
    <w:rsid w:val="00C33383"/>
    <w:rsid w:val="00C33614"/>
    <w:rsid w:val="00C33AEC"/>
    <w:rsid w:val="00C35493"/>
    <w:rsid w:val="00C35C8E"/>
    <w:rsid w:val="00C361E9"/>
    <w:rsid w:val="00C3671E"/>
    <w:rsid w:val="00C36B1D"/>
    <w:rsid w:val="00C36EED"/>
    <w:rsid w:val="00C3742C"/>
    <w:rsid w:val="00C37661"/>
    <w:rsid w:val="00C37F81"/>
    <w:rsid w:val="00C410D2"/>
    <w:rsid w:val="00C411E0"/>
    <w:rsid w:val="00C41363"/>
    <w:rsid w:val="00C42209"/>
    <w:rsid w:val="00C429D5"/>
    <w:rsid w:val="00C42A78"/>
    <w:rsid w:val="00C42AD9"/>
    <w:rsid w:val="00C42DC9"/>
    <w:rsid w:val="00C437D6"/>
    <w:rsid w:val="00C45897"/>
    <w:rsid w:val="00C4601D"/>
    <w:rsid w:val="00C470F6"/>
    <w:rsid w:val="00C47B1C"/>
    <w:rsid w:val="00C504EF"/>
    <w:rsid w:val="00C509D2"/>
    <w:rsid w:val="00C51CCA"/>
    <w:rsid w:val="00C52FDA"/>
    <w:rsid w:val="00C53131"/>
    <w:rsid w:val="00C54473"/>
    <w:rsid w:val="00C55693"/>
    <w:rsid w:val="00C55945"/>
    <w:rsid w:val="00C55D94"/>
    <w:rsid w:val="00C55DCB"/>
    <w:rsid w:val="00C55FBB"/>
    <w:rsid w:val="00C56DCE"/>
    <w:rsid w:val="00C57582"/>
    <w:rsid w:val="00C608EF"/>
    <w:rsid w:val="00C60E9C"/>
    <w:rsid w:val="00C612BB"/>
    <w:rsid w:val="00C612BF"/>
    <w:rsid w:val="00C61338"/>
    <w:rsid w:val="00C6207E"/>
    <w:rsid w:val="00C62A28"/>
    <w:rsid w:val="00C6324D"/>
    <w:rsid w:val="00C64FAE"/>
    <w:rsid w:val="00C653CC"/>
    <w:rsid w:val="00C65B09"/>
    <w:rsid w:val="00C66344"/>
    <w:rsid w:val="00C66EDC"/>
    <w:rsid w:val="00C674F7"/>
    <w:rsid w:val="00C67CC6"/>
    <w:rsid w:val="00C67D05"/>
    <w:rsid w:val="00C714EE"/>
    <w:rsid w:val="00C731E1"/>
    <w:rsid w:val="00C7335A"/>
    <w:rsid w:val="00C741A7"/>
    <w:rsid w:val="00C745D7"/>
    <w:rsid w:val="00C74DFB"/>
    <w:rsid w:val="00C74F7C"/>
    <w:rsid w:val="00C75F87"/>
    <w:rsid w:val="00C75FFB"/>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ACF"/>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4B17"/>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4D2"/>
    <w:rsid w:val="00CD6525"/>
    <w:rsid w:val="00CD652E"/>
    <w:rsid w:val="00CD68DD"/>
    <w:rsid w:val="00CD6A0A"/>
    <w:rsid w:val="00CD6EF2"/>
    <w:rsid w:val="00CD786B"/>
    <w:rsid w:val="00CD7B8B"/>
    <w:rsid w:val="00CE01F8"/>
    <w:rsid w:val="00CE08BB"/>
    <w:rsid w:val="00CE0D51"/>
    <w:rsid w:val="00CE1657"/>
    <w:rsid w:val="00CE24B9"/>
    <w:rsid w:val="00CE2ADD"/>
    <w:rsid w:val="00CE2B04"/>
    <w:rsid w:val="00CE2C27"/>
    <w:rsid w:val="00CE2C87"/>
    <w:rsid w:val="00CE3E8B"/>
    <w:rsid w:val="00CE47DC"/>
    <w:rsid w:val="00CE5298"/>
    <w:rsid w:val="00CE5322"/>
    <w:rsid w:val="00CE58EB"/>
    <w:rsid w:val="00CE69E4"/>
    <w:rsid w:val="00CF0041"/>
    <w:rsid w:val="00CF02F9"/>
    <w:rsid w:val="00CF0D4B"/>
    <w:rsid w:val="00CF2605"/>
    <w:rsid w:val="00CF2804"/>
    <w:rsid w:val="00CF35B2"/>
    <w:rsid w:val="00CF38D4"/>
    <w:rsid w:val="00CF395A"/>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DE3"/>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7BC"/>
    <w:rsid w:val="00D21820"/>
    <w:rsid w:val="00D21F48"/>
    <w:rsid w:val="00D2255E"/>
    <w:rsid w:val="00D226B9"/>
    <w:rsid w:val="00D23437"/>
    <w:rsid w:val="00D2372E"/>
    <w:rsid w:val="00D2373E"/>
    <w:rsid w:val="00D239F4"/>
    <w:rsid w:val="00D2459A"/>
    <w:rsid w:val="00D248D9"/>
    <w:rsid w:val="00D24CD7"/>
    <w:rsid w:val="00D259E0"/>
    <w:rsid w:val="00D27131"/>
    <w:rsid w:val="00D27DDD"/>
    <w:rsid w:val="00D31AD0"/>
    <w:rsid w:val="00D31B9E"/>
    <w:rsid w:val="00D31BBD"/>
    <w:rsid w:val="00D3214E"/>
    <w:rsid w:val="00D3251C"/>
    <w:rsid w:val="00D32658"/>
    <w:rsid w:val="00D34E83"/>
    <w:rsid w:val="00D35189"/>
    <w:rsid w:val="00D352D0"/>
    <w:rsid w:val="00D35F44"/>
    <w:rsid w:val="00D3701D"/>
    <w:rsid w:val="00D37354"/>
    <w:rsid w:val="00D404B1"/>
    <w:rsid w:val="00D40C33"/>
    <w:rsid w:val="00D4104F"/>
    <w:rsid w:val="00D41EE5"/>
    <w:rsid w:val="00D4313E"/>
    <w:rsid w:val="00D43988"/>
    <w:rsid w:val="00D4707E"/>
    <w:rsid w:val="00D47238"/>
    <w:rsid w:val="00D4761E"/>
    <w:rsid w:val="00D4762C"/>
    <w:rsid w:val="00D47867"/>
    <w:rsid w:val="00D47EAF"/>
    <w:rsid w:val="00D50B2A"/>
    <w:rsid w:val="00D5132A"/>
    <w:rsid w:val="00D51517"/>
    <w:rsid w:val="00D52D7F"/>
    <w:rsid w:val="00D52FE8"/>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2A88"/>
    <w:rsid w:val="00D654F8"/>
    <w:rsid w:val="00D66697"/>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5953"/>
    <w:rsid w:val="00D770D5"/>
    <w:rsid w:val="00D809B7"/>
    <w:rsid w:val="00D81004"/>
    <w:rsid w:val="00D812A9"/>
    <w:rsid w:val="00D813B0"/>
    <w:rsid w:val="00D8141C"/>
    <w:rsid w:val="00D81A57"/>
    <w:rsid w:val="00D82664"/>
    <w:rsid w:val="00D8269A"/>
    <w:rsid w:val="00D82962"/>
    <w:rsid w:val="00D82A4C"/>
    <w:rsid w:val="00D83A65"/>
    <w:rsid w:val="00D846CF"/>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C36"/>
    <w:rsid w:val="00DA2FCA"/>
    <w:rsid w:val="00DA348E"/>
    <w:rsid w:val="00DA373A"/>
    <w:rsid w:val="00DA456A"/>
    <w:rsid w:val="00DA5162"/>
    <w:rsid w:val="00DA59D2"/>
    <w:rsid w:val="00DA5A9C"/>
    <w:rsid w:val="00DA5F60"/>
    <w:rsid w:val="00DA60A9"/>
    <w:rsid w:val="00DA6E30"/>
    <w:rsid w:val="00DA6E9D"/>
    <w:rsid w:val="00DA6FF3"/>
    <w:rsid w:val="00DA7525"/>
    <w:rsid w:val="00DB1595"/>
    <w:rsid w:val="00DB2329"/>
    <w:rsid w:val="00DB297D"/>
    <w:rsid w:val="00DB2B7E"/>
    <w:rsid w:val="00DB2BA7"/>
    <w:rsid w:val="00DB2F6C"/>
    <w:rsid w:val="00DB345D"/>
    <w:rsid w:val="00DB53A2"/>
    <w:rsid w:val="00DB5719"/>
    <w:rsid w:val="00DB624E"/>
    <w:rsid w:val="00DB7C6B"/>
    <w:rsid w:val="00DC02EA"/>
    <w:rsid w:val="00DC0860"/>
    <w:rsid w:val="00DC1309"/>
    <w:rsid w:val="00DC1343"/>
    <w:rsid w:val="00DC16F9"/>
    <w:rsid w:val="00DC1CA6"/>
    <w:rsid w:val="00DC20CF"/>
    <w:rsid w:val="00DC27E3"/>
    <w:rsid w:val="00DC3472"/>
    <w:rsid w:val="00DC4B44"/>
    <w:rsid w:val="00DC5C38"/>
    <w:rsid w:val="00DC5C39"/>
    <w:rsid w:val="00DC61A3"/>
    <w:rsid w:val="00DC6EB6"/>
    <w:rsid w:val="00DC7E69"/>
    <w:rsid w:val="00DD0467"/>
    <w:rsid w:val="00DD15EF"/>
    <w:rsid w:val="00DD1738"/>
    <w:rsid w:val="00DD190E"/>
    <w:rsid w:val="00DD2547"/>
    <w:rsid w:val="00DD3316"/>
    <w:rsid w:val="00DD3E02"/>
    <w:rsid w:val="00DD5654"/>
    <w:rsid w:val="00DD594C"/>
    <w:rsid w:val="00DD5E57"/>
    <w:rsid w:val="00DD5E97"/>
    <w:rsid w:val="00DD5F57"/>
    <w:rsid w:val="00DD60E3"/>
    <w:rsid w:val="00DD667B"/>
    <w:rsid w:val="00DD7F9B"/>
    <w:rsid w:val="00DE2E1E"/>
    <w:rsid w:val="00DE3385"/>
    <w:rsid w:val="00DE3503"/>
    <w:rsid w:val="00DE396F"/>
    <w:rsid w:val="00DE3CA1"/>
    <w:rsid w:val="00DE4007"/>
    <w:rsid w:val="00DE4638"/>
    <w:rsid w:val="00DE4651"/>
    <w:rsid w:val="00DE47B6"/>
    <w:rsid w:val="00DE534A"/>
    <w:rsid w:val="00DE55FD"/>
    <w:rsid w:val="00DE7265"/>
    <w:rsid w:val="00DE7525"/>
    <w:rsid w:val="00DF2247"/>
    <w:rsid w:val="00DF225E"/>
    <w:rsid w:val="00DF2353"/>
    <w:rsid w:val="00DF387D"/>
    <w:rsid w:val="00DF3AB2"/>
    <w:rsid w:val="00DF5784"/>
    <w:rsid w:val="00DF58B8"/>
    <w:rsid w:val="00DF5FF8"/>
    <w:rsid w:val="00DF6EE5"/>
    <w:rsid w:val="00E0077B"/>
    <w:rsid w:val="00E00898"/>
    <w:rsid w:val="00E01BEF"/>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243"/>
    <w:rsid w:val="00E149F4"/>
    <w:rsid w:val="00E15D99"/>
    <w:rsid w:val="00E174FE"/>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83E"/>
    <w:rsid w:val="00E44CD4"/>
    <w:rsid w:val="00E45B91"/>
    <w:rsid w:val="00E46804"/>
    <w:rsid w:val="00E46C57"/>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3AD"/>
    <w:rsid w:val="00E66F49"/>
    <w:rsid w:val="00E67F4F"/>
    <w:rsid w:val="00E721A9"/>
    <w:rsid w:val="00E727F8"/>
    <w:rsid w:val="00E73549"/>
    <w:rsid w:val="00E73EB9"/>
    <w:rsid w:val="00E74861"/>
    <w:rsid w:val="00E748DD"/>
    <w:rsid w:val="00E74EC9"/>
    <w:rsid w:val="00E750A5"/>
    <w:rsid w:val="00E75733"/>
    <w:rsid w:val="00E75A9D"/>
    <w:rsid w:val="00E76B19"/>
    <w:rsid w:val="00E80CF7"/>
    <w:rsid w:val="00E81581"/>
    <w:rsid w:val="00E81B8E"/>
    <w:rsid w:val="00E81ED7"/>
    <w:rsid w:val="00E82742"/>
    <w:rsid w:val="00E82FC0"/>
    <w:rsid w:val="00E8369B"/>
    <w:rsid w:val="00E8377F"/>
    <w:rsid w:val="00E83850"/>
    <w:rsid w:val="00E85244"/>
    <w:rsid w:val="00E86159"/>
    <w:rsid w:val="00E86741"/>
    <w:rsid w:val="00E86DCB"/>
    <w:rsid w:val="00E87097"/>
    <w:rsid w:val="00E87AE4"/>
    <w:rsid w:val="00E90C1F"/>
    <w:rsid w:val="00E9124A"/>
    <w:rsid w:val="00E91A8F"/>
    <w:rsid w:val="00E9222C"/>
    <w:rsid w:val="00E92AA5"/>
    <w:rsid w:val="00E9314A"/>
    <w:rsid w:val="00E9558B"/>
    <w:rsid w:val="00E957C5"/>
    <w:rsid w:val="00E95D1B"/>
    <w:rsid w:val="00E9735C"/>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13"/>
    <w:rsid w:val="00EB55AF"/>
    <w:rsid w:val="00EB57BD"/>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6F2"/>
    <w:rsid w:val="00EC46CC"/>
    <w:rsid w:val="00EC4856"/>
    <w:rsid w:val="00EC4B79"/>
    <w:rsid w:val="00EC4F33"/>
    <w:rsid w:val="00EC5115"/>
    <w:rsid w:val="00EC74BA"/>
    <w:rsid w:val="00EC79C5"/>
    <w:rsid w:val="00EC7E82"/>
    <w:rsid w:val="00EC7E91"/>
    <w:rsid w:val="00ED0B81"/>
    <w:rsid w:val="00ED166B"/>
    <w:rsid w:val="00ED172E"/>
    <w:rsid w:val="00ED1A64"/>
    <w:rsid w:val="00ED28DD"/>
    <w:rsid w:val="00ED2E31"/>
    <w:rsid w:val="00ED3133"/>
    <w:rsid w:val="00ED35A0"/>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3363"/>
    <w:rsid w:val="00EE4C7E"/>
    <w:rsid w:val="00EE556D"/>
    <w:rsid w:val="00EE5E81"/>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36B0"/>
    <w:rsid w:val="00F0441A"/>
    <w:rsid w:val="00F07063"/>
    <w:rsid w:val="00F11635"/>
    <w:rsid w:val="00F12D86"/>
    <w:rsid w:val="00F131AA"/>
    <w:rsid w:val="00F131FD"/>
    <w:rsid w:val="00F1350B"/>
    <w:rsid w:val="00F13B05"/>
    <w:rsid w:val="00F13B5A"/>
    <w:rsid w:val="00F13BAF"/>
    <w:rsid w:val="00F13EA5"/>
    <w:rsid w:val="00F13EED"/>
    <w:rsid w:val="00F14263"/>
    <w:rsid w:val="00F15AF2"/>
    <w:rsid w:val="00F162CA"/>
    <w:rsid w:val="00F1673D"/>
    <w:rsid w:val="00F1674C"/>
    <w:rsid w:val="00F17C70"/>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8B1"/>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1D85"/>
    <w:rsid w:val="00F721EF"/>
    <w:rsid w:val="00F72AAF"/>
    <w:rsid w:val="00F72AC2"/>
    <w:rsid w:val="00F72F17"/>
    <w:rsid w:val="00F731F6"/>
    <w:rsid w:val="00F73923"/>
    <w:rsid w:val="00F73D91"/>
    <w:rsid w:val="00F74168"/>
    <w:rsid w:val="00F742F1"/>
    <w:rsid w:val="00F7470C"/>
    <w:rsid w:val="00F74942"/>
    <w:rsid w:val="00F75B33"/>
    <w:rsid w:val="00F76037"/>
    <w:rsid w:val="00F76171"/>
    <w:rsid w:val="00F761E0"/>
    <w:rsid w:val="00F76832"/>
    <w:rsid w:val="00F76B53"/>
    <w:rsid w:val="00F7761D"/>
    <w:rsid w:val="00F77724"/>
    <w:rsid w:val="00F77839"/>
    <w:rsid w:val="00F77AF3"/>
    <w:rsid w:val="00F77CE6"/>
    <w:rsid w:val="00F77DD1"/>
    <w:rsid w:val="00F77E8E"/>
    <w:rsid w:val="00F8023F"/>
    <w:rsid w:val="00F81349"/>
    <w:rsid w:val="00F82021"/>
    <w:rsid w:val="00F82080"/>
    <w:rsid w:val="00F82566"/>
    <w:rsid w:val="00F82A7B"/>
    <w:rsid w:val="00F8476C"/>
    <w:rsid w:val="00F84D67"/>
    <w:rsid w:val="00F850A1"/>
    <w:rsid w:val="00F855B8"/>
    <w:rsid w:val="00F85CBD"/>
    <w:rsid w:val="00F86B84"/>
    <w:rsid w:val="00F905B8"/>
    <w:rsid w:val="00F91164"/>
    <w:rsid w:val="00F9181F"/>
    <w:rsid w:val="00F91D47"/>
    <w:rsid w:val="00F92B0F"/>
    <w:rsid w:val="00F9354E"/>
    <w:rsid w:val="00F941FC"/>
    <w:rsid w:val="00F96365"/>
    <w:rsid w:val="00F96D24"/>
    <w:rsid w:val="00F97093"/>
    <w:rsid w:val="00F9783F"/>
    <w:rsid w:val="00F97FF3"/>
    <w:rsid w:val="00FA0091"/>
    <w:rsid w:val="00FA0426"/>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0C99"/>
    <w:rsid w:val="00FB1729"/>
    <w:rsid w:val="00FB2DB8"/>
    <w:rsid w:val="00FB30A2"/>
    <w:rsid w:val="00FB429B"/>
    <w:rsid w:val="00FB5119"/>
    <w:rsid w:val="00FB6970"/>
    <w:rsid w:val="00FB6AEE"/>
    <w:rsid w:val="00FC072E"/>
    <w:rsid w:val="00FC1C02"/>
    <w:rsid w:val="00FC3497"/>
    <w:rsid w:val="00FC4323"/>
    <w:rsid w:val="00FC51AE"/>
    <w:rsid w:val="00FC550A"/>
    <w:rsid w:val="00FC551E"/>
    <w:rsid w:val="00FC5790"/>
    <w:rsid w:val="00FC5C41"/>
    <w:rsid w:val="00FC6275"/>
    <w:rsid w:val="00FD039F"/>
    <w:rsid w:val="00FD053B"/>
    <w:rsid w:val="00FD0AF0"/>
    <w:rsid w:val="00FD0D5E"/>
    <w:rsid w:val="00FD1234"/>
    <w:rsid w:val="00FD18F3"/>
    <w:rsid w:val="00FD194F"/>
    <w:rsid w:val="00FD1995"/>
    <w:rsid w:val="00FD2333"/>
    <w:rsid w:val="00FD25C9"/>
    <w:rsid w:val="00FD25E1"/>
    <w:rsid w:val="00FD31B5"/>
    <w:rsid w:val="00FD5688"/>
    <w:rsid w:val="00FD5725"/>
    <w:rsid w:val="00FD5E1C"/>
    <w:rsid w:val="00FD5F36"/>
    <w:rsid w:val="00FD7F6B"/>
    <w:rsid w:val="00FE0948"/>
    <w:rsid w:val="00FE0E33"/>
    <w:rsid w:val="00FE1880"/>
    <w:rsid w:val="00FE2032"/>
    <w:rsid w:val="00FE2B7B"/>
    <w:rsid w:val="00FE3256"/>
    <w:rsid w:val="00FE3990"/>
    <w:rsid w:val="00FE3B9B"/>
    <w:rsid w:val="00FE3F8E"/>
    <w:rsid w:val="00FE47ED"/>
    <w:rsid w:val="00FE5101"/>
    <w:rsid w:val="00FE61DC"/>
    <w:rsid w:val="00FE67D0"/>
    <w:rsid w:val="00FE689B"/>
    <w:rsid w:val="00FE79CE"/>
    <w:rsid w:val="00FE7E56"/>
    <w:rsid w:val="00FF02D0"/>
    <w:rsid w:val="00FF081E"/>
    <w:rsid w:val="00FF1406"/>
    <w:rsid w:val="00FF145C"/>
    <w:rsid w:val="00FF26EE"/>
    <w:rsid w:val="00FF28EC"/>
    <w:rsid w:val="00FF47A3"/>
    <w:rsid w:val="00FF4B3F"/>
    <w:rsid w:val="00FF4B43"/>
    <w:rsid w:val="00FF574F"/>
    <w:rsid w:val="00FF6146"/>
    <w:rsid w:val="00FF7956"/>
    <w:rsid w:val="01207B0A"/>
    <w:rsid w:val="021967E1"/>
    <w:rsid w:val="022E26FA"/>
    <w:rsid w:val="02CE19D9"/>
    <w:rsid w:val="030D7E3E"/>
    <w:rsid w:val="0334205E"/>
    <w:rsid w:val="034856A5"/>
    <w:rsid w:val="03676684"/>
    <w:rsid w:val="03D07714"/>
    <w:rsid w:val="055C49EB"/>
    <w:rsid w:val="05C173E2"/>
    <w:rsid w:val="05D11D1B"/>
    <w:rsid w:val="05FA7789"/>
    <w:rsid w:val="063B5880"/>
    <w:rsid w:val="067D4F9E"/>
    <w:rsid w:val="07395CFF"/>
    <w:rsid w:val="07504EC1"/>
    <w:rsid w:val="076D7821"/>
    <w:rsid w:val="07AF301F"/>
    <w:rsid w:val="08204893"/>
    <w:rsid w:val="08365E65"/>
    <w:rsid w:val="083E04BA"/>
    <w:rsid w:val="086F7E62"/>
    <w:rsid w:val="08A13C26"/>
    <w:rsid w:val="08E27D9B"/>
    <w:rsid w:val="093A1D5C"/>
    <w:rsid w:val="099512B1"/>
    <w:rsid w:val="09F07824"/>
    <w:rsid w:val="0A36039E"/>
    <w:rsid w:val="0A40746F"/>
    <w:rsid w:val="0A63101A"/>
    <w:rsid w:val="0B0104DC"/>
    <w:rsid w:val="0B5C3E34"/>
    <w:rsid w:val="0B9340C0"/>
    <w:rsid w:val="0B9A65DD"/>
    <w:rsid w:val="0BA15CEB"/>
    <w:rsid w:val="0BB26C18"/>
    <w:rsid w:val="0BDF6813"/>
    <w:rsid w:val="0CBA3508"/>
    <w:rsid w:val="0D1077DD"/>
    <w:rsid w:val="0D646E2A"/>
    <w:rsid w:val="0D741E4B"/>
    <w:rsid w:val="0E5E6115"/>
    <w:rsid w:val="0ECD6BB9"/>
    <w:rsid w:val="0F25287E"/>
    <w:rsid w:val="0F3A17D8"/>
    <w:rsid w:val="0F5170F1"/>
    <w:rsid w:val="102A1CBB"/>
    <w:rsid w:val="107C061C"/>
    <w:rsid w:val="109951E3"/>
    <w:rsid w:val="109C2F25"/>
    <w:rsid w:val="111451B1"/>
    <w:rsid w:val="11205904"/>
    <w:rsid w:val="114A387E"/>
    <w:rsid w:val="11543BAC"/>
    <w:rsid w:val="11A5684D"/>
    <w:rsid w:val="12042B30"/>
    <w:rsid w:val="120E7E09"/>
    <w:rsid w:val="12130FC5"/>
    <w:rsid w:val="123D4E07"/>
    <w:rsid w:val="12B67DB7"/>
    <w:rsid w:val="134A6C68"/>
    <w:rsid w:val="13F74556"/>
    <w:rsid w:val="140A7F18"/>
    <w:rsid w:val="144F30AE"/>
    <w:rsid w:val="1490577D"/>
    <w:rsid w:val="14B85A81"/>
    <w:rsid w:val="14F90946"/>
    <w:rsid w:val="150A3F58"/>
    <w:rsid w:val="151469B7"/>
    <w:rsid w:val="152850C5"/>
    <w:rsid w:val="15956C4F"/>
    <w:rsid w:val="159F2DAC"/>
    <w:rsid w:val="15E426C8"/>
    <w:rsid w:val="15EF5AE4"/>
    <w:rsid w:val="16900E36"/>
    <w:rsid w:val="16B94475"/>
    <w:rsid w:val="16E06BE2"/>
    <w:rsid w:val="17853B61"/>
    <w:rsid w:val="17BE3B06"/>
    <w:rsid w:val="18087EC1"/>
    <w:rsid w:val="19006747"/>
    <w:rsid w:val="19EA6260"/>
    <w:rsid w:val="1A2B77F4"/>
    <w:rsid w:val="1A4426FE"/>
    <w:rsid w:val="1A4474E8"/>
    <w:rsid w:val="1A4511A7"/>
    <w:rsid w:val="1AFB05F2"/>
    <w:rsid w:val="1B19589E"/>
    <w:rsid w:val="1BCE272A"/>
    <w:rsid w:val="1C940F54"/>
    <w:rsid w:val="1D2B1804"/>
    <w:rsid w:val="1D7C587C"/>
    <w:rsid w:val="1DA24483"/>
    <w:rsid w:val="1DAA2BD1"/>
    <w:rsid w:val="1E3950C5"/>
    <w:rsid w:val="1E4808ED"/>
    <w:rsid w:val="1E591960"/>
    <w:rsid w:val="1E9B3AFC"/>
    <w:rsid w:val="1F064F46"/>
    <w:rsid w:val="1F7363E0"/>
    <w:rsid w:val="1FE46AA9"/>
    <w:rsid w:val="20476A09"/>
    <w:rsid w:val="21260D15"/>
    <w:rsid w:val="21582E98"/>
    <w:rsid w:val="2177331E"/>
    <w:rsid w:val="21F77FBB"/>
    <w:rsid w:val="229B303C"/>
    <w:rsid w:val="22E67766"/>
    <w:rsid w:val="231C4D84"/>
    <w:rsid w:val="23286980"/>
    <w:rsid w:val="23486984"/>
    <w:rsid w:val="23977CA8"/>
    <w:rsid w:val="23FF13A9"/>
    <w:rsid w:val="245E4A59"/>
    <w:rsid w:val="25184241"/>
    <w:rsid w:val="25E22D55"/>
    <w:rsid w:val="26024279"/>
    <w:rsid w:val="260E7FC9"/>
    <w:rsid w:val="261D1862"/>
    <w:rsid w:val="26284DDB"/>
    <w:rsid w:val="27545EB0"/>
    <w:rsid w:val="276E51C4"/>
    <w:rsid w:val="27BF3329"/>
    <w:rsid w:val="27D56FF1"/>
    <w:rsid w:val="27D72D69"/>
    <w:rsid w:val="2808100A"/>
    <w:rsid w:val="2839232F"/>
    <w:rsid w:val="287B7B98"/>
    <w:rsid w:val="28C768EF"/>
    <w:rsid w:val="28DD6E23"/>
    <w:rsid w:val="29195CD1"/>
    <w:rsid w:val="29345F99"/>
    <w:rsid w:val="29422464"/>
    <w:rsid w:val="2A31206B"/>
    <w:rsid w:val="2A8F62DB"/>
    <w:rsid w:val="2ACE1AD5"/>
    <w:rsid w:val="2AD24C56"/>
    <w:rsid w:val="2B9C7E34"/>
    <w:rsid w:val="2BA96061"/>
    <w:rsid w:val="2BB76C46"/>
    <w:rsid w:val="2BC03B14"/>
    <w:rsid w:val="2C02237E"/>
    <w:rsid w:val="2CED6C3A"/>
    <w:rsid w:val="2D0C788F"/>
    <w:rsid w:val="2D295F9A"/>
    <w:rsid w:val="2D9E60D7"/>
    <w:rsid w:val="2E190FC1"/>
    <w:rsid w:val="2E2B27AB"/>
    <w:rsid w:val="2E4E5407"/>
    <w:rsid w:val="2E921DA5"/>
    <w:rsid w:val="2EBB09DD"/>
    <w:rsid w:val="2EF04710"/>
    <w:rsid w:val="2F183DFD"/>
    <w:rsid w:val="2F4B1946"/>
    <w:rsid w:val="30006A18"/>
    <w:rsid w:val="30045057"/>
    <w:rsid w:val="301B3A0F"/>
    <w:rsid w:val="30667B76"/>
    <w:rsid w:val="307410C2"/>
    <w:rsid w:val="31175F84"/>
    <w:rsid w:val="313C5E2A"/>
    <w:rsid w:val="31A67308"/>
    <w:rsid w:val="32DF36FA"/>
    <w:rsid w:val="33052E4F"/>
    <w:rsid w:val="33833DA5"/>
    <w:rsid w:val="33843679"/>
    <w:rsid w:val="33D313E6"/>
    <w:rsid w:val="3434509F"/>
    <w:rsid w:val="34CC52D7"/>
    <w:rsid w:val="34E15902"/>
    <w:rsid w:val="34FF745B"/>
    <w:rsid w:val="35AF558A"/>
    <w:rsid w:val="35B71AE4"/>
    <w:rsid w:val="364A5420"/>
    <w:rsid w:val="36BB50CB"/>
    <w:rsid w:val="371D0FDB"/>
    <w:rsid w:val="37FA3B07"/>
    <w:rsid w:val="38125841"/>
    <w:rsid w:val="38425F06"/>
    <w:rsid w:val="386D0B7F"/>
    <w:rsid w:val="38B95B73"/>
    <w:rsid w:val="393435C0"/>
    <w:rsid w:val="39F957FA"/>
    <w:rsid w:val="3A555D6F"/>
    <w:rsid w:val="3A660185"/>
    <w:rsid w:val="3A78307D"/>
    <w:rsid w:val="3B46744C"/>
    <w:rsid w:val="3B801031"/>
    <w:rsid w:val="3B9D177C"/>
    <w:rsid w:val="3BB0325D"/>
    <w:rsid w:val="3BDD4E74"/>
    <w:rsid w:val="3BF16943"/>
    <w:rsid w:val="3C073099"/>
    <w:rsid w:val="3C254167"/>
    <w:rsid w:val="3C54617F"/>
    <w:rsid w:val="3C8623C3"/>
    <w:rsid w:val="3D180F4C"/>
    <w:rsid w:val="3DC6005E"/>
    <w:rsid w:val="3DF02037"/>
    <w:rsid w:val="3E1D4DF6"/>
    <w:rsid w:val="3E230997"/>
    <w:rsid w:val="3E734A16"/>
    <w:rsid w:val="3E80785E"/>
    <w:rsid w:val="3EDE6333"/>
    <w:rsid w:val="3F2972FC"/>
    <w:rsid w:val="3F620473"/>
    <w:rsid w:val="3FA34647"/>
    <w:rsid w:val="3FA72BC9"/>
    <w:rsid w:val="401272A7"/>
    <w:rsid w:val="40956EC5"/>
    <w:rsid w:val="40CA4589"/>
    <w:rsid w:val="40D9145A"/>
    <w:rsid w:val="411529FB"/>
    <w:rsid w:val="4175113C"/>
    <w:rsid w:val="41C061C4"/>
    <w:rsid w:val="41CA2D0D"/>
    <w:rsid w:val="41CF23DC"/>
    <w:rsid w:val="41DB399D"/>
    <w:rsid w:val="422C1AAB"/>
    <w:rsid w:val="42A11473"/>
    <w:rsid w:val="42A91ED1"/>
    <w:rsid w:val="42A930FC"/>
    <w:rsid w:val="42CB4E20"/>
    <w:rsid w:val="43C33DCA"/>
    <w:rsid w:val="43CF26F8"/>
    <w:rsid w:val="44202F4A"/>
    <w:rsid w:val="44580936"/>
    <w:rsid w:val="44A27E03"/>
    <w:rsid w:val="454C7069"/>
    <w:rsid w:val="458F0387"/>
    <w:rsid w:val="45CD07CF"/>
    <w:rsid w:val="45E17242"/>
    <w:rsid w:val="45E36925"/>
    <w:rsid w:val="46194B8F"/>
    <w:rsid w:val="46326F64"/>
    <w:rsid w:val="46634A89"/>
    <w:rsid w:val="4698326B"/>
    <w:rsid w:val="46BE3798"/>
    <w:rsid w:val="47462CC7"/>
    <w:rsid w:val="4764220C"/>
    <w:rsid w:val="47833F1C"/>
    <w:rsid w:val="47B6656B"/>
    <w:rsid w:val="48733F90"/>
    <w:rsid w:val="487D096B"/>
    <w:rsid w:val="4893018E"/>
    <w:rsid w:val="48DF3CF4"/>
    <w:rsid w:val="49F76548"/>
    <w:rsid w:val="4A6106CA"/>
    <w:rsid w:val="4A8907BB"/>
    <w:rsid w:val="4B110B90"/>
    <w:rsid w:val="4B186FF8"/>
    <w:rsid w:val="4B8F6261"/>
    <w:rsid w:val="4BFC4380"/>
    <w:rsid w:val="4C2149E6"/>
    <w:rsid w:val="4D7B7211"/>
    <w:rsid w:val="4D986247"/>
    <w:rsid w:val="4D9D560B"/>
    <w:rsid w:val="4DA150FB"/>
    <w:rsid w:val="4DE33966"/>
    <w:rsid w:val="4DF06083"/>
    <w:rsid w:val="4E8135B3"/>
    <w:rsid w:val="4F267444"/>
    <w:rsid w:val="4F93316A"/>
    <w:rsid w:val="4FAE052E"/>
    <w:rsid w:val="4FCF7805"/>
    <w:rsid w:val="4FEB08B0"/>
    <w:rsid w:val="4FF16325"/>
    <w:rsid w:val="503C40AD"/>
    <w:rsid w:val="5055041F"/>
    <w:rsid w:val="508D27A6"/>
    <w:rsid w:val="51C4760A"/>
    <w:rsid w:val="51E17045"/>
    <w:rsid w:val="52C06024"/>
    <w:rsid w:val="53083749"/>
    <w:rsid w:val="53CE4770"/>
    <w:rsid w:val="53F02939"/>
    <w:rsid w:val="55032824"/>
    <w:rsid w:val="552A7B27"/>
    <w:rsid w:val="553716E3"/>
    <w:rsid w:val="55B84EAE"/>
    <w:rsid w:val="56382C47"/>
    <w:rsid w:val="57B343A9"/>
    <w:rsid w:val="57CF18FE"/>
    <w:rsid w:val="59171178"/>
    <w:rsid w:val="59294B5B"/>
    <w:rsid w:val="597B4491"/>
    <w:rsid w:val="59A57D21"/>
    <w:rsid w:val="5A3906F8"/>
    <w:rsid w:val="5A696FA1"/>
    <w:rsid w:val="5A6A015C"/>
    <w:rsid w:val="5A867B53"/>
    <w:rsid w:val="5A9B6510"/>
    <w:rsid w:val="5AB3646E"/>
    <w:rsid w:val="5B0F4A76"/>
    <w:rsid w:val="5C1B17B8"/>
    <w:rsid w:val="5C427AAA"/>
    <w:rsid w:val="5C8A1451"/>
    <w:rsid w:val="5CBE4526"/>
    <w:rsid w:val="5D0A42CB"/>
    <w:rsid w:val="5D406D84"/>
    <w:rsid w:val="5DF9688E"/>
    <w:rsid w:val="5EB558FD"/>
    <w:rsid w:val="5EC450EE"/>
    <w:rsid w:val="5ED8763C"/>
    <w:rsid w:val="5F0E70B0"/>
    <w:rsid w:val="5F6D308F"/>
    <w:rsid w:val="5FFC7D0A"/>
    <w:rsid w:val="60515EE8"/>
    <w:rsid w:val="609A4358"/>
    <w:rsid w:val="60BB7E2A"/>
    <w:rsid w:val="61250170"/>
    <w:rsid w:val="61603C1A"/>
    <w:rsid w:val="61910E2C"/>
    <w:rsid w:val="61B74A96"/>
    <w:rsid w:val="61DC62AA"/>
    <w:rsid w:val="62324D67"/>
    <w:rsid w:val="62854069"/>
    <w:rsid w:val="62A241F2"/>
    <w:rsid w:val="62B611F1"/>
    <w:rsid w:val="6300161E"/>
    <w:rsid w:val="63331D15"/>
    <w:rsid w:val="64220BB4"/>
    <w:rsid w:val="642D103F"/>
    <w:rsid w:val="643407A7"/>
    <w:rsid w:val="64D158FD"/>
    <w:rsid w:val="64DB6F4A"/>
    <w:rsid w:val="64F40429"/>
    <w:rsid w:val="651E6376"/>
    <w:rsid w:val="65D22254"/>
    <w:rsid w:val="65ED4F2A"/>
    <w:rsid w:val="660D7080"/>
    <w:rsid w:val="6658788B"/>
    <w:rsid w:val="67297071"/>
    <w:rsid w:val="67E1648C"/>
    <w:rsid w:val="68897765"/>
    <w:rsid w:val="69215C67"/>
    <w:rsid w:val="69A9410F"/>
    <w:rsid w:val="69AB1384"/>
    <w:rsid w:val="6A217DF6"/>
    <w:rsid w:val="6A371DEF"/>
    <w:rsid w:val="6B064398"/>
    <w:rsid w:val="6B100175"/>
    <w:rsid w:val="6B122952"/>
    <w:rsid w:val="6B37721A"/>
    <w:rsid w:val="6B820737"/>
    <w:rsid w:val="6C617EB1"/>
    <w:rsid w:val="6C662F7C"/>
    <w:rsid w:val="6C804AB4"/>
    <w:rsid w:val="6DE406B7"/>
    <w:rsid w:val="6DE55656"/>
    <w:rsid w:val="6E261BA7"/>
    <w:rsid w:val="70497201"/>
    <w:rsid w:val="715440AF"/>
    <w:rsid w:val="724E4FA2"/>
    <w:rsid w:val="72AB0A23"/>
    <w:rsid w:val="732E2E41"/>
    <w:rsid w:val="73644352"/>
    <w:rsid w:val="73762E92"/>
    <w:rsid w:val="73BC23E0"/>
    <w:rsid w:val="74AF7F20"/>
    <w:rsid w:val="74B75416"/>
    <w:rsid w:val="751050E8"/>
    <w:rsid w:val="76164BEC"/>
    <w:rsid w:val="768C42EB"/>
    <w:rsid w:val="768C6099"/>
    <w:rsid w:val="76EE5700"/>
    <w:rsid w:val="778B6938"/>
    <w:rsid w:val="778E7BEF"/>
    <w:rsid w:val="78397B5B"/>
    <w:rsid w:val="784576F8"/>
    <w:rsid w:val="78767A5E"/>
    <w:rsid w:val="79960562"/>
    <w:rsid w:val="79FA5A10"/>
    <w:rsid w:val="7A2307C6"/>
    <w:rsid w:val="7A54626B"/>
    <w:rsid w:val="7B0501C8"/>
    <w:rsid w:val="7B197D47"/>
    <w:rsid w:val="7BF02C60"/>
    <w:rsid w:val="7C050DEC"/>
    <w:rsid w:val="7C0B180E"/>
    <w:rsid w:val="7C7575D0"/>
    <w:rsid w:val="7C8D66C7"/>
    <w:rsid w:val="7CC652AA"/>
    <w:rsid w:val="7D0050EB"/>
    <w:rsid w:val="7D0F63A0"/>
    <w:rsid w:val="7D4F1BCF"/>
    <w:rsid w:val="7D8C4BD1"/>
    <w:rsid w:val="7DFD76C5"/>
    <w:rsid w:val="7DFF53A3"/>
    <w:rsid w:val="7E816BC7"/>
    <w:rsid w:val="7ECA59B1"/>
    <w:rsid w:val="7F407D0C"/>
    <w:rsid w:val="7F6C2EA6"/>
    <w:rsid w:val="7F6C4A48"/>
    <w:rsid w:val="7F9557F6"/>
    <w:rsid w:val="7FD558D4"/>
    <w:rsid w:val="7FFB29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62"/>
    <w:qFormat/>
    <w:uiPriority w:val="0"/>
    <w:pPr>
      <w:spacing w:before="340" w:after="330" w:line="360" w:lineRule="auto"/>
      <w:jc w:val="center"/>
      <w:outlineLvl w:val="0"/>
    </w:pPr>
    <w:rPr>
      <w:rFonts w:eastAsia="黑体"/>
      <w:kern w:val="44"/>
      <w:szCs w:val="44"/>
    </w:rPr>
  </w:style>
  <w:style w:type="paragraph" w:styleId="5">
    <w:name w:val="heading 2"/>
    <w:basedOn w:val="1"/>
    <w:next w:val="1"/>
    <w:link w:val="77"/>
    <w:qFormat/>
    <w:uiPriority w:val="0"/>
    <w:pPr>
      <w:adjustRightInd w:val="0"/>
      <w:jc w:val="center"/>
      <w:textAlignment w:val="baseline"/>
      <w:outlineLvl w:val="1"/>
    </w:pPr>
    <w:rPr>
      <w:kern w:val="0"/>
      <w:sz w:val="24"/>
      <w:szCs w:val="20"/>
    </w:rPr>
  </w:style>
  <w:style w:type="paragraph" w:styleId="3">
    <w:name w:val="heading 3"/>
    <w:basedOn w:val="4"/>
    <w:next w:val="1"/>
    <w:link w:val="61"/>
    <w:qFormat/>
    <w:uiPriority w:val="9"/>
    <w:pPr>
      <w:spacing w:before="260" w:after="260" w:line="240" w:lineRule="auto"/>
      <w:outlineLvl w:val="2"/>
    </w:pPr>
    <w:rPr>
      <w:rFonts w:ascii="宋体" w:hAnsi="宋体" w:eastAsia="宋体"/>
      <w:szCs w:val="32"/>
    </w:rPr>
  </w:style>
  <w:style w:type="paragraph" w:styleId="4">
    <w:name w:val="heading 4"/>
    <w:basedOn w:val="1"/>
    <w:next w:val="1"/>
    <w:link w:val="59"/>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86"/>
    <w:qFormat/>
    <w:uiPriority w:val="0"/>
    <w:pPr>
      <w:keepNext/>
      <w:keepLines/>
      <w:spacing w:before="280" w:after="290" w:line="376" w:lineRule="auto"/>
      <w:outlineLvl w:val="4"/>
    </w:pPr>
    <w:rPr>
      <w:b/>
      <w:sz w:val="28"/>
      <w:szCs w:val="20"/>
    </w:rPr>
  </w:style>
  <w:style w:type="paragraph" w:styleId="8">
    <w:name w:val="heading 6"/>
    <w:basedOn w:val="1"/>
    <w:next w:val="7"/>
    <w:link w:val="89"/>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link w:val="90"/>
    <w:qFormat/>
    <w:uiPriority w:val="0"/>
    <w:pPr>
      <w:keepNext/>
      <w:keepLines/>
      <w:spacing w:before="240" w:after="64" w:line="320" w:lineRule="auto"/>
      <w:outlineLvl w:val="6"/>
    </w:pPr>
    <w:rPr>
      <w:b/>
      <w:sz w:val="24"/>
      <w:szCs w:val="20"/>
    </w:rPr>
  </w:style>
  <w:style w:type="paragraph" w:styleId="10">
    <w:name w:val="heading 8"/>
    <w:basedOn w:val="1"/>
    <w:next w:val="7"/>
    <w:link w:val="91"/>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link w:val="92"/>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63"/>
    <w:qFormat/>
    <w:uiPriority w:val="0"/>
    <w:pPr>
      <w:ind w:firstLine="420"/>
    </w:pPr>
    <w:rPr>
      <w:szCs w:val="20"/>
    </w:rPr>
  </w:style>
  <w:style w:type="paragraph" w:styleId="12">
    <w:name w:val="toc 7"/>
    <w:basedOn w:val="1"/>
    <w:next w:val="1"/>
    <w:semiHidden/>
    <w:qFormat/>
    <w:uiPriority w:val="0"/>
    <w:pPr>
      <w:ind w:left="1260"/>
      <w:jc w:val="left"/>
    </w:pPr>
    <w:rPr>
      <w:szCs w:val="21"/>
    </w:rPr>
  </w:style>
  <w:style w:type="paragraph" w:styleId="13">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4">
    <w:name w:val="List Bullet"/>
    <w:basedOn w:val="1"/>
    <w:qFormat/>
    <w:uiPriority w:val="0"/>
    <w:pPr>
      <w:numPr>
        <w:ilvl w:val="0"/>
        <w:numId w:val="1"/>
      </w:numPr>
    </w:pPr>
    <w:rPr>
      <w:szCs w:val="20"/>
    </w:rPr>
  </w:style>
  <w:style w:type="paragraph" w:styleId="15">
    <w:name w:val="Document Map"/>
    <w:basedOn w:val="1"/>
    <w:semiHidden/>
    <w:qFormat/>
    <w:uiPriority w:val="0"/>
    <w:pPr>
      <w:shd w:val="clear" w:color="auto" w:fill="000080"/>
    </w:pPr>
  </w:style>
  <w:style w:type="paragraph" w:styleId="16">
    <w:name w:val="annotation text"/>
    <w:basedOn w:val="1"/>
    <w:link w:val="190"/>
    <w:qFormat/>
    <w:uiPriority w:val="0"/>
    <w:pPr>
      <w:autoSpaceDE w:val="0"/>
      <w:autoSpaceDN w:val="0"/>
      <w:adjustRightInd w:val="0"/>
      <w:jc w:val="left"/>
      <w:textAlignment w:val="baseline"/>
    </w:pPr>
    <w:rPr>
      <w:rFonts w:ascii="宋体"/>
      <w:kern w:val="0"/>
      <w:sz w:val="34"/>
      <w:szCs w:val="20"/>
    </w:rPr>
  </w:style>
  <w:style w:type="paragraph" w:styleId="17">
    <w:name w:val="Body Text 3"/>
    <w:basedOn w:val="1"/>
    <w:link w:val="104"/>
    <w:qFormat/>
    <w:uiPriority w:val="0"/>
    <w:pPr>
      <w:spacing w:after="120"/>
    </w:pPr>
    <w:rPr>
      <w:sz w:val="16"/>
      <w:szCs w:val="16"/>
    </w:rPr>
  </w:style>
  <w:style w:type="paragraph" w:styleId="18">
    <w:name w:val="Body Text"/>
    <w:basedOn w:val="1"/>
    <w:next w:val="1"/>
    <w:link w:val="98"/>
    <w:qFormat/>
    <w:uiPriority w:val="0"/>
    <w:pPr>
      <w:spacing w:line="360" w:lineRule="auto"/>
    </w:pPr>
    <w:rPr>
      <w:b/>
      <w:bCs/>
      <w:sz w:val="24"/>
    </w:rPr>
  </w:style>
  <w:style w:type="paragraph" w:styleId="19">
    <w:name w:val="Body Text Indent"/>
    <w:basedOn w:val="1"/>
    <w:link w:val="85"/>
    <w:qFormat/>
    <w:uiPriority w:val="0"/>
    <w:pPr>
      <w:spacing w:line="360" w:lineRule="auto"/>
      <w:ind w:firstLine="420" w:firstLineChars="200"/>
    </w:pPr>
  </w:style>
  <w:style w:type="paragraph" w:styleId="20">
    <w:name w:val="toc 5"/>
    <w:basedOn w:val="1"/>
    <w:next w:val="1"/>
    <w:semiHidden/>
    <w:qFormat/>
    <w:uiPriority w:val="0"/>
    <w:pPr>
      <w:ind w:left="840"/>
      <w:jc w:val="left"/>
    </w:pPr>
    <w:rPr>
      <w:szCs w:val="21"/>
    </w:rPr>
  </w:style>
  <w:style w:type="paragraph" w:styleId="21">
    <w:name w:val="toc 3"/>
    <w:basedOn w:val="1"/>
    <w:next w:val="1"/>
    <w:semiHidden/>
    <w:qFormat/>
    <w:uiPriority w:val="0"/>
    <w:pPr>
      <w:ind w:left="420"/>
      <w:jc w:val="left"/>
    </w:pPr>
    <w:rPr>
      <w:i/>
      <w:iCs/>
    </w:rPr>
  </w:style>
  <w:style w:type="paragraph" w:styleId="22">
    <w:name w:val="Plain Text"/>
    <w:basedOn w:val="1"/>
    <w:link w:val="96"/>
    <w:qFormat/>
    <w:uiPriority w:val="0"/>
    <w:rPr>
      <w:rFonts w:ascii="宋体" w:hAnsi="Courier New"/>
      <w:szCs w:val="20"/>
    </w:rPr>
  </w:style>
  <w:style w:type="paragraph" w:styleId="23">
    <w:name w:val="toc 8"/>
    <w:basedOn w:val="1"/>
    <w:next w:val="1"/>
    <w:semiHidden/>
    <w:qFormat/>
    <w:uiPriority w:val="0"/>
    <w:pPr>
      <w:ind w:left="1470"/>
      <w:jc w:val="left"/>
    </w:pPr>
    <w:rPr>
      <w:szCs w:val="21"/>
    </w:rPr>
  </w:style>
  <w:style w:type="paragraph" w:styleId="24">
    <w:name w:val="Date"/>
    <w:basedOn w:val="1"/>
    <w:next w:val="1"/>
    <w:link w:val="94"/>
    <w:qFormat/>
    <w:uiPriority w:val="0"/>
    <w:rPr>
      <w:rFonts w:ascii="宋体" w:hAnsi="Courier New"/>
      <w:sz w:val="32"/>
      <w:szCs w:val="20"/>
    </w:rPr>
  </w:style>
  <w:style w:type="paragraph" w:styleId="25">
    <w:name w:val="Body Text Indent 2"/>
    <w:basedOn w:val="1"/>
    <w:link w:val="99"/>
    <w:qFormat/>
    <w:uiPriority w:val="0"/>
    <w:pPr>
      <w:spacing w:beforeLines="50" w:afterLines="50" w:line="120" w:lineRule="auto"/>
      <w:ind w:firstLine="840" w:firstLineChars="400"/>
      <w:jc w:val="left"/>
    </w:pPr>
    <w:rPr>
      <w:rFonts w:ascii="宋体" w:hAnsi="宋体"/>
    </w:rPr>
  </w:style>
  <w:style w:type="paragraph" w:styleId="26">
    <w:name w:val="Balloon Text"/>
    <w:basedOn w:val="1"/>
    <w:link w:val="105"/>
    <w:semiHidden/>
    <w:qFormat/>
    <w:uiPriority w:val="99"/>
    <w:rPr>
      <w:sz w:val="18"/>
      <w:szCs w:val="18"/>
    </w:rPr>
  </w:style>
  <w:style w:type="paragraph" w:styleId="27">
    <w:name w:val="footer"/>
    <w:basedOn w:val="1"/>
    <w:link w:val="103"/>
    <w:qFormat/>
    <w:uiPriority w:val="0"/>
    <w:pPr>
      <w:tabs>
        <w:tab w:val="center" w:pos="4153"/>
        <w:tab w:val="right" w:pos="8306"/>
      </w:tabs>
      <w:snapToGrid w:val="0"/>
      <w:jc w:val="left"/>
    </w:pPr>
    <w:rPr>
      <w:sz w:val="18"/>
      <w:szCs w:val="18"/>
    </w:rPr>
  </w:style>
  <w:style w:type="paragraph" w:styleId="28">
    <w:name w:val="header"/>
    <w:basedOn w:val="1"/>
    <w:link w:val="100"/>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semiHidden/>
    <w:qFormat/>
    <w:uiPriority w:val="0"/>
    <w:pPr>
      <w:spacing w:before="120" w:after="120"/>
      <w:jc w:val="left"/>
    </w:pPr>
    <w:rPr>
      <w:b/>
      <w:bCs/>
      <w:caps/>
    </w:rPr>
  </w:style>
  <w:style w:type="paragraph" w:styleId="30">
    <w:name w:val="toc 4"/>
    <w:basedOn w:val="1"/>
    <w:next w:val="1"/>
    <w:semiHidden/>
    <w:qFormat/>
    <w:uiPriority w:val="0"/>
    <w:pPr>
      <w:ind w:left="630"/>
      <w:jc w:val="left"/>
    </w:pPr>
    <w:rPr>
      <w:szCs w:val="21"/>
    </w:rPr>
  </w:style>
  <w:style w:type="paragraph" w:styleId="31">
    <w:name w:val="toc 6"/>
    <w:basedOn w:val="1"/>
    <w:next w:val="1"/>
    <w:semiHidden/>
    <w:qFormat/>
    <w:uiPriority w:val="0"/>
    <w:pPr>
      <w:ind w:left="1050"/>
      <w:jc w:val="left"/>
    </w:pPr>
    <w:rPr>
      <w:szCs w:val="21"/>
    </w:rPr>
  </w:style>
  <w:style w:type="paragraph" w:styleId="32">
    <w:name w:val="Body Text Indent 3"/>
    <w:basedOn w:val="1"/>
    <w:link w:val="101"/>
    <w:qFormat/>
    <w:uiPriority w:val="0"/>
    <w:pPr>
      <w:spacing w:line="360" w:lineRule="auto"/>
      <w:ind w:firstLine="482" w:firstLineChars="200"/>
    </w:pPr>
    <w:rPr>
      <w:rFonts w:ascii="宋体"/>
      <w:b/>
      <w:bCs/>
      <w:sz w:val="24"/>
    </w:rPr>
  </w:style>
  <w:style w:type="paragraph" w:styleId="33">
    <w:name w:val="toc 2"/>
    <w:basedOn w:val="1"/>
    <w:next w:val="1"/>
    <w:semiHidden/>
    <w:qFormat/>
    <w:uiPriority w:val="0"/>
    <w:pPr>
      <w:tabs>
        <w:tab w:val="right" w:leader="dot" w:pos="8296"/>
      </w:tabs>
      <w:ind w:left="210"/>
      <w:jc w:val="left"/>
    </w:pPr>
    <w:rPr>
      <w:smallCaps/>
    </w:rPr>
  </w:style>
  <w:style w:type="paragraph" w:styleId="34">
    <w:name w:val="toc 9"/>
    <w:basedOn w:val="1"/>
    <w:next w:val="1"/>
    <w:semiHidden/>
    <w:qFormat/>
    <w:uiPriority w:val="0"/>
    <w:pPr>
      <w:ind w:left="1680"/>
      <w:jc w:val="left"/>
    </w:pPr>
    <w:rPr>
      <w:szCs w:val="21"/>
    </w:rPr>
  </w:style>
  <w:style w:type="paragraph" w:styleId="35">
    <w:name w:val="Body Text 2"/>
    <w:basedOn w:val="1"/>
    <w:link w:val="102"/>
    <w:qFormat/>
    <w:uiPriority w:val="0"/>
    <w:pPr>
      <w:spacing w:line="360" w:lineRule="auto"/>
    </w:pPr>
    <w:rPr>
      <w:sz w:val="24"/>
    </w:rPr>
  </w:style>
  <w:style w:type="paragraph" w:styleId="36">
    <w:name w:val="HTML Preformatted"/>
    <w:basedOn w:val="1"/>
    <w:link w:val="9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link w:val="196"/>
    <w:qFormat/>
    <w:uiPriority w:val="99"/>
    <w:rPr>
      <w:sz w:val="24"/>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link w:val="93"/>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6"/>
    <w:next w:val="16"/>
    <w:link w:val="191"/>
    <w:qFormat/>
    <w:uiPriority w:val="99"/>
    <w:pPr>
      <w:autoSpaceDE/>
      <w:autoSpaceDN/>
      <w:adjustRightInd/>
      <w:textAlignment w:val="auto"/>
    </w:pPr>
    <w:rPr>
      <w:rFonts w:ascii="Times New Roman"/>
      <w:b/>
      <w:bCs/>
      <w:kern w:val="2"/>
      <w:sz w:val="21"/>
      <w:szCs w:val="24"/>
    </w:rPr>
  </w:style>
  <w:style w:type="paragraph" w:styleId="41">
    <w:name w:val="Body Text First Indent"/>
    <w:basedOn w:val="18"/>
    <w:link w:val="136"/>
    <w:qFormat/>
    <w:uiPriority w:val="0"/>
    <w:pPr>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TML Definition"/>
    <w:basedOn w:val="44"/>
    <w:semiHidden/>
    <w:unhideWhenUsed/>
    <w:qFormat/>
    <w:uiPriority w:val="0"/>
  </w:style>
  <w:style w:type="character" w:styleId="49">
    <w:name w:val="HTML Typewriter"/>
    <w:basedOn w:val="44"/>
    <w:semiHidden/>
    <w:unhideWhenUsed/>
    <w:qFormat/>
    <w:uiPriority w:val="0"/>
    <w:rPr>
      <w:rFonts w:hint="default" w:ascii="monospace" w:hAnsi="monospace" w:eastAsia="monospace" w:cs="monospace"/>
      <w:sz w:val="20"/>
    </w:rPr>
  </w:style>
  <w:style w:type="character" w:styleId="50">
    <w:name w:val="HTML Acronym"/>
    <w:basedOn w:val="44"/>
    <w:semiHidden/>
    <w:unhideWhenUsed/>
    <w:qFormat/>
    <w:uiPriority w:val="0"/>
  </w:style>
  <w:style w:type="character" w:styleId="51">
    <w:name w:val="HTML Variable"/>
    <w:basedOn w:val="44"/>
    <w:semiHidden/>
    <w:unhideWhenUsed/>
    <w:qFormat/>
    <w:uiPriority w:val="0"/>
  </w:style>
  <w:style w:type="character" w:styleId="52">
    <w:name w:val="Hyperlink"/>
    <w:basedOn w:val="44"/>
    <w:qFormat/>
    <w:uiPriority w:val="0"/>
    <w:rPr>
      <w:color w:val="0000FF"/>
      <w:u w:val="single"/>
    </w:rPr>
  </w:style>
  <w:style w:type="character" w:styleId="53">
    <w:name w:val="HTML Code"/>
    <w:basedOn w:val="44"/>
    <w:semiHidden/>
    <w:unhideWhenUsed/>
    <w:qFormat/>
    <w:uiPriority w:val="0"/>
    <w:rPr>
      <w:rFonts w:hint="default" w:ascii="monospace" w:hAnsi="monospace" w:eastAsia="monospace" w:cs="monospace"/>
      <w:sz w:val="20"/>
    </w:rPr>
  </w:style>
  <w:style w:type="character" w:styleId="54">
    <w:name w:val="annotation reference"/>
    <w:basedOn w:val="44"/>
    <w:qFormat/>
    <w:uiPriority w:val="99"/>
    <w:rPr>
      <w:sz w:val="21"/>
      <w:szCs w:val="21"/>
    </w:rPr>
  </w:style>
  <w:style w:type="character" w:styleId="55">
    <w:name w:val="HTML Cite"/>
    <w:basedOn w:val="44"/>
    <w:semiHidden/>
    <w:unhideWhenUsed/>
    <w:qFormat/>
    <w:uiPriority w:val="0"/>
  </w:style>
  <w:style w:type="character" w:styleId="56">
    <w:name w:val="HTML Keyboard"/>
    <w:basedOn w:val="44"/>
    <w:semiHidden/>
    <w:unhideWhenUsed/>
    <w:qFormat/>
    <w:uiPriority w:val="0"/>
    <w:rPr>
      <w:rFonts w:hint="default" w:ascii="monospace" w:hAnsi="monospace" w:eastAsia="monospace" w:cs="monospace"/>
      <w:sz w:val="20"/>
    </w:rPr>
  </w:style>
  <w:style w:type="character" w:styleId="57">
    <w:name w:val="HTML Sample"/>
    <w:basedOn w:val="44"/>
    <w:semiHidden/>
    <w:unhideWhenUsed/>
    <w:qFormat/>
    <w:uiPriority w:val="0"/>
    <w:rPr>
      <w:rFonts w:ascii="monospace" w:hAnsi="monospace" w:eastAsia="monospace" w:cs="monospace"/>
    </w:rPr>
  </w:style>
  <w:style w:type="paragraph" w:styleId="58">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59">
    <w:name w:val="标题 4 字符"/>
    <w:link w:val="4"/>
    <w:qFormat/>
    <w:uiPriority w:val="9"/>
    <w:rPr>
      <w:rFonts w:ascii="Arial" w:hAnsi="Arial" w:eastAsia="黑体"/>
      <w:b/>
      <w:bCs/>
      <w:kern w:val="2"/>
      <w:sz w:val="28"/>
      <w:szCs w:val="28"/>
      <w:lang w:val="en-US" w:eastAsia="zh-CN" w:bidi="ar-SA"/>
    </w:rPr>
  </w:style>
  <w:style w:type="paragraph" w:customStyle="1" w:styleId="60">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61">
    <w:name w:val="标题 3 字符"/>
    <w:link w:val="3"/>
    <w:qFormat/>
    <w:uiPriority w:val="9"/>
    <w:rPr>
      <w:rFonts w:ascii="宋体" w:hAnsi="宋体" w:eastAsia="宋体"/>
      <w:b/>
      <w:bCs/>
      <w:kern w:val="2"/>
      <w:sz w:val="28"/>
      <w:szCs w:val="32"/>
      <w:lang w:val="en-US" w:eastAsia="zh-CN" w:bidi="ar-SA"/>
    </w:rPr>
  </w:style>
  <w:style w:type="character" w:customStyle="1" w:styleId="62">
    <w:name w:val="标题 1 字符"/>
    <w:link w:val="2"/>
    <w:qFormat/>
    <w:uiPriority w:val="0"/>
    <w:rPr>
      <w:rFonts w:ascii="宋体" w:hAnsi="宋体" w:eastAsia="黑体"/>
      <w:b/>
      <w:bCs/>
      <w:kern w:val="44"/>
      <w:sz w:val="28"/>
      <w:szCs w:val="44"/>
      <w:lang w:val="en-US" w:eastAsia="zh-CN" w:bidi="ar-SA"/>
    </w:rPr>
  </w:style>
  <w:style w:type="character" w:customStyle="1" w:styleId="63">
    <w:name w:val="正文缩进 字符"/>
    <w:link w:val="7"/>
    <w:qFormat/>
    <w:uiPriority w:val="0"/>
    <w:rPr>
      <w:rFonts w:eastAsia="宋体"/>
      <w:kern w:val="2"/>
      <w:sz w:val="21"/>
      <w:lang w:val="en-US" w:eastAsia="zh-CN" w:bidi="ar-SA"/>
    </w:rPr>
  </w:style>
  <w:style w:type="character" w:customStyle="1" w:styleId="64">
    <w:name w:val="标题 3 Char"/>
    <w:qFormat/>
    <w:uiPriority w:val="0"/>
    <w:rPr>
      <w:rFonts w:ascii="黑体" w:eastAsia="黑体"/>
      <w:bCs/>
      <w:sz w:val="30"/>
    </w:rPr>
  </w:style>
  <w:style w:type="paragraph" w:customStyle="1" w:styleId="65">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6">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7">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8">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9">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1">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2">
    <w:name w:val="自定义正文"/>
    <w:basedOn w:val="1"/>
    <w:qFormat/>
    <w:uiPriority w:val="0"/>
    <w:pPr>
      <w:spacing w:afterLines="50"/>
      <w:ind w:left="600" w:leftChars="600"/>
    </w:pPr>
  </w:style>
  <w:style w:type="paragraph" w:customStyle="1" w:styleId="73">
    <w:name w:val="Char Char Char Char Char"/>
    <w:basedOn w:val="1"/>
    <w:qFormat/>
    <w:uiPriority w:val="0"/>
    <w:rPr>
      <w:rFonts w:ascii="Tahoma" w:hAnsi="Tahoma"/>
      <w:sz w:val="24"/>
      <w:szCs w:val="20"/>
    </w:rPr>
  </w:style>
  <w:style w:type="paragraph" w:customStyle="1" w:styleId="74">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5">
    <w:name w:val="Char Char"/>
    <w:basedOn w:val="1"/>
    <w:qFormat/>
    <w:uiPriority w:val="0"/>
    <w:rPr>
      <w:rFonts w:ascii="Tahoma" w:hAnsi="Tahoma"/>
      <w:sz w:val="24"/>
      <w:szCs w:val="20"/>
    </w:rPr>
  </w:style>
  <w:style w:type="paragraph" w:customStyle="1" w:styleId="76">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7">
    <w:name w:val="标题 2 字符"/>
    <w:link w:val="5"/>
    <w:qFormat/>
    <w:uiPriority w:val="0"/>
    <w:rPr>
      <w:rFonts w:ascii="宋体" w:hAnsi="宋体" w:eastAsia="宋体"/>
      <w:b/>
      <w:bCs/>
      <w:sz w:val="24"/>
      <w:lang w:val="en-US" w:eastAsia="zh-CN" w:bidi="ar-SA"/>
    </w:rPr>
  </w:style>
  <w:style w:type="paragraph" w:customStyle="1" w:styleId="78">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9">
    <w:name w:val="List Paragraph"/>
    <w:basedOn w:val="1"/>
    <w:qFormat/>
    <w:uiPriority w:val="34"/>
    <w:pPr>
      <w:ind w:firstLine="420" w:firstLineChars="200"/>
    </w:pPr>
    <w:rPr>
      <w:rFonts w:ascii="Calibri" w:hAnsi="Calibri"/>
      <w:szCs w:val="22"/>
    </w:rPr>
  </w:style>
  <w:style w:type="paragraph" w:customStyle="1" w:styleId="80">
    <w:name w:val="USE 1"/>
    <w:basedOn w:val="1"/>
    <w:qFormat/>
    <w:uiPriority w:val="0"/>
    <w:pPr>
      <w:spacing w:line="200" w:lineRule="atLeast"/>
      <w:jc w:val="left"/>
    </w:pPr>
    <w:rPr>
      <w:rFonts w:ascii="宋体" w:hAnsi="宋体"/>
      <w:b/>
      <w:sz w:val="24"/>
      <w:szCs w:val="28"/>
    </w:rPr>
  </w:style>
  <w:style w:type="paragraph" w:customStyle="1" w:styleId="81">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82">
    <w:name w:val="正文文字缩进项目"/>
    <w:basedOn w:val="19"/>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83">
    <w:name w:val="样式 标题 2 + 段前: 13 磅 段后: 13 磅 行距: 单倍行距"/>
    <w:basedOn w:val="5"/>
    <w:qFormat/>
    <w:uiPriority w:val="0"/>
    <w:pPr>
      <w:adjustRightInd/>
      <w:jc w:val="both"/>
      <w:textAlignment w:val="auto"/>
    </w:pPr>
    <w:rPr>
      <w:rFonts w:ascii="Cambria" w:hAnsi="Cambria" w:cs="宋体"/>
      <w:kern w:val="2"/>
      <w:sz w:val="32"/>
    </w:rPr>
  </w:style>
  <w:style w:type="character" w:customStyle="1" w:styleId="84">
    <w:name w:val="H4 Char2"/>
    <w:qFormat/>
    <w:uiPriority w:val="0"/>
    <w:rPr>
      <w:rFonts w:ascii="Arial" w:hAnsi="Arial" w:eastAsia="黑体"/>
      <w:b/>
      <w:bCs/>
      <w:kern w:val="2"/>
      <w:sz w:val="28"/>
      <w:szCs w:val="28"/>
      <w:lang w:val="en-US" w:eastAsia="zh-CN" w:bidi="ar-SA"/>
    </w:rPr>
  </w:style>
  <w:style w:type="character" w:customStyle="1" w:styleId="85">
    <w:name w:val="正文文本缩进 字符"/>
    <w:link w:val="19"/>
    <w:qFormat/>
    <w:uiPriority w:val="0"/>
    <w:rPr>
      <w:rFonts w:eastAsia="宋体"/>
      <w:kern w:val="2"/>
      <w:sz w:val="21"/>
      <w:szCs w:val="24"/>
      <w:lang w:val="en-US" w:eastAsia="zh-CN" w:bidi="ar-SA"/>
    </w:rPr>
  </w:style>
  <w:style w:type="character" w:customStyle="1" w:styleId="86">
    <w:name w:val="标题 5 字符"/>
    <w:link w:val="6"/>
    <w:qFormat/>
    <w:uiPriority w:val="0"/>
    <w:rPr>
      <w:rFonts w:eastAsia="宋体"/>
      <w:b/>
      <w:kern w:val="2"/>
      <w:sz w:val="28"/>
      <w:lang w:val="en-US" w:eastAsia="zh-CN" w:bidi="ar-SA"/>
    </w:rPr>
  </w:style>
  <w:style w:type="character" w:customStyle="1" w:styleId="87">
    <w:name w:val="第*章 Char"/>
    <w:qFormat/>
    <w:uiPriority w:val="0"/>
    <w:rPr>
      <w:rFonts w:ascii="Arial" w:hAnsi="Arial" w:eastAsia="黑体"/>
      <w:b/>
      <w:bCs/>
      <w:kern w:val="2"/>
      <w:sz w:val="32"/>
      <w:szCs w:val="32"/>
    </w:rPr>
  </w:style>
  <w:style w:type="character" w:customStyle="1" w:styleId="88">
    <w:name w:val="章标题1 Char"/>
    <w:qFormat/>
    <w:uiPriority w:val="0"/>
    <w:rPr>
      <w:rFonts w:eastAsia="宋体"/>
      <w:b/>
      <w:bCs/>
      <w:kern w:val="2"/>
      <w:sz w:val="32"/>
      <w:szCs w:val="32"/>
      <w:lang w:val="en-US" w:eastAsia="zh-CN" w:bidi="ar-SA"/>
    </w:rPr>
  </w:style>
  <w:style w:type="character" w:customStyle="1" w:styleId="89">
    <w:name w:val="标题 6 字符"/>
    <w:link w:val="8"/>
    <w:qFormat/>
    <w:uiPriority w:val="0"/>
    <w:rPr>
      <w:rFonts w:ascii="Arial" w:hAnsi="Arial" w:eastAsia="黑体"/>
      <w:b/>
      <w:kern w:val="2"/>
      <w:sz w:val="24"/>
      <w:lang w:val="en-US" w:eastAsia="zh-CN" w:bidi="ar-SA"/>
    </w:rPr>
  </w:style>
  <w:style w:type="character" w:customStyle="1" w:styleId="90">
    <w:name w:val="标题 7 字符"/>
    <w:link w:val="9"/>
    <w:qFormat/>
    <w:uiPriority w:val="0"/>
    <w:rPr>
      <w:rFonts w:eastAsia="宋体"/>
      <w:b/>
      <w:kern w:val="2"/>
      <w:sz w:val="24"/>
      <w:lang w:val="en-US" w:eastAsia="zh-CN" w:bidi="ar-SA"/>
    </w:rPr>
  </w:style>
  <w:style w:type="character" w:customStyle="1" w:styleId="91">
    <w:name w:val="标题 8 字符"/>
    <w:link w:val="10"/>
    <w:qFormat/>
    <w:uiPriority w:val="0"/>
    <w:rPr>
      <w:rFonts w:ascii="Arial" w:hAnsi="Arial" w:eastAsia="黑体"/>
      <w:kern w:val="2"/>
      <w:sz w:val="24"/>
      <w:lang w:val="en-US" w:eastAsia="zh-CN" w:bidi="ar-SA"/>
    </w:rPr>
  </w:style>
  <w:style w:type="character" w:customStyle="1" w:styleId="92">
    <w:name w:val="标题 9 字符"/>
    <w:link w:val="11"/>
    <w:qFormat/>
    <w:uiPriority w:val="0"/>
    <w:rPr>
      <w:rFonts w:ascii="Arial" w:hAnsi="Arial" w:eastAsia="黑体"/>
      <w:kern w:val="2"/>
      <w:sz w:val="21"/>
      <w:lang w:val="en-US" w:eastAsia="zh-CN" w:bidi="ar-SA"/>
    </w:rPr>
  </w:style>
  <w:style w:type="character" w:customStyle="1" w:styleId="93">
    <w:name w:val="标题 字符"/>
    <w:link w:val="39"/>
    <w:qFormat/>
    <w:uiPriority w:val="0"/>
    <w:rPr>
      <w:rFonts w:ascii="Arial" w:hAnsi="Arial" w:eastAsia="隶书" w:cs="Arial"/>
      <w:b/>
      <w:bCs/>
      <w:kern w:val="2"/>
      <w:sz w:val="32"/>
      <w:szCs w:val="32"/>
      <w:lang w:val="en-US" w:eastAsia="zh-CN" w:bidi="ar-SA"/>
    </w:rPr>
  </w:style>
  <w:style w:type="character" w:customStyle="1" w:styleId="94">
    <w:name w:val="日期 字符"/>
    <w:link w:val="24"/>
    <w:qFormat/>
    <w:uiPriority w:val="0"/>
    <w:rPr>
      <w:rFonts w:ascii="宋体" w:hAnsi="Courier New" w:eastAsia="宋体"/>
      <w:kern w:val="2"/>
      <w:sz w:val="32"/>
      <w:lang w:val="en-US" w:eastAsia="zh-CN" w:bidi="ar-SA"/>
    </w:rPr>
  </w:style>
  <w:style w:type="character" w:customStyle="1" w:styleId="95">
    <w:name w:val="HTML 预设格式 字符"/>
    <w:link w:val="36"/>
    <w:qFormat/>
    <w:uiPriority w:val="0"/>
    <w:rPr>
      <w:rFonts w:ascii="Arial Unicode MS" w:hAnsi="Arial Unicode MS" w:eastAsia="Arial Unicode MS"/>
      <w:color w:val="000000"/>
      <w:lang w:val="en-US" w:eastAsia="zh-CN" w:bidi="ar-SA"/>
    </w:rPr>
  </w:style>
  <w:style w:type="character" w:customStyle="1" w:styleId="96">
    <w:name w:val="纯文本 字符"/>
    <w:link w:val="22"/>
    <w:qFormat/>
    <w:uiPriority w:val="0"/>
    <w:rPr>
      <w:rFonts w:ascii="宋体" w:hAnsi="Courier New" w:eastAsia="宋体"/>
      <w:kern w:val="2"/>
      <w:sz w:val="21"/>
      <w:lang w:val="en-US" w:eastAsia="zh-CN" w:bidi="ar-SA"/>
    </w:rPr>
  </w:style>
  <w:style w:type="character" w:customStyle="1" w:styleId="97">
    <w:name w:val="正文文字首行缩进 Char"/>
    <w:qFormat/>
    <w:uiPriority w:val="0"/>
    <w:rPr>
      <w:kern w:val="2"/>
      <w:sz w:val="21"/>
      <w:szCs w:val="24"/>
    </w:rPr>
  </w:style>
  <w:style w:type="character" w:customStyle="1" w:styleId="98">
    <w:name w:val="正文文本 字符"/>
    <w:link w:val="18"/>
    <w:qFormat/>
    <w:uiPriority w:val="0"/>
    <w:rPr>
      <w:rFonts w:eastAsia="宋体"/>
      <w:b/>
      <w:bCs/>
      <w:kern w:val="2"/>
      <w:sz w:val="24"/>
      <w:szCs w:val="24"/>
      <w:lang w:val="en-US" w:eastAsia="zh-CN" w:bidi="ar-SA"/>
    </w:rPr>
  </w:style>
  <w:style w:type="character" w:customStyle="1" w:styleId="99">
    <w:name w:val="正文文本缩进 2 字符"/>
    <w:link w:val="25"/>
    <w:qFormat/>
    <w:uiPriority w:val="0"/>
    <w:rPr>
      <w:rFonts w:ascii="宋体" w:hAnsi="宋体" w:eastAsia="宋体"/>
      <w:kern w:val="2"/>
      <w:sz w:val="21"/>
      <w:szCs w:val="24"/>
      <w:lang w:val="en-US" w:eastAsia="zh-CN" w:bidi="ar-SA"/>
    </w:rPr>
  </w:style>
  <w:style w:type="character" w:customStyle="1" w:styleId="100">
    <w:name w:val="页眉 字符"/>
    <w:link w:val="28"/>
    <w:qFormat/>
    <w:uiPriority w:val="99"/>
    <w:rPr>
      <w:rFonts w:eastAsia="宋体"/>
      <w:kern w:val="2"/>
      <w:sz w:val="18"/>
      <w:szCs w:val="18"/>
      <w:lang w:val="en-US" w:eastAsia="zh-CN" w:bidi="ar-SA"/>
    </w:rPr>
  </w:style>
  <w:style w:type="character" w:customStyle="1" w:styleId="101">
    <w:name w:val="正文文本缩进 3 字符"/>
    <w:link w:val="32"/>
    <w:qFormat/>
    <w:uiPriority w:val="0"/>
    <w:rPr>
      <w:rFonts w:ascii="宋体" w:eastAsia="宋体"/>
      <w:b/>
      <w:bCs/>
      <w:kern w:val="2"/>
      <w:sz w:val="24"/>
      <w:szCs w:val="24"/>
      <w:lang w:val="en-US" w:eastAsia="zh-CN" w:bidi="ar-SA"/>
    </w:rPr>
  </w:style>
  <w:style w:type="character" w:customStyle="1" w:styleId="102">
    <w:name w:val="正文文本 2 字符"/>
    <w:link w:val="35"/>
    <w:qFormat/>
    <w:uiPriority w:val="0"/>
    <w:rPr>
      <w:rFonts w:eastAsia="宋体"/>
      <w:kern w:val="2"/>
      <w:sz w:val="24"/>
      <w:szCs w:val="24"/>
      <w:lang w:val="en-US" w:eastAsia="zh-CN" w:bidi="ar-SA"/>
    </w:rPr>
  </w:style>
  <w:style w:type="character" w:customStyle="1" w:styleId="103">
    <w:name w:val="页脚 字符"/>
    <w:link w:val="27"/>
    <w:qFormat/>
    <w:uiPriority w:val="0"/>
    <w:rPr>
      <w:rFonts w:eastAsia="宋体"/>
      <w:kern w:val="2"/>
      <w:sz w:val="18"/>
      <w:szCs w:val="18"/>
      <w:lang w:val="en-US" w:eastAsia="zh-CN" w:bidi="ar-SA"/>
    </w:rPr>
  </w:style>
  <w:style w:type="character" w:customStyle="1" w:styleId="104">
    <w:name w:val="正文文本 3 字符"/>
    <w:link w:val="17"/>
    <w:qFormat/>
    <w:uiPriority w:val="0"/>
    <w:rPr>
      <w:rFonts w:eastAsia="宋体"/>
      <w:kern w:val="2"/>
      <w:sz w:val="16"/>
      <w:szCs w:val="16"/>
      <w:lang w:val="en-US" w:eastAsia="zh-CN" w:bidi="ar-SA"/>
    </w:rPr>
  </w:style>
  <w:style w:type="character" w:customStyle="1" w:styleId="105">
    <w:name w:val="批注框文本 字符"/>
    <w:link w:val="26"/>
    <w:semiHidden/>
    <w:qFormat/>
    <w:uiPriority w:val="99"/>
    <w:rPr>
      <w:rFonts w:eastAsia="宋体"/>
      <w:kern w:val="2"/>
      <w:sz w:val="18"/>
      <w:szCs w:val="18"/>
      <w:lang w:val="en-US" w:eastAsia="zh-CN" w:bidi="ar-SA"/>
    </w:rPr>
  </w:style>
  <w:style w:type="paragraph" w:customStyle="1" w:styleId="106">
    <w:name w:val="样式1"/>
    <w:basedOn w:val="39"/>
    <w:qFormat/>
    <w:uiPriority w:val="0"/>
    <w:pPr>
      <w:spacing w:before="120" w:after="120"/>
    </w:pPr>
    <w:rPr>
      <w:rFonts w:eastAsia="黑体"/>
      <w:b w:val="0"/>
      <w:sz w:val="30"/>
      <w:szCs w:val="21"/>
    </w:rPr>
  </w:style>
  <w:style w:type="paragraph" w:customStyle="1" w:styleId="107">
    <w:name w:val="样式2"/>
    <w:basedOn w:val="39"/>
    <w:next w:val="106"/>
    <w:qFormat/>
    <w:uiPriority w:val="0"/>
    <w:pPr>
      <w:spacing w:before="120" w:after="120"/>
    </w:pPr>
    <w:rPr>
      <w:rFonts w:eastAsia="黑体"/>
      <w:b w:val="0"/>
      <w:sz w:val="30"/>
      <w:szCs w:val="30"/>
    </w:rPr>
  </w:style>
  <w:style w:type="character" w:customStyle="1" w:styleId="108">
    <w:name w:val="标题 3 Char Char"/>
    <w:qFormat/>
    <w:uiPriority w:val="0"/>
    <w:rPr>
      <w:rFonts w:eastAsia="宋体"/>
      <w:b/>
      <w:bCs/>
      <w:kern w:val="2"/>
      <w:sz w:val="32"/>
      <w:szCs w:val="32"/>
      <w:lang w:val="en-US" w:eastAsia="zh-CN" w:bidi="ar-SA"/>
    </w:rPr>
  </w:style>
  <w:style w:type="paragraph" w:customStyle="1" w:styleId="109">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0">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11">
    <w:name w:val="--规划正文"/>
    <w:basedOn w:val="1"/>
    <w:qFormat/>
    <w:uiPriority w:val="0"/>
    <w:pPr>
      <w:spacing w:line="360" w:lineRule="auto"/>
      <w:ind w:firstLine="200" w:firstLineChars="200"/>
    </w:pPr>
    <w:rPr>
      <w:szCs w:val="20"/>
    </w:rPr>
  </w:style>
  <w:style w:type="paragraph" w:customStyle="1" w:styleId="112">
    <w:name w:val="设计依据"/>
    <w:basedOn w:val="18"/>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13">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14">
    <w:name w:val="样式4"/>
    <w:basedOn w:val="1"/>
    <w:qFormat/>
    <w:uiPriority w:val="0"/>
    <w:pPr>
      <w:tabs>
        <w:tab w:val="left" w:pos="842"/>
      </w:tabs>
      <w:spacing w:line="360" w:lineRule="auto"/>
      <w:ind w:left="842" w:hanging="420"/>
    </w:pPr>
    <w:rPr>
      <w:sz w:val="24"/>
    </w:rPr>
  </w:style>
  <w:style w:type="paragraph" w:customStyle="1" w:styleId="115">
    <w:name w:val="文字"/>
    <w:basedOn w:val="1"/>
    <w:qFormat/>
    <w:uiPriority w:val="0"/>
    <w:pPr>
      <w:tabs>
        <w:tab w:val="left" w:pos="8520"/>
      </w:tabs>
      <w:spacing w:line="312" w:lineRule="auto"/>
      <w:ind w:right="-210" w:firstLine="556"/>
    </w:pPr>
    <w:rPr>
      <w:rFonts w:ascii="宋体"/>
      <w:sz w:val="28"/>
      <w:szCs w:val="20"/>
    </w:rPr>
  </w:style>
  <w:style w:type="paragraph" w:customStyle="1" w:styleId="116">
    <w:name w:val="--规划-表格-居左"/>
    <w:basedOn w:val="111"/>
    <w:qFormat/>
    <w:uiPriority w:val="0"/>
    <w:pPr>
      <w:spacing w:line="240" w:lineRule="auto"/>
      <w:ind w:firstLine="0" w:firstLineChars="0"/>
    </w:pPr>
    <w:rPr>
      <w:sz w:val="20"/>
    </w:rPr>
  </w:style>
  <w:style w:type="paragraph" w:customStyle="1" w:styleId="117">
    <w:name w:val="--规划-表格-居中"/>
    <w:basedOn w:val="111"/>
    <w:qFormat/>
    <w:uiPriority w:val="0"/>
    <w:pPr>
      <w:spacing w:line="240" w:lineRule="auto"/>
      <w:ind w:firstLine="0" w:firstLineChars="0"/>
      <w:jc w:val="center"/>
    </w:pPr>
    <w:rPr>
      <w:sz w:val="20"/>
    </w:rPr>
  </w:style>
  <w:style w:type="paragraph" w:customStyle="1" w:styleId="118">
    <w:name w:val="--编号内缩进"/>
    <w:basedOn w:val="1"/>
    <w:qFormat/>
    <w:uiPriority w:val="0"/>
    <w:pPr>
      <w:spacing w:line="360" w:lineRule="auto"/>
      <w:ind w:left="420" w:firstLine="200" w:firstLineChars="200"/>
    </w:pPr>
    <w:rPr>
      <w:szCs w:val="21"/>
    </w:rPr>
  </w:style>
  <w:style w:type="paragraph" w:customStyle="1" w:styleId="119">
    <w:name w:val="--规划-题注"/>
    <w:basedOn w:val="1"/>
    <w:next w:val="111"/>
    <w:qFormat/>
    <w:uiPriority w:val="0"/>
    <w:pPr>
      <w:spacing w:line="360" w:lineRule="auto"/>
      <w:jc w:val="center"/>
    </w:pPr>
    <w:rPr>
      <w:rFonts w:eastAsia="黑体"/>
    </w:rPr>
  </w:style>
  <w:style w:type="paragraph" w:customStyle="1" w:styleId="120">
    <w:name w:val="--规划-图和表"/>
    <w:next w:val="111"/>
    <w:qFormat/>
    <w:uiPriority w:val="0"/>
    <w:pPr>
      <w:jc w:val="center"/>
    </w:pPr>
    <w:rPr>
      <w:rFonts w:ascii="Times New Roman" w:hAnsi="Times New Roman" w:eastAsia="宋体" w:cs="Times New Roman"/>
      <w:kern w:val="2"/>
      <w:sz w:val="21"/>
      <w:lang w:val="en-US" w:eastAsia="zh-CN" w:bidi="ar-SA"/>
    </w:rPr>
  </w:style>
  <w:style w:type="paragraph" w:customStyle="1" w:styleId="121">
    <w:name w:val="--规划-小标题"/>
    <w:basedOn w:val="1"/>
    <w:next w:val="111"/>
    <w:qFormat/>
    <w:uiPriority w:val="0"/>
    <w:pPr>
      <w:keepNext/>
      <w:keepLines/>
      <w:spacing w:line="360" w:lineRule="auto"/>
      <w:outlineLvl w:val="4"/>
    </w:pPr>
    <w:rPr>
      <w:rFonts w:eastAsia="黑体"/>
    </w:rPr>
  </w:style>
  <w:style w:type="paragraph" w:customStyle="1" w:styleId="122">
    <w:name w:val="--规划正文 Char"/>
    <w:basedOn w:val="1"/>
    <w:qFormat/>
    <w:uiPriority w:val="0"/>
    <w:pPr>
      <w:spacing w:line="360" w:lineRule="auto"/>
      <w:ind w:firstLine="200" w:firstLineChars="200"/>
    </w:pPr>
    <w:rPr>
      <w:sz w:val="24"/>
    </w:rPr>
  </w:style>
  <w:style w:type="paragraph" w:customStyle="1" w:styleId="123">
    <w:name w:val="缺省文本"/>
    <w:basedOn w:val="1"/>
    <w:qFormat/>
    <w:uiPriority w:val="0"/>
    <w:pPr>
      <w:autoSpaceDE w:val="0"/>
      <w:autoSpaceDN w:val="0"/>
      <w:adjustRightInd w:val="0"/>
      <w:jc w:val="left"/>
    </w:pPr>
    <w:rPr>
      <w:kern w:val="0"/>
    </w:rPr>
  </w:style>
  <w:style w:type="paragraph" w:customStyle="1" w:styleId="124">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5">
    <w:name w:val="--规划正文 Char Char"/>
    <w:qFormat/>
    <w:uiPriority w:val="0"/>
    <w:rPr>
      <w:rFonts w:eastAsia="宋体"/>
      <w:kern w:val="2"/>
      <w:sz w:val="24"/>
      <w:szCs w:val="24"/>
      <w:lang w:val="en-US" w:eastAsia="zh-CN" w:bidi="ar-SA"/>
    </w:rPr>
  </w:style>
  <w:style w:type="paragraph" w:customStyle="1" w:styleId="126">
    <w:name w:val="样式3"/>
    <w:basedOn w:val="2"/>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7">
    <w:name w:val="--规划正文 Char1"/>
    <w:qFormat/>
    <w:uiPriority w:val="0"/>
    <w:rPr>
      <w:rFonts w:eastAsia="宋体"/>
      <w:kern w:val="2"/>
      <w:sz w:val="21"/>
      <w:lang w:val="en-US" w:eastAsia="zh-CN" w:bidi="ar-SA"/>
    </w:rPr>
  </w:style>
  <w:style w:type="paragraph" w:customStyle="1" w:styleId="128">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9">
    <w:name w:val="列表项目"/>
    <w:basedOn w:val="1"/>
    <w:qFormat/>
    <w:uiPriority w:val="0"/>
    <w:pPr>
      <w:tabs>
        <w:tab w:val="left" w:pos="420"/>
        <w:tab w:val="left" w:pos="1080"/>
      </w:tabs>
      <w:spacing w:line="288" w:lineRule="auto"/>
      <w:ind w:left="1080" w:hanging="360"/>
    </w:pPr>
    <w:rPr>
      <w:sz w:val="24"/>
      <w:szCs w:val="20"/>
    </w:rPr>
  </w:style>
  <w:style w:type="character" w:customStyle="1" w:styleId="130">
    <w:name w:val="content1"/>
    <w:qFormat/>
    <w:uiPriority w:val="0"/>
    <w:rPr>
      <w:rFonts w:hint="default" w:ascii="??" w:hAnsi="??"/>
      <w:sz w:val="16"/>
      <w:szCs w:val="16"/>
      <w:u w:val="none"/>
    </w:rPr>
  </w:style>
  <w:style w:type="character" w:customStyle="1" w:styleId="131">
    <w:name w:val="unnamed4"/>
    <w:basedOn w:val="44"/>
    <w:qFormat/>
    <w:uiPriority w:val="0"/>
  </w:style>
  <w:style w:type="character" w:customStyle="1" w:styleId="132">
    <w:name w:val="font2"/>
    <w:basedOn w:val="44"/>
    <w:qFormat/>
    <w:uiPriority w:val="0"/>
  </w:style>
  <w:style w:type="character" w:customStyle="1" w:styleId="133">
    <w:name w:val="font41"/>
    <w:qFormat/>
    <w:uiPriority w:val="0"/>
    <w:rPr>
      <w:color w:val="000000"/>
      <w:spacing w:val="260"/>
      <w:sz w:val="18"/>
      <w:szCs w:val="18"/>
      <w:u w:val="none"/>
    </w:rPr>
  </w:style>
  <w:style w:type="paragraph" w:customStyle="1" w:styleId="134">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5">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6">
    <w:name w:val="正文文本首行缩进 字符"/>
    <w:link w:val="41"/>
    <w:qFormat/>
    <w:uiPriority w:val="0"/>
    <w:rPr>
      <w:rFonts w:eastAsia="宋体"/>
      <w:b/>
      <w:bCs/>
      <w:kern w:val="2"/>
      <w:sz w:val="21"/>
      <w:szCs w:val="24"/>
      <w:lang w:val="en-US" w:eastAsia="zh-CN" w:bidi="ar-SA"/>
    </w:rPr>
  </w:style>
  <w:style w:type="paragraph" w:customStyle="1" w:styleId="137">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8">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9">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40">
    <w:name w:val="mode"/>
    <w:basedOn w:val="44"/>
    <w:qFormat/>
    <w:uiPriority w:val="0"/>
  </w:style>
  <w:style w:type="paragraph" w:customStyle="1" w:styleId="141">
    <w:name w:val="9"/>
    <w:basedOn w:val="1"/>
    <w:next w:val="7"/>
    <w:qFormat/>
    <w:uiPriority w:val="0"/>
    <w:pPr>
      <w:autoSpaceDE w:val="0"/>
      <w:autoSpaceDN w:val="0"/>
      <w:adjustRightInd w:val="0"/>
      <w:ind w:firstLine="420"/>
      <w:jc w:val="left"/>
      <w:textAlignment w:val="baseline"/>
    </w:pPr>
    <w:rPr>
      <w:rFonts w:ascii="宋体"/>
      <w:kern w:val="0"/>
      <w:sz w:val="34"/>
      <w:szCs w:val="20"/>
    </w:rPr>
  </w:style>
  <w:style w:type="character" w:customStyle="1" w:styleId="142">
    <w:name w:val="unnamed3"/>
    <w:basedOn w:val="44"/>
    <w:qFormat/>
    <w:uiPriority w:val="0"/>
  </w:style>
  <w:style w:type="paragraph" w:customStyle="1" w:styleId="143">
    <w:name w:val="8"/>
    <w:basedOn w:val="1"/>
    <w:next w:val="19"/>
    <w:qFormat/>
    <w:uiPriority w:val="0"/>
    <w:pPr>
      <w:spacing w:after="120"/>
      <w:ind w:left="420" w:leftChars="200"/>
    </w:pPr>
  </w:style>
  <w:style w:type="paragraph" w:customStyle="1" w:styleId="144">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5">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6">
    <w:name w:val="5"/>
    <w:basedOn w:val="1"/>
    <w:qFormat/>
    <w:uiPriority w:val="0"/>
    <w:pPr>
      <w:autoSpaceDE w:val="0"/>
      <w:autoSpaceDN w:val="0"/>
      <w:adjustRightInd w:val="0"/>
      <w:jc w:val="left"/>
    </w:pPr>
    <w:rPr>
      <w:rFonts w:ascii="宋体"/>
      <w:b/>
      <w:bCs/>
      <w:kern w:val="0"/>
      <w:sz w:val="18"/>
      <w:szCs w:val="18"/>
    </w:rPr>
  </w:style>
  <w:style w:type="paragraph" w:customStyle="1" w:styleId="147">
    <w:name w:val="6"/>
    <w:basedOn w:val="146"/>
    <w:qFormat/>
    <w:uiPriority w:val="0"/>
    <w:pPr>
      <w:spacing w:line="270" w:lineRule="atLeast"/>
      <w:jc w:val="both"/>
    </w:pPr>
    <w:rPr>
      <w:b w:val="0"/>
      <w:bCs w:val="0"/>
    </w:rPr>
  </w:style>
  <w:style w:type="paragraph" w:customStyle="1" w:styleId="148">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9">
    <w:name w:val="姜文清定义的正文"/>
    <w:basedOn w:val="1"/>
    <w:qFormat/>
    <w:uiPriority w:val="0"/>
    <w:pPr>
      <w:spacing w:line="240" w:lineRule="atLeast"/>
      <w:ind w:firstLine="567"/>
    </w:pPr>
    <w:rPr>
      <w:szCs w:val="20"/>
    </w:rPr>
  </w:style>
  <w:style w:type="paragraph" w:customStyle="1" w:styleId="150">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51">
    <w:name w:val="CM2"/>
    <w:basedOn w:val="150"/>
    <w:next w:val="150"/>
    <w:qFormat/>
    <w:uiPriority w:val="0"/>
    <w:pPr>
      <w:spacing w:line="200" w:lineRule="atLeast"/>
    </w:pPr>
    <w:rPr>
      <w:rFonts w:ascii="Arial" w:hAnsi="Arial" w:eastAsia="宋体" w:cs="Times New Roman"/>
      <w:color w:val="auto"/>
    </w:rPr>
  </w:style>
  <w:style w:type="paragraph" w:customStyle="1" w:styleId="152">
    <w:name w:val="Normal Paragraph"/>
    <w:basedOn w:val="1"/>
    <w:qFormat/>
    <w:uiPriority w:val="0"/>
    <w:pPr>
      <w:widowControl/>
      <w:spacing w:before="120" w:line="360" w:lineRule="auto"/>
      <w:ind w:firstLine="425"/>
    </w:pPr>
    <w:rPr>
      <w:kern w:val="0"/>
      <w:sz w:val="24"/>
    </w:rPr>
  </w:style>
  <w:style w:type="character" w:customStyle="1" w:styleId="153">
    <w:name w:val="blue"/>
    <w:basedOn w:val="44"/>
    <w:qFormat/>
    <w:uiPriority w:val="0"/>
  </w:style>
  <w:style w:type="paragraph" w:customStyle="1" w:styleId="154">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5">
    <w:name w:val="font"/>
    <w:basedOn w:val="44"/>
    <w:qFormat/>
    <w:uiPriority w:val="0"/>
  </w:style>
  <w:style w:type="character" w:customStyle="1" w:styleId="156">
    <w:name w:val="font11"/>
    <w:basedOn w:val="44"/>
    <w:qFormat/>
    <w:uiPriority w:val="0"/>
    <w:rPr>
      <w:rFonts w:hint="default" w:ascii="ˎ̥" w:hAnsi="ˎ̥"/>
    </w:rPr>
  </w:style>
  <w:style w:type="paragraph" w:customStyle="1" w:styleId="157">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8">
    <w:name w:val="proddescription"/>
    <w:basedOn w:val="44"/>
    <w:qFormat/>
    <w:uiPriority w:val="0"/>
  </w:style>
  <w:style w:type="character" w:customStyle="1" w:styleId="159">
    <w:name w:val="prodheadlines"/>
    <w:basedOn w:val="44"/>
    <w:qFormat/>
    <w:uiPriority w:val="0"/>
  </w:style>
  <w:style w:type="character" w:customStyle="1" w:styleId="160">
    <w:name w:val="text"/>
    <w:basedOn w:val="44"/>
    <w:qFormat/>
    <w:uiPriority w:val="0"/>
  </w:style>
  <w:style w:type="paragraph" w:customStyle="1" w:styleId="161">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63">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64">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5">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6">
    <w:name w:val="段落正文"/>
    <w:basedOn w:val="22"/>
    <w:qFormat/>
    <w:uiPriority w:val="0"/>
    <w:pPr>
      <w:ind w:firstLine="560" w:firstLineChars="200"/>
    </w:pPr>
    <w:rPr>
      <w:sz w:val="28"/>
    </w:rPr>
  </w:style>
  <w:style w:type="character" w:customStyle="1" w:styleId="167">
    <w:name w:val="gray6"/>
    <w:basedOn w:val="44"/>
    <w:qFormat/>
    <w:uiPriority w:val="0"/>
  </w:style>
  <w:style w:type="character" w:customStyle="1" w:styleId="168">
    <w:name w:val="style9"/>
    <w:basedOn w:val="44"/>
    <w:qFormat/>
    <w:uiPriority w:val="0"/>
  </w:style>
  <w:style w:type="paragraph" w:customStyle="1" w:styleId="169">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70">
    <w:name w:val="grame"/>
    <w:basedOn w:val="44"/>
    <w:qFormat/>
    <w:uiPriority w:val="0"/>
  </w:style>
  <w:style w:type="paragraph" w:customStyle="1" w:styleId="171">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2">
    <w:name w:val="Char1"/>
    <w:basedOn w:val="1"/>
    <w:qFormat/>
    <w:uiPriority w:val="0"/>
    <w:pPr>
      <w:jc w:val="left"/>
    </w:pPr>
    <w:rPr>
      <w:rFonts w:ascii="Tahoma" w:hAnsi="Tahoma"/>
      <w:sz w:val="24"/>
      <w:szCs w:val="20"/>
    </w:rPr>
  </w:style>
  <w:style w:type="paragraph" w:customStyle="1" w:styleId="173">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4">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5">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6">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7">
    <w:name w:val="font6"/>
    <w:basedOn w:val="1"/>
    <w:qFormat/>
    <w:uiPriority w:val="0"/>
    <w:pPr>
      <w:widowControl/>
      <w:spacing w:before="100" w:beforeAutospacing="1" w:after="100" w:afterAutospacing="1"/>
      <w:jc w:val="left"/>
    </w:pPr>
    <w:rPr>
      <w:kern w:val="0"/>
      <w:sz w:val="24"/>
    </w:rPr>
  </w:style>
  <w:style w:type="paragraph" w:customStyle="1" w:styleId="17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80">
    <w:name w:val="表格字"/>
    <w:basedOn w:val="1"/>
    <w:qFormat/>
    <w:uiPriority w:val="0"/>
    <w:pPr>
      <w:adjustRightInd w:val="0"/>
      <w:jc w:val="center"/>
    </w:pPr>
    <w:rPr>
      <w:rFonts w:ascii="宋体"/>
      <w:sz w:val="24"/>
      <w:szCs w:val="20"/>
    </w:rPr>
  </w:style>
  <w:style w:type="character" w:customStyle="1" w:styleId="181">
    <w:name w:val="样式 小三 加粗"/>
    <w:qFormat/>
    <w:uiPriority w:val="0"/>
    <w:rPr>
      <w:rFonts w:eastAsia="宋体"/>
      <w:b/>
      <w:bCs/>
      <w:sz w:val="32"/>
    </w:rPr>
  </w:style>
  <w:style w:type="paragraph" w:customStyle="1" w:styleId="18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3">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4">
    <w:name w:val="Char Char Char"/>
    <w:basedOn w:val="1"/>
    <w:qFormat/>
    <w:uiPriority w:val="0"/>
    <w:rPr>
      <w:rFonts w:ascii="Tahoma" w:hAnsi="Tahoma"/>
      <w:sz w:val="24"/>
      <w:szCs w:val="20"/>
    </w:rPr>
  </w:style>
  <w:style w:type="paragraph" w:customStyle="1" w:styleId="185">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6">
    <w:name w:val="info4"/>
    <w:basedOn w:val="44"/>
    <w:qFormat/>
    <w:uiPriority w:val="0"/>
  </w:style>
  <w:style w:type="paragraph" w:customStyle="1" w:styleId="187">
    <w:name w:val="缩进正文"/>
    <w:basedOn w:val="1"/>
    <w:link w:val="188"/>
    <w:qFormat/>
    <w:uiPriority w:val="0"/>
    <w:pPr>
      <w:ind w:firstLine="560" w:firstLineChars="200"/>
    </w:pPr>
    <w:rPr>
      <w:rFonts w:eastAsia="仿宋_GB2312" w:cs="宋体"/>
      <w:sz w:val="28"/>
      <w:szCs w:val="20"/>
    </w:rPr>
  </w:style>
  <w:style w:type="character" w:customStyle="1" w:styleId="188">
    <w:name w:val="缩进正文 Char"/>
    <w:link w:val="187"/>
    <w:qFormat/>
    <w:uiPriority w:val="0"/>
    <w:rPr>
      <w:rFonts w:eastAsia="仿宋_GB2312" w:cs="宋体"/>
      <w:kern w:val="2"/>
      <w:sz w:val="28"/>
      <w:lang w:val="en-US" w:eastAsia="zh-CN" w:bidi="ar-SA"/>
    </w:rPr>
  </w:style>
  <w:style w:type="paragraph" w:customStyle="1" w:styleId="189">
    <w:name w:val="列出段落1"/>
    <w:basedOn w:val="1"/>
    <w:qFormat/>
    <w:uiPriority w:val="0"/>
    <w:pPr>
      <w:ind w:firstLine="420" w:firstLineChars="200"/>
    </w:pPr>
    <w:rPr>
      <w:rFonts w:ascii="Calibri" w:hAnsi="Calibri" w:cs="Calibri"/>
      <w:szCs w:val="21"/>
    </w:rPr>
  </w:style>
  <w:style w:type="character" w:customStyle="1" w:styleId="190">
    <w:name w:val="批注文字 字符"/>
    <w:basedOn w:val="44"/>
    <w:link w:val="16"/>
    <w:qFormat/>
    <w:uiPriority w:val="0"/>
    <w:rPr>
      <w:rFonts w:ascii="宋体"/>
      <w:sz w:val="34"/>
    </w:rPr>
  </w:style>
  <w:style w:type="character" w:customStyle="1" w:styleId="191">
    <w:name w:val="批注主题 字符"/>
    <w:basedOn w:val="190"/>
    <w:link w:val="40"/>
    <w:qFormat/>
    <w:uiPriority w:val="99"/>
    <w:rPr>
      <w:rFonts w:ascii="宋体"/>
      <w:sz w:val="34"/>
    </w:rPr>
  </w:style>
  <w:style w:type="paragraph" w:customStyle="1" w:styleId="192">
    <w:name w:val="评价"/>
    <w:basedOn w:val="1"/>
    <w:qFormat/>
    <w:uiPriority w:val="0"/>
    <w:pPr>
      <w:spacing w:afterLines="20"/>
      <w:ind w:firstLine="1446" w:firstLineChars="200"/>
    </w:pPr>
    <w:rPr>
      <w:rFonts w:ascii="Calibri" w:hAnsi="Calibri"/>
      <w:sz w:val="24"/>
    </w:rPr>
  </w:style>
  <w:style w:type="paragraph" w:customStyle="1" w:styleId="193">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4">
    <w:name w:val="alt-edited1"/>
    <w:qFormat/>
    <w:uiPriority w:val="0"/>
    <w:rPr>
      <w:color w:val="4D90F0"/>
    </w:rPr>
  </w:style>
  <w:style w:type="character" w:customStyle="1" w:styleId="195">
    <w:name w:val="body text Char1"/>
    <w:qFormat/>
    <w:uiPriority w:val="0"/>
    <w:rPr>
      <w:rFonts w:eastAsia="宋体"/>
      <w:kern w:val="2"/>
      <w:sz w:val="21"/>
      <w:lang w:val="en-US" w:eastAsia="zh-CN" w:bidi="ar-SA"/>
    </w:rPr>
  </w:style>
  <w:style w:type="character" w:customStyle="1" w:styleId="196">
    <w:name w:val="普通(网站) 字符"/>
    <w:link w:val="37"/>
    <w:qFormat/>
    <w:uiPriority w:val="0"/>
    <w:rPr>
      <w:kern w:val="2"/>
      <w:sz w:val="24"/>
      <w:szCs w:val="24"/>
    </w:rPr>
  </w:style>
  <w:style w:type="character" w:customStyle="1" w:styleId="197">
    <w:name w:val="批注文字 Char1"/>
    <w:qFormat/>
    <w:uiPriority w:val="99"/>
    <w:rPr>
      <w:rFonts w:ascii="宋体"/>
      <w:sz w:val="34"/>
    </w:rPr>
  </w:style>
  <w:style w:type="character" w:customStyle="1" w:styleId="198">
    <w:name w:val="正文缩进 Char1"/>
    <w:qFormat/>
    <w:uiPriority w:val="0"/>
    <w:rPr>
      <w:rFonts w:eastAsia="宋体"/>
      <w:kern w:val="2"/>
      <w:sz w:val="21"/>
      <w:lang w:val="en-US" w:eastAsia="zh-CN" w:bidi="ar-SA"/>
    </w:rPr>
  </w:style>
  <w:style w:type="character" w:customStyle="1" w:styleId="199">
    <w:name w:val="layui-this"/>
    <w:basedOn w:val="44"/>
    <w:qFormat/>
    <w:uiPriority w:val="0"/>
    <w:rPr>
      <w:bdr w:val="single" w:color="EEEEEE" w:sz="4" w:space="0"/>
      <w:shd w:val="clear" w:color="auto" w:fill="FFFFFF"/>
    </w:rPr>
  </w:style>
  <w:style w:type="character" w:customStyle="1" w:styleId="200">
    <w:name w:val="first-child"/>
    <w:basedOn w:val="44"/>
    <w:qFormat/>
    <w:uiPriority w:val="0"/>
  </w:style>
  <w:style w:type="paragraph" w:customStyle="1" w:styleId="201">
    <w:name w:val="修订2"/>
    <w:hidden/>
    <w:semiHidden/>
    <w:qFormat/>
    <w:uiPriority w:val="99"/>
    <w:rPr>
      <w:rFonts w:ascii="Times New Roman" w:hAnsi="Times New Roman" w:eastAsia="宋体" w:cs="Times New Roman"/>
      <w:kern w:val="2"/>
      <w:sz w:val="21"/>
      <w:szCs w:val="24"/>
      <w:lang w:val="en-US" w:eastAsia="zh-CN" w:bidi="ar-SA"/>
    </w:rPr>
  </w:style>
  <w:style w:type="table" w:customStyle="1" w:styleId="202">
    <w:name w:val="网格型1"/>
    <w:basedOn w:val="42"/>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3">
    <w:name w:val="Table Text"/>
    <w:basedOn w:val="1"/>
    <w:semiHidden/>
    <w:qFormat/>
    <w:uiPriority w:val="0"/>
    <w:rPr>
      <w:rFonts w:ascii="微软雅黑" w:hAnsi="微软雅黑" w:eastAsia="微软雅黑" w:cs="微软雅黑"/>
      <w:sz w:val="24"/>
      <w:lang w:eastAsia="en-US"/>
    </w:rPr>
  </w:style>
  <w:style w:type="table" w:customStyle="1" w:styleId="204">
    <w:name w:val="Table Normal"/>
    <w:semiHidden/>
    <w:unhideWhenUsed/>
    <w:qFormat/>
    <w:uiPriority w:val="0"/>
    <w:tblPr>
      <w:tblCellMar>
        <w:top w:w="0" w:type="dxa"/>
        <w:left w:w="0" w:type="dxa"/>
        <w:bottom w:w="0" w:type="dxa"/>
        <w:right w:w="0" w:type="dxa"/>
      </w:tblCellMar>
    </w:tblPr>
  </w:style>
  <w:style w:type="character" w:customStyle="1" w:styleId="205">
    <w:name w:val="font21"/>
    <w:basedOn w:val="44"/>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8292A2-44D4-4866-B7C3-B84112E4B6E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64</Pages>
  <Words>10040</Words>
  <Characters>11008</Characters>
  <Lines>94</Lines>
  <Paragraphs>128</Paragraphs>
  <TotalTime>2</TotalTime>
  <ScaleCrop>false</ScaleCrop>
  <LinksUpToDate>false</LinksUpToDate>
  <CharactersWithSpaces>11111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2024-06-27T01:45:00Z</dcterms:created>
  <dc:creator>thsware</dc:creator>
  <cp:lastModifiedBy>深咨集团王文乐</cp:lastModifiedBy>
  <cp:lastPrinted>2021-05-09T08:02:00Z</cp:lastPrinted>
  <dcterms:modified xsi:type="dcterms:W3CDTF">2025-07-23T03:59:25Z</dcterms:modified>
  <dc:title>招  标　文　件</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52584CCB1DE84045A3DEFF2D56F8475B_13</vt:lpwstr>
  </property>
  <property fmtid="{D5CDD505-2E9C-101B-9397-08002B2CF9AE}" pid="4" name="KSOTemplateDocerSaveRecord">
    <vt:lpwstr>eyJoZGlkIjoiMWUwNWIxZTg3YzE0MjE3OTJmNGVkZjY2MjNjZjJlNzciLCJ1c2VySWQiOiIyMzk4NTU4MDYifQ==</vt:lpwstr>
  </property>
</Properties>
</file>