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A082F">
      <w:pPr>
        <w:pageBreakBefore w:val="0"/>
        <w:kinsoku/>
        <w:overflowPunct/>
        <w:topLinePunct w:val="0"/>
        <w:bidi w:val="0"/>
        <w:spacing w:line="360" w:lineRule="auto"/>
        <w:jc w:val="right"/>
        <w:rPr>
          <w:rFonts w:ascii="宋体" w:hAnsi="宋体"/>
          <w:b/>
          <w:color w:val="auto"/>
          <w:sz w:val="32"/>
          <w:szCs w:val="32"/>
          <w:highlight w:val="none"/>
        </w:rPr>
      </w:pPr>
      <w:r>
        <w:rPr>
          <w:rFonts w:hint="eastAsia" w:ascii="宋体" w:hAnsi="宋体"/>
          <w:b/>
          <w:color w:val="auto"/>
          <w:spacing w:val="20"/>
          <w:sz w:val="40"/>
          <w:highlight w:val="none"/>
        </w:rPr>
        <w:t xml:space="preserve">          </w:t>
      </w:r>
      <w:r>
        <w:rPr>
          <w:rFonts w:hint="eastAsia" w:ascii="宋体" w:hAnsi="宋体"/>
          <w:b/>
          <w:color w:val="auto"/>
          <w:sz w:val="32"/>
          <w:szCs w:val="32"/>
          <w:highlight w:val="none"/>
        </w:rPr>
        <w:t>·政府采购·</w:t>
      </w:r>
    </w:p>
    <w:p w14:paraId="711198E3">
      <w:pPr>
        <w:pageBreakBefore w:val="0"/>
        <w:kinsoku/>
        <w:overflowPunct/>
        <w:topLinePunct w:val="0"/>
        <w:bidi w:val="0"/>
        <w:spacing w:line="360" w:lineRule="auto"/>
        <w:jc w:val="center"/>
        <w:rPr>
          <w:rFonts w:ascii="宋体" w:hAnsi="宋体"/>
          <w:b/>
          <w:color w:val="auto"/>
          <w:sz w:val="32"/>
          <w:szCs w:val="32"/>
          <w:highlight w:val="none"/>
        </w:rPr>
      </w:pPr>
    </w:p>
    <w:p w14:paraId="7E6B0AF7">
      <w:pPr>
        <w:pageBreakBefore w:val="0"/>
        <w:kinsoku/>
        <w:overflowPunct/>
        <w:topLinePunct w:val="0"/>
        <w:bidi w:val="0"/>
        <w:spacing w:line="360" w:lineRule="auto"/>
        <w:jc w:val="center"/>
        <w:rPr>
          <w:rFonts w:ascii="宋体" w:hAnsi="宋体"/>
          <w:b/>
          <w:color w:val="auto"/>
          <w:sz w:val="32"/>
          <w:szCs w:val="32"/>
          <w:highlight w:val="none"/>
        </w:rPr>
      </w:pPr>
    </w:p>
    <w:p w14:paraId="510C2F4C">
      <w:pPr>
        <w:pageBreakBefore w:val="0"/>
        <w:kinsoku/>
        <w:overflowPunct/>
        <w:topLinePunct w:val="0"/>
        <w:bidi w:val="0"/>
        <w:spacing w:line="360" w:lineRule="auto"/>
        <w:jc w:val="center"/>
        <w:rPr>
          <w:rFonts w:ascii="宋体" w:hAnsi="宋体"/>
          <w:b/>
          <w:color w:val="auto"/>
          <w:sz w:val="32"/>
          <w:szCs w:val="32"/>
          <w:highlight w:val="none"/>
        </w:rPr>
      </w:pPr>
    </w:p>
    <w:p w14:paraId="02E845E3">
      <w:pPr>
        <w:pageBreakBefore w:val="0"/>
        <w:kinsoku/>
        <w:overflowPunct/>
        <w:topLinePunct w:val="0"/>
        <w:bidi w:val="0"/>
        <w:spacing w:line="360" w:lineRule="auto"/>
        <w:jc w:val="center"/>
        <w:outlineLvl w:val="0"/>
        <w:rPr>
          <w:rFonts w:ascii="微软雅黑" w:hAnsi="微软雅黑" w:eastAsia="微软雅黑" w:cs="微软雅黑"/>
          <w:b/>
          <w:bCs/>
          <w:color w:val="auto"/>
          <w:sz w:val="72"/>
          <w:szCs w:val="72"/>
          <w:highlight w:val="none"/>
        </w:rPr>
      </w:pPr>
      <w:r>
        <w:rPr>
          <w:rFonts w:hint="eastAsia" w:ascii="微软雅黑" w:hAnsi="微软雅黑" w:eastAsia="微软雅黑" w:cs="微软雅黑"/>
          <w:b/>
          <w:bCs/>
          <w:color w:val="auto"/>
          <w:sz w:val="72"/>
          <w:szCs w:val="72"/>
          <w:highlight w:val="none"/>
        </w:rPr>
        <w:t>国内服务公开招标文件</w:t>
      </w:r>
    </w:p>
    <w:p w14:paraId="6CF3DF5E">
      <w:pPr>
        <w:pageBreakBefore w:val="0"/>
        <w:kinsoku/>
        <w:overflowPunct/>
        <w:topLinePunct w:val="0"/>
        <w:bidi w:val="0"/>
        <w:spacing w:line="360" w:lineRule="auto"/>
        <w:ind w:left="1963" w:leftChars="540" w:hanging="829" w:hangingChars="258"/>
        <w:rPr>
          <w:rFonts w:ascii="宋体" w:hAnsi="宋体"/>
          <w:b/>
          <w:color w:val="auto"/>
          <w:sz w:val="32"/>
          <w:szCs w:val="32"/>
          <w:highlight w:val="none"/>
        </w:rPr>
      </w:pPr>
    </w:p>
    <w:p w14:paraId="340E93B3">
      <w:pPr>
        <w:pageBreakBefore w:val="0"/>
        <w:kinsoku/>
        <w:overflowPunct/>
        <w:topLinePunct w:val="0"/>
        <w:bidi w:val="0"/>
        <w:spacing w:line="360" w:lineRule="auto"/>
        <w:ind w:left="1963" w:leftChars="540" w:hanging="829" w:hangingChars="258"/>
        <w:rPr>
          <w:rFonts w:ascii="宋体" w:hAnsi="宋体"/>
          <w:b/>
          <w:color w:val="auto"/>
          <w:sz w:val="32"/>
          <w:szCs w:val="32"/>
          <w:highlight w:val="none"/>
        </w:rPr>
      </w:pPr>
    </w:p>
    <w:p w14:paraId="3F2018D7">
      <w:pPr>
        <w:pageBreakBefore w:val="0"/>
        <w:kinsoku/>
        <w:overflowPunct/>
        <w:topLinePunct w:val="0"/>
        <w:bidi w:val="0"/>
        <w:spacing w:line="360" w:lineRule="auto"/>
        <w:ind w:left="2066" w:leftChars="540" w:hanging="932" w:hangingChars="258"/>
        <w:rPr>
          <w:rFonts w:ascii="宋体" w:hAnsi="宋体"/>
          <w:b/>
          <w:color w:val="auto"/>
          <w:sz w:val="36"/>
          <w:szCs w:val="36"/>
          <w:highlight w:val="none"/>
        </w:rPr>
      </w:pPr>
    </w:p>
    <w:tbl>
      <w:tblPr>
        <w:tblStyle w:val="44"/>
        <w:tblW w:w="6810" w:type="dxa"/>
        <w:jc w:val="center"/>
        <w:tblLayout w:type="fixed"/>
        <w:tblCellMar>
          <w:top w:w="0" w:type="dxa"/>
          <w:left w:w="108" w:type="dxa"/>
          <w:bottom w:w="0" w:type="dxa"/>
          <w:right w:w="108" w:type="dxa"/>
        </w:tblCellMar>
      </w:tblPr>
      <w:tblGrid>
        <w:gridCol w:w="1707"/>
        <w:gridCol w:w="5103"/>
      </w:tblGrid>
      <w:tr w14:paraId="747DC71A">
        <w:tblPrEx>
          <w:tblCellMar>
            <w:top w:w="0" w:type="dxa"/>
            <w:left w:w="108" w:type="dxa"/>
            <w:bottom w:w="0" w:type="dxa"/>
            <w:right w:w="108" w:type="dxa"/>
          </w:tblCellMar>
        </w:tblPrEx>
        <w:trPr>
          <w:trHeight w:val="851" w:hRule="atLeast"/>
          <w:jc w:val="center"/>
        </w:trPr>
        <w:tc>
          <w:tcPr>
            <w:tcW w:w="1707" w:type="dxa"/>
            <w:vAlign w:val="center"/>
          </w:tcPr>
          <w:p w14:paraId="72C0777C">
            <w:pPr>
              <w:pageBreakBefore w:val="0"/>
              <w:kinsoku/>
              <w:overflowPunct/>
              <w:topLinePunct w:val="0"/>
              <w:bidi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项目名称：</w:t>
            </w:r>
          </w:p>
        </w:tc>
        <w:tc>
          <w:tcPr>
            <w:tcW w:w="5103" w:type="dxa"/>
            <w:vAlign w:val="center"/>
          </w:tcPr>
          <w:p w14:paraId="50687CE6">
            <w:pPr>
              <w:pageBreakBefore w:val="0"/>
              <w:kinsoku/>
              <w:overflowPunct/>
              <w:topLinePunct w:val="0"/>
              <w:bidi w:val="0"/>
              <w:spacing w:line="360" w:lineRule="auto"/>
              <w:jc w:val="both"/>
              <w:rPr>
                <w:rFonts w:hint="eastAsia" w:ascii="宋体" w:hAnsi="宋体" w:eastAsia="宋体"/>
                <w:bCs/>
                <w:color w:val="0000FF"/>
                <w:sz w:val="32"/>
                <w:szCs w:val="32"/>
                <w:highlight w:val="none"/>
                <w:lang w:eastAsia="zh-CN"/>
              </w:rPr>
            </w:pPr>
            <w:r>
              <w:rPr>
                <w:rFonts w:hint="eastAsia" w:ascii="宋体" w:hAnsi="宋体"/>
                <w:bCs/>
                <w:color w:val="0000FF"/>
                <w:sz w:val="32"/>
                <w:szCs w:val="32"/>
                <w:highlight w:val="none"/>
                <w:lang w:eastAsia="zh-CN"/>
              </w:rPr>
              <w:t>辅具维修服务（A包）</w:t>
            </w:r>
          </w:p>
        </w:tc>
      </w:tr>
      <w:tr w14:paraId="59887BF7">
        <w:tblPrEx>
          <w:tblCellMar>
            <w:top w:w="0" w:type="dxa"/>
            <w:left w:w="108" w:type="dxa"/>
            <w:bottom w:w="0" w:type="dxa"/>
            <w:right w:w="108" w:type="dxa"/>
          </w:tblCellMar>
        </w:tblPrEx>
        <w:trPr>
          <w:trHeight w:val="851" w:hRule="atLeast"/>
          <w:jc w:val="center"/>
        </w:trPr>
        <w:tc>
          <w:tcPr>
            <w:tcW w:w="1707" w:type="dxa"/>
            <w:vAlign w:val="center"/>
          </w:tcPr>
          <w:p w14:paraId="5A3013B9">
            <w:pPr>
              <w:pageBreakBefore w:val="0"/>
              <w:kinsoku/>
              <w:overflowPunct/>
              <w:topLinePunct w:val="0"/>
              <w:bidi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w:t>
            </w:r>
            <w:r>
              <w:rPr>
                <w:rFonts w:hint="eastAsia" w:ascii="宋体" w:hAnsi="宋体"/>
                <w:b/>
                <w:bCs/>
                <w:color w:val="auto"/>
                <w:sz w:val="32"/>
                <w:szCs w:val="32"/>
                <w:highlight w:val="none"/>
              </w:rPr>
              <w:t>编号：</w:t>
            </w:r>
          </w:p>
        </w:tc>
        <w:tc>
          <w:tcPr>
            <w:tcW w:w="5103" w:type="dxa"/>
            <w:vAlign w:val="center"/>
          </w:tcPr>
          <w:p w14:paraId="77D7A25D">
            <w:pPr>
              <w:pageBreakBefore w:val="0"/>
              <w:kinsoku/>
              <w:overflowPunct/>
              <w:topLinePunct w:val="0"/>
              <w:bidi w:val="0"/>
              <w:spacing w:line="360" w:lineRule="auto"/>
              <w:jc w:val="both"/>
              <w:rPr>
                <w:rFonts w:hint="eastAsia" w:ascii="宋体" w:hAnsi="宋体" w:eastAsia="宋体"/>
                <w:color w:val="0000FF"/>
                <w:sz w:val="32"/>
                <w:szCs w:val="32"/>
                <w:highlight w:val="none"/>
                <w:lang w:eastAsia="zh-CN"/>
              </w:rPr>
            </w:pPr>
            <w:r>
              <w:rPr>
                <w:rFonts w:hint="eastAsia" w:ascii="宋体" w:hAnsi="宋体"/>
                <w:color w:val="0000FF"/>
                <w:sz w:val="32"/>
                <w:szCs w:val="32"/>
                <w:highlight w:val="none"/>
                <w:lang w:eastAsia="zh-CN"/>
              </w:rPr>
              <w:t>FTZXDL-2025-00030</w:t>
            </w:r>
          </w:p>
        </w:tc>
      </w:tr>
      <w:tr w14:paraId="3E82907F">
        <w:tblPrEx>
          <w:tblCellMar>
            <w:top w:w="0" w:type="dxa"/>
            <w:left w:w="108" w:type="dxa"/>
            <w:bottom w:w="0" w:type="dxa"/>
            <w:right w:w="108" w:type="dxa"/>
          </w:tblCellMar>
        </w:tblPrEx>
        <w:trPr>
          <w:trHeight w:val="851" w:hRule="atLeast"/>
          <w:jc w:val="center"/>
        </w:trPr>
        <w:tc>
          <w:tcPr>
            <w:tcW w:w="1707" w:type="dxa"/>
            <w:vAlign w:val="center"/>
          </w:tcPr>
          <w:p w14:paraId="2D442C86">
            <w:pPr>
              <w:pageBreakBefore w:val="0"/>
              <w:kinsoku/>
              <w:overflowPunct/>
              <w:topLinePunct w:val="0"/>
              <w:bidi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lang w:eastAsia="zh-CN"/>
              </w:rPr>
              <w:t>采购人</w:t>
            </w:r>
            <w:r>
              <w:rPr>
                <w:rFonts w:hint="eastAsia" w:ascii="宋体" w:hAnsi="宋体"/>
                <w:b/>
                <w:color w:val="auto"/>
                <w:sz w:val="32"/>
                <w:szCs w:val="32"/>
                <w:highlight w:val="none"/>
              </w:rPr>
              <w:t>：</w:t>
            </w:r>
          </w:p>
        </w:tc>
        <w:tc>
          <w:tcPr>
            <w:tcW w:w="5103" w:type="dxa"/>
            <w:vAlign w:val="center"/>
          </w:tcPr>
          <w:p w14:paraId="47A344CA">
            <w:pPr>
              <w:pageBreakBefore w:val="0"/>
              <w:kinsoku/>
              <w:overflowPunct/>
              <w:topLinePunct w:val="0"/>
              <w:bidi w:val="0"/>
              <w:spacing w:line="360" w:lineRule="auto"/>
              <w:jc w:val="both"/>
              <w:rPr>
                <w:rFonts w:hint="eastAsia" w:ascii="宋体" w:hAnsi="宋体" w:eastAsia="宋体"/>
                <w:color w:val="0000FF"/>
                <w:sz w:val="32"/>
                <w:szCs w:val="32"/>
                <w:highlight w:val="none"/>
                <w:lang w:eastAsia="zh-CN"/>
              </w:rPr>
            </w:pPr>
            <w:r>
              <w:rPr>
                <w:rFonts w:hint="eastAsia" w:ascii="宋体" w:hAnsi="宋体"/>
                <w:bCs/>
                <w:color w:val="0000FF"/>
                <w:sz w:val="32"/>
                <w:szCs w:val="32"/>
                <w:highlight w:val="none"/>
                <w:lang w:eastAsia="zh-CN"/>
              </w:rPr>
              <w:t>深圳市残疾人综合服务中心</w:t>
            </w:r>
          </w:p>
        </w:tc>
      </w:tr>
      <w:tr w14:paraId="315DF0DB">
        <w:tblPrEx>
          <w:tblCellMar>
            <w:top w:w="0" w:type="dxa"/>
            <w:left w:w="108" w:type="dxa"/>
            <w:bottom w:w="0" w:type="dxa"/>
            <w:right w:w="108" w:type="dxa"/>
          </w:tblCellMar>
        </w:tblPrEx>
        <w:trPr>
          <w:trHeight w:val="851" w:hRule="atLeast"/>
          <w:jc w:val="center"/>
        </w:trPr>
        <w:tc>
          <w:tcPr>
            <w:tcW w:w="1707" w:type="dxa"/>
            <w:vAlign w:val="center"/>
          </w:tcPr>
          <w:p w14:paraId="71215863">
            <w:pPr>
              <w:pageBreakBefore w:val="0"/>
              <w:kinsoku/>
              <w:overflowPunct/>
              <w:topLinePunct w:val="0"/>
              <w:bidi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lang w:val="en-US" w:eastAsia="zh-CN"/>
              </w:rPr>
              <w:t>代理机构</w:t>
            </w:r>
            <w:r>
              <w:rPr>
                <w:rFonts w:hint="eastAsia" w:ascii="宋体" w:hAnsi="宋体"/>
                <w:b/>
                <w:color w:val="auto"/>
                <w:sz w:val="32"/>
                <w:szCs w:val="32"/>
                <w:highlight w:val="none"/>
              </w:rPr>
              <w:t>：</w:t>
            </w:r>
          </w:p>
        </w:tc>
        <w:tc>
          <w:tcPr>
            <w:tcW w:w="5103" w:type="dxa"/>
            <w:vAlign w:val="center"/>
          </w:tcPr>
          <w:p w14:paraId="0AA5325D">
            <w:pPr>
              <w:pageBreakBefore w:val="0"/>
              <w:kinsoku/>
              <w:overflowPunct/>
              <w:topLinePunct w:val="0"/>
              <w:bidi w:val="0"/>
              <w:spacing w:line="360" w:lineRule="auto"/>
              <w:jc w:val="both"/>
              <w:rPr>
                <w:rFonts w:ascii="宋体" w:hAnsi="宋体"/>
                <w:color w:val="auto"/>
                <w:sz w:val="32"/>
                <w:szCs w:val="32"/>
                <w:highlight w:val="none"/>
              </w:rPr>
            </w:pPr>
            <w:r>
              <w:rPr>
                <w:rFonts w:hint="eastAsia" w:ascii="宋体" w:hAnsi="宋体"/>
                <w:color w:val="auto"/>
                <w:sz w:val="32"/>
                <w:szCs w:val="32"/>
                <w:highlight w:val="none"/>
              </w:rPr>
              <w:t>深圳交易咨询集团有限公司</w:t>
            </w:r>
          </w:p>
        </w:tc>
      </w:tr>
    </w:tbl>
    <w:p w14:paraId="60551D71">
      <w:pPr>
        <w:pageBreakBefore w:val="0"/>
        <w:kinsoku/>
        <w:overflowPunct/>
        <w:topLinePunct w:val="0"/>
        <w:bidi w:val="0"/>
        <w:spacing w:line="360" w:lineRule="auto"/>
        <w:ind w:left="1273" w:leftChars="606"/>
        <w:rPr>
          <w:rFonts w:ascii="宋体" w:hAnsi="宋体"/>
          <w:b/>
          <w:color w:val="auto"/>
          <w:sz w:val="32"/>
          <w:szCs w:val="32"/>
          <w:highlight w:val="none"/>
        </w:rPr>
      </w:pPr>
    </w:p>
    <w:p w14:paraId="624FD870">
      <w:pPr>
        <w:pageBreakBefore w:val="0"/>
        <w:kinsoku/>
        <w:overflowPunct/>
        <w:topLinePunct w:val="0"/>
        <w:bidi w:val="0"/>
        <w:spacing w:line="360" w:lineRule="auto"/>
        <w:ind w:left="1273" w:leftChars="606"/>
        <w:rPr>
          <w:rFonts w:ascii="宋体" w:hAnsi="宋体"/>
          <w:b/>
          <w:color w:val="auto"/>
          <w:sz w:val="32"/>
          <w:szCs w:val="32"/>
          <w:highlight w:val="none"/>
        </w:rPr>
      </w:pPr>
    </w:p>
    <w:p w14:paraId="598DA592">
      <w:pPr>
        <w:pageBreakBefore w:val="0"/>
        <w:kinsoku/>
        <w:overflowPunct/>
        <w:topLinePunct w:val="0"/>
        <w:bidi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drawing>
          <wp:inline distT="0" distB="0" distL="114300" distR="114300">
            <wp:extent cx="1783080" cy="850900"/>
            <wp:effectExtent l="0" t="0" r="7620" b="6350"/>
            <wp:docPr id="2" name="图片 2" descr="深圳交易咨询集团-竖版透明底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深圳交易咨询集团-竖版透明底logo"/>
                    <pic:cNvPicPr>
                      <a:picLocks noChangeAspect="1"/>
                    </pic:cNvPicPr>
                  </pic:nvPicPr>
                  <pic:blipFill>
                    <a:blip r:embed="rId8"/>
                    <a:stretch>
                      <a:fillRect/>
                    </a:stretch>
                  </pic:blipFill>
                  <pic:spPr>
                    <a:xfrm>
                      <a:off x="0" y="0"/>
                      <a:ext cx="1783080" cy="850900"/>
                    </a:xfrm>
                    <a:prstGeom prst="rect">
                      <a:avLst/>
                    </a:prstGeom>
                  </pic:spPr>
                </pic:pic>
              </a:graphicData>
            </a:graphic>
          </wp:inline>
        </w:drawing>
      </w:r>
    </w:p>
    <w:p w14:paraId="611454A9">
      <w:pPr>
        <w:keepNext w:val="0"/>
        <w:keepLines w:val="0"/>
        <w:pageBreakBefore w:val="0"/>
        <w:widowControl/>
        <w:kinsoku/>
        <w:wordWrap/>
        <w:overflowPunct/>
        <w:topLinePunct w:val="0"/>
        <w:autoSpaceDE/>
        <w:autoSpaceDN/>
        <w:bidi w:val="0"/>
        <w:adjustRightInd/>
        <w:snapToGrid/>
        <w:spacing w:beforeAutospacing="1" w:afterAutospacing="1" w:line="360" w:lineRule="auto"/>
        <w:jc w:val="center"/>
        <w:textAlignment w:val="auto"/>
        <w:outlineLvl w:val="9"/>
        <w:rPr>
          <w:rFonts w:hint="eastAsia" w:ascii="宋体" w:hAnsi="宋体"/>
          <w:color w:val="auto"/>
          <w:sz w:val="32"/>
          <w:szCs w:val="32"/>
          <w:highlight w:val="none"/>
        </w:rPr>
      </w:pPr>
      <w:r>
        <w:rPr>
          <w:rFonts w:hint="eastAsia" w:ascii="宋体" w:hAnsi="宋体"/>
          <w:color w:val="auto"/>
          <w:sz w:val="32"/>
          <w:szCs w:val="32"/>
          <w:highlight w:val="none"/>
        </w:rPr>
        <w:t>二○二</w:t>
      </w:r>
      <w:r>
        <w:rPr>
          <w:rFonts w:hint="eastAsia" w:ascii="宋体" w:hAnsi="宋体"/>
          <w:color w:val="auto"/>
          <w:sz w:val="32"/>
          <w:szCs w:val="32"/>
          <w:highlight w:val="none"/>
          <w:lang w:val="en-US" w:eastAsia="zh-CN"/>
        </w:rPr>
        <w:t>五</w:t>
      </w:r>
      <w:r>
        <w:rPr>
          <w:rFonts w:hint="eastAsia" w:ascii="宋体" w:hAnsi="宋体"/>
          <w:color w:val="auto"/>
          <w:sz w:val="32"/>
          <w:szCs w:val="32"/>
          <w:highlight w:val="none"/>
        </w:rPr>
        <w:t>年</w:t>
      </w:r>
      <w:r>
        <w:rPr>
          <w:rFonts w:hint="eastAsia" w:ascii="宋体" w:hAnsi="宋体"/>
          <w:color w:val="auto"/>
          <w:sz w:val="32"/>
          <w:szCs w:val="32"/>
          <w:highlight w:val="none"/>
          <w:lang w:val="en-US" w:eastAsia="zh-CN"/>
        </w:rPr>
        <w:t>二月</w:t>
      </w:r>
      <w:bookmarkStart w:id="99" w:name="_GoBack"/>
      <w:bookmarkEnd w:id="99"/>
    </w:p>
    <w:p w14:paraId="19748FC9">
      <w:pPr>
        <w:pageBreakBefore w:val="0"/>
        <w:kinsoku/>
        <w:overflowPunct/>
        <w:topLinePunct w:val="0"/>
        <w:bidi w:val="0"/>
        <w:spacing w:line="360" w:lineRule="auto"/>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br w:type="page"/>
      </w:r>
    </w:p>
    <w:p w14:paraId="55BB21F6">
      <w:pPr>
        <w:pageBreakBefore w:val="0"/>
        <w:kinsoku/>
        <w:overflowPunct/>
        <w:topLinePunct w:val="0"/>
        <w:bidi w:val="0"/>
        <w:spacing w:line="360" w:lineRule="auto"/>
        <w:jc w:val="center"/>
        <w:rPr>
          <w:rFonts w:ascii="宋体" w:hAnsi="宋体"/>
          <w:color w:val="auto"/>
          <w:szCs w:val="21"/>
          <w:highlight w:val="none"/>
        </w:rPr>
      </w:pPr>
      <w:bookmarkStart w:id="0" w:name="_Hlk137453387"/>
      <w:r>
        <w:rPr>
          <w:rFonts w:hint="eastAsia" w:ascii="宋体" w:hAnsi="宋体" w:eastAsia="黑体"/>
          <w:b/>
          <w:bCs/>
          <w:color w:val="auto"/>
          <w:kern w:val="44"/>
          <w:sz w:val="28"/>
          <w:szCs w:val="44"/>
          <w:highlight w:val="none"/>
        </w:rPr>
        <w:t>警示条款</w:t>
      </w:r>
    </w:p>
    <w:p w14:paraId="2D5FD640">
      <w:pPr>
        <w:pageBreakBefore w:val="0"/>
        <w:kinsoku/>
        <w:overflowPunct/>
        <w:topLinePunct w:val="0"/>
        <w:bidi w:val="0"/>
        <w:spacing w:line="360" w:lineRule="auto"/>
        <w:ind w:firstLine="400" w:firstLineChars="200"/>
        <w:rPr>
          <w:rFonts w:ascii="宋体" w:hAnsi="宋体"/>
          <w:color w:val="auto"/>
          <w:sz w:val="20"/>
          <w:szCs w:val="20"/>
          <w:highlight w:val="none"/>
        </w:rPr>
      </w:pPr>
    </w:p>
    <w:p w14:paraId="660C56E5">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ascii="宋体" w:hAnsi="宋体"/>
          <w:color w:val="auto"/>
          <w:sz w:val="20"/>
          <w:szCs w:val="20"/>
          <w:highlight w:val="none"/>
        </w:rPr>
      </w:pPr>
      <w:r>
        <w:rPr>
          <w:rFonts w:hint="eastAsia" w:ascii="宋体" w:hAnsi="宋体"/>
          <w:color w:val="auto"/>
          <w:sz w:val="20"/>
          <w:szCs w:val="20"/>
          <w:highlight w:val="none"/>
        </w:rPr>
        <w:t>本项目为自行采购项目，参照《深圳经济特区政府采购条例》、《深圳经济特区政府采购条例实施细则》及政府采购其他法律法规，按照</w:t>
      </w:r>
      <w:r>
        <w:rPr>
          <w:rFonts w:hint="eastAsia" w:ascii="宋体" w:hAnsi="宋体"/>
          <w:color w:val="auto"/>
          <w:sz w:val="20"/>
          <w:szCs w:val="20"/>
          <w:highlight w:val="none"/>
          <w:lang w:val="en-US" w:eastAsia="zh-CN"/>
        </w:rPr>
        <w:t>采购人内控制度</w:t>
      </w:r>
      <w:r>
        <w:rPr>
          <w:rFonts w:hint="eastAsia" w:ascii="宋体" w:hAnsi="宋体"/>
          <w:color w:val="auto"/>
          <w:sz w:val="20"/>
          <w:szCs w:val="20"/>
          <w:highlight w:val="none"/>
        </w:rPr>
        <w:t>，通过公开招标方式确定中标供应商。</w:t>
      </w:r>
    </w:p>
    <w:p w14:paraId="41A569B8">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ascii="宋体" w:hAnsi="宋体"/>
          <w:color w:val="auto"/>
          <w:sz w:val="20"/>
          <w:szCs w:val="20"/>
          <w:highlight w:val="none"/>
        </w:rPr>
      </w:pPr>
      <w:r>
        <w:rPr>
          <w:rFonts w:hint="eastAsia" w:ascii="宋体" w:hAnsi="宋体"/>
          <w:color w:val="auto"/>
          <w:sz w:val="20"/>
          <w:szCs w:val="20"/>
          <w:highlight w:val="none"/>
        </w:rPr>
        <w:t>一、</w:t>
      </w:r>
      <w:r>
        <w:rPr>
          <w:rFonts w:hint="eastAsia" w:ascii="宋体" w:hAnsi="宋体"/>
          <w:b/>
          <w:bCs/>
          <w:color w:val="auto"/>
          <w:sz w:val="20"/>
          <w:szCs w:val="20"/>
          <w:highlight w:val="none"/>
        </w:rPr>
        <w:t>《深圳经济特区政府采购条例》第五十七条</w:t>
      </w:r>
      <w:r>
        <w:rPr>
          <w:rFonts w:hint="eastAsia" w:ascii="宋体" w:hAnsi="宋体"/>
          <w:color w:val="auto"/>
          <w:sz w:val="20"/>
          <w:szCs w:val="20"/>
          <w:highlight w:val="none"/>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5C7DFACC">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ascii="宋体" w:hAnsi="宋体"/>
          <w:color w:val="auto"/>
          <w:sz w:val="20"/>
          <w:szCs w:val="20"/>
          <w:highlight w:val="none"/>
        </w:rPr>
      </w:pPr>
      <w:r>
        <w:rPr>
          <w:rFonts w:hint="eastAsia" w:ascii="宋体" w:hAnsi="宋体"/>
          <w:color w:val="auto"/>
          <w:sz w:val="20"/>
          <w:szCs w:val="20"/>
          <w:highlight w:val="none"/>
        </w:rPr>
        <w:t>（一）在采购活动中应当回避而未回避的；</w:t>
      </w:r>
    </w:p>
    <w:p w14:paraId="2538CBAF">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ascii="宋体" w:hAnsi="宋体"/>
          <w:color w:val="auto"/>
          <w:sz w:val="20"/>
          <w:szCs w:val="20"/>
          <w:highlight w:val="none"/>
        </w:rPr>
      </w:pPr>
      <w:r>
        <w:rPr>
          <w:rFonts w:hint="eastAsia" w:ascii="宋体" w:hAnsi="宋体"/>
          <w:color w:val="auto"/>
          <w:sz w:val="20"/>
          <w:szCs w:val="20"/>
          <w:highlight w:val="none"/>
        </w:rPr>
        <w:t>（二）未按本条例规定签订、履行采购合同，造成严重后果的；</w:t>
      </w:r>
    </w:p>
    <w:p w14:paraId="7B16B1D1">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ascii="宋体" w:hAnsi="宋体"/>
          <w:color w:val="auto"/>
          <w:sz w:val="20"/>
          <w:szCs w:val="20"/>
          <w:highlight w:val="none"/>
        </w:rPr>
      </w:pPr>
      <w:r>
        <w:rPr>
          <w:rFonts w:hint="eastAsia" w:ascii="宋体" w:hAnsi="宋体"/>
          <w:color w:val="auto"/>
          <w:sz w:val="20"/>
          <w:szCs w:val="20"/>
          <w:highlight w:val="none"/>
        </w:rPr>
        <w:t>（三）隐瞒真实情况，提供虚假资料的；</w:t>
      </w:r>
    </w:p>
    <w:p w14:paraId="4C0D8087">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ascii="宋体" w:hAnsi="宋体"/>
          <w:color w:val="auto"/>
          <w:sz w:val="20"/>
          <w:szCs w:val="20"/>
          <w:highlight w:val="none"/>
        </w:rPr>
      </w:pPr>
      <w:r>
        <w:rPr>
          <w:rFonts w:hint="eastAsia" w:ascii="宋体" w:hAnsi="宋体"/>
          <w:color w:val="auto"/>
          <w:sz w:val="20"/>
          <w:szCs w:val="20"/>
          <w:highlight w:val="none"/>
        </w:rPr>
        <w:t>（四）以非法手段排斥其他供应商参与竞争的；</w:t>
      </w:r>
    </w:p>
    <w:p w14:paraId="6657FBE5">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ascii="宋体" w:hAnsi="宋体"/>
          <w:color w:val="auto"/>
          <w:sz w:val="20"/>
          <w:szCs w:val="20"/>
          <w:highlight w:val="none"/>
        </w:rPr>
      </w:pPr>
      <w:r>
        <w:rPr>
          <w:rFonts w:hint="eastAsia" w:ascii="宋体" w:hAnsi="宋体"/>
          <w:color w:val="auto"/>
          <w:sz w:val="20"/>
          <w:szCs w:val="20"/>
          <w:highlight w:val="none"/>
        </w:rPr>
        <w:t>（五）与其他采购参加人串通投标的；</w:t>
      </w:r>
    </w:p>
    <w:p w14:paraId="09A32A52">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ascii="宋体" w:hAnsi="宋体"/>
          <w:color w:val="auto"/>
          <w:sz w:val="20"/>
          <w:szCs w:val="20"/>
          <w:highlight w:val="none"/>
        </w:rPr>
      </w:pPr>
      <w:r>
        <w:rPr>
          <w:rFonts w:hint="eastAsia" w:ascii="宋体" w:hAnsi="宋体"/>
          <w:color w:val="auto"/>
          <w:sz w:val="20"/>
          <w:szCs w:val="20"/>
          <w:highlight w:val="none"/>
        </w:rPr>
        <w:t>（六）恶意投诉的；</w:t>
      </w:r>
    </w:p>
    <w:p w14:paraId="6A80D90E">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ascii="宋体" w:hAnsi="宋体"/>
          <w:color w:val="auto"/>
          <w:sz w:val="20"/>
          <w:szCs w:val="20"/>
          <w:highlight w:val="none"/>
        </w:rPr>
      </w:pPr>
      <w:r>
        <w:rPr>
          <w:rFonts w:hint="eastAsia" w:ascii="宋体" w:hAnsi="宋体"/>
          <w:color w:val="auto"/>
          <w:sz w:val="20"/>
          <w:szCs w:val="20"/>
          <w:highlight w:val="none"/>
        </w:rPr>
        <w:t>（七）向采购项目相关人行贿或者提供其他不当利益的；</w:t>
      </w:r>
    </w:p>
    <w:p w14:paraId="7561410F">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ascii="宋体" w:hAnsi="宋体"/>
          <w:color w:val="auto"/>
          <w:sz w:val="20"/>
          <w:szCs w:val="20"/>
          <w:highlight w:val="none"/>
        </w:rPr>
      </w:pPr>
      <w:r>
        <w:rPr>
          <w:rFonts w:hint="eastAsia" w:ascii="宋体" w:hAnsi="宋体"/>
          <w:color w:val="auto"/>
          <w:sz w:val="20"/>
          <w:szCs w:val="20"/>
          <w:highlight w:val="none"/>
        </w:rPr>
        <w:t>（八）阻碍、抗拒主管部门监督检查的；</w:t>
      </w:r>
    </w:p>
    <w:p w14:paraId="52AB2373">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ascii="宋体" w:hAnsi="宋体"/>
          <w:color w:val="auto"/>
          <w:sz w:val="20"/>
          <w:szCs w:val="20"/>
          <w:highlight w:val="none"/>
        </w:rPr>
      </w:pPr>
      <w:r>
        <w:rPr>
          <w:rFonts w:hint="eastAsia" w:ascii="宋体" w:hAnsi="宋体"/>
          <w:color w:val="auto"/>
          <w:sz w:val="20"/>
          <w:szCs w:val="20"/>
          <w:highlight w:val="none"/>
        </w:rPr>
        <w:t>（九）其他违反本条例规定的行为。</w:t>
      </w:r>
    </w:p>
    <w:p w14:paraId="308BEE37">
      <w:pPr>
        <w:keepNext w:val="0"/>
        <w:keepLines w:val="0"/>
        <w:pageBreakBefore w:val="0"/>
        <w:widowControl w:val="0"/>
        <w:kinsoku/>
        <w:wordWrap/>
        <w:overflowPunct/>
        <w:topLinePunct w:val="0"/>
        <w:autoSpaceDE/>
        <w:autoSpaceDN/>
        <w:bidi w:val="0"/>
        <w:adjustRightInd/>
        <w:snapToGrid/>
        <w:spacing w:line="360" w:lineRule="auto"/>
        <w:ind w:firstLine="402" w:firstLineChars="200"/>
        <w:textAlignment w:val="auto"/>
        <w:rPr>
          <w:rFonts w:ascii="宋体" w:hAnsi="宋体"/>
          <w:color w:val="auto"/>
          <w:sz w:val="20"/>
          <w:szCs w:val="20"/>
          <w:highlight w:val="none"/>
        </w:rPr>
      </w:pPr>
      <w:r>
        <w:rPr>
          <w:rFonts w:hint="eastAsia" w:ascii="宋体" w:hAnsi="宋体"/>
          <w:b/>
          <w:bCs/>
          <w:color w:val="auto"/>
          <w:sz w:val="20"/>
          <w:szCs w:val="20"/>
          <w:highlight w:val="none"/>
        </w:rPr>
        <w:t>二、《深圳经济特区政府采购条例实施细则》第七十五条 </w:t>
      </w:r>
      <w:r>
        <w:rPr>
          <w:rFonts w:hint="eastAsia" w:ascii="宋体" w:hAnsi="宋体"/>
          <w:color w:val="auto"/>
          <w:sz w:val="20"/>
          <w:szCs w:val="20"/>
          <w:highlight w:val="none"/>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17A187C0">
      <w:pPr>
        <w:keepNext w:val="0"/>
        <w:keepLines w:val="0"/>
        <w:pageBreakBefore w:val="0"/>
        <w:widowControl w:val="0"/>
        <w:kinsoku/>
        <w:wordWrap/>
        <w:overflowPunct/>
        <w:topLinePunct w:val="0"/>
        <w:autoSpaceDE/>
        <w:autoSpaceDN/>
        <w:bidi w:val="0"/>
        <w:adjustRightInd/>
        <w:snapToGrid/>
        <w:spacing w:line="360" w:lineRule="auto"/>
        <w:ind w:firstLine="402" w:firstLineChars="200"/>
        <w:textAlignment w:val="auto"/>
        <w:rPr>
          <w:rFonts w:ascii="宋体" w:hAnsi="宋体"/>
          <w:color w:val="auto"/>
          <w:sz w:val="20"/>
          <w:szCs w:val="20"/>
          <w:highlight w:val="none"/>
        </w:rPr>
      </w:pPr>
      <w:r>
        <w:rPr>
          <w:rFonts w:hint="eastAsia" w:ascii="宋体" w:hAnsi="宋体"/>
          <w:b/>
          <w:bCs/>
          <w:color w:val="auto"/>
          <w:sz w:val="20"/>
          <w:szCs w:val="20"/>
          <w:highlight w:val="none"/>
        </w:rPr>
        <w:t>三、《深圳经济特区政府采购条例实施细则》第七十七条 </w:t>
      </w:r>
      <w:r>
        <w:rPr>
          <w:rFonts w:hint="eastAsia" w:ascii="宋体" w:hAnsi="宋体"/>
          <w:color w:val="auto"/>
          <w:sz w:val="20"/>
          <w:szCs w:val="20"/>
          <w:highlight w:val="none"/>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4E1FF3F1">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ascii="宋体" w:hAnsi="宋体"/>
          <w:color w:val="auto"/>
          <w:sz w:val="20"/>
          <w:szCs w:val="20"/>
          <w:highlight w:val="none"/>
        </w:rPr>
      </w:pPr>
      <w:r>
        <w:rPr>
          <w:rFonts w:hint="eastAsia" w:ascii="宋体" w:hAnsi="宋体"/>
          <w:color w:val="auto"/>
          <w:sz w:val="20"/>
          <w:szCs w:val="20"/>
          <w:highlight w:val="none"/>
        </w:rPr>
        <w:t>投标供应商不能提供项目负责人或者主要技术人员的劳动合同、社会保险等劳动关系证明材料的，视为存在前款第（三）项规定的情形。</w:t>
      </w:r>
    </w:p>
    <w:p w14:paraId="6FD7501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color w:val="auto"/>
          <w:highlight w:val="none"/>
        </w:rPr>
      </w:pPr>
      <w:r>
        <w:rPr>
          <w:rFonts w:hint="eastAsia"/>
          <w:b/>
          <w:color w:val="auto"/>
          <w:highlight w:val="none"/>
        </w:rPr>
        <w:t>四、请投标供应商阅读《</w:t>
      </w:r>
      <w:r>
        <w:rPr>
          <w:rFonts w:hint="eastAsia"/>
          <w:b/>
          <w:color w:val="auto"/>
          <w:highlight w:val="none"/>
          <w:lang w:val="en-US" w:eastAsia="zh-CN"/>
        </w:rPr>
        <w:t>自行</w:t>
      </w:r>
      <w:r>
        <w:rPr>
          <w:rFonts w:hint="eastAsia"/>
          <w:b/>
          <w:color w:val="auto"/>
          <w:highlight w:val="none"/>
        </w:rPr>
        <w:t>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15493FD5">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color w:val="auto"/>
          <w:highlight w:val="none"/>
        </w:rPr>
      </w:pPr>
      <w:r>
        <w:rPr>
          <w:rFonts w:hint="eastAsia" w:ascii="宋体" w:hAnsi="宋体"/>
          <w:color w:val="auto"/>
          <w:sz w:val="20"/>
          <w:szCs w:val="20"/>
          <w:highlight w:val="none"/>
        </w:rPr>
        <w:t>五、</w:t>
      </w:r>
      <w:r>
        <w:rPr>
          <w:rFonts w:ascii="宋体" w:hAnsi="宋体"/>
          <w:color w:val="auto"/>
          <w:sz w:val="20"/>
          <w:szCs w:val="20"/>
          <w:highlight w:val="none"/>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rPr>
          <w:color w:val="auto"/>
          <w:highlight w:val="none"/>
        </w:rPr>
        <w:br w:type="textWrapping"/>
      </w:r>
    </w:p>
    <w:bookmarkEnd w:id="0"/>
    <w:p w14:paraId="775F725C">
      <w:pPr>
        <w:pageBreakBefore w:val="0"/>
        <w:widowControl/>
        <w:kinsoku/>
        <w:overflowPunct/>
        <w:topLinePunct w:val="0"/>
        <w:bidi w:val="0"/>
        <w:spacing w:line="360" w:lineRule="auto"/>
        <w:jc w:val="left"/>
        <w:rPr>
          <w:rFonts w:ascii="宋体" w:hAnsi="宋体" w:eastAsia="黑体"/>
          <w:b/>
          <w:bCs/>
          <w:color w:val="auto"/>
          <w:kern w:val="44"/>
          <w:sz w:val="28"/>
          <w:szCs w:val="44"/>
          <w:highlight w:val="none"/>
        </w:rPr>
      </w:pPr>
      <w:r>
        <w:rPr>
          <w:color w:val="auto"/>
          <w:highlight w:val="none"/>
        </w:rPr>
        <w:br w:type="page"/>
      </w:r>
    </w:p>
    <w:p w14:paraId="005372A7">
      <w:pPr>
        <w:keepNext w:val="0"/>
        <w:keepLines w:val="0"/>
        <w:pageBreakBefore w:val="0"/>
        <w:widowControl/>
        <w:kinsoku/>
        <w:wordWrap/>
        <w:overflowPunct/>
        <w:topLinePunct w:val="0"/>
        <w:autoSpaceDE/>
        <w:autoSpaceDN/>
        <w:bidi w:val="0"/>
        <w:adjustRightInd/>
        <w:snapToGrid/>
        <w:spacing w:beforeAutospacing="1" w:afterAutospacing="1" w:line="360" w:lineRule="auto"/>
        <w:jc w:val="center"/>
        <w:textAlignment w:val="auto"/>
        <w:outlineLvl w:val="0"/>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招标文件信息</w:t>
      </w:r>
    </w:p>
    <w:tbl>
      <w:tblPr>
        <w:tblStyle w:val="44"/>
        <w:tblW w:w="4999" w:type="pct"/>
        <w:jc w:val="center"/>
        <w:tblCellSpacing w:w="0" w:type="dxa"/>
        <w:tblLayout w:type="autofit"/>
        <w:tblCellMar>
          <w:top w:w="45" w:type="dxa"/>
          <w:left w:w="45" w:type="dxa"/>
          <w:bottom w:w="45" w:type="dxa"/>
          <w:right w:w="45" w:type="dxa"/>
        </w:tblCellMar>
      </w:tblPr>
      <w:tblGrid>
        <w:gridCol w:w="2879"/>
        <w:gridCol w:w="5522"/>
      </w:tblGrid>
      <w:tr w14:paraId="33575D6C">
        <w:tblPrEx>
          <w:tblCellMar>
            <w:top w:w="45" w:type="dxa"/>
            <w:left w:w="45" w:type="dxa"/>
            <w:bottom w:w="45" w:type="dxa"/>
            <w:right w:w="45" w:type="dxa"/>
          </w:tblCellMar>
        </w:tblPrEx>
        <w:trPr>
          <w:trHeight w:val="738" w:hRule="atLeast"/>
          <w:tblCellSpacing w:w="0" w:type="dxa"/>
          <w:jc w:val="center"/>
        </w:trPr>
        <w:tc>
          <w:tcPr>
            <w:tcW w:w="1713" w:type="pct"/>
            <w:shd w:val="clear" w:color="auto" w:fill="auto"/>
            <w:vAlign w:val="center"/>
          </w:tcPr>
          <w:p w14:paraId="3AABAB86">
            <w:pPr>
              <w:pageBreakBefore w:val="0"/>
              <w:widowControl/>
              <w:kinsoku/>
              <w:overflowPunct/>
              <w:topLinePunct w:val="0"/>
              <w:bidi w:val="0"/>
              <w:spacing w:line="360" w:lineRule="auto"/>
              <w:jc w:val="right"/>
              <w:rPr>
                <w:color w:val="auto"/>
                <w:sz w:val="30"/>
                <w:szCs w:val="30"/>
                <w:highlight w:val="none"/>
              </w:rPr>
            </w:pPr>
            <w:r>
              <w:rPr>
                <w:rFonts w:ascii="宋体" w:hAnsi="宋体" w:cs="宋体"/>
                <w:color w:val="auto"/>
                <w:kern w:val="0"/>
                <w:sz w:val="30"/>
                <w:szCs w:val="30"/>
                <w:highlight w:val="none"/>
              </w:rPr>
              <w:t>项目编号：</w:t>
            </w:r>
          </w:p>
        </w:tc>
        <w:tc>
          <w:tcPr>
            <w:tcW w:w="3286" w:type="pct"/>
            <w:shd w:val="clear" w:color="auto" w:fill="auto"/>
            <w:vAlign w:val="center"/>
          </w:tcPr>
          <w:p w14:paraId="462578C4">
            <w:pPr>
              <w:pageBreakBefore w:val="0"/>
              <w:widowControl/>
              <w:kinsoku/>
              <w:overflowPunct/>
              <w:topLinePunct w:val="0"/>
              <w:bidi w:val="0"/>
              <w:spacing w:line="360" w:lineRule="auto"/>
              <w:jc w:val="left"/>
              <w:rPr>
                <w:rFonts w:hint="eastAsia" w:eastAsia="宋体"/>
                <w:color w:val="0000FF"/>
                <w:sz w:val="30"/>
                <w:szCs w:val="30"/>
                <w:highlight w:val="none"/>
                <w:lang w:eastAsia="zh-CN"/>
              </w:rPr>
            </w:pPr>
            <w:r>
              <w:rPr>
                <w:rFonts w:hint="eastAsia"/>
                <w:color w:val="0000FF"/>
                <w:sz w:val="30"/>
                <w:szCs w:val="30"/>
                <w:highlight w:val="none"/>
                <w:lang w:eastAsia="zh-CN"/>
              </w:rPr>
              <w:t>FTZXDL-2025-00030</w:t>
            </w:r>
          </w:p>
        </w:tc>
      </w:tr>
      <w:tr w14:paraId="2414FFC0">
        <w:tblPrEx>
          <w:tblCellMar>
            <w:top w:w="45" w:type="dxa"/>
            <w:left w:w="45" w:type="dxa"/>
            <w:bottom w:w="45" w:type="dxa"/>
            <w:right w:w="45" w:type="dxa"/>
          </w:tblCellMar>
        </w:tblPrEx>
        <w:trPr>
          <w:trHeight w:val="738" w:hRule="atLeast"/>
          <w:tblCellSpacing w:w="0" w:type="dxa"/>
          <w:jc w:val="center"/>
        </w:trPr>
        <w:tc>
          <w:tcPr>
            <w:tcW w:w="1713" w:type="pct"/>
            <w:shd w:val="clear" w:color="auto" w:fill="auto"/>
            <w:vAlign w:val="center"/>
          </w:tcPr>
          <w:p w14:paraId="1F0DC49A">
            <w:pPr>
              <w:pageBreakBefore w:val="0"/>
              <w:widowControl/>
              <w:kinsoku/>
              <w:overflowPunct/>
              <w:topLinePunct w:val="0"/>
              <w:bidi w:val="0"/>
              <w:spacing w:line="360" w:lineRule="auto"/>
              <w:jc w:val="right"/>
              <w:rPr>
                <w:color w:val="auto"/>
                <w:sz w:val="30"/>
                <w:szCs w:val="30"/>
                <w:highlight w:val="none"/>
              </w:rPr>
            </w:pPr>
            <w:r>
              <w:rPr>
                <w:rFonts w:ascii="宋体" w:hAnsi="宋体" w:cs="宋体"/>
                <w:color w:val="auto"/>
                <w:kern w:val="0"/>
                <w:sz w:val="30"/>
                <w:szCs w:val="30"/>
                <w:highlight w:val="none"/>
              </w:rPr>
              <w:t>项目名称：</w:t>
            </w:r>
          </w:p>
        </w:tc>
        <w:tc>
          <w:tcPr>
            <w:tcW w:w="3286" w:type="pct"/>
            <w:shd w:val="clear" w:color="auto" w:fill="auto"/>
            <w:vAlign w:val="center"/>
          </w:tcPr>
          <w:p w14:paraId="767DDC38">
            <w:pPr>
              <w:pageBreakBefore w:val="0"/>
              <w:widowControl/>
              <w:kinsoku/>
              <w:overflowPunct/>
              <w:topLinePunct w:val="0"/>
              <w:bidi w:val="0"/>
              <w:spacing w:line="360" w:lineRule="auto"/>
              <w:jc w:val="left"/>
              <w:rPr>
                <w:rFonts w:hint="eastAsia" w:eastAsia="宋体"/>
                <w:color w:val="0000FF"/>
                <w:sz w:val="30"/>
                <w:szCs w:val="30"/>
                <w:highlight w:val="none"/>
                <w:lang w:eastAsia="zh-CN"/>
              </w:rPr>
            </w:pPr>
            <w:r>
              <w:rPr>
                <w:rFonts w:hint="eastAsia"/>
                <w:color w:val="0000FF"/>
                <w:sz w:val="30"/>
                <w:szCs w:val="30"/>
                <w:highlight w:val="none"/>
                <w:lang w:eastAsia="zh-CN"/>
              </w:rPr>
              <w:t>辅具维修服务（A包）</w:t>
            </w:r>
          </w:p>
        </w:tc>
      </w:tr>
      <w:tr w14:paraId="2CA6B706">
        <w:tblPrEx>
          <w:tblCellMar>
            <w:top w:w="45" w:type="dxa"/>
            <w:left w:w="45" w:type="dxa"/>
            <w:bottom w:w="45" w:type="dxa"/>
            <w:right w:w="45" w:type="dxa"/>
          </w:tblCellMar>
        </w:tblPrEx>
        <w:trPr>
          <w:trHeight w:val="738" w:hRule="atLeast"/>
          <w:tblCellSpacing w:w="0" w:type="dxa"/>
          <w:jc w:val="center"/>
        </w:trPr>
        <w:tc>
          <w:tcPr>
            <w:tcW w:w="1713" w:type="pct"/>
            <w:shd w:val="clear" w:color="auto" w:fill="auto"/>
            <w:vAlign w:val="center"/>
          </w:tcPr>
          <w:p w14:paraId="42A08638">
            <w:pPr>
              <w:pageBreakBefore w:val="0"/>
              <w:widowControl/>
              <w:kinsoku/>
              <w:overflowPunct/>
              <w:topLinePunct w:val="0"/>
              <w:bidi w:val="0"/>
              <w:spacing w:line="360" w:lineRule="auto"/>
              <w:jc w:val="right"/>
              <w:rPr>
                <w:color w:val="auto"/>
                <w:sz w:val="30"/>
                <w:szCs w:val="30"/>
                <w:highlight w:val="none"/>
              </w:rPr>
            </w:pPr>
            <w:r>
              <w:rPr>
                <w:rFonts w:ascii="宋体" w:hAnsi="宋体" w:cs="宋体"/>
                <w:color w:val="auto"/>
                <w:kern w:val="0"/>
                <w:sz w:val="30"/>
                <w:szCs w:val="30"/>
                <w:highlight w:val="none"/>
              </w:rPr>
              <w:t>包 号：</w:t>
            </w:r>
          </w:p>
        </w:tc>
        <w:tc>
          <w:tcPr>
            <w:tcW w:w="3286" w:type="pct"/>
            <w:shd w:val="clear" w:color="auto" w:fill="auto"/>
            <w:vAlign w:val="center"/>
          </w:tcPr>
          <w:p w14:paraId="0074E4B9">
            <w:pPr>
              <w:pageBreakBefore w:val="0"/>
              <w:widowControl/>
              <w:kinsoku/>
              <w:overflowPunct/>
              <w:topLinePunct w:val="0"/>
              <w:bidi w:val="0"/>
              <w:spacing w:line="360" w:lineRule="auto"/>
              <w:jc w:val="left"/>
              <w:rPr>
                <w:color w:val="auto"/>
                <w:sz w:val="30"/>
                <w:szCs w:val="30"/>
                <w:highlight w:val="none"/>
              </w:rPr>
            </w:pPr>
            <w:r>
              <w:rPr>
                <w:rFonts w:ascii="宋体" w:hAnsi="宋体" w:cs="宋体"/>
                <w:color w:val="auto"/>
                <w:kern w:val="0"/>
                <w:sz w:val="30"/>
                <w:szCs w:val="30"/>
                <w:highlight w:val="none"/>
              </w:rPr>
              <w:t>A</w:t>
            </w:r>
          </w:p>
        </w:tc>
      </w:tr>
      <w:tr w14:paraId="69AF77C8">
        <w:tblPrEx>
          <w:tblCellMar>
            <w:top w:w="45" w:type="dxa"/>
            <w:left w:w="45" w:type="dxa"/>
            <w:bottom w:w="45" w:type="dxa"/>
            <w:right w:w="45" w:type="dxa"/>
          </w:tblCellMar>
        </w:tblPrEx>
        <w:trPr>
          <w:trHeight w:val="738" w:hRule="atLeast"/>
          <w:tblCellSpacing w:w="0" w:type="dxa"/>
          <w:jc w:val="center"/>
        </w:trPr>
        <w:tc>
          <w:tcPr>
            <w:tcW w:w="1713" w:type="pct"/>
            <w:shd w:val="clear" w:color="auto" w:fill="auto"/>
            <w:vAlign w:val="center"/>
          </w:tcPr>
          <w:p w14:paraId="077C0D91">
            <w:pPr>
              <w:pageBreakBefore w:val="0"/>
              <w:widowControl/>
              <w:kinsoku/>
              <w:overflowPunct/>
              <w:topLinePunct w:val="0"/>
              <w:bidi w:val="0"/>
              <w:spacing w:line="360" w:lineRule="auto"/>
              <w:jc w:val="right"/>
              <w:rPr>
                <w:color w:val="auto"/>
                <w:sz w:val="30"/>
                <w:szCs w:val="30"/>
                <w:highlight w:val="none"/>
              </w:rPr>
            </w:pPr>
            <w:r>
              <w:rPr>
                <w:rFonts w:ascii="宋体" w:hAnsi="宋体" w:cs="宋体"/>
                <w:color w:val="auto"/>
                <w:kern w:val="0"/>
                <w:sz w:val="30"/>
                <w:szCs w:val="30"/>
                <w:highlight w:val="none"/>
              </w:rPr>
              <w:t>项目类型：</w:t>
            </w:r>
          </w:p>
        </w:tc>
        <w:tc>
          <w:tcPr>
            <w:tcW w:w="3286" w:type="pct"/>
            <w:shd w:val="clear" w:color="auto" w:fill="auto"/>
            <w:vAlign w:val="center"/>
          </w:tcPr>
          <w:p w14:paraId="6ABAD07F">
            <w:pPr>
              <w:pageBreakBefore w:val="0"/>
              <w:widowControl/>
              <w:kinsoku/>
              <w:overflowPunct/>
              <w:topLinePunct w:val="0"/>
              <w:bidi w:val="0"/>
              <w:spacing w:line="360" w:lineRule="auto"/>
              <w:jc w:val="left"/>
              <w:rPr>
                <w:color w:val="0000FF"/>
                <w:sz w:val="30"/>
                <w:szCs w:val="30"/>
                <w:highlight w:val="none"/>
              </w:rPr>
            </w:pPr>
            <w:r>
              <w:rPr>
                <w:rFonts w:hint="eastAsia" w:ascii="宋体" w:hAnsi="宋体" w:cs="宋体"/>
                <w:color w:val="0000FF"/>
                <w:kern w:val="0"/>
                <w:sz w:val="30"/>
                <w:szCs w:val="30"/>
                <w:highlight w:val="none"/>
              </w:rPr>
              <w:t>服务类</w:t>
            </w:r>
          </w:p>
        </w:tc>
      </w:tr>
      <w:tr w14:paraId="3FBB1E50">
        <w:tblPrEx>
          <w:tblCellMar>
            <w:top w:w="45" w:type="dxa"/>
            <w:left w:w="45" w:type="dxa"/>
            <w:bottom w:w="45" w:type="dxa"/>
            <w:right w:w="45" w:type="dxa"/>
          </w:tblCellMar>
        </w:tblPrEx>
        <w:trPr>
          <w:trHeight w:val="738" w:hRule="atLeast"/>
          <w:tblCellSpacing w:w="0" w:type="dxa"/>
          <w:jc w:val="center"/>
        </w:trPr>
        <w:tc>
          <w:tcPr>
            <w:tcW w:w="1713" w:type="pct"/>
            <w:shd w:val="clear" w:color="auto" w:fill="auto"/>
            <w:vAlign w:val="center"/>
          </w:tcPr>
          <w:p w14:paraId="2F39899F">
            <w:pPr>
              <w:pageBreakBefore w:val="0"/>
              <w:widowControl/>
              <w:kinsoku/>
              <w:overflowPunct/>
              <w:topLinePunct w:val="0"/>
              <w:bidi w:val="0"/>
              <w:spacing w:line="360" w:lineRule="auto"/>
              <w:jc w:val="right"/>
              <w:rPr>
                <w:color w:val="auto"/>
                <w:sz w:val="30"/>
                <w:szCs w:val="30"/>
                <w:highlight w:val="none"/>
              </w:rPr>
            </w:pPr>
            <w:r>
              <w:rPr>
                <w:rFonts w:ascii="宋体" w:hAnsi="宋体" w:cs="宋体"/>
                <w:color w:val="auto"/>
                <w:kern w:val="0"/>
                <w:sz w:val="30"/>
                <w:szCs w:val="30"/>
                <w:highlight w:val="none"/>
              </w:rPr>
              <w:t>采购方式：</w:t>
            </w:r>
          </w:p>
        </w:tc>
        <w:tc>
          <w:tcPr>
            <w:tcW w:w="3286" w:type="pct"/>
            <w:shd w:val="clear" w:color="auto" w:fill="auto"/>
            <w:vAlign w:val="center"/>
          </w:tcPr>
          <w:p w14:paraId="4050EDEF">
            <w:pPr>
              <w:pageBreakBefore w:val="0"/>
              <w:widowControl/>
              <w:kinsoku/>
              <w:overflowPunct/>
              <w:topLinePunct w:val="0"/>
              <w:bidi w:val="0"/>
              <w:spacing w:line="360" w:lineRule="auto"/>
              <w:jc w:val="left"/>
              <w:rPr>
                <w:rFonts w:hint="eastAsia" w:eastAsia="宋体"/>
                <w:color w:val="0000FF"/>
                <w:sz w:val="30"/>
                <w:szCs w:val="30"/>
                <w:highlight w:val="none"/>
                <w:lang w:val="en-US" w:eastAsia="zh-CN"/>
              </w:rPr>
            </w:pPr>
            <w:r>
              <w:rPr>
                <w:rFonts w:ascii="宋体" w:hAnsi="宋体" w:cs="宋体"/>
                <w:color w:val="0000FF"/>
                <w:kern w:val="0"/>
                <w:sz w:val="30"/>
                <w:szCs w:val="30"/>
                <w:highlight w:val="none"/>
              </w:rPr>
              <w:t>公开</w:t>
            </w:r>
            <w:r>
              <w:rPr>
                <w:rFonts w:hint="eastAsia" w:ascii="宋体" w:hAnsi="宋体" w:cs="宋体"/>
                <w:color w:val="0000FF"/>
                <w:kern w:val="0"/>
                <w:sz w:val="30"/>
                <w:szCs w:val="30"/>
                <w:highlight w:val="none"/>
                <w:lang w:val="en-US" w:eastAsia="zh-CN"/>
              </w:rPr>
              <w:t>招标</w:t>
            </w:r>
          </w:p>
        </w:tc>
      </w:tr>
      <w:tr w14:paraId="00ED2DBE">
        <w:tblPrEx>
          <w:tblCellMar>
            <w:top w:w="45" w:type="dxa"/>
            <w:left w:w="45" w:type="dxa"/>
            <w:bottom w:w="45" w:type="dxa"/>
            <w:right w:w="45" w:type="dxa"/>
          </w:tblCellMar>
        </w:tblPrEx>
        <w:trPr>
          <w:trHeight w:val="738" w:hRule="atLeast"/>
          <w:tblCellSpacing w:w="0" w:type="dxa"/>
          <w:jc w:val="center"/>
        </w:trPr>
        <w:tc>
          <w:tcPr>
            <w:tcW w:w="1713" w:type="pct"/>
            <w:shd w:val="clear" w:color="auto" w:fill="auto"/>
            <w:vAlign w:val="center"/>
          </w:tcPr>
          <w:p w14:paraId="27A1EF51">
            <w:pPr>
              <w:pageBreakBefore w:val="0"/>
              <w:widowControl/>
              <w:kinsoku/>
              <w:overflowPunct/>
              <w:topLinePunct w:val="0"/>
              <w:bidi w:val="0"/>
              <w:spacing w:line="360" w:lineRule="auto"/>
              <w:jc w:val="right"/>
              <w:rPr>
                <w:color w:val="auto"/>
                <w:sz w:val="30"/>
                <w:szCs w:val="30"/>
                <w:highlight w:val="none"/>
              </w:rPr>
            </w:pPr>
            <w:r>
              <w:rPr>
                <w:rFonts w:ascii="宋体" w:hAnsi="宋体" w:cs="宋体"/>
                <w:color w:val="auto"/>
                <w:kern w:val="0"/>
                <w:sz w:val="30"/>
                <w:szCs w:val="30"/>
                <w:highlight w:val="none"/>
              </w:rPr>
              <w:t>货币类型：</w:t>
            </w:r>
          </w:p>
        </w:tc>
        <w:tc>
          <w:tcPr>
            <w:tcW w:w="3286" w:type="pct"/>
            <w:shd w:val="clear" w:color="auto" w:fill="auto"/>
            <w:vAlign w:val="center"/>
          </w:tcPr>
          <w:p w14:paraId="365479AE">
            <w:pPr>
              <w:pageBreakBefore w:val="0"/>
              <w:widowControl/>
              <w:kinsoku/>
              <w:overflowPunct/>
              <w:topLinePunct w:val="0"/>
              <w:bidi w:val="0"/>
              <w:spacing w:line="360" w:lineRule="auto"/>
              <w:jc w:val="left"/>
              <w:rPr>
                <w:color w:val="0000FF"/>
                <w:sz w:val="30"/>
                <w:szCs w:val="30"/>
                <w:highlight w:val="none"/>
              </w:rPr>
            </w:pPr>
            <w:r>
              <w:rPr>
                <w:rFonts w:ascii="宋体" w:hAnsi="宋体" w:cs="宋体"/>
                <w:color w:val="0000FF"/>
                <w:kern w:val="0"/>
                <w:sz w:val="30"/>
                <w:szCs w:val="30"/>
                <w:highlight w:val="none"/>
              </w:rPr>
              <w:t>人民币</w:t>
            </w:r>
          </w:p>
        </w:tc>
      </w:tr>
      <w:tr w14:paraId="6CD0AF6F">
        <w:tblPrEx>
          <w:tblCellMar>
            <w:top w:w="45" w:type="dxa"/>
            <w:left w:w="45" w:type="dxa"/>
            <w:bottom w:w="45" w:type="dxa"/>
            <w:right w:w="45" w:type="dxa"/>
          </w:tblCellMar>
        </w:tblPrEx>
        <w:trPr>
          <w:trHeight w:val="738" w:hRule="atLeast"/>
          <w:tblCellSpacing w:w="0" w:type="dxa"/>
          <w:jc w:val="center"/>
        </w:trPr>
        <w:tc>
          <w:tcPr>
            <w:tcW w:w="1713" w:type="pct"/>
            <w:shd w:val="clear" w:color="auto" w:fill="auto"/>
            <w:vAlign w:val="center"/>
          </w:tcPr>
          <w:p w14:paraId="36D8A41D">
            <w:pPr>
              <w:pageBreakBefore w:val="0"/>
              <w:widowControl/>
              <w:kinsoku/>
              <w:overflowPunct/>
              <w:topLinePunct w:val="0"/>
              <w:bidi w:val="0"/>
              <w:spacing w:line="360" w:lineRule="auto"/>
              <w:jc w:val="right"/>
              <w:rPr>
                <w:color w:val="auto"/>
                <w:sz w:val="30"/>
                <w:szCs w:val="30"/>
                <w:highlight w:val="none"/>
              </w:rPr>
            </w:pPr>
            <w:r>
              <w:rPr>
                <w:rFonts w:ascii="宋体" w:hAnsi="宋体" w:cs="宋体"/>
                <w:color w:val="auto"/>
                <w:kern w:val="0"/>
                <w:sz w:val="30"/>
                <w:szCs w:val="30"/>
                <w:highlight w:val="none"/>
              </w:rPr>
              <w:t>评标方法：</w:t>
            </w:r>
          </w:p>
        </w:tc>
        <w:tc>
          <w:tcPr>
            <w:tcW w:w="3286" w:type="pct"/>
            <w:shd w:val="clear" w:color="auto" w:fill="auto"/>
            <w:vAlign w:val="center"/>
          </w:tcPr>
          <w:p w14:paraId="19CAAAA9">
            <w:pPr>
              <w:pageBreakBefore w:val="0"/>
              <w:widowControl/>
              <w:kinsoku/>
              <w:overflowPunct/>
              <w:topLinePunct w:val="0"/>
              <w:bidi w:val="0"/>
              <w:spacing w:line="360" w:lineRule="auto"/>
              <w:jc w:val="left"/>
              <w:rPr>
                <w:color w:val="0000FF"/>
                <w:sz w:val="30"/>
                <w:szCs w:val="30"/>
                <w:highlight w:val="none"/>
              </w:rPr>
            </w:pPr>
            <w:r>
              <w:rPr>
                <w:rFonts w:ascii="宋体" w:hAnsi="宋体" w:eastAsia="宋体" w:cs="宋体"/>
                <w:color w:val="0000FF"/>
                <w:kern w:val="0"/>
                <w:sz w:val="30"/>
                <w:szCs w:val="30"/>
                <w:highlight w:val="none"/>
                <w:lang w:bidi="ar"/>
              </w:rPr>
              <w:t>综合评分法</w:t>
            </w:r>
          </w:p>
        </w:tc>
      </w:tr>
    </w:tbl>
    <w:p w14:paraId="4EF6A92A">
      <w:pPr>
        <w:pageBreakBefore w:val="0"/>
        <w:kinsoku/>
        <w:overflowPunct/>
        <w:topLinePunct w:val="0"/>
        <w:bidi w:val="0"/>
        <w:spacing w:line="360" w:lineRule="auto"/>
        <w:rPr>
          <w:rFonts w:hint="eastAsia" w:ascii="黑体" w:hAnsi="黑体" w:eastAsia="黑体"/>
          <w:color w:val="auto"/>
          <w:sz w:val="40"/>
          <w:szCs w:val="40"/>
          <w:highlight w:val="none"/>
        </w:rPr>
      </w:pPr>
      <w:r>
        <w:rPr>
          <w:rFonts w:hint="eastAsia" w:ascii="黑体" w:hAnsi="黑体" w:eastAsia="黑体"/>
          <w:color w:val="auto"/>
          <w:sz w:val="40"/>
          <w:szCs w:val="40"/>
          <w:highlight w:val="none"/>
        </w:rPr>
        <w:br w:type="page"/>
      </w:r>
    </w:p>
    <w:p w14:paraId="5923D97D">
      <w:pPr>
        <w:pStyle w:val="38"/>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黑体" w:hAnsi="黑体" w:eastAsia="黑体"/>
          <w:color w:val="auto"/>
          <w:sz w:val="40"/>
          <w:szCs w:val="40"/>
          <w:highlight w:val="none"/>
        </w:rPr>
      </w:pPr>
      <w:r>
        <w:rPr>
          <w:rFonts w:hint="eastAsia" w:ascii="黑体" w:hAnsi="黑体" w:eastAsia="黑体"/>
          <w:color w:val="auto"/>
          <w:sz w:val="40"/>
          <w:szCs w:val="40"/>
          <w:highlight w:val="none"/>
        </w:rPr>
        <w:t>资格性审查表</w:t>
      </w:r>
    </w:p>
    <w:tbl>
      <w:tblPr>
        <w:tblStyle w:val="44"/>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1032"/>
        <w:gridCol w:w="7495"/>
      </w:tblGrid>
      <w:tr w14:paraId="4F4492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5"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5690F121">
            <w:pPr>
              <w:pageBreakBefore w:val="0"/>
              <w:kinsoku/>
              <w:overflowPunct/>
              <w:topLinePunct w:val="0"/>
              <w:bidi w:val="0"/>
              <w:spacing w:line="360" w:lineRule="auto"/>
              <w:jc w:val="center"/>
              <w:rPr>
                <w:rFonts w:ascii="宋体" w:hAnsi="宋体" w:cs="宋体"/>
                <w:color w:val="auto"/>
                <w:sz w:val="28"/>
                <w:szCs w:val="28"/>
                <w:highlight w:val="none"/>
              </w:rPr>
            </w:pPr>
            <w:r>
              <w:rPr>
                <w:color w:val="auto"/>
                <w:sz w:val="28"/>
                <w:szCs w:val="28"/>
                <w:highlight w:val="none"/>
              </w:rPr>
              <w:t>序号</w:t>
            </w:r>
          </w:p>
        </w:tc>
        <w:tc>
          <w:tcPr>
            <w:tcW w:w="4394"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428D1997">
            <w:pPr>
              <w:pageBreakBefore w:val="0"/>
              <w:kinsoku/>
              <w:overflowPunct/>
              <w:topLinePunct w:val="0"/>
              <w:bidi w:val="0"/>
              <w:spacing w:line="360" w:lineRule="auto"/>
              <w:jc w:val="center"/>
              <w:rPr>
                <w:rFonts w:ascii="宋体" w:hAnsi="宋体" w:cs="宋体"/>
                <w:color w:val="auto"/>
                <w:sz w:val="28"/>
                <w:szCs w:val="28"/>
                <w:highlight w:val="none"/>
              </w:rPr>
            </w:pPr>
            <w:r>
              <w:rPr>
                <w:color w:val="auto"/>
                <w:sz w:val="28"/>
                <w:szCs w:val="28"/>
                <w:highlight w:val="none"/>
              </w:rPr>
              <w:t>内容</w:t>
            </w:r>
          </w:p>
        </w:tc>
      </w:tr>
      <w:tr w14:paraId="058A2E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5" w:type="pct"/>
            <w:tcBorders>
              <w:top w:val="single" w:color="000000" w:sz="8" w:space="0"/>
              <w:left w:val="single" w:color="000000" w:sz="8" w:space="0"/>
              <w:bottom w:val="single" w:color="000000" w:sz="8" w:space="0"/>
              <w:right w:val="single" w:color="000000" w:sz="8" w:space="0"/>
            </w:tcBorders>
          </w:tcPr>
          <w:p w14:paraId="075B1952">
            <w:pPr>
              <w:pageBreakBefore w:val="0"/>
              <w:kinsoku/>
              <w:overflowPunct/>
              <w:topLinePunct w:val="0"/>
              <w:bidi w:val="0"/>
              <w:spacing w:line="360" w:lineRule="auto"/>
              <w:jc w:val="center"/>
              <w:rPr>
                <w:rFonts w:ascii="宋体" w:hAnsi="宋体" w:cs="宋体"/>
                <w:color w:val="auto"/>
                <w:szCs w:val="21"/>
                <w:highlight w:val="none"/>
              </w:rPr>
            </w:pPr>
            <w:r>
              <w:rPr>
                <w:color w:val="auto"/>
                <w:szCs w:val="21"/>
                <w:highlight w:val="none"/>
              </w:rPr>
              <w:t>1</w:t>
            </w:r>
          </w:p>
        </w:tc>
        <w:tc>
          <w:tcPr>
            <w:tcW w:w="4394" w:type="pct"/>
            <w:tcBorders>
              <w:top w:val="single" w:color="000000" w:sz="8" w:space="0"/>
              <w:left w:val="single" w:color="000000" w:sz="8" w:space="0"/>
              <w:bottom w:val="single" w:color="000000" w:sz="8" w:space="0"/>
              <w:right w:val="single" w:color="000000" w:sz="8" w:space="0"/>
            </w:tcBorders>
          </w:tcPr>
          <w:p w14:paraId="5F4D4D0D">
            <w:pPr>
              <w:pageBreakBefore w:val="0"/>
              <w:kinsoku/>
              <w:overflowPunct/>
              <w:topLinePunct w:val="0"/>
              <w:bidi w:val="0"/>
              <w:spacing w:line="360" w:lineRule="auto"/>
              <w:rPr>
                <w:rFonts w:ascii="宋体" w:hAnsi="宋体" w:cs="宋体"/>
                <w:color w:val="auto"/>
                <w:szCs w:val="21"/>
                <w:highlight w:val="none"/>
              </w:rPr>
            </w:pPr>
            <w:r>
              <w:rPr>
                <w:rFonts w:ascii="宋体" w:hAnsi="宋体" w:cs="宋体"/>
                <w:color w:val="auto"/>
                <w:kern w:val="0"/>
                <w:szCs w:val="21"/>
                <w:highlight w:val="none"/>
              </w:rPr>
              <w:t>投标人不</w:t>
            </w:r>
            <w:r>
              <w:rPr>
                <w:rFonts w:hint="eastAsia" w:ascii="宋体" w:hAnsi="宋体" w:cs="宋体"/>
                <w:color w:val="auto"/>
                <w:kern w:val="0"/>
                <w:szCs w:val="21"/>
                <w:highlight w:val="none"/>
              </w:rPr>
              <w:t>符合</w:t>
            </w:r>
            <w:r>
              <w:rPr>
                <w:rFonts w:ascii="宋体" w:hAnsi="宋体" w:cs="宋体"/>
                <w:color w:val="auto"/>
                <w:kern w:val="0"/>
                <w:szCs w:val="21"/>
                <w:highlight w:val="none"/>
              </w:rPr>
              <w:t>资格要求，或未提交相应的资格证明资料（详见</w:t>
            </w:r>
            <w:r>
              <w:rPr>
                <w:rFonts w:hint="eastAsia" w:ascii="宋体" w:hAnsi="宋体" w:cs="宋体"/>
                <w:color w:val="auto"/>
                <w:kern w:val="0"/>
                <w:szCs w:val="21"/>
                <w:highlight w:val="none"/>
              </w:rPr>
              <w:t>招标</w:t>
            </w:r>
            <w:r>
              <w:rPr>
                <w:rFonts w:ascii="宋体" w:hAnsi="宋体" w:cs="宋体"/>
                <w:color w:val="auto"/>
                <w:kern w:val="0"/>
                <w:szCs w:val="21"/>
                <w:highlight w:val="none"/>
              </w:rPr>
              <w:t>公告</w:t>
            </w:r>
            <w:r>
              <w:rPr>
                <w:rFonts w:hint="eastAsia" w:ascii="宋体" w:hAnsi="宋体"/>
                <w:color w:val="auto"/>
                <w:szCs w:val="21"/>
                <w:highlight w:val="none"/>
              </w:rPr>
              <w:t>投标人资格要求</w:t>
            </w:r>
            <w:r>
              <w:rPr>
                <w:rFonts w:ascii="宋体" w:hAnsi="宋体" w:cs="宋体"/>
                <w:color w:val="auto"/>
                <w:kern w:val="0"/>
                <w:szCs w:val="21"/>
                <w:highlight w:val="none"/>
              </w:rPr>
              <w:t>）</w:t>
            </w:r>
          </w:p>
        </w:tc>
      </w:tr>
    </w:tbl>
    <w:p w14:paraId="6324FE1B">
      <w:pPr>
        <w:pStyle w:val="38"/>
        <w:keepNext w:val="0"/>
        <w:keepLines w:val="0"/>
        <w:pageBreakBefore w:val="0"/>
        <w:widowControl w:val="0"/>
        <w:kinsoku/>
        <w:wordWrap/>
        <w:overflowPunct/>
        <w:topLinePunct w:val="0"/>
        <w:autoSpaceDE/>
        <w:autoSpaceDN/>
        <w:bidi w:val="0"/>
        <w:adjustRightInd/>
        <w:snapToGrid/>
        <w:spacing w:before="280" w:line="360" w:lineRule="auto"/>
        <w:jc w:val="center"/>
        <w:textAlignment w:val="auto"/>
        <w:outlineLvl w:val="0"/>
        <w:rPr>
          <w:rFonts w:ascii="黑体" w:hAnsi="黑体" w:eastAsia="黑体"/>
          <w:color w:val="auto"/>
          <w:sz w:val="40"/>
          <w:szCs w:val="40"/>
          <w:highlight w:val="none"/>
        </w:rPr>
      </w:pPr>
      <w:r>
        <w:rPr>
          <w:rFonts w:hint="eastAsia" w:ascii="黑体" w:hAnsi="黑体" w:eastAsia="黑体"/>
          <w:color w:val="auto"/>
          <w:sz w:val="40"/>
          <w:szCs w:val="40"/>
          <w:highlight w:val="none"/>
        </w:rPr>
        <w:t>符合性审查表</w:t>
      </w:r>
    </w:p>
    <w:tbl>
      <w:tblPr>
        <w:tblStyle w:val="44"/>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1021"/>
        <w:gridCol w:w="7506"/>
      </w:tblGrid>
      <w:tr w14:paraId="1ACAED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99"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4E3B9DA8">
            <w:pPr>
              <w:pageBreakBefore w:val="0"/>
              <w:widowControl/>
              <w:kinsoku/>
              <w:overflowPunct/>
              <w:topLinePunct w:val="0"/>
              <w:bidi w:val="0"/>
              <w:spacing w:line="360" w:lineRule="auto"/>
              <w:jc w:val="center"/>
              <w:rPr>
                <w:color w:val="auto"/>
                <w:sz w:val="28"/>
                <w:szCs w:val="28"/>
                <w:highlight w:val="none"/>
              </w:rPr>
            </w:pPr>
            <w:r>
              <w:rPr>
                <w:rFonts w:ascii="宋体" w:hAnsi="宋体" w:cs="宋体"/>
                <w:color w:val="auto"/>
                <w:kern w:val="0"/>
                <w:sz w:val="28"/>
                <w:szCs w:val="28"/>
                <w:highlight w:val="none"/>
              </w:rPr>
              <w:t>序号</w:t>
            </w:r>
          </w:p>
        </w:tc>
        <w:tc>
          <w:tcPr>
            <w:tcW w:w="4400"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17597FF7">
            <w:pPr>
              <w:pageBreakBefore w:val="0"/>
              <w:widowControl/>
              <w:kinsoku/>
              <w:overflowPunct/>
              <w:topLinePunct w:val="0"/>
              <w:bidi w:val="0"/>
              <w:spacing w:line="360" w:lineRule="auto"/>
              <w:jc w:val="center"/>
              <w:rPr>
                <w:color w:val="auto"/>
                <w:sz w:val="28"/>
                <w:szCs w:val="28"/>
                <w:highlight w:val="none"/>
              </w:rPr>
            </w:pPr>
            <w:r>
              <w:rPr>
                <w:rFonts w:ascii="宋体" w:hAnsi="宋体" w:cs="宋体"/>
                <w:color w:val="auto"/>
                <w:kern w:val="0"/>
                <w:sz w:val="28"/>
                <w:szCs w:val="28"/>
                <w:highlight w:val="none"/>
              </w:rPr>
              <w:t>内容</w:t>
            </w:r>
          </w:p>
        </w:tc>
      </w:tr>
      <w:tr w14:paraId="66F798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99" w:type="pct"/>
            <w:tcBorders>
              <w:top w:val="single" w:color="000000" w:sz="8" w:space="0"/>
              <w:left w:val="single" w:color="000000" w:sz="8" w:space="0"/>
              <w:bottom w:val="single" w:color="000000" w:sz="8" w:space="0"/>
              <w:right w:val="single" w:color="000000" w:sz="8" w:space="0"/>
            </w:tcBorders>
            <w:shd w:val="clear" w:color="auto" w:fill="auto"/>
          </w:tcPr>
          <w:p w14:paraId="2EB62EA0">
            <w:pPr>
              <w:pageBreakBefore w:val="0"/>
              <w:widowControl/>
              <w:kinsoku/>
              <w:overflowPunct/>
              <w:topLinePunct w:val="0"/>
              <w:bidi w:val="0"/>
              <w:spacing w:line="360" w:lineRule="auto"/>
              <w:jc w:val="center"/>
              <w:textAlignment w:val="top"/>
              <w:rPr>
                <w:color w:val="auto"/>
                <w:szCs w:val="21"/>
                <w:highlight w:val="none"/>
              </w:rPr>
            </w:pPr>
            <w:r>
              <w:rPr>
                <w:rFonts w:ascii="宋体" w:hAnsi="宋体" w:cs="宋体"/>
                <w:color w:val="auto"/>
                <w:kern w:val="0"/>
                <w:szCs w:val="21"/>
                <w:highlight w:val="none"/>
              </w:rPr>
              <w:t>1</w:t>
            </w:r>
          </w:p>
        </w:tc>
        <w:tc>
          <w:tcPr>
            <w:tcW w:w="4400" w:type="pct"/>
            <w:tcBorders>
              <w:top w:val="single" w:color="000000" w:sz="8" w:space="0"/>
              <w:left w:val="single" w:color="000000" w:sz="8" w:space="0"/>
              <w:bottom w:val="single" w:color="000000" w:sz="8" w:space="0"/>
              <w:right w:val="single" w:color="000000" w:sz="8" w:space="0"/>
            </w:tcBorders>
            <w:shd w:val="clear" w:color="auto" w:fill="auto"/>
          </w:tcPr>
          <w:p w14:paraId="734B5827">
            <w:pPr>
              <w:pageBreakBefore w:val="0"/>
              <w:widowControl/>
              <w:kinsoku/>
              <w:overflowPunct/>
              <w:topLinePunct w:val="0"/>
              <w:bidi w:val="0"/>
              <w:spacing w:line="360" w:lineRule="auto"/>
              <w:jc w:val="left"/>
              <w:textAlignment w:val="top"/>
              <w:rPr>
                <w:color w:val="auto"/>
                <w:szCs w:val="21"/>
                <w:highlight w:val="none"/>
              </w:rPr>
            </w:pPr>
            <w:r>
              <w:rPr>
                <w:rFonts w:hint="eastAsia"/>
                <w:color w:val="auto"/>
                <w:highlight w:val="none"/>
              </w:rPr>
              <w:t>不得将一个包内容拆开投标；</w:t>
            </w:r>
          </w:p>
        </w:tc>
      </w:tr>
      <w:tr w14:paraId="4CC53B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99" w:type="pct"/>
            <w:tcBorders>
              <w:top w:val="single" w:color="000000" w:sz="8" w:space="0"/>
              <w:left w:val="single" w:color="000000" w:sz="8" w:space="0"/>
              <w:bottom w:val="single" w:color="000000" w:sz="8" w:space="0"/>
              <w:right w:val="single" w:color="000000" w:sz="8" w:space="0"/>
            </w:tcBorders>
            <w:shd w:val="clear" w:color="auto" w:fill="auto"/>
          </w:tcPr>
          <w:p w14:paraId="2C29423B">
            <w:pPr>
              <w:pageBreakBefore w:val="0"/>
              <w:widowControl/>
              <w:kinsoku/>
              <w:overflowPunct/>
              <w:topLinePunct w:val="0"/>
              <w:bidi w:val="0"/>
              <w:spacing w:line="360" w:lineRule="auto"/>
              <w:jc w:val="center"/>
              <w:textAlignment w:val="top"/>
              <w:rPr>
                <w:color w:val="auto"/>
                <w:szCs w:val="21"/>
                <w:highlight w:val="none"/>
              </w:rPr>
            </w:pPr>
            <w:r>
              <w:rPr>
                <w:rFonts w:ascii="宋体" w:hAnsi="宋体" w:cs="宋体"/>
                <w:color w:val="auto"/>
                <w:kern w:val="0"/>
                <w:szCs w:val="21"/>
                <w:highlight w:val="none"/>
              </w:rPr>
              <w:t>2</w:t>
            </w:r>
          </w:p>
        </w:tc>
        <w:tc>
          <w:tcPr>
            <w:tcW w:w="4400" w:type="pct"/>
            <w:tcBorders>
              <w:top w:val="single" w:color="000000" w:sz="8" w:space="0"/>
              <w:left w:val="single" w:color="000000" w:sz="8" w:space="0"/>
              <w:bottom w:val="single" w:color="000000" w:sz="8" w:space="0"/>
              <w:right w:val="single" w:color="000000" w:sz="8" w:space="0"/>
            </w:tcBorders>
            <w:shd w:val="clear" w:color="auto" w:fill="auto"/>
          </w:tcPr>
          <w:p w14:paraId="61440FD0">
            <w:pPr>
              <w:pageBreakBefore w:val="0"/>
              <w:widowControl/>
              <w:kinsoku/>
              <w:overflowPunct/>
              <w:topLinePunct w:val="0"/>
              <w:bidi w:val="0"/>
              <w:spacing w:line="360" w:lineRule="auto"/>
              <w:jc w:val="left"/>
              <w:textAlignment w:val="top"/>
              <w:rPr>
                <w:color w:val="auto"/>
                <w:szCs w:val="21"/>
                <w:highlight w:val="none"/>
              </w:rPr>
            </w:pPr>
            <w:r>
              <w:rPr>
                <w:rFonts w:hint="eastAsia"/>
                <w:color w:val="auto"/>
                <w:highlight w:val="none"/>
              </w:rPr>
              <w:t>对同一项目投标时，不得提供两套以上的投标方案（招标文件另有规定的除外）；</w:t>
            </w:r>
          </w:p>
        </w:tc>
      </w:tr>
      <w:tr w14:paraId="5AD1F9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99" w:type="pct"/>
            <w:tcBorders>
              <w:top w:val="single" w:color="000000" w:sz="8" w:space="0"/>
              <w:left w:val="single" w:color="000000" w:sz="8" w:space="0"/>
              <w:bottom w:val="single" w:color="000000" w:sz="8" w:space="0"/>
              <w:right w:val="single" w:color="000000" w:sz="8" w:space="0"/>
            </w:tcBorders>
            <w:shd w:val="clear" w:color="auto" w:fill="auto"/>
          </w:tcPr>
          <w:p w14:paraId="76740474">
            <w:pPr>
              <w:pageBreakBefore w:val="0"/>
              <w:widowControl/>
              <w:kinsoku/>
              <w:overflowPunct/>
              <w:topLinePunct w:val="0"/>
              <w:bidi w:val="0"/>
              <w:spacing w:line="360" w:lineRule="auto"/>
              <w:jc w:val="center"/>
              <w:textAlignment w:val="top"/>
              <w:rPr>
                <w:color w:val="auto"/>
                <w:szCs w:val="21"/>
                <w:highlight w:val="none"/>
              </w:rPr>
            </w:pPr>
            <w:r>
              <w:rPr>
                <w:rFonts w:ascii="宋体" w:hAnsi="宋体" w:cs="宋体"/>
                <w:color w:val="auto"/>
                <w:kern w:val="0"/>
                <w:szCs w:val="21"/>
                <w:highlight w:val="none"/>
              </w:rPr>
              <w:t>3</w:t>
            </w:r>
          </w:p>
        </w:tc>
        <w:tc>
          <w:tcPr>
            <w:tcW w:w="4400" w:type="pct"/>
            <w:tcBorders>
              <w:top w:val="single" w:color="000000" w:sz="8" w:space="0"/>
              <w:left w:val="single" w:color="000000" w:sz="8" w:space="0"/>
              <w:bottom w:val="single" w:color="000000" w:sz="8" w:space="0"/>
              <w:right w:val="single" w:color="000000" w:sz="8" w:space="0"/>
            </w:tcBorders>
            <w:shd w:val="clear" w:color="auto" w:fill="auto"/>
          </w:tcPr>
          <w:p w14:paraId="223366A2">
            <w:pPr>
              <w:pageBreakBefore w:val="0"/>
              <w:widowControl/>
              <w:kinsoku/>
              <w:overflowPunct/>
              <w:topLinePunct w:val="0"/>
              <w:bidi w:val="0"/>
              <w:spacing w:line="360" w:lineRule="auto"/>
              <w:jc w:val="left"/>
              <w:textAlignment w:val="top"/>
              <w:rPr>
                <w:rFonts w:hint="default" w:eastAsia="宋体"/>
                <w:color w:val="auto"/>
                <w:szCs w:val="21"/>
                <w:highlight w:val="none"/>
                <w:lang w:val="en-US" w:eastAsia="zh-CN"/>
              </w:rPr>
            </w:pPr>
            <w:r>
              <w:rPr>
                <w:rFonts w:hint="eastAsia"/>
                <w:color w:val="auto"/>
                <w:szCs w:val="21"/>
                <w:highlight w:val="none"/>
                <w:lang w:val="en-US" w:eastAsia="zh-CN"/>
              </w:rPr>
              <w:t>投标报价不满足招标文件要求；</w:t>
            </w:r>
          </w:p>
        </w:tc>
      </w:tr>
      <w:tr w14:paraId="25FCC3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599" w:type="pct"/>
            <w:tcBorders>
              <w:top w:val="single" w:color="000000" w:sz="8" w:space="0"/>
              <w:left w:val="single" w:color="000000" w:sz="8" w:space="0"/>
              <w:bottom w:val="single" w:color="000000" w:sz="8" w:space="0"/>
              <w:right w:val="single" w:color="000000" w:sz="8" w:space="0"/>
            </w:tcBorders>
            <w:shd w:val="clear" w:color="auto" w:fill="auto"/>
          </w:tcPr>
          <w:p w14:paraId="2C5C35BD">
            <w:pPr>
              <w:pageBreakBefore w:val="0"/>
              <w:widowControl/>
              <w:kinsoku/>
              <w:overflowPunct/>
              <w:topLinePunct w:val="0"/>
              <w:bidi w:val="0"/>
              <w:spacing w:line="360" w:lineRule="auto"/>
              <w:jc w:val="center"/>
              <w:textAlignment w:val="top"/>
              <w:rPr>
                <w:color w:val="auto"/>
                <w:szCs w:val="21"/>
                <w:highlight w:val="none"/>
              </w:rPr>
            </w:pPr>
            <w:r>
              <w:rPr>
                <w:rFonts w:ascii="宋体" w:hAnsi="宋体" w:cs="宋体"/>
                <w:color w:val="auto"/>
                <w:kern w:val="0"/>
                <w:szCs w:val="21"/>
                <w:highlight w:val="none"/>
              </w:rPr>
              <w:t>4</w:t>
            </w:r>
          </w:p>
        </w:tc>
        <w:tc>
          <w:tcPr>
            <w:tcW w:w="4400" w:type="pct"/>
            <w:tcBorders>
              <w:top w:val="single" w:color="000000" w:sz="8" w:space="0"/>
              <w:left w:val="single" w:color="000000" w:sz="8" w:space="0"/>
              <w:bottom w:val="single" w:color="000000" w:sz="8" w:space="0"/>
              <w:right w:val="single" w:color="000000" w:sz="8" w:space="0"/>
            </w:tcBorders>
            <w:shd w:val="clear" w:color="auto" w:fill="auto"/>
          </w:tcPr>
          <w:p w14:paraId="5B8DFC08">
            <w:pPr>
              <w:pageBreakBefore w:val="0"/>
              <w:widowControl/>
              <w:kinsoku/>
              <w:overflowPunct/>
              <w:topLinePunct w:val="0"/>
              <w:bidi w:val="0"/>
              <w:spacing w:line="360" w:lineRule="auto"/>
              <w:jc w:val="left"/>
              <w:textAlignment w:val="top"/>
              <w:rPr>
                <w:color w:val="auto"/>
                <w:szCs w:val="21"/>
                <w:highlight w:val="none"/>
              </w:rPr>
            </w:pPr>
            <w:r>
              <w:rPr>
                <w:rFonts w:hint="eastAsia"/>
                <w:color w:val="auto"/>
                <w:highlight w:val="none"/>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2690D3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99" w:type="pct"/>
            <w:tcBorders>
              <w:top w:val="single" w:color="000000" w:sz="8" w:space="0"/>
              <w:left w:val="single" w:color="000000" w:sz="8" w:space="0"/>
              <w:bottom w:val="single" w:color="000000" w:sz="8" w:space="0"/>
              <w:right w:val="single" w:color="000000" w:sz="8" w:space="0"/>
            </w:tcBorders>
            <w:shd w:val="clear" w:color="auto" w:fill="auto"/>
          </w:tcPr>
          <w:p w14:paraId="0065F92D">
            <w:pPr>
              <w:pageBreakBefore w:val="0"/>
              <w:widowControl/>
              <w:kinsoku/>
              <w:overflowPunct/>
              <w:topLinePunct w:val="0"/>
              <w:bidi w:val="0"/>
              <w:spacing w:line="360" w:lineRule="auto"/>
              <w:jc w:val="center"/>
              <w:textAlignment w:val="top"/>
              <w:rPr>
                <w:color w:val="auto"/>
                <w:szCs w:val="21"/>
                <w:highlight w:val="none"/>
              </w:rPr>
            </w:pPr>
            <w:r>
              <w:rPr>
                <w:rFonts w:ascii="宋体" w:hAnsi="宋体" w:cs="宋体"/>
                <w:color w:val="auto"/>
                <w:kern w:val="0"/>
                <w:szCs w:val="21"/>
                <w:highlight w:val="none"/>
              </w:rPr>
              <w:t>5</w:t>
            </w:r>
          </w:p>
        </w:tc>
        <w:tc>
          <w:tcPr>
            <w:tcW w:w="4400" w:type="pct"/>
            <w:tcBorders>
              <w:top w:val="single" w:color="000000" w:sz="8" w:space="0"/>
              <w:left w:val="single" w:color="000000" w:sz="8" w:space="0"/>
              <w:bottom w:val="single" w:color="000000" w:sz="8" w:space="0"/>
              <w:right w:val="single" w:color="000000" w:sz="8" w:space="0"/>
            </w:tcBorders>
            <w:shd w:val="clear" w:color="auto" w:fill="auto"/>
          </w:tcPr>
          <w:p w14:paraId="7220E712">
            <w:pPr>
              <w:pageBreakBefore w:val="0"/>
              <w:widowControl/>
              <w:kinsoku/>
              <w:overflowPunct/>
              <w:topLinePunct w:val="0"/>
              <w:bidi w:val="0"/>
              <w:spacing w:line="360" w:lineRule="auto"/>
              <w:jc w:val="left"/>
              <w:textAlignment w:val="top"/>
              <w:rPr>
                <w:color w:val="auto"/>
                <w:szCs w:val="21"/>
                <w:highlight w:val="none"/>
              </w:rPr>
            </w:pPr>
            <w:r>
              <w:rPr>
                <w:rFonts w:hint="eastAsia"/>
                <w:color w:val="auto"/>
                <w:highlight w:val="none"/>
              </w:rPr>
              <w:t>所投货物、服务在技术、商务等方面没有实质性满足（</w:t>
            </w:r>
            <w:r>
              <w:rPr>
                <w:rFonts w:hint="eastAsia" w:ascii="Calibri" w:hAnsi="Calibri"/>
                <w:color w:val="auto"/>
                <w:highlight w:val="none"/>
              </w:rPr>
              <w:t>或未响应招标文件中带★号条款或响应有负偏离）</w:t>
            </w:r>
            <w:r>
              <w:rPr>
                <w:rFonts w:hint="eastAsia"/>
                <w:color w:val="auto"/>
                <w:highlight w:val="none"/>
              </w:rPr>
              <w:t>招标文件要求的（是否实质性满足招标文件要求，由评审委员会根据实质性条款响应情况作出评判）；</w:t>
            </w:r>
          </w:p>
        </w:tc>
      </w:tr>
      <w:tr w14:paraId="3449CB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99" w:type="pct"/>
            <w:tcBorders>
              <w:top w:val="single" w:color="000000" w:sz="8" w:space="0"/>
              <w:left w:val="single" w:color="000000" w:sz="8" w:space="0"/>
              <w:bottom w:val="single" w:color="000000" w:sz="8" w:space="0"/>
              <w:right w:val="single" w:color="000000" w:sz="8" w:space="0"/>
            </w:tcBorders>
            <w:shd w:val="clear" w:color="auto" w:fill="auto"/>
          </w:tcPr>
          <w:p w14:paraId="741F0B73">
            <w:pPr>
              <w:pageBreakBefore w:val="0"/>
              <w:widowControl/>
              <w:kinsoku/>
              <w:overflowPunct/>
              <w:topLinePunct w:val="0"/>
              <w:bidi w:val="0"/>
              <w:spacing w:line="360" w:lineRule="auto"/>
              <w:jc w:val="center"/>
              <w:textAlignment w:val="top"/>
              <w:rPr>
                <w:color w:val="auto"/>
                <w:szCs w:val="21"/>
                <w:highlight w:val="none"/>
              </w:rPr>
            </w:pPr>
            <w:r>
              <w:rPr>
                <w:rFonts w:ascii="宋体" w:hAnsi="宋体" w:cs="宋体"/>
                <w:color w:val="auto"/>
                <w:kern w:val="0"/>
                <w:szCs w:val="21"/>
                <w:highlight w:val="none"/>
              </w:rPr>
              <w:t>6</w:t>
            </w:r>
          </w:p>
        </w:tc>
        <w:tc>
          <w:tcPr>
            <w:tcW w:w="4400" w:type="pct"/>
            <w:tcBorders>
              <w:top w:val="single" w:color="000000" w:sz="8" w:space="0"/>
              <w:left w:val="single" w:color="000000" w:sz="8" w:space="0"/>
              <w:bottom w:val="single" w:color="000000" w:sz="8" w:space="0"/>
              <w:right w:val="single" w:color="000000" w:sz="8" w:space="0"/>
            </w:tcBorders>
            <w:shd w:val="clear" w:color="auto" w:fill="auto"/>
          </w:tcPr>
          <w:p w14:paraId="0F2ECB81">
            <w:pPr>
              <w:pageBreakBefore w:val="0"/>
              <w:widowControl/>
              <w:kinsoku/>
              <w:overflowPunct/>
              <w:topLinePunct w:val="0"/>
              <w:bidi w:val="0"/>
              <w:spacing w:line="360" w:lineRule="auto"/>
              <w:jc w:val="left"/>
              <w:textAlignment w:val="top"/>
              <w:rPr>
                <w:color w:val="auto"/>
                <w:szCs w:val="21"/>
                <w:highlight w:val="none"/>
              </w:rPr>
            </w:pPr>
            <w:r>
              <w:rPr>
                <w:rFonts w:hint="eastAsia"/>
                <w:color w:val="auto"/>
                <w:highlight w:val="none"/>
              </w:rPr>
              <w:t>未按招标文件所提供的样式填写《投标函》；未按招标文件所提供的《</w:t>
            </w:r>
            <w:r>
              <w:rPr>
                <w:rFonts w:hint="eastAsia"/>
                <w:color w:val="auto"/>
                <w:highlight w:val="none"/>
                <w:lang w:eastAsia="zh-CN"/>
              </w:rPr>
              <w:t>采购投标及履约承诺函</w:t>
            </w:r>
            <w:r>
              <w:rPr>
                <w:rFonts w:hint="eastAsia"/>
                <w:color w:val="auto"/>
                <w:highlight w:val="none"/>
              </w:rPr>
              <w:t>》进行承诺或不符合承诺的；未按招标文件对投标文件组成的要求提供投标文件；</w:t>
            </w:r>
          </w:p>
        </w:tc>
      </w:tr>
      <w:tr w14:paraId="002E69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99" w:type="pct"/>
            <w:tcBorders>
              <w:top w:val="single" w:color="000000" w:sz="8" w:space="0"/>
              <w:left w:val="single" w:color="000000" w:sz="8" w:space="0"/>
              <w:bottom w:val="single" w:color="000000" w:sz="8" w:space="0"/>
              <w:right w:val="single" w:color="000000" w:sz="8" w:space="0"/>
            </w:tcBorders>
            <w:shd w:val="clear" w:color="auto" w:fill="auto"/>
          </w:tcPr>
          <w:p w14:paraId="006DAD6B">
            <w:pPr>
              <w:pageBreakBefore w:val="0"/>
              <w:widowControl/>
              <w:kinsoku/>
              <w:overflowPunct/>
              <w:topLinePunct w:val="0"/>
              <w:bidi w:val="0"/>
              <w:spacing w:line="360" w:lineRule="auto"/>
              <w:jc w:val="center"/>
              <w:textAlignment w:val="top"/>
              <w:rPr>
                <w:color w:val="auto"/>
                <w:szCs w:val="21"/>
                <w:highlight w:val="none"/>
              </w:rPr>
            </w:pPr>
            <w:r>
              <w:rPr>
                <w:rFonts w:ascii="宋体" w:hAnsi="宋体" w:cs="宋体"/>
                <w:color w:val="auto"/>
                <w:kern w:val="0"/>
                <w:szCs w:val="21"/>
                <w:highlight w:val="none"/>
              </w:rPr>
              <w:t>7</w:t>
            </w:r>
          </w:p>
        </w:tc>
        <w:tc>
          <w:tcPr>
            <w:tcW w:w="4400" w:type="pct"/>
            <w:tcBorders>
              <w:top w:val="single" w:color="000000" w:sz="8" w:space="0"/>
              <w:left w:val="single" w:color="000000" w:sz="8" w:space="0"/>
              <w:bottom w:val="single" w:color="000000" w:sz="8" w:space="0"/>
              <w:right w:val="single" w:color="000000" w:sz="8" w:space="0"/>
            </w:tcBorders>
            <w:shd w:val="clear" w:color="auto" w:fill="auto"/>
          </w:tcPr>
          <w:p w14:paraId="5756777E">
            <w:pPr>
              <w:pageBreakBefore w:val="0"/>
              <w:widowControl/>
              <w:kinsoku/>
              <w:overflowPunct/>
              <w:topLinePunct w:val="0"/>
              <w:bidi w:val="0"/>
              <w:spacing w:line="360" w:lineRule="auto"/>
              <w:jc w:val="left"/>
              <w:textAlignment w:val="top"/>
              <w:rPr>
                <w:color w:val="auto"/>
                <w:szCs w:val="21"/>
                <w:highlight w:val="none"/>
              </w:rPr>
            </w:pPr>
            <w:r>
              <w:rPr>
                <w:rFonts w:hint="eastAsia"/>
                <w:color w:val="auto"/>
                <w:highlight w:val="none"/>
              </w:rPr>
              <w:t>采购标的/所投产品/货物清单有缺漏项或响应不全或报价有缺漏或者对招标文件规定的项目需求内容或者需求数量进行修改，评审委员会判定投标响应不满足采购需求；</w:t>
            </w:r>
          </w:p>
        </w:tc>
      </w:tr>
      <w:tr w14:paraId="2E6D4E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99" w:type="pct"/>
            <w:tcBorders>
              <w:top w:val="single" w:color="000000" w:sz="8" w:space="0"/>
              <w:left w:val="single" w:color="000000" w:sz="8" w:space="0"/>
              <w:bottom w:val="single" w:color="000000" w:sz="8" w:space="0"/>
              <w:right w:val="single" w:color="000000" w:sz="8" w:space="0"/>
            </w:tcBorders>
            <w:shd w:val="clear" w:color="auto" w:fill="auto"/>
          </w:tcPr>
          <w:p w14:paraId="4FB717D6">
            <w:pPr>
              <w:pageBreakBefore w:val="0"/>
              <w:widowControl/>
              <w:kinsoku/>
              <w:overflowPunct/>
              <w:topLinePunct w:val="0"/>
              <w:bidi w:val="0"/>
              <w:spacing w:line="360" w:lineRule="auto"/>
              <w:jc w:val="center"/>
              <w:textAlignment w:val="top"/>
              <w:rPr>
                <w:color w:val="auto"/>
                <w:szCs w:val="21"/>
                <w:highlight w:val="none"/>
              </w:rPr>
            </w:pPr>
            <w:r>
              <w:rPr>
                <w:rFonts w:ascii="宋体" w:hAnsi="宋体" w:cs="宋体"/>
                <w:color w:val="auto"/>
                <w:kern w:val="0"/>
                <w:szCs w:val="21"/>
                <w:highlight w:val="none"/>
              </w:rPr>
              <w:t>8</w:t>
            </w:r>
          </w:p>
        </w:tc>
        <w:tc>
          <w:tcPr>
            <w:tcW w:w="4400" w:type="pct"/>
            <w:tcBorders>
              <w:top w:val="single" w:color="000000" w:sz="8" w:space="0"/>
              <w:left w:val="single" w:color="000000" w:sz="8" w:space="0"/>
              <w:bottom w:val="single" w:color="000000" w:sz="8" w:space="0"/>
              <w:right w:val="single" w:color="000000" w:sz="8" w:space="0"/>
            </w:tcBorders>
            <w:shd w:val="clear" w:color="auto" w:fill="auto"/>
          </w:tcPr>
          <w:p w14:paraId="5FDBC888">
            <w:pPr>
              <w:pageBreakBefore w:val="0"/>
              <w:widowControl/>
              <w:kinsoku/>
              <w:overflowPunct/>
              <w:topLinePunct w:val="0"/>
              <w:bidi w:val="0"/>
              <w:spacing w:line="360" w:lineRule="auto"/>
              <w:jc w:val="left"/>
              <w:textAlignment w:val="top"/>
              <w:rPr>
                <w:color w:val="auto"/>
                <w:szCs w:val="21"/>
                <w:highlight w:val="none"/>
              </w:rPr>
            </w:pPr>
            <w:r>
              <w:rPr>
                <w:rFonts w:hint="eastAsia"/>
                <w:color w:val="auto"/>
                <w:highlight w:val="none"/>
              </w:rPr>
              <w:t>投标文件存在列放位置错误，导致属于信息公开情形的没有被公开；</w:t>
            </w:r>
          </w:p>
        </w:tc>
      </w:tr>
      <w:tr w14:paraId="737AB2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99" w:type="pct"/>
            <w:tcBorders>
              <w:top w:val="single" w:color="000000" w:sz="8" w:space="0"/>
              <w:left w:val="single" w:color="000000" w:sz="8" w:space="0"/>
              <w:bottom w:val="single" w:color="000000" w:sz="8" w:space="0"/>
              <w:right w:val="single" w:color="000000" w:sz="8" w:space="0"/>
            </w:tcBorders>
            <w:shd w:val="clear" w:color="auto" w:fill="auto"/>
          </w:tcPr>
          <w:p w14:paraId="36FD9E0F">
            <w:pPr>
              <w:pageBreakBefore w:val="0"/>
              <w:widowControl/>
              <w:kinsoku/>
              <w:overflowPunct/>
              <w:topLinePunct w:val="0"/>
              <w:bidi w:val="0"/>
              <w:spacing w:line="360" w:lineRule="auto"/>
              <w:jc w:val="center"/>
              <w:textAlignment w:val="top"/>
              <w:rPr>
                <w:color w:val="auto"/>
                <w:szCs w:val="21"/>
                <w:highlight w:val="none"/>
              </w:rPr>
            </w:pPr>
            <w:r>
              <w:rPr>
                <w:rFonts w:ascii="宋体" w:hAnsi="宋体" w:cs="宋体"/>
                <w:color w:val="auto"/>
                <w:kern w:val="0"/>
                <w:szCs w:val="21"/>
                <w:highlight w:val="none"/>
              </w:rPr>
              <w:t>9</w:t>
            </w:r>
          </w:p>
        </w:tc>
        <w:tc>
          <w:tcPr>
            <w:tcW w:w="4400" w:type="pct"/>
            <w:tcBorders>
              <w:top w:val="single" w:color="000000" w:sz="8" w:space="0"/>
              <w:left w:val="single" w:color="000000" w:sz="8" w:space="0"/>
              <w:bottom w:val="single" w:color="000000" w:sz="8" w:space="0"/>
              <w:right w:val="single" w:color="000000" w:sz="8" w:space="0"/>
            </w:tcBorders>
            <w:shd w:val="clear" w:color="auto" w:fill="auto"/>
          </w:tcPr>
          <w:p w14:paraId="0F7609A1">
            <w:pPr>
              <w:pageBreakBefore w:val="0"/>
              <w:widowControl/>
              <w:kinsoku/>
              <w:overflowPunct/>
              <w:topLinePunct w:val="0"/>
              <w:bidi w:val="0"/>
              <w:spacing w:line="360" w:lineRule="auto"/>
              <w:jc w:val="left"/>
              <w:textAlignment w:val="top"/>
              <w:rPr>
                <w:color w:val="auto"/>
                <w:szCs w:val="21"/>
                <w:highlight w:val="none"/>
              </w:rPr>
            </w:pPr>
            <w:r>
              <w:rPr>
                <w:rFonts w:hint="eastAsia"/>
                <w:color w:val="auto"/>
                <w:highlight w:val="none"/>
              </w:rPr>
              <w:t>投标文件电子文档不得带病毒；</w:t>
            </w:r>
          </w:p>
        </w:tc>
      </w:tr>
      <w:tr w14:paraId="6CC979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99" w:type="pct"/>
            <w:tcBorders>
              <w:top w:val="single" w:color="000000" w:sz="8" w:space="0"/>
              <w:left w:val="single" w:color="000000" w:sz="8" w:space="0"/>
              <w:bottom w:val="single" w:color="000000" w:sz="8" w:space="0"/>
              <w:right w:val="single" w:color="000000" w:sz="8" w:space="0"/>
            </w:tcBorders>
            <w:shd w:val="clear" w:color="auto" w:fill="auto"/>
          </w:tcPr>
          <w:p w14:paraId="3A937686">
            <w:pPr>
              <w:pageBreakBefore w:val="0"/>
              <w:widowControl/>
              <w:kinsoku/>
              <w:overflowPunct/>
              <w:topLinePunct w:val="0"/>
              <w:bidi w:val="0"/>
              <w:spacing w:line="360" w:lineRule="auto"/>
              <w:jc w:val="center"/>
              <w:textAlignment w:val="top"/>
              <w:rPr>
                <w:color w:val="auto"/>
                <w:szCs w:val="21"/>
                <w:highlight w:val="none"/>
              </w:rPr>
            </w:pPr>
            <w:r>
              <w:rPr>
                <w:rFonts w:ascii="宋体" w:hAnsi="宋体" w:cs="宋体"/>
                <w:color w:val="auto"/>
                <w:kern w:val="0"/>
                <w:szCs w:val="21"/>
                <w:highlight w:val="none"/>
              </w:rPr>
              <w:t>10</w:t>
            </w:r>
          </w:p>
        </w:tc>
        <w:tc>
          <w:tcPr>
            <w:tcW w:w="4400" w:type="pct"/>
            <w:tcBorders>
              <w:top w:val="single" w:color="000000" w:sz="8" w:space="0"/>
              <w:left w:val="single" w:color="000000" w:sz="8" w:space="0"/>
              <w:bottom w:val="single" w:color="000000" w:sz="8" w:space="0"/>
              <w:right w:val="single" w:color="000000" w:sz="8" w:space="0"/>
            </w:tcBorders>
            <w:shd w:val="clear" w:color="auto" w:fill="auto"/>
          </w:tcPr>
          <w:p w14:paraId="644F5CD8">
            <w:pPr>
              <w:pageBreakBefore w:val="0"/>
              <w:widowControl/>
              <w:kinsoku/>
              <w:overflowPunct/>
              <w:topLinePunct w:val="0"/>
              <w:bidi w:val="0"/>
              <w:spacing w:line="360" w:lineRule="auto"/>
              <w:jc w:val="left"/>
              <w:textAlignment w:val="top"/>
              <w:rPr>
                <w:color w:val="auto"/>
                <w:szCs w:val="21"/>
                <w:highlight w:val="none"/>
              </w:rPr>
            </w:pPr>
            <w:r>
              <w:rPr>
                <w:rFonts w:hint="eastAsia"/>
                <w:color w:val="auto"/>
                <w:highlight w:val="none"/>
              </w:rPr>
              <w:t>投标文件用不属于本公司的电子密钥进行加密或投标文件未按时解密的；</w:t>
            </w:r>
          </w:p>
        </w:tc>
      </w:tr>
      <w:tr w14:paraId="1C4345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99" w:type="pct"/>
            <w:tcBorders>
              <w:top w:val="single" w:color="000000" w:sz="8" w:space="0"/>
              <w:left w:val="single" w:color="000000" w:sz="8" w:space="0"/>
              <w:bottom w:val="single" w:color="000000" w:sz="8" w:space="0"/>
              <w:right w:val="single" w:color="000000" w:sz="8" w:space="0"/>
            </w:tcBorders>
            <w:shd w:val="clear" w:color="auto" w:fill="auto"/>
          </w:tcPr>
          <w:p w14:paraId="216799DD">
            <w:pPr>
              <w:pageBreakBefore w:val="0"/>
              <w:widowControl/>
              <w:kinsoku/>
              <w:overflowPunct/>
              <w:topLinePunct w:val="0"/>
              <w:bidi w:val="0"/>
              <w:spacing w:line="360" w:lineRule="auto"/>
              <w:jc w:val="center"/>
              <w:textAlignment w:val="top"/>
              <w:rPr>
                <w:color w:val="auto"/>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1</w:t>
            </w:r>
          </w:p>
        </w:tc>
        <w:tc>
          <w:tcPr>
            <w:tcW w:w="4400" w:type="pct"/>
            <w:tcBorders>
              <w:top w:val="single" w:color="000000" w:sz="8" w:space="0"/>
              <w:left w:val="single" w:color="000000" w:sz="8" w:space="0"/>
              <w:bottom w:val="single" w:color="000000" w:sz="8" w:space="0"/>
              <w:right w:val="single" w:color="000000" w:sz="8" w:space="0"/>
            </w:tcBorders>
            <w:shd w:val="clear" w:color="auto" w:fill="auto"/>
          </w:tcPr>
          <w:p w14:paraId="56CACCF0">
            <w:pPr>
              <w:pageBreakBefore w:val="0"/>
              <w:widowControl/>
              <w:kinsoku/>
              <w:overflowPunct/>
              <w:topLinePunct w:val="0"/>
              <w:bidi w:val="0"/>
              <w:spacing w:line="360" w:lineRule="auto"/>
              <w:jc w:val="left"/>
              <w:textAlignment w:val="top"/>
              <w:rPr>
                <w:color w:val="auto"/>
                <w:szCs w:val="21"/>
                <w:highlight w:val="none"/>
              </w:rPr>
            </w:pPr>
            <w:r>
              <w:rPr>
                <w:rFonts w:hint="eastAsia"/>
                <w:color w:val="auto"/>
                <w:highlight w:val="none"/>
              </w:rPr>
              <w:t>法律、法规、规章、规范性文件规定的其他情形。</w:t>
            </w:r>
          </w:p>
        </w:tc>
      </w:tr>
    </w:tbl>
    <w:p w14:paraId="1D025BD5">
      <w:pPr>
        <w:rPr>
          <w:rFonts w:hint="eastAsia" w:ascii="黑体" w:hAnsi="黑体" w:eastAsia="黑体"/>
          <w:color w:val="auto"/>
          <w:sz w:val="40"/>
          <w:szCs w:val="40"/>
          <w:highlight w:val="none"/>
        </w:rPr>
      </w:pPr>
      <w:r>
        <w:rPr>
          <w:rFonts w:hint="eastAsia" w:ascii="黑体" w:hAnsi="黑体" w:eastAsia="黑体"/>
          <w:color w:val="auto"/>
          <w:sz w:val="40"/>
          <w:szCs w:val="40"/>
          <w:highlight w:val="none"/>
        </w:rPr>
        <w:br w:type="page"/>
      </w:r>
    </w:p>
    <w:p w14:paraId="772F7B40">
      <w:pPr>
        <w:pStyle w:val="38"/>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黑体" w:hAnsi="黑体" w:eastAsia="黑体"/>
          <w:color w:val="auto"/>
          <w:sz w:val="40"/>
          <w:szCs w:val="40"/>
          <w:highlight w:val="none"/>
        </w:rPr>
      </w:pPr>
      <w:r>
        <w:rPr>
          <w:rFonts w:hint="eastAsia" w:ascii="黑体" w:hAnsi="黑体" w:eastAsia="黑体"/>
          <w:color w:val="auto"/>
          <w:sz w:val="40"/>
          <w:szCs w:val="40"/>
          <w:highlight w:val="none"/>
        </w:rPr>
        <w:t>评标信息</w:t>
      </w:r>
    </w:p>
    <w:tbl>
      <w:tblPr>
        <w:tblStyle w:val="44"/>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8423"/>
      </w:tblGrid>
      <w:tr w14:paraId="2938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0" w:hRule="atLeast"/>
          <w:tblCellSpacing w:w="0" w:type="dxa"/>
          <w:jc w:val="center"/>
        </w:trPr>
        <w:tc>
          <w:tcPr>
            <w:tcW w:w="5000" w:type="pct"/>
            <w:vAlign w:val="center"/>
          </w:tcPr>
          <w:p w14:paraId="1F425588">
            <w:pPr>
              <w:pageBreakBefore w:val="0"/>
              <w:kinsoku/>
              <w:overflowPunct/>
              <w:topLinePunct w:val="0"/>
              <w:bidi w:val="0"/>
              <w:spacing w:line="360" w:lineRule="auto"/>
              <w:jc w:val="left"/>
              <w:rPr>
                <w:rFonts w:hint="eastAsia" w:ascii="宋体" w:hAnsi="宋体" w:eastAsia="宋体" w:cs="宋体"/>
                <w:b/>
                <w:bCs/>
                <w:color w:val="0000FF"/>
                <w:sz w:val="21"/>
                <w:szCs w:val="21"/>
                <w:highlight w:val="none"/>
              </w:rPr>
            </w:pPr>
            <w:r>
              <w:rPr>
                <w:rFonts w:hint="eastAsia" w:ascii="宋体" w:hAnsi="宋体" w:eastAsia="宋体" w:cs="宋体"/>
                <w:b/>
                <w:bCs/>
                <w:color w:val="0000FF"/>
                <w:szCs w:val="21"/>
                <w:highlight w:val="none"/>
              </w:rPr>
              <w:t>评标方法：综合评分法</w:t>
            </w:r>
          </w:p>
        </w:tc>
      </w:tr>
      <w:tr w14:paraId="253A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0" w:hRule="atLeast"/>
          <w:tblCellSpacing w:w="0" w:type="dxa"/>
          <w:jc w:val="center"/>
        </w:trPr>
        <w:tc>
          <w:tcPr>
            <w:tcW w:w="5000" w:type="pct"/>
            <w:vAlign w:val="center"/>
          </w:tcPr>
          <w:p w14:paraId="73765429">
            <w:pPr>
              <w:pStyle w:val="38"/>
              <w:pageBreakBefore w:val="0"/>
              <w:kinsoku/>
              <w:overflowPunct/>
              <w:topLinePunct w:val="0"/>
              <w:bidi w:val="0"/>
              <w:spacing w:line="360" w:lineRule="auto"/>
              <w:ind w:firstLine="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综合评分法，是指投标文件满足招标文件全部实质性要求，且按照评审因素的量化指标评审得分最高的投标人为中标候选人的评标方法。</w:t>
            </w:r>
          </w:p>
          <w:p w14:paraId="76DDF735">
            <w:pPr>
              <w:pStyle w:val="38"/>
              <w:pageBreakBefore w:val="0"/>
              <w:kinsoku/>
              <w:overflowPunct/>
              <w:topLinePunct w:val="0"/>
              <w:bidi w:val="0"/>
              <w:spacing w:line="360" w:lineRule="auto"/>
              <w:ind w:firstLine="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价格分计算方法：</w:t>
            </w:r>
          </w:p>
          <w:p w14:paraId="60B61A96">
            <w:pPr>
              <w:pStyle w:val="38"/>
              <w:pageBreakBefore w:val="0"/>
              <w:kinsoku/>
              <w:overflowPunct/>
              <w:topLinePunct w:val="0"/>
              <w:bidi w:val="0"/>
              <w:spacing w:line="360" w:lineRule="auto"/>
              <w:ind w:left="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 xml:space="preserve">采用低价优先法计算，即满足招标文件要求且投标价格最低的投标报价为评标基准价，其价格分为满分。其他投标人的价格分统一按照下列公式计算： </w:t>
            </w:r>
            <w:r>
              <w:rPr>
                <w:rFonts w:hint="eastAsia" w:ascii="宋体" w:hAnsi="宋体" w:eastAsia="宋体" w:cs="宋体"/>
                <w:color w:val="0000FF"/>
                <w:sz w:val="21"/>
                <w:szCs w:val="21"/>
                <w:highlight w:val="none"/>
              </w:rPr>
              <w:br w:type="textWrapping"/>
            </w:r>
            <w:r>
              <w:rPr>
                <w:rFonts w:hint="eastAsia" w:ascii="宋体" w:hAnsi="宋体" w:eastAsia="宋体" w:cs="宋体"/>
                <w:color w:val="0000FF"/>
                <w:sz w:val="21"/>
                <w:szCs w:val="21"/>
                <w:highlight w:val="none"/>
              </w:rPr>
              <w:t>投标报价得分=(评标基准价／投标报价)×</w:t>
            </w:r>
            <w:r>
              <w:rPr>
                <w:rFonts w:hint="eastAsia" w:ascii="宋体" w:hAnsi="宋体" w:cs="宋体"/>
                <w:color w:val="0000FF"/>
                <w:sz w:val="21"/>
                <w:szCs w:val="21"/>
                <w:highlight w:val="none"/>
                <w:lang w:val="en-US" w:eastAsia="zh-CN"/>
              </w:rPr>
              <w:t>权重</w:t>
            </w:r>
            <w:r>
              <w:rPr>
                <w:rFonts w:hint="eastAsia" w:ascii="宋体" w:hAnsi="宋体" w:eastAsia="宋体" w:cs="宋体"/>
                <w:color w:val="0000FF"/>
                <w:sz w:val="21"/>
                <w:szCs w:val="21"/>
                <w:highlight w:val="none"/>
              </w:rPr>
              <w:t xml:space="preserve"> </w:t>
            </w:r>
            <w:r>
              <w:rPr>
                <w:rFonts w:hint="eastAsia" w:ascii="宋体" w:hAnsi="宋体" w:eastAsia="宋体" w:cs="宋体"/>
                <w:color w:val="0000FF"/>
                <w:sz w:val="21"/>
                <w:szCs w:val="21"/>
                <w:highlight w:val="none"/>
              </w:rPr>
              <w:br w:type="textWrapping"/>
            </w:r>
            <w:r>
              <w:rPr>
                <w:rFonts w:hint="eastAsia" w:ascii="宋体" w:hAnsi="宋体" w:eastAsia="宋体" w:cs="宋体"/>
                <w:color w:val="0000FF"/>
                <w:sz w:val="21"/>
                <w:szCs w:val="21"/>
                <w:highlight w:val="none"/>
              </w:rPr>
              <w:t xml:space="preserve">评标总得分＝F1×A1＋F2×A2＋……＋Fn×An </w:t>
            </w:r>
            <w:r>
              <w:rPr>
                <w:rFonts w:hint="eastAsia" w:ascii="宋体" w:hAnsi="宋体" w:eastAsia="宋体" w:cs="宋体"/>
                <w:color w:val="0000FF"/>
                <w:sz w:val="21"/>
                <w:szCs w:val="21"/>
                <w:highlight w:val="none"/>
              </w:rPr>
              <w:br w:type="textWrapping"/>
            </w:r>
            <w:r>
              <w:rPr>
                <w:rFonts w:hint="eastAsia" w:ascii="宋体" w:hAnsi="宋体" w:eastAsia="宋体" w:cs="宋体"/>
                <w:color w:val="0000FF"/>
                <w:sz w:val="21"/>
                <w:szCs w:val="21"/>
                <w:highlight w:val="none"/>
              </w:rPr>
              <w:t xml:space="preserve">F1、F2……Fn分别为各项评审因素的得分； </w:t>
            </w:r>
            <w:r>
              <w:rPr>
                <w:rFonts w:hint="eastAsia" w:ascii="宋体" w:hAnsi="宋体" w:eastAsia="宋体" w:cs="宋体"/>
                <w:color w:val="0000FF"/>
                <w:sz w:val="21"/>
                <w:szCs w:val="21"/>
                <w:highlight w:val="none"/>
              </w:rPr>
              <w:br w:type="textWrapping"/>
            </w:r>
            <w:r>
              <w:rPr>
                <w:rFonts w:hint="eastAsia" w:ascii="宋体" w:hAnsi="宋体" w:eastAsia="宋体" w:cs="宋体"/>
                <w:color w:val="0000FF"/>
                <w:sz w:val="21"/>
                <w:szCs w:val="21"/>
                <w:highlight w:val="none"/>
              </w:rPr>
              <w:t xml:space="preserve">A1、A2、……An 分别为各项评审因素所占的权重(A1＋A2＋……＋An＝1)。 </w:t>
            </w:r>
            <w:r>
              <w:rPr>
                <w:rFonts w:hint="eastAsia" w:ascii="宋体" w:hAnsi="宋体" w:eastAsia="宋体" w:cs="宋体"/>
                <w:color w:val="0000FF"/>
                <w:sz w:val="21"/>
                <w:szCs w:val="21"/>
                <w:highlight w:val="none"/>
              </w:rPr>
              <w:br w:type="textWrapping"/>
            </w:r>
            <w:r>
              <w:rPr>
                <w:rFonts w:hint="eastAsia" w:ascii="宋体" w:hAnsi="宋体" w:eastAsia="宋体" w:cs="宋体"/>
                <w:color w:val="0000FF"/>
                <w:sz w:val="21"/>
                <w:szCs w:val="21"/>
                <w:highlight w:val="none"/>
              </w:rPr>
              <w:t>评标过程中，不得去掉报价中的最高报价和最低报价。</w:t>
            </w:r>
          </w:p>
          <w:p w14:paraId="78BF33DD">
            <w:pPr>
              <w:pStyle w:val="38"/>
              <w:pageBreakBefore w:val="0"/>
              <w:kinsoku/>
              <w:overflowPunct/>
              <w:topLinePunct w:val="0"/>
              <w:bidi w:val="0"/>
              <w:spacing w:line="360" w:lineRule="auto"/>
              <w:ind w:left="0"/>
              <w:rPr>
                <w:rFonts w:hint="eastAsia" w:ascii="宋体" w:hAnsi="宋体" w:eastAsia="宋体" w:cs="宋体"/>
                <w:color w:val="0000FF"/>
                <w:sz w:val="21"/>
                <w:szCs w:val="21"/>
                <w:highlight w:val="none"/>
              </w:rPr>
            </w:pPr>
            <w:r>
              <w:rPr>
                <w:rFonts w:hint="eastAsia" w:ascii="宋体" w:hAnsi="宋体" w:eastAsia="宋体" w:cs="宋体"/>
                <w:b/>
                <w:bCs/>
                <w:color w:val="0000FF"/>
                <w:sz w:val="21"/>
                <w:szCs w:val="21"/>
                <w:highlight w:val="none"/>
                <w:lang w:val="en-US" w:eastAsia="zh-CN"/>
              </w:rPr>
              <w:t>注：投标人的“技术响应情况”“技术偏离情况”等必须与客观实际保持一致，响应不实且情节严重的，经查实，将依法记入供应商诚信档案或受到行政处罚。</w:t>
            </w:r>
          </w:p>
        </w:tc>
      </w:tr>
    </w:tbl>
    <w:p w14:paraId="72D5A716">
      <w:pPr>
        <w:ind w:firstLine="424" w:firstLineChars="201"/>
        <w:outlineLvl w:val="2"/>
        <w:rPr>
          <w:rFonts w:ascii="宋体" w:hAnsi="宋体" w:cs="Times New Roman"/>
          <w:b/>
          <w:bCs/>
          <w:color w:val="0000FF"/>
          <w:szCs w:val="21"/>
          <w:highlight w:val="none"/>
        </w:rPr>
      </w:pPr>
      <w:r>
        <w:rPr>
          <w:rFonts w:hint="eastAsia" w:ascii="宋体" w:hAnsi="宋体" w:cs="Times New Roman"/>
          <w:b/>
          <w:bCs/>
          <w:color w:val="0000FF"/>
          <w:szCs w:val="21"/>
          <w:highlight w:val="none"/>
        </w:rPr>
        <w:t>评</w:t>
      </w:r>
      <w:r>
        <w:rPr>
          <w:rFonts w:ascii="宋体" w:hAnsi="宋体" w:cs="Times New Roman"/>
          <w:b/>
          <w:bCs/>
          <w:color w:val="0000FF"/>
          <w:szCs w:val="21"/>
          <w:highlight w:val="none"/>
        </w:rPr>
        <w:t>分表</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689"/>
        <w:gridCol w:w="1537"/>
        <w:gridCol w:w="733"/>
        <w:gridCol w:w="1230"/>
        <w:gridCol w:w="3682"/>
      </w:tblGrid>
      <w:tr w14:paraId="532C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Align w:val="center"/>
          </w:tcPr>
          <w:p w14:paraId="65B280D3">
            <w:pPr>
              <w:snapToGrid w:val="0"/>
              <w:jc w:val="center"/>
              <w:rPr>
                <w:rFonts w:ascii="宋体" w:hAnsi="宋体" w:cs="仿宋"/>
                <w:b/>
                <w:color w:val="0000FF"/>
                <w:szCs w:val="21"/>
                <w:highlight w:val="none"/>
              </w:rPr>
            </w:pPr>
            <w:r>
              <w:rPr>
                <w:rFonts w:hint="eastAsia" w:ascii="宋体" w:hAnsi="宋体" w:cs="仿宋"/>
                <w:b/>
                <w:color w:val="0000FF"/>
                <w:szCs w:val="21"/>
                <w:highlight w:val="none"/>
              </w:rPr>
              <w:t>序号</w:t>
            </w:r>
          </w:p>
        </w:tc>
        <w:tc>
          <w:tcPr>
            <w:tcW w:w="2456" w:type="pct"/>
            <w:gridSpan w:val="4"/>
            <w:vAlign w:val="center"/>
          </w:tcPr>
          <w:p w14:paraId="065BD761">
            <w:pPr>
              <w:snapToGrid w:val="0"/>
              <w:jc w:val="center"/>
              <w:rPr>
                <w:rFonts w:ascii="宋体" w:hAnsi="宋体" w:cs="仿宋"/>
                <w:b/>
                <w:color w:val="0000FF"/>
                <w:szCs w:val="21"/>
                <w:highlight w:val="none"/>
              </w:rPr>
            </w:pPr>
            <w:r>
              <w:rPr>
                <w:rFonts w:hint="eastAsia" w:ascii="宋体" w:hAnsi="宋体" w:cs="仿宋"/>
                <w:b/>
                <w:color w:val="0000FF"/>
                <w:szCs w:val="21"/>
                <w:highlight w:val="none"/>
              </w:rPr>
              <w:t>评分项</w:t>
            </w:r>
          </w:p>
        </w:tc>
        <w:tc>
          <w:tcPr>
            <w:tcW w:w="2159" w:type="pct"/>
            <w:vAlign w:val="center"/>
          </w:tcPr>
          <w:p w14:paraId="3A1C97E2">
            <w:pPr>
              <w:snapToGrid w:val="0"/>
              <w:jc w:val="center"/>
              <w:rPr>
                <w:rFonts w:ascii="宋体" w:hAnsi="宋体" w:cs="仿宋"/>
                <w:b/>
                <w:color w:val="0000FF"/>
                <w:szCs w:val="21"/>
                <w:highlight w:val="none"/>
              </w:rPr>
            </w:pPr>
            <w:r>
              <w:rPr>
                <w:rFonts w:hint="eastAsia" w:ascii="宋体" w:hAnsi="宋体" w:cs="仿宋"/>
                <w:b/>
                <w:color w:val="0000FF"/>
                <w:szCs w:val="21"/>
                <w:highlight w:val="none"/>
              </w:rPr>
              <w:t>权重</w:t>
            </w:r>
          </w:p>
        </w:tc>
      </w:tr>
      <w:tr w14:paraId="1C1F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Align w:val="center"/>
          </w:tcPr>
          <w:p w14:paraId="441D47BC">
            <w:pPr>
              <w:snapToGrid w:val="0"/>
              <w:jc w:val="center"/>
              <w:rPr>
                <w:rFonts w:ascii="宋体" w:hAnsi="宋体" w:cs="仿宋"/>
                <w:b/>
                <w:color w:val="0000FF"/>
                <w:szCs w:val="21"/>
                <w:highlight w:val="none"/>
              </w:rPr>
            </w:pPr>
            <w:r>
              <w:rPr>
                <w:rFonts w:hint="eastAsia" w:ascii="宋体" w:hAnsi="宋体" w:cs="仿宋"/>
                <w:b/>
                <w:color w:val="0000FF"/>
                <w:szCs w:val="21"/>
                <w:highlight w:val="none"/>
              </w:rPr>
              <w:t>1</w:t>
            </w:r>
          </w:p>
        </w:tc>
        <w:tc>
          <w:tcPr>
            <w:tcW w:w="2456" w:type="pct"/>
            <w:gridSpan w:val="4"/>
            <w:vAlign w:val="center"/>
          </w:tcPr>
          <w:p w14:paraId="19F62DE9">
            <w:pPr>
              <w:snapToGrid w:val="0"/>
              <w:jc w:val="center"/>
              <w:rPr>
                <w:rFonts w:ascii="宋体" w:hAnsi="宋体" w:cs="仿宋"/>
                <w:b/>
                <w:color w:val="0000FF"/>
                <w:szCs w:val="21"/>
                <w:highlight w:val="none"/>
              </w:rPr>
            </w:pPr>
            <w:r>
              <w:rPr>
                <w:rFonts w:hint="eastAsia" w:ascii="宋体" w:hAnsi="宋体" w:cs="仿宋"/>
                <w:b/>
                <w:color w:val="0000FF"/>
                <w:szCs w:val="21"/>
                <w:highlight w:val="none"/>
              </w:rPr>
              <w:t>价格</w:t>
            </w:r>
          </w:p>
        </w:tc>
        <w:tc>
          <w:tcPr>
            <w:tcW w:w="2159" w:type="pct"/>
            <w:vAlign w:val="center"/>
          </w:tcPr>
          <w:p w14:paraId="2588E50D">
            <w:pPr>
              <w:snapToGrid w:val="0"/>
              <w:jc w:val="center"/>
              <w:rPr>
                <w:rFonts w:hint="default" w:ascii="宋体" w:hAnsi="宋体" w:eastAsia="宋体" w:cs="仿宋"/>
                <w:b/>
                <w:color w:val="0000FF"/>
                <w:szCs w:val="21"/>
                <w:highlight w:val="none"/>
                <w:lang w:val="en-US" w:eastAsia="zh-CN"/>
              </w:rPr>
            </w:pPr>
            <w:r>
              <w:rPr>
                <w:rFonts w:hint="eastAsia" w:ascii="宋体" w:hAnsi="宋体" w:cs="仿宋"/>
                <w:b/>
                <w:color w:val="0000FF"/>
                <w:szCs w:val="21"/>
                <w:highlight w:val="none"/>
                <w:lang w:val="en-US" w:eastAsia="zh-CN"/>
              </w:rPr>
              <w:t>20</w:t>
            </w:r>
          </w:p>
        </w:tc>
      </w:tr>
      <w:tr w14:paraId="0F89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Align w:val="center"/>
          </w:tcPr>
          <w:p w14:paraId="77F35C57">
            <w:pPr>
              <w:snapToGrid w:val="0"/>
              <w:jc w:val="center"/>
              <w:rPr>
                <w:rFonts w:ascii="宋体" w:hAnsi="宋体" w:cs="仿宋"/>
                <w:color w:val="0000FF"/>
                <w:szCs w:val="21"/>
                <w:highlight w:val="none"/>
              </w:rPr>
            </w:pPr>
          </w:p>
        </w:tc>
        <w:tc>
          <w:tcPr>
            <w:tcW w:w="4615" w:type="pct"/>
            <w:gridSpan w:val="5"/>
            <w:vAlign w:val="center"/>
          </w:tcPr>
          <w:p w14:paraId="206D9CC2">
            <w:pPr>
              <w:snapToGrid/>
              <w:spacing w:line="340" w:lineRule="exact"/>
              <w:jc w:val="left"/>
              <w:rPr>
                <w:rFonts w:hint="eastAsia" w:ascii="宋体" w:hAnsi="宋体" w:cs="仿宋"/>
                <w:color w:val="0000FF"/>
                <w:szCs w:val="21"/>
                <w:highlight w:val="none"/>
                <w:lang w:val="en-US" w:eastAsia="zh-CN"/>
              </w:rPr>
            </w:pPr>
            <w:r>
              <w:rPr>
                <w:rFonts w:hint="eastAsia" w:ascii="宋体" w:hAnsi="宋体" w:cs="仿宋"/>
                <w:color w:val="0000FF"/>
                <w:szCs w:val="21"/>
                <w:highlight w:val="none"/>
              </w:rPr>
              <w:t>投标报价价格分=（评标基准价/投标报价）×</w:t>
            </w:r>
            <w:r>
              <w:rPr>
                <w:rFonts w:hint="eastAsia" w:ascii="宋体" w:hAnsi="宋体" w:cs="仿宋"/>
                <w:color w:val="0000FF"/>
                <w:szCs w:val="21"/>
                <w:highlight w:val="none"/>
                <w:lang w:val="en-US" w:eastAsia="zh-CN"/>
              </w:rPr>
              <w:t>权重；</w:t>
            </w:r>
          </w:p>
          <w:p w14:paraId="5839DA8C">
            <w:pPr>
              <w:snapToGrid/>
              <w:spacing w:line="340" w:lineRule="exact"/>
              <w:jc w:val="left"/>
              <w:rPr>
                <w:rFonts w:ascii="宋体" w:hAnsi="宋体" w:cs="仿宋"/>
                <w:color w:val="0000FF"/>
                <w:szCs w:val="21"/>
                <w:highlight w:val="none"/>
              </w:rPr>
            </w:pPr>
            <w:r>
              <w:rPr>
                <w:rFonts w:hint="eastAsia" w:ascii="宋体" w:hAnsi="宋体" w:cs="仿宋"/>
                <w:color w:val="0000FF"/>
                <w:szCs w:val="21"/>
                <w:highlight w:val="none"/>
              </w:rPr>
              <w:t>评标基准价为满足招标文件要求且投标价格最低的投标报价。</w:t>
            </w:r>
            <w:r>
              <w:rPr>
                <w:rFonts w:hint="eastAsia" w:ascii="宋体" w:hAnsi="宋体" w:eastAsia="宋体" w:cs="宋体"/>
                <w:color w:val="0000FF"/>
                <w:szCs w:val="21"/>
                <w:highlight w:val="none"/>
              </w:rPr>
              <w:br w:type="textWrapping"/>
            </w:r>
            <w:r>
              <w:rPr>
                <w:rFonts w:hint="eastAsia" w:ascii="宋体" w:hAnsi="宋体" w:eastAsia="宋体" w:cs="宋体"/>
                <w:b/>
                <w:bCs/>
                <w:color w:val="0000FF"/>
                <w:szCs w:val="21"/>
                <w:highlight w:val="none"/>
                <w:lang w:eastAsia="zh-CN"/>
              </w:rPr>
              <w:t>评分依据</w:t>
            </w:r>
            <w:r>
              <w:rPr>
                <w:rFonts w:hint="eastAsia" w:ascii="宋体" w:hAnsi="宋体" w:eastAsia="宋体" w:cs="宋体"/>
                <w:b/>
                <w:bCs/>
                <w:color w:val="0000FF"/>
                <w:szCs w:val="21"/>
                <w:highlight w:val="none"/>
              </w:rPr>
              <w:t>：</w:t>
            </w:r>
            <w:r>
              <w:rPr>
                <w:rFonts w:hint="eastAsia" w:ascii="宋体" w:hAnsi="宋体" w:eastAsia="宋体" w:cs="宋体"/>
                <w:color w:val="0000FF"/>
                <w:sz w:val="21"/>
                <w:szCs w:val="21"/>
                <w:highlight w:val="none"/>
              </w:rPr>
              <w:t>投标人提供《深圳市残疾人辅助器具（矫形器和假肢）维修零部件价格表》</w:t>
            </w:r>
            <w:r>
              <w:rPr>
                <w:rFonts w:hint="eastAsia" w:ascii="宋体" w:hAnsi="宋体" w:cs="宋体"/>
                <w:color w:val="0000FF"/>
                <w:szCs w:val="21"/>
                <w:highlight w:val="none"/>
                <w:lang w:eastAsia="zh-CN"/>
              </w:rPr>
              <w:t>（</w:t>
            </w:r>
            <w:r>
              <w:rPr>
                <w:rFonts w:hint="eastAsia" w:ascii="宋体" w:hAnsi="宋体" w:cs="宋体"/>
                <w:color w:val="0000FF"/>
                <w:szCs w:val="21"/>
                <w:highlight w:val="none"/>
                <w:lang w:val="en-US" w:eastAsia="zh-CN"/>
              </w:rPr>
              <w:t>详见第四章</w:t>
            </w:r>
            <w:r>
              <w:rPr>
                <w:rFonts w:hint="eastAsia" w:ascii="宋体" w:hAnsi="宋体" w:cs="宋体"/>
                <w:color w:val="0000FF"/>
                <w:szCs w:val="21"/>
                <w:highlight w:val="none"/>
                <w:lang w:eastAsia="zh-CN"/>
              </w:rPr>
              <w:t>）</w:t>
            </w:r>
            <w:r>
              <w:rPr>
                <w:rFonts w:hint="eastAsia" w:ascii="宋体" w:hAnsi="宋体" w:eastAsia="宋体" w:cs="宋体"/>
                <w:color w:val="0000FF"/>
                <w:sz w:val="21"/>
                <w:szCs w:val="21"/>
                <w:highlight w:val="none"/>
              </w:rPr>
              <w:t>加盖投标人公章作为得分依据</w:t>
            </w:r>
            <w:r>
              <w:rPr>
                <w:rFonts w:hint="eastAsia" w:ascii="宋体" w:hAnsi="宋体" w:cs="宋体"/>
                <w:color w:val="0000FF"/>
                <w:sz w:val="21"/>
                <w:szCs w:val="21"/>
                <w:highlight w:val="none"/>
                <w:lang w:eastAsia="zh-CN"/>
              </w:rPr>
              <w:t>，</w:t>
            </w:r>
            <w:r>
              <w:rPr>
                <w:rFonts w:hint="eastAsia" w:ascii="宋体" w:hAnsi="宋体" w:cs="宋体"/>
                <w:color w:val="0000FF"/>
                <w:sz w:val="21"/>
                <w:szCs w:val="21"/>
                <w:highlight w:val="none"/>
                <w:lang w:val="en-US" w:eastAsia="zh-CN"/>
              </w:rPr>
              <w:t>以价格表中打“√”项的单价报价合计为价格分计算依据，</w:t>
            </w:r>
            <w:r>
              <w:rPr>
                <w:rFonts w:hint="eastAsia" w:ascii="宋体" w:hAnsi="宋体" w:eastAsia="宋体" w:cs="宋体"/>
                <w:color w:val="0000FF"/>
                <w:sz w:val="21"/>
                <w:szCs w:val="21"/>
                <w:highlight w:val="none"/>
                <w:u w:val="none"/>
              </w:rPr>
              <w:t>评分中出现无证明资料或专家无法凭所提供资料判断是否得分的情况，一律作不得分处理。</w:t>
            </w:r>
          </w:p>
        </w:tc>
      </w:tr>
      <w:tr w14:paraId="58369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Align w:val="center"/>
          </w:tcPr>
          <w:p w14:paraId="074DE2C9">
            <w:pPr>
              <w:keepNext w:val="0"/>
              <w:keepLines w:val="0"/>
              <w:pageBreakBefore w:val="0"/>
              <w:kinsoku/>
              <w:wordWrap/>
              <w:overflowPunct/>
              <w:topLinePunct w:val="0"/>
              <w:bidi w:val="0"/>
              <w:snapToGrid/>
              <w:spacing w:line="340" w:lineRule="exact"/>
              <w:jc w:val="center"/>
              <w:rPr>
                <w:rFonts w:hint="eastAsia" w:ascii="宋体" w:hAnsi="宋体" w:eastAsia="宋体" w:cs="Times New Roman"/>
                <w:b/>
                <w:color w:val="0000FF"/>
                <w:szCs w:val="21"/>
                <w:highlight w:val="none"/>
                <w:lang w:eastAsia="zh-CN"/>
              </w:rPr>
            </w:pPr>
            <w:r>
              <w:rPr>
                <w:rFonts w:hint="eastAsia" w:ascii="宋体" w:hAnsi="宋体" w:cs="Times New Roman"/>
                <w:b/>
                <w:color w:val="0000FF"/>
                <w:szCs w:val="21"/>
                <w:highlight w:val="none"/>
                <w:lang w:val="en-US" w:eastAsia="zh-CN"/>
              </w:rPr>
              <w:t>2</w:t>
            </w:r>
          </w:p>
        </w:tc>
        <w:tc>
          <w:tcPr>
            <w:tcW w:w="1735" w:type="pct"/>
            <w:gridSpan w:val="3"/>
            <w:vAlign w:val="center"/>
          </w:tcPr>
          <w:p w14:paraId="4DB39B09">
            <w:pPr>
              <w:keepNext w:val="0"/>
              <w:keepLines w:val="0"/>
              <w:pageBreakBefore w:val="0"/>
              <w:kinsoku/>
              <w:wordWrap/>
              <w:overflowPunct/>
              <w:topLinePunct w:val="0"/>
              <w:bidi w:val="0"/>
              <w:snapToGrid/>
              <w:spacing w:line="340" w:lineRule="exact"/>
              <w:jc w:val="center"/>
              <w:rPr>
                <w:rFonts w:ascii="宋体" w:hAnsi="宋体" w:cs="Times New Roman"/>
                <w:b/>
                <w:color w:val="0000FF"/>
                <w:szCs w:val="21"/>
                <w:highlight w:val="none"/>
              </w:rPr>
            </w:pPr>
            <w:r>
              <w:rPr>
                <w:rFonts w:hint="eastAsia" w:ascii="宋体" w:hAnsi="宋体" w:cs="Times New Roman"/>
                <w:b/>
                <w:color w:val="0000FF"/>
                <w:szCs w:val="21"/>
                <w:highlight w:val="none"/>
                <w:lang w:val="en-US" w:eastAsia="zh-CN"/>
              </w:rPr>
              <w:t>商务</w:t>
            </w:r>
            <w:r>
              <w:rPr>
                <w:rFonts w:hint="eastAsia" w:ascii="宋体" w:hAnsi="宋体" w:cs="Times New Roman"/>
                <w:b/>
                <w:color w:val="0000FF"/>
                <w:szCs w:val="21"/>
                <w:highlight w:val="none"/>
              </w:rPr>
              <w:t>技术部分</w:t>
            </w:r>
          </w:p>
        </w:tc>
        <w:tc>
          <w:tcPr>
            <w:tcW w:w="2880" w:type="pct"/>
            <w:gridSpan w:val="2"/>
            <w:vAlign w:val="center"/>
          </w:tcPr>
          <w:p w14:paraId="7F900063">
            <w:pPr>
              <w:keepNext w:val="0"/>
              <w:keepLines w:val="0"/>
              <w:pageBreakBefore w:val="0"/>
              <w:kinsoku/>
              <w:wordWrap/>
              <w:overflowPunct/>
              <w:topLinePunct w:val="0"/>
              <w:bidi w:val="0"/>
              <w:snapToGrid/>
              <w:spacing w:line="340" w:lineRule="exact"/>
              <w:jc w:val="center"/>
              <w:rPr>
                <w:rFonts w:hint="default" w:ascii="宋体" w:hAnsi="宋体" w:eastAsia="宋体" w:cs="Times New Roman"/>
                <w:b/>
                <w:color w:val="0000FF"/>
                <w:szCs w:val="21"/>
                <w:highlight w:val="none"/>
                <w:lang w:val="en-US" w:eastAsia="zh-CN"/>
              </w:rPr>
            </w:pPr>
            <w:r>
              <w:rPr>
                <w:rFonts w:hint="eastAsia" w:ascii="宋体" w:hAnsi="宋体" w:cs="Times New Roman"/>
                <w:b/>
                <w:color w:val="0000FF"/>
                <w:szCs w:val="21"/>
                <w:highlight w:val="none"/>
                <w:lang w:val="en-US" w:eastAsia="zh-CN"/>
              </w:rPr>
              <w:t>75</w:t>
            </w:r>
          </w:p>
        </w:tc>
      </w:tr>
      <w:tr w14:paraId="4A2B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Merge w:val="restart"/>
            <w:vAlign w:val="center"/>
          </w:tcPr>
          <w:p w14:paraId="4CF9848C">
            <w:pPr>
              <w:keepNext w:val="0"/>
              <w:keepLines w:val="0"/>
              <w:pageBreakBefore w:val="0"/>
              <w:kinsoku/>
              <w:wordWrap/>
              <w:overflowPunct/>
              <w:topLinePunct w:val="0"/>
              <w:bidi w:val="0"/>
              <w:snapToGrid/>
              <w:spacing w:line="340" w:lineRule="exact"/>
              <w:jc w:val="center"/>
              <w:rPr>
                <w:rFonts w:ascii="宋体" w:hAnsi="宋体" w:cs="Times New Roman"/>
                <w:color w:val="0000FF"/>
                <w:szCs w:val="21"/>
                <w:highlight w:val="none"/>
              </w:rPr>
            </w:pPr>
          </w:p>
        </w:tc>
        <w:tc>
          <w:tcPr>
            <w:tcW w:w="404" w:type="pct"/>
            <w:vAlign w:val="center"/>
          </w:tcPr>
          <w:p w14:paraId="4340EBBB">
            <w:pPr>
              <w:keepNext w:val="0"/>
              <w:keepLines w:val="0"/>
              <w:pageBreakBefore w:val="0"/>
              <w:kinsoku/>
              <w:wordWrap/>
              <w:overflowPunct/>
              <w:topLinePunct w:val="0"/>
              <w:bidi w:val="0"/>
              <w:snapToGrid/>
              <w:spacing w:line="340" w:lineRule="exact"/>
              <w:jc w:val="center"/>
              <w:rPr>
                <w:rFonts w:ascii="宋体" w:hAnsi="宋体" w:cs="Times New Roman"/>
                <w:b/>
                <w:color w:val="0000FF"/>
                <w:szCs w:val="21"/>
                <w:highlight w:val="none"/>
              </w:rPr>
            </w:pPr>
            <w:r>
              <w:rPr>
                <w:rFonts w:hint="eastAsia" w:ascii="宋体" w:hAnsi="宋体" w:cs="Times New Roman"/>
                <w:b/>
                <w:color w:val="0000FF"/>
                <w:szCs w:val="21"/>
                <w:highlight w:val="none"/>
              </w:rPr>
              <w:t>序号</w:t>
            </w:r>
          </w:p>
        </w:tc>
        <w:tc>
          <w:tcPr>
            <w:tcW w:w="901" w:type="pct"/>
            <w:vAlign w:val="center"/>
          </w:tcPr>
          <w:p w14:paraId="2A440FA3">
            <w:pPr>
              <w:keepNext w:val="0"/>
              <w:keepLines w:val="0"/>
              <w:pageBreakBefore w:val="0"/>
              <w:kinsoku/>
              <w:wordWrap/>
              <w:overflowPunct/>
              <w:topLinePunct w:val="0"/>
              <w:bidi w:val="0"/>
              <w:snapToGrid/>
              <w:spacing w:line="340" w:lineRule="exact"/>
              <w:jc w:val="center"/>
              <w:rPr>
                <w:rFonts w:ascii="宋体" w:hAnsi="宋体" w:cs="Times New Roman"/>
                <w:b/>
                <w:color w:val="0000FF"/>
                <w:szCs w:val="21"/>
                <w:highlight w:val="none"/>
              </w:rPr>
            </w:pPr>
            <w:r>
              <w:rPr>
                <w:rFonts w:hint="eastAsia" w:ascii="宋体" w:hAnsi="宋体" w:cs="Times New Roman"/>
                <w:b/>
                <w:color w:val="0000FF"/>
                <w:szCs w:val="21"/>
                <w:highlight w:val="none"/>
              </w:rPr>
              <w:t>评分因素</w:t>
            </w:r>
          </w:p>
        </w:tc>
        <w:tc>
          <w:tcPr>
            <w:tcW w:w="429" w:type="pct"/>
            <w:vAlign w:val="center"/>
          </w:tcPr>
          <w:p w14:paraId="740AFE7F">
            <w:pPr>
              <w:keepNext w:val="0"/>
              <w:keepLines w:val="0"/>
              <w:pageBreakBefore w:val="0"/>
              <w:kinsoku/>
              <w:wordWrap/>
              <w:overflowPunct/>
              <w:topLinePunct w:val="0"/>
              <w:bidi w:val="0"/>
              <w:snapToGrid/>
              <w:spacing w:line="340" w:lineRule="exact"/>
              <w:jc w:val="center"/>
              <w:rPr>
                <w:rFonts w:ascii="宋体" w:hAnsi="宋体" w:cs="Times New Roman"/>
                <w:b/>
                <w:color w:val="0000FF"/>
                <w:szCs w:val="21"/>
                <w:highlight w:val="none"/>
              </w:rPr>
            </w:pPr>
            <w:r>
              <w:rPr>
                <w:rFonts w:hint="eastAsia" w:ascii="宋体" w:hAnsi="宋体" w:cs="Times New Roman"/>
                <w:b/>
                <w:color w:val="0000FF"/>
                <w:szCs w:val="21"/>
                <w:highlight w:val="none"/>
              </w:rPr>
              <w:t>权重</w:t>
            </w:r>
          </w:p>
        </w:tc>
        <w:tc>
          <w:tcPr>
            <w:tcW w:w="2880" w:type="pct"/>
            <w:gridSpan w:val="2"/>
            <w:vAlign w:val="center"/>
          </w:tcPr>
          <w:p w14:paraId="344009BC">
            <w:pPr>
              <w:keepNext w:val="0"/>
              <w:keepLines w:val="0"/>
              <w:pageBreakBefore w:val="0"/>
              <w:kinsoku/>
              <w:wordWrap/>
              <w:overflowPunct/>
              <w:topLinePunct w:val="0"/>
              <w:bidi w:val="0"/>
              <w:snapToGrid/>
              <w:spacing w:line="340" w:lineRule="exact"/>
              <w:jc w:val="center"/>
              <w:rPr>
                <w:rFonts w:ascii="宋体" w:hAnsi="宋体" w:cs="Times New Roman"/>
                <w:b/>
                <w:color w:val="0000FF"/>
                <w:szCs w:val="21"/>
                <w:highlight w:val="none"/>
              </w:rPr>
            </w:pPr>
            <w:r>
              <w:rPr>
                <w:rFonts w:hint="eastAsia" w:ascii="宋体" w:hAnsi="宋体" w:cs="Times New Roman"/>
                <w:b/>
                <w:color w:val="0000FF"/>
                <w:szCs w:val="21"/>
                <w:highlight w:val="none"/>
              </w:rPr>
              <w:t>评分准则</w:t>
            </w:r>
          </w:p>
        </w:tc>
      </w:tr>
      <w:tr w14:paraId="7465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Merge w:val="continue"/>
            <w:vAlign w:val="center"/>
          </w:tcPr>
          <w:p w14:paraId="14DA806A">
            <w:pPr>
              <w:keepNext w:val="0"/>
              <w:keepLines w:val="0"/>
              <w:pageBreakBefore w:val="0"/>
              <w:kinsoku/>
              <w:wordWrap/>
              <w:overflowPunct/>
              <w:topLinePunct w:val="0"/>
              <w:bidi w:val="0"/>
              <w:snapToGrid/>
              <w:spacing w:line="340" w:lineRule="exact"/>
              <w:jc w:val="center"/>
              <w:outlineLvl w:val="0"/>
              <w:rPr>
                <w:rFonts w:ascii="宋体" w:hAnsi="宋体" w:cs="Times New Roman"/>
                <w:color w:val="0000FF"/>
                <w:szCs w:val="21"/>
                <w:highlight w:val="none"/>
              </w:rPr>
            </w:pPr>
          </w:p>
        </w:tc>
        <w:tc>
          <w:tcPr>
            <w:tcW w:w="404" w:type="pct"/>
            <w:vAlign w:val="center"/>
          </w:tcPr>
          <w:p w14:paraId="333509B6">
            <w:pPr>
              <w:keepNext w:val="0"/>
              <w:keepLines w:val="0"/>
              <w:pageBreakBefore w:val="0"/>
              <w:kinsoku/>
              <w:wordWrap/>
              <w:overflowPunct/>
              <w:topLinePunct w:val="0"/>
              <w:bidi w:val="0"/>
              <w:snapToGrid/>
              <w:spacing w:line="340" w:lineRule="exact"/>
              <w:jc w:val="center"/>
              <w:rPr>
                <w:rFonts w:ascii="宋体" w:hAnsi="宋体" w:cs="Times New Roman"/>
                <w:color w:val="0000FF"/>
                <w:szCs w:val="21"/>
                <w:highlight w:val="none"/>
              </w:rPr>
            </w:pPr>
            <w:r>
              <w:rPr>
                <w:rFonts w:ascii="宋体" w:hAnsi="宋体" w:cs="Times New Roman"/>
                <w:color w:val="0000FF"/>
                <w:szCs w:val="21"/>
                <w:highlight w:val="none"/>
              </w:rPr>
              <w:t>1</w:t>
            </w:r>
          </w:p>
        </w:tc>
        <w:tc>
          <w:tcPr>
            <w:tcW w:w="901" w:type="pct"/>
            <w:vAlign w:val="center"/>
          </w:tcPr>
          <w:p w14:paraId="6EF9E8EC">
            <w:pPr>
              <w:keepNext w:val="0"/>
              <w:keepLines w:val="0"/>
              <w:pageBreakBefore w:val="0"/>
              <w:widowControl w:val="0"/>
              <w:kinsoku/>
              <w:wordWrap/>
              <w:overflowPunct/>
              <w:topLinePunct w:val="0"/>
              <w:bidi w:val="0"/>
              <w:adjustRightInd/>
              <w:snapToGrid/>
              <w:spacing w:line="340" w:lineRule="exact"/>
              <w:ind w:left="0" w:leftChars="0" w:right="0" w:rightChars="0"/>
              <w:jc w:val="center"/>
              <w:rPr>
                <w:rFonts w:hint="eastAsia" w:ascii="宋体" w:hAnsi="宋体" w:eastAsia="宋体" w:cs="宋体"/>
                <w:color w:val="0000FF"/>
                <w:szCs w:val="21"/>
                <w:highlight w:val="none"/>
              </w:rPr>
            </w:pPr>
            <w:r>
              <w:rPr>
                <w:rFonts w:hint="eastAsia" w:ascii="宋体" w:hAnsi="宋体" w:eastAsia="宋体" w:cs="宋体"/>
                <w:color w:val="0000FF"/>
                <w:sz w:val="21"/>
                <w:szCs w:val="21"/>
                <w:highlight w:val="none"/>
              </w:rPr>
              <w:t>质量保证方案</w:t>
            </w:r>
          </w:p>
        </w:tc>
        <w:tc>
          <w:tcPr>
            <w:tcW w:w="429" w:type="pct"/>
            <w:vAlign w:val="center"/>
          </w:tcPr>
          <w:p w14:paraId="232D1294">
            <w:pPr>
              <w:keepNext w:val="0"/>
              <w:keepLines w:val="0"/>
              <w:pageBreakBefore w:val="0"/>
              <w:widowControl w:val="0"/>
              <w:kinsoku/>
              <w:wordWrap/>
              <w:overflowPunct/>
              <w:topLinePunct w:val="0"/>
              <w:bidi w:val="0"/>
              <w:adjustRightInd/>
              <w:snapToGrid/>
              <w:spacing w:line="340" w:lineRule="exact"/>
              <w:ind w:left="0" w:leftChars="0" w:right="0" w:rightChars="0"/>
              <w:jc w:val="center"/>
              <w:rPr>
                <w:rFonts w:hint="eastAsia" w:ascii="宋体" w:hAnsi="宋体" w:eastAsia="宋体" w:cs="宋体"/>
                <w:color w:val="0000FF"/>
                <w:szCs w:val="21"/>
                <w:highlight w:val="none"/>
              </w:rPr>
            </w:pPr>
            <w:r>
              <w:rPr>
                <w:rFonts w:hint="eastAsia" w:ascii="宋体" w:hAnsi="宋体" w:eastAsia="宋体" w:cs="宋体"/>
                <w:color w:val="0000FF"/>
                <w:sz w:val="21"/>
                <w:szCs w:val="21"/>
                <w:highlight w:val="none"/>
                <w:lang w:val="en-US" w:eastAsia="zh-CN"/>
              </w:rPr>
              <w:t>8</w:t>
            </w:r>
          </w:p>
        </w:tc>
        <w:tc>
          <w:tcPr>
            <w:tcW w:w="2880" w:type="pct"/>
            <w:gridSpan w:val="2"/>
            <w:vAlign w:val="center"/>
          </w:tcPr>
          <w:p w14:paraId="63DE603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rPr>
                <w:rFonts w:hint="eastAsia" w:ascii="宋体" w:hAnsi="宋体" w:eastAsia="宋体" w:cs="宋体"/>
                <w:color w:val="0000FF"/>
                <w:sz w:val="21"/>
                <w:szCs w:val="21"/>
                <w:highlight w:val="none"/>
              </w:rPr>
            </w:pPr>
            <w:r>
              <w:rPr>
                <w:rFonts w:hint="eastAsia" w:ascii="宋体" w:hAnsi="宋体" w:eastAsia="宋体" w:cs="宋体"/>
                <w:b/>
                <w:color w:val="0000FF"/>
                <w:sz w:val="21"/>
                <w:szCs w:val="21"/>
                <w:highlight w:val="none"/>
              </w:rPr>
              <w:t>评审内容</w:t>
            </w:r>
            <w:r>
              <w:rPr>
                <w:rFonts w:hint="eastAsia" w:ascii="宋体" w:hAnsi="宋体" w:eastAsia="宋体" w:cs="宋体"/>
                <w:color w:val="0000FF"/>
                <w:sz w:val="21"/>
                <w:szCs w:val="21"/>
                <w:highlight w:val="none"/>
              </w:rPr>
              <w:t>：</w:t>
            </w:r>
          </w:p>
          <w:p w14:paraId="31C129F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rPr>
                <w:rFonts w:hint="eastAsia" w:ascii="宋体" w:hAnsi="宋体" w:cs="宋体"/>
                <w:color w:val="0000FF"/>
                <w:sz w:val="21"/>
                <w:szCs w:val="21"/>
                <w:highlight w:val="none"/>
                <w:lang w:eastAsia="zh-CN"/>
              </w:rPr>
            </w:pPr>
            <w:r>
              <w:rPr>
                <w:rFonts w:hint="eastAsia" w:ascii="宋体" w:hAnsi="宋体" w:eastAsia="宋体" w:cs="宋体"/>
                <w:color w:val="0000FF"/>
                <w:sz w:val="21"/>
                <w:szCs w:val="21"/>
                <w:highlight w:val="none"/>
              </w:rPr>
              <w:t>质量保证措施</w:t>
            </w:r>
            <w:r>
              <w:rPr>
                <w:rFonts w:hint="eastAsia" w:ascii="宋体" w:hAnsi="宋体" w:cs="宋体"/>
                <w:color w:val="0000FF"/>
                <w:sz w:val="21"/>
                <w:szCs w:val="21"/>
                <w:highlight w:val="none"/>
                <w:lang w:val="en-US" w:eastAsia="zh-CN"/>
              </w:rPr>
              <w:t>应包含以下</w:t>
            </w:r>
            <w:r>
              <w:rPr>
                <w:rFonts w:hint="eastAsia" w:ascii="宋体" w:hAnsi="宋体" w:eastAsia="宋体" w:cs="宋体"/>
                <w:color w:val="0000FF"/>
                <w:sz w:val="21"/>
                <w:szCs w:val="21"/>
                <w:highlight w:val="none"/>
              </w:rPr>
              <w:t>各环节</w:t>
            </w:r>
            <w:r>
              <w:rPr>
                <w:rFonts w:hint="eastAsia" w:ascii="宋体" w:hAnsi="宋体" w:cs="宋体"/>
                <w:color w:val="0000FF"/>
                <w:sz w:val="21"/>
                <w:szCs w:val="21"/>
                <w:highlight w:val="none"/>
                <w:lang w:val="en-US" w:eastAsia="zh-CN"/>
              </w:rPr>
              <w:t>的措施</w:t>
            </w:r>
            <w:r>
              <w:rPr>
                <w:rFonts w:hint="eastAsia" w:ascii="宋体" w:hAnsi="宋体" w:cs="宋体"/>
                <w:color w:val="0000FF"/>
                <w:sz w:val="21"/>
                <w:szCs w:val="21"/>
                <w:highlight w:val="none"/>
                <w:lang w:eastAsia="zh-CN"/>
              </w:rPr>
              <w:t>：</w:t>
            </w:r>
          </w:p>
          <w:p w14:paraId="2974C2A9">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left"/>
              <w:textAlignment w:val="auto"/>
              <w:rPr>
                <w:rFonts w:hint="eastAsia" w:ascii="宋体" w:hAnsi="宋体" w:cs="宋体"/>
                <w:color w:val="0000FF"/>
                <w:sz w:val="21"/>
                <w:szCs w:val="21"/>
                <w:highlight w:val="none"/>
                <w:lang w:eastAsia="zh-CN"/>
              </w:rPr>
            </w:pPr>
            <w:r>
              <w:rPr>
                <w:rFonts w:hint="eastAsia" w:ascii="宋体" w:hAnsi="宋体" w:eastAsia="宋体" w:cs="宋体"/>
                <w:color w:val="0000FF"/>
                <w:kern w:val="2"/>
                <w:sz w:val="21"/>
                <w:szCs w:val="21"/>
                <w:highlight w:val="none"/>
                <w:lang w:val="en-US" w:eastAsia="zh-CN" w:bidi="ar-SA"/>
              </w:rPr>
              <w:t>①</w:t>
            </w:r>
            <w:r>
              <w:rPr>
                <w:rFonts w:hint="eastAsia" w:ascii="宋体" w:hAnsi="宋体" w:eastAsia="宋体" w:cs="宋体"/>
                <w:color w:val="0000FF"/>
                <w:sz w:val="21"/>
                <w:szCs w:val="21"/>
                <w:highlight w:val="none"/>
              </w:rPr>
              <w:t>零部件的来源</w:t>
            </w:r>
            <w:r>
              <w:rPr>
                <w:rFonts w:hint="eastAsia" w:ascii="宋体" w:hAnsi="宋体" w:cs="宋体"/>
                <w:color w:val="0000FF"/>
                <w:sz w:val="21"/>
                <w:szCs w:val="21"/>
                <w:highlight w:val="none"/>
                <w:lang w:eastAsia="zh-CN"/>
              </w:rPr>
              <w:t>；</w:t>
            </w:r>
          </w:p>
          <w:p w14:paraId="4E7427E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left"/>
              <w:textAlignment w:val="auto"/>
              <w:rPr>
                <w:rFonts w:hint="eastAsia" w:ascii="宋体" w:hAnsi="宋体" w:cs="宋体"/>
                <w:color w:val="0000FF"/>
                <w:sz w:val="21"/>
                <w:szCs w:val="21"/>
                <w:highlight w:val="none"/>
                <w:lang w:eastAsia="zh-CN"/>
              </w:rPr>
            </w:pPr>
            <w:r>
              <w:rPr>
                <w:rFonts w:hint="eastAsia" w:ascii="宋体" w:hAnsi="宋体" w:eastAsia="宋体" w:cs="宋体"/>
                <w:color w:val="0000FF"/>
                <w:kern w:val="2"/>
                <w:sz w:val="21"/>
                <w:szCs w:val="21"/>
                <w:highlight w:val="none"/>
                <w:lang w:val="en-US" w:eastAsia="zh-CN" w:bidi="ar-SA"/>
              </w:rPr>
              <w:t>②</w:t>
            </w:r>
            <w:r>
              <w:rPr>
                <w:rFonts w:hint="eastAsia" w:ascii="宋体" w:hAnsi="宋体" w:eastAsia="宋体" w:cs="宋体"/>
                <w:color w:val="0000FF"/>
                <w:sz w:val="21"/>
                <w:szCs w:val="21"/>
                <w:highlight w:val="none"/>
              </w:rPr>
              <w:t>零部件的加工</w:t>
            </w:r>
            <w:r>
              <w:rPr>
                <w:rFonts w:hint="eastAsia" w:ascii="宋体" w:hAnsi="宋体" w:cs="宋体"/>
                <w:color w:val="0000FF"/>
                <w:sz w:val="21"/>
                <w:szCs w:val="21"/>
                <w:highlight w:val="none"/>
                <w:lang w:eastAsia="zh-CN"/>
              </w:rPr>
              <w:t>；</w:t>
            </w:r>
          </w:p>
          <w:p w14:paraId="178AA2C2">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left"/>
              <w:textAlignment w:val="auto"/>
              <w:rPr>
                <w:rFonts w:hint="eastAsia" w:ascii="宋体" w:hAnsi="宋体" w:eastAsia="宋体" w:cs="宋体"/>
                <w:color w:val="0000FF"/>
                <w:sz w:val="21"/>
                <w:szCs w:val="21"/>
                <w:highlight w:val="none"/>
              </w:rPr>
            </w:pPr>
            <w:r>
              <w:rPr>
                <w:rFonts w:hint="eastAsia" w:ascii="宋体" w:hAnsi="宋体" w:eastAsia="宋体" w:cs="宋体"/>
                <w:color w:val="0000FF"/>
                <w:kern w:val="2"/>
                <w:sz w:val="21"/>
                <w:szCs w:val="21"/>
                <w:highlight w:val="none"/>
                <w:lang w:val="en-US" w:eastAsia="zh-CN" w:bidi="ar-SA"/>
              </w:rPr>
              <w:t>③</w:t>
            </w:r>
            <w:r>
              <w:rPr>
                <w:rFonts w:hint="eastAsia" w:ascii="宋体" w:hAnsi="宋体" w:eastAsia="宋体" w:cs="宋体"/>
                <w:color w:val="0000FF"/>
                <w:sz w:val="21"/>
                <w:szCs w:val="21"/>
                <w:highlight w:val="none"/>
              </w:rPr>
              <w:t>零部件的包装</w:t>
            </w:r>
            <w:r>
              <w:rPr>
                <w:rFonts w:hint="eastAsia" w:ascii="宋体" w:hAnsi="宋体" w:cs="宋体"/>
                <w:color w:val="0000FF"/>
                <w:sz w:val="21"/>
                <w:szCs w:val="21"/>
                <w:highlight w:val="none"/>
                <w:lang w:eastAsia="zh-CN"/>
              </w:rPr>
              <w:t>；</w:t>
            </w:r>
          </w:p>
          <w:p w14:paraId="026F5194">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left"/>
              <w:textAlignment w:val="auto"/>
              <w:rPr>
                <w:rFonts w:hint="eastAsia" w:ascii="宋体" w:hAnsi="宋体" w:cs="宋体"/>
                <w:color w:val="0000FF"/>
                <w:sz w:val="21"/>
                <w:szCs w:val="21"/>
                <w:highlight w:val="none"/>
                <w:lang w:eastAsia="zh-CN"/>
              </w:rPr>
            </w:pPr>
            <w:r>
              <w:rPr>
                <w:rFonts w:hint="eastAsia" w:ascii="宋体" w:hAnsi="宋体" w:eastAsia="宋体" w:cs="宋体"/>
                <w:color w:val="0000FF"/>
                <w:kern w:val="2"/>
                <w:sz w:val="21"/>
                <w:szCs w:val="21"/>
                <w:highlight w:val="none"/>
                <w:lang w:val="en-US" w:eastAsia="zh-CN" w:bidi="ar-SA"/>
              </w:rPr>
              <w:t>④</w:t>
            </w:r>
            <w:r>
              <w:rPr>
                <w:rFonts w:hint="eastAsia" w:ascii="宋体" w:hAnsi="宋体" w:eastAsia="宋体" w:cs="宋体"/>
                <w:color w:val="0000FF"/>
                <w:sz w:val="21"/>
                <w:szCs w:val="21"/>
                <w:highlight w:val="none"/>
              </w:rPr>
              <w:t>零部件的保存</w:t>
            </w:r>
            <w:r>
              <w:rPr>
                <w:rFonts w:hint="eastAsia" w:ascii="宋体" w:hAnsi="宋体" w:cs="宋体"/>
                <w:color w:val="0000FF"/>
                <w:sz w:val="21"/>
                <w:szCs w:val="21"/>
                <w:highlight w:val="none"/>
                <w:lang w:eastAsia="zh-CN"/>
              </w:rPr>
              <w:t>；</w:t>
            </w:r>
          </w:p>
          <w:p w14:paraId="53B619CF">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left"/>
              <w:textAlignment w:val="auto"/>
              <w:rPr>
                <w:rFonts w:hint="eastAsia" w:ascii="宋体" w:hAnsi="宋体" w:eastAsia="宋体" w:cs="宋体"/>
                <w:color w:val="0000FF"/>
                <w:sz w:val="21"/>
                <w:szCs w:val="21"/>
                <w:highlight w:val="none"/>
              </w:rPr>
            </w:pPr>
            <w:r>
              <w:rPr>
                <w:rFonts w:hint="eastAsia" w:ascii="宋体" w:hAnsi="宋体" w:eastAsia="宋体" w:cs="宋体"/>
                <w:color w:val="0000FF"/>
                <w:kern w:val="2"/>
                <w:sz w:val="21"/>
                <w:szCs w:val="21"/>
                <w:highlight w:val="none"/>
                <w:lang w:val="en-US" w:eastAsia="zh-CN" w:bidi="ar-SA"/>
              </w:rPr>
              <w:t>⑤</w:t>
            </w:r>
            <w:r>
              <w:rPr>
                <w:rFonts w:hint="eastAsia" w:ascii="宋体" w:hAnsi="宋体" w:eastAsia="宋体" w:cs="宋体"/>
                <w:color w:val="0000FF"/>
                <w:sz w:val="21"/>
                <w:szCs w:val="21"/>
                <w:highlight w:val="none"/>
              </w:rPr>
              <w:t>零部件的运输。</w:t>
            </w:r>
          </w:p>
          <w:p w14:paraId="7788422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评分标准：</w:t>
            </w:r>
          </w:p>
          <w:p w14:paraId="487B0E7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rPr>
                <w:rFonts w:hint="eastAsia" w:ascii="宋体" w:hAnsi="宋体" w:eastAsia="宋体" w:cs="宋体"/>
                <w:color w:val="0000FF"/>
                <w:kern w:val="2"/>
                <w:sz w:val="21"/>
                <w:szCs w:val="21"/>
                <w:highlight w:val="none"/>
                <w:lang w:val="en-US" w:eastAsia="zh-CN" w:bidi="ar-SA"/>
              </w:rPr>
            </w:pPr>
            <w:r>
              <w:rPr>
                <w:rFonts w:hint="eastAsia" w:ascii="宋体" w:hAnsi="宋体" w:eastAsia="宋体" w:cs="宋体"/>
                <w:color w:val="0000FF"/>
                <w:kern w:val="2"/>
                <w:sz w:val="21"/>
                <w:szCs w:val="21"/>
                <w:highlight w:val="none"/>
                <w:lang w:val="en-US" w:eastAsia="zh-CN" w:bidi="ar-SA"/>
              </w:rPr>
              <w:t>满足以上要求得5分，每少一项扣1分，在此基础上：</w:t>
            </w:r>
          </w:p>
          <w:p w14:paraId="5A315FA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rPr>
                <w:rFonts w:hint="eastAsia" w:ascii="宋体" w:hAnsi="宋体" w:eastAsia="宋体" w:cs="宋体"/>
                <w:color w:val="0000FF"/>
                <w:kern w:val="2"/>
                <w:sz w:val="21"/>
                <w:szCs w:val="21"/>
                <w:highlight w:val="none"/>
                <w:lang w:val="en-US" w:eastAsia="zh-CN" w:bidi="ar-SA"/>
              </w:rPr>
            </w:pPr>
            <w:r>
              <w:rPr>
                <w:rFonts w:hint="eastAsia" w:ascii="宋体" w:hAnsi="宋体" w:eastAsia="宋体" w:cs="宋体"/>
                <w:color w:val="0000FF"/>
                <w:kern w:val="2"/>
                <w:sz w:val="21"/>
                <w:szCs w:val="21"/>
                <w:highlight w:val="none"/>
                <w:lang w:val="en-US" w:eastAsia="zh-CN" w:bidi="ar-SA"/>
              </w:rPr>
              <w:t>评分为优（质量保证方案内容具体、内容针对性强、内容科学合理、内容可操作性强）的加3分；</w:t>
            </w:r>
          </w:p>
          <w:p w14:paraId="4A18F93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rPr>
                <w:rFonts w:hint="eastAsia" w:ascii="宋体" w:hAnsi="宋体" w:eastAsia="宋体" w:cs="宋体"/>
                <w:color w:val="0000FF"/>
                <w:kern w:val="2"/>
                <w:sz w:val="21"/>
                <w:szCs w:val="21"/>
                <w:highlight w:val="none"/>
                <w:lang w:val="en-US" w:eastAsia="zh-CN" w:bidi="ar-SA"/>
              </w:rPr>
            </w:pPr>
            <w:r>
              <w:rPr>
                <w:rFonts w:hint="eastAsia" w:ascii="宋体" w:hAnsi="宋体" w:eastAsia="宋体" w:cs="宋体"/>
                <w:color w:val="0000FF"/>
                <w:kern w:val="2"/>
                <w:sz w:val="21"/>
                <w:szCs w:val="21"/>
                <w:highlight w:val="none"/>
                <w:lang w:val="en-US" w:eastAsia="zh-CN" w:bidi="ar-SA"/>
              </w:rPr>
              <w:t>评分为良（质量保证方案内容较具体、内容针对性较强、内容较科学合理、内容可操作性较强）加2分；</w:t>
            </w:r>
          </w:p>
          <w:p w14:paraId="27D830A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rPr>
                <w:rFonts w:hint="eastAsia" w:ascii="宋体" w:hAnsi="宋体" w:eastAsia="宋体" w:cs="宋体"/>
                <w:color w:val="0000FF"/>
                <w:kern w:val="2"/>
                <w:sz w:val="21"/>
                <w:szCs w:val="21"/>
                <w:highlight w:val="none"/>
                <w:lang w:val="en-US" w:eastAsia="zh-CN" w:bidi="ar-SA"/>
              </w:rPr>
            </w:pPr>
            <w:r>
              <w:rPr>
                <w:rFonts w:hint="eastAsia" w:ascii="宋体" w:hAnsi="宋体" w:eastAsia="宋体" w:cs="宋体"/>
                <w:color w:val="0000FF"/>
                <w:kern w:val="2"/>
                <w:sz w:val="21"/>
                <w:szCs w:val="21"/>
                <w:highlight w:val="none"/>
                <w:lang w:val="en-US" w:eastAsia="zh-CN" w:bidi="ar-SA"/>
              </w:rPr>
              <w:t>评分为中(质量保证方案内容具体性一般、内容针对性一般、内容科学合理性一般、内容可操作性一般)加1分；</w:t>
            </w:r>
          </w:p>
          <w:p w14:paraId="35CA2D4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rPr>
                <w:rFonts w:hint="eastAsia" w:ascii="宋体" w:hAnsi="宋体" w:eastAsia="宋体" w:cs="宋体"/>
                <w:color w:val="0000FF"/>
                <w:kern w:val="2"/>
                <w:sz w:val="21"/>
                <w:szCs w:val="21"/>
                <w:highlight w:val="none"/>
                <w:lang w:val="en-US" w:eastAsia="zh-CN" w:bidi="ar-SA"/>
              </w:rPr>
            </w:pPr>
            <w:r>
              <w:rPr>
                <w:rFonts w:hint="eastAsia" w:ascii="宋体" w:hAnsi="宋体" w:eastAsia="宋体" w:cs="宋体"/>
                <w:color w:val="0000FF"/>
                <w:kern w:val="2"/>
                <w:sz w:val="21"/>
                <w:szCs w:val="21"/>
                <w:highlight w:val="none"/>
                <w:lang w:val="en-US" w:eastAsia="zh-CN" w:bidi="ar-SA"/>
              </w:rPr>
              <w:t>评分为差（质量保证方案内容不具体、无针对性、内容不合理、可操作性差）的不加分；</w:t>
            </w:r>
          </w:p>
          <w:p w14:paraId="5E0A02A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rPr>
                <w:rFonts w:hint="eastAsia" w:ascii="宋体" w:hAnsi="宋体" w:eastAsia="宋体" w:cs="宋体"/>
                <w:color w:val="0000FF"/>
                <w:kern w:val="2"/>
                <w:sz w:val="21"/>
                <w:szCs w:val="21"/>
                <w:highlight w:val="none"/>
                <w:lang w:val="en-US" w:eastAsia="zh-CN" w:bidi="ar-SA"/>
              </w:rPr>
            </w:pPr>
            <w:r>
              <w:rPr>
                <w:rFonts w:hint="eastAsia" w:ascii="宋体" w:hAnsi="宋体" w:eastAsia="宋体" w:cs="宋体"/>
                <w:color w:val="0000FF"/>
                <w:kern w:val="2"/>
                <w:sz w:val="21"/>
                <w:szCs w:val="21"/>
                <w:highlight w:val="none"/>
                <w:lang w:val="en-US" w:eastAsia="zh-CN" w:bidi="ar-SA"/>
              </w:rPr>
              <w:t>评分为差专家须书面说明理由，并记录在档。未提供的不得分。</w:t>
            </w:r>
          </w:p>
        </w:tc>
      </w:tr>
      <w:tr w14:paraId="51EB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Merge w:val="continue"/>
            <w:vAlign w:val="center"/>
          </w:tcPr>
          <w:p w14:paraId="46CE692B">
            <w:pPr>
              <w:keepNext w:val="0"/>
              <w:keepLines w:val="0"/>
              <w:pageBreakBefore w:val="0"/>
              <w:kinsoku/>
              <w:wordWrap/>
              <w:overflowPunct/>
              <w:topLinePunct w:val="0"/>
              <w:bidi w:val="0"/>
              <w:snapToGrid/>
              <w:spacing w:line="340" w:lineRule="exact"/>
              <w:jc w:val="center"/>
              <w:outlineLvl w:val="2"/>
              <w:rPr>
                <w:rFonts w:ascii="宋体" w:hAnsi="宋体" w:cs="Times New Roman"/>
                <w:color w:val="0000FF"/>
                <w:szCs w:val="21"/>
                <w:highlight w:val="none"/>
              </w:rPr>
            </w:pPr>
          </w:p>
        </w:tc>
        <w:tc>
          <w:tcPr>
            <w:tcW w:w="404" w:type="pct"/>
            <w:vAlign w:val="center"/>
          </w:tcPr>
          <w:p w14:paraId="255A441E">
            <w:pPr>
              <w:keepNext w:val="0"/>
              <w:keepLines w:val="0"/>
              <w:pageBreakBefore w:val="0"/>
              <w:kinsoku/>
              <w:wordWrap/>
              <w:overflowPunct/>
              <w:topLinePunct w:val="0"/>
              <w:bidi w:val="0"/>
              <w:snapToGrid/>
              <w:spacing w:line="340" w:lineRule="exact"/>
              <w:jc w:val="center"/>
              <w:rPr>
                <w:rFonts w:ascii="宋体" w:hAnsi="宋体" w:cs="Times New Roman"/>
                <w:color w:val="0000FF"/>
                <w:szCs w:val="21"/>
                <w:highlight w:val="none"/>
              </w:rPr>
            </w:pPr>
            <w:r>
              <w:rPr>
                <w:rFonts w:ascii="宋体" w:hAnsi="宋体" w:cs="Times New Roman"/>
                <w:color w:val="0000FF"/>
                <w:szCs w:val="21"/>
                <w:highlight w:val="none"/>
              </w:rPr>
              <w:t>2</w:t>
            </w:r>
          </w:p>
        </w:tc>
        <w:tc>
          <w:tcPr>
            <w:tcW w:w="901" w:type="pct"/>
            <w:vAlign w:val="center"/>
          </w:tcPr>
          <w:p w14:paraId="59CAF528">
            <w:pPr>
              <w:keepNext w:val="0"/>
              <w:keepLines w:val="0"/>
              <w:pageBreakBefore w:val="0"/>
              <w:widowControl w:val="0"/>
              <w:kinsoku/>
              <w:wordWrap/>
              <w:overflowPunct/>
              <w:topLinePunct w:val="0"/>
              <w:bidi w:val="0"/>
              <w:adjustRightInd/>
              <w:snapToGrid/>
              <w:spacing w:line="340" w:lineRule="exact"/>
              <w:ind w:left="0" w:leftChars="0" w:right="0" w:rightChars="0"/>
              <w:jc w:val="center"/>
              <w:rPr>
                <w:rFonts w:hint="eastAsia" w:ascii="宋体" w:hAnsi="宋体" w:eastAsia="宋体" w:cs="宋体"/>
                <w:color w:val="0000FF"/>
                <w:szCs w:val="21"/>
                <w:highlight w:val="none"/>
              </w:rPr>
            </w:pPr>
            <w:r>
              <w:rPr>
                <w:rFonts w:hint="eastAsia" w:ascii="宋体" w:hAnsi="宋体" w:eastAsia="宋体" w:cs="宋体"/>
                <w:color w:val="0000FF"/>
                <w:sz w:val="21"/>
                <w:szCs w:val="21"/>
                <w:highlight w:val="none"/>
              </w:rPr>
              <w:t>维修服务方案</w:t>
            </w:r>
          </w:p>
        </w:tc>
        <w:tc>
          <w:tcPr>
            <w:tcW w:w="429" w:type="pct"/>
            <w:vAlign w:val="center"/>
          </w:tcPr>
          <w:p w14:paraId="34476ECC">
            <w:pPr>
              <w:keepNext w:val="0"/>
              <w:keepLines w:val="0"/>
              <w:pageBreakBefore w:val="0"/>
              <w:widowControl w:val="0"/>
              <w:kinsoku/>
              <w:wordWrap/>
              <w:overflowPunct/>
              <w:topLinePunct w:val="0"/>
              <w:bidi w:val="0"/>
              <w:adjustRightInd/>
              <w:snapToGrid/>
              <w:spacing w:line="340" w:lineRule="exact"/>
              <w:ind w:left="0" w:leftChars="0" w:right="0" w:rightChars="0"/>
              <w:jc w:val="center"/>
              <w:rPr>
                <w:rFonts w:hint="eastAsia" w:ascii="宋体" w:hAnsi="宋体" w:eastAsia="宋体" w:cs="宋体"/>
                <w:color w:val="0000FF"/>
                <w:szCs w:val="21"/>
                <w:highlight w:val="none"/>
              </w:rPr>
            </w:pPr>
            <w:r>
              <w:rPr>
                <w:rFonts w:hint="eastAsia" w:ascii="宋体" w:hAnsi="宋体" w:eastAsia="宋体" w:cs="宋体"/>
                <w:color w:val="0000FF"/>
                <w:sz w:val="21"/>
                <w:szCs w:val="21"/>
                <w:highlight w:val="none"/>
              </w:rPr>
              <w:t>15</w:t>
            </w:r>
          </w:p>
        </w:tc>
        <w:tc>
          <w:tcPr>
            <w:tcW w:w="2880" w:type="pct"/>
            <w:gridSpan w:val="2"/>
            <w:vAlign w:val="center"/>
          </w:tcPr>
          <w:p w14:paraId="4EEC25F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left"/>
              <w:textAlignment w:val="auto"/>
              <w:rPr>
                <w:rFonts w:hint="eastAsia" w:ascii="宋体" w:hAnsi="宋体" w:eastAsia="宋体" w:cs="宋体"/>
                <w:color w:val="0000FF"/>
                <w:sz w:val="21"/>
                <w:szCs w:val="21"/>
                <w:highlight w:val="none"/>
              </w:rPr>
            </w:pPr>
            <w:r>
              <w:rPr>
                <w:rFonts w:hint="eastAsia" w:ascii="宋体" w:hAnsi="宋体" w:eastAsia="宋体" w:cs="宋体"/>
                <w:b/>
                <w:color w:val="0000FF"/>
                <w:sz w:val="21"/>
                <w:szCs w:val="21"/>
                <w:highlight w:val="none"/>
              </w:rPr>
              <w:t>评审内容</w:t>
            </w:r>
            <w:r>
              <w:rPr>
                <w:rFonts w:hint="eastAsia" w:ascii="宋体" w:hAnsi="宋体" w:eastAsia="宋体" w:cs="宋体"/>
                <w:color w:val="0000FF"/>
                <w:sz w:val="21"/>
                <w:szCs w:val="21"/>
                <w:highlight w:val="none"/>
              </w:rPr>
              <w:t>：</w:t>
            </w:r>
          </w:p>
          <w:p w14:paraId="708AA3E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left"/>
              <w:textAlignment w:val="auto"/>
              <w:rPr>
                <w:rFonts w:hint="eastAsia" w:ascii="宋体" w:hAnsi="宋体" w:cs="宋体"/>
                <w:color w:val="0000FF"/>
                <w:sz w:val="21"/>
                <w:szCs w:val="21"/>
                <w:highlight w:val="none"/>
                <w:lang w:eastAsia="zh-CN"/>
              </w:rPr>
            </w:pPr>
            <w:r>
              <w:rPr>
                <w:rFonts w:hint="eastAsia" w:ascii="宋体" w:hAnsi="宋体" w:eastAsia="宋体" w:cs="宋体"/>
                <w:color w:val="0000FF"/>
                <w:sz w:val="21"/>
                <w:szCs w:val="21"/>
                <w:highlight w:val="none"/>
              </w:rPr>
              <w:t>维修服务方案</w:t>
            </w:r>
            <w:r>
              <w:rPr>
                <w:rFonts w:hint="eastAsia" w:ascii="宋体" w:hAnsi="宋体" w:cs="宋体"/>
                <w:color w:val="0000FF"/>
                <w:sz w:val="21"/>
                <w:szCs w:val="21"/>
                <w:highlight w:val="none"/>
                <w:lang w:val="en-US" w:eastAsia="zh-CN"/>
              </w:rPr>
              <w:t>应包含以下内容</w:t>
            </w:r>
            <w:r>
              <w:rPr>
                <w:rFonts w:hint="eastAsia" w:ascii="宋体" w:hAnsi="宋体" w:cs="宋体"/>
                <w:color w:val="0000FF"/>
                <w:sz w:val="21"/>
                <w:szCs w:val="21"/>
                <w:highlight w:val="none"/>
                <w:lang w:eastAsia="zh-CN"/>
              </w:rPr>
              <w:t>：</w:t>
            </w:r>
          </w:p>
          <w:p w14:paraId="64B2832A">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left"/>
              <w:textAlignment w:val="auto"/>
              <w:rPr>
                <w:rFonts w:hint="eastAsia" w:ascii="宋体" w:hAnsi="宋体" w:cs="宋体"/>
                <w:color w:val="0000FF"/>
                <w:sz w:val="21"/>
                <w:szCs w:val="21"/>
                <w:highlight w:val="none"/>
                <w:lang w:eastAsia="zh-CN"/>
              </w:rPr>
            </w:pPr>
            <w:r>
              <w:rPr>
                <w:rFonts w:hint="eastAsia" w:ascii="宋体" w:hAnsi="宋体" w:eastAsia="宋体" w:cs="宋体"/>
                <w:color w:val="0000FF"/>
                <w:kern w:val="2"/>
                <w:sz w:val="21"/>
                <w:szCs w:val="21"/>
                <w:highlight w:val="none"/>
                <w:lang w:val="en-US" w:eastAsia="zh-CN" w:bidi="ar-SA"/>
              </w:rPr>
              <w:t>①</w:t>
            </w:r>
            <w:r>
              <w:rPr>
                <w:rFonts w:hint="eastAsia" w:ascii="宋体" w:hAnsi="宋体" w:eastAsia="宋体" w:cs="宋体"/>
                <w:color w:val="0000FF"/>
                <w:sz w:val="21"/>
                <w:szCs w:val="21"/>
                <w:highlight w:val="none"/>
              </w:rPr>
              <w:t>货源</w:t>
            </w:r>
            <w:r>
              <w:rPr>
                <w:rFonts w:hint="eastAsia" w:ascii="宋体" w:hAnsi="宋体" w:cs="宋体"/>
                <w:color w:val="0000FF"/>
                <w:sz w:val="21"/>
                <w:szCs w:val="21"/>
                <w:highlight w:val="none"/>
                <w:lang w:val="en-US" w:eastAsia="zh-CN"/>
              </w:rPr>
              <w:t>及</w:t>
            </w:r>
            <w:r>
              <w:rPr>
                <w:rFonts w:hint="eastAsia" w:ascii="宋体" w:hAnsi="宋体" w:eastAsia="宋体" w:cs="宋体"/>
                <w:color w:val="0000FF"/>
                <w:sz w:val="21"/>
                <w:szCs w:val="21"/>
                <w:highlight w:val="none"/>
              </w:rPr>
              <w:t>采购渠道</w:t>
            </w:r>
            <w:r>
              <w:rPr>
                <w:rFonts w:hint="eastAsia" w:ascii="宋体" w:hAnsi="宋体" w:cs="宋体"/>
                <w:color w:val="0000FF"/>
                <w:sz w:val="21"/>
                <w:szCs w:val="21"/>
                <w:highlight w:val="none"/>
                <w:lang w:eastAsia="zh-CN"/>
              </w:rPr>
              <w:t>；</w:t>
            </w:r>
          </w:p>
          <w:p w14:paraId="2135A352">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left"/>
              <w:textAlignment w:val="auto"/>
              <w:rPr>
                <w:rFonts w:hint="eastAsia" w:ascii="宋体" w:hAnsi="宋体" w:cs="宋体"/>
                <w:color w:val="0000FF"/>
                <w:sz w:val="21"/>
                <w:szCs w:val="21"/>
                <w:highlight w:val="none"/>
                <w:lang w:eastAsia="zh-CN"/>
              </w:rPr>
            </w:pPr>
            <w:r>
              <w:rPr>
                <w:rFonts w:hint="eastAsia" w:ascii="宋体" w:hAnsi="宋体" w:eastAsia="宋体" w:cs="宋体"/>
                <w:color w:val="0000FF"/>
                <w:kern w:val="2"/>
                <w:sz w:val="21"/>
                <w:szCs w:val="21"/>
                <w:highlight w:val="none"/>
                <w:lang w:val="en-US" w:eastAsia="zh-CN" w:bidi="ar-SA"/>
              </w:rPr>
              <w:t>②</w:t>
            </w:r>
            <w:r>
              <w:rPr>
                <w:rFonts w:hint="eastAsia" w:ascii="宋体" w:hAnsi="宋体" w:eastAsia="宋体" w:cs="宋体"/>
                <w:color w:val="0000FF"/>
                <w:sz w:val="21"/>
                <w:szCs w:val="21"/>
                <w:highlight w:val="none"/>
              </w:rPr>
              <w:t>供货保障</w:t>
            </w:r>
            <w:r>
              <w:rPr>
                <w:rFonts w:hint="eastAsia" w:ascii="宋体" w:hAnsi="宋体" w:cs="宋体"/>
                <w:color w:val="0000FF"/>
                <w:sz w:val="21"/>
                <w:szCs w:val="21"/>
                <w:highlight w:val="none"/>
                <w:lang w:val="en-US" w:eastAsia="zh-CN"/>
              </w:rPr>
              <w:t>及</w:t>
            </w:r>
            <w:r>
              <w:rPr>
                <w:rFonts w:hint="eastAsia" w:ascii="宋体" w:hAnsi="宋体" w:eastAsia="宋体" w:cs="宋体"/>
                <w:color w:val="0000FF"/>
                <w:sz w:val="21"/>
                <w:szCs w:val="21"/>
                <w:highlight w:val="none"/>
              </w:rPr>
              <w:t>品质监控</w:t>
            </w:r>
            <w:r>
              <w:rPr>
                <w:rFonts w:hint="eastAsia" w:ascii="宋体" w:hAnsi="宋体" w:cs="宋体"/>
                <w:color w:val="0000FF"/>
                <w:sz w:val="21"/>
                <w:szCs w:val="21"/>
                <w:highlight w:val="none"/>
                <w:lang w:eastAsia="zh-CN"/>
              </w:rPr>
              <w:t>；</w:t>
            </w:r>
          </w:p>
          <w:p w14:paraId="24B30C8C">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left"/>
              <w:textAlignment w:val="auto"/>
              <w:rPr>
                <w:rFonts w:hint="eastAsia" w:ascii="宋体" w:hAnsi="宋体" w:cs="宋体"/>
                <w:color w:val="0000FF"/>
                <w:sz w:val="21"/>
                <w:szCs w:val="21"/>
                <w:highlight w:val="none"/>
                <w:lang w:eastAsia="zh-CN"/>
              </w:rPr>
            </w:pPr>
            <w:r>
              <w:rPr>
                <w:rFonts w:hint="eastAsia" w:ascii="宋体" w:hAnsi="宋体" w:eastAsia="宋体" w:cs="宋体"/>
                <w:color w:val="0000FF"/>
                <w:kern w:val="2"/>
                <w:sz w:val="21"/>
                <w:szCs w:val="21"/>
                <w:highlight w:val="none"/>
                <w:lang w:val="en-US" w:eastAsia="zh-CN" w:bidi="ar-SA"/>
              </w:rPr>
              <w:t>③</w:t>
            </w:r>
            <w:r>
              <w:rPr>
                <w:rFonts w:hint="eastAsia" w:ascii="宋体" w:hAnsi="宋体" w:eastAsia="宋体" w:cs="宋体"/>
                <w:color w:val="0000FF"/>
                <w:sz w:val="21"/>
                <w:szCs w:val="21"/>
                <w:highlight w:val="none"/>
              </w:rPr>
              <w:t>日常管理组织</w:t>
            </w:r>
            <w:r>
              <w:rPr>
                <w:rFonts w:hint="eastAsia" w:ascii="宋体" w:hAnsi="宋体" w:cs="宋体"/>
                <w:color w:val="0000FF"/>
                <w:sz w:val="21"/>
                <w:szCs w:val="21"/>
                <w:highlight w:val="none"/>
                <w:lang w:eastAsia="zh-CN"/>
              </w:rPr>
              <w:t>；</w:t>
            </w:r>
          </w:p>
          <w:p w14:paraId="48B82F19">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left"/>
              <w:textAlignment w:val="auto"/>
              <w:rPr>
                <w:rFonts w:hint="eastAsia" w:ascii="宋体" w:hAnsi="宋体" w:eastAsia="宋体" w:cs="宋体"/>
                <w:color w:val="0000FF"/>
                <w:sz w:val="21"/>
                <w:szCs w:val="21"/>
                <w:highlight w:val="none"/>
              </w:rPr>
            </w:pPr>
            <w:r>
              <w:rPr>
                <w:rFonts w:hint="eastAsia" w:ascii="宋体" w:hAnsi="宋体" w:eastAsia="宋体" w:cs="宋体"/>
                <w:color w:val="0000FF"/>
                <w:kern w:val="2"/>
                <w:sz w:val="21"/>
                <w:szCs w:val="21"/>
                <w:highlight w:val="none"/>
                <w:lang w:val="en-US" w:eastAsia="zh-CN" w:bidi="ar-SA"/>
              </w:rPr>
              <w:t>④</w:t>
            </w:r>
            <w:r>
              <w:rPr>
                <w:rFonts w:hint="eastAsia" w:ascii="宋体" w:hAnsi="宋体" w:eastAsia="宋体" w:cs="宋体"/>
                <w:color w:val="0000FF"/>
                <w:sz w:val="21"/>
                <w:szCs w:val="21"/>
                <w:highlight w:val="none"/>
              </w:rPr>
              <w:t>应急预案</w:t>
            </w:r>
            <w:r>
              <w:rPr>
                <w:rFonts w:hint="eastAsia" w:ascii="宋体" w:hAnsi="宋体" w:cs="宋体"/>
                <w:color w:val="0000FF"/>
                <w:sz w:val="21"/>
                <w:szCs w:val="21"/>
                <w:highlight w:val="none"/>
                <w:lang w:eastAsia="zh-CN"/>
              </w:rPr>
              <w:t>；</w:t>
            </w:r>
          </w:p>
          <w:p w14:paraId="7CEBDBE9">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left"/>
              <w:textAlignment w:val="auto"/>
              <w:rPr>
                <w:rFonts w:hint="eastAsia" w:ascii="宋体" w:hAnsi="宋体" w:cs="宋体"/>
                <w:color w:val="0000FF"/>
                <w:sz w:val="21"/>
                <w:szCs w:val="21"/>
                <w:highlight w:val="none"/>
                <w:lang w:eastAsia="zh-CN"/>
              </w:rPr>
            </w:pPr>
            <w:r>
              <w:rPr>
                <w:rFonts w:hint="eastAsia" w:ascii="宋体" w:hAnsi="宋体" w:eastAsia="宋体" w:cs="宋体"/>
                <w:color w:val="0000FF"/>
                <w:kern w:val="2"/>
                <w:sz w:val="21"/>
                <w:szCs w:val="21"/>
                <w:highlight w:val="none"/>
                <w:lang w:val="en-US" w:eastAsia="zh-CN" w:bidi="ar-SA"/>
              </w:rPr>
              <w:t>⑤</w:t>
            </w:r>
            <w:r>
              <w:rPr>
                <w:rFonts w:hint="eastAsia" w:ascii="宋体" w:hAnsi="宋体" w:eastAsia="宋体" w:cs="宋体"/>
                <w:color w:val="0000FF"/>
                <w:sz w:val="21"/>
                <w:szCs w:val="21"/>
                <w:highlight w:val="none"/>
              </w:rPr>
              <w:t>物流配送方案</w:t>
            </w:r>
            <w:r>
              <w:rPr>
                <w:rFonts w:hint="eastAsia" w:ascii="宋体" w:hAnsi="宋体" w:cs="宋体"/>
                <w:color w:val="0000FF"/>
                <w:sz w:val="21"/>
                <w:szCs w:val="21"/>
                <w:highlight w:val="none"/>
                <w:lang w:eastAsia="zh-CN"/>
              </w:rPr>
              <w:t>；</w:t>
            </w:r>
          </w:p>
          <w:p w14:paraId="463719D7">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left"/>
              <w:textAlignment w:val="auto"/>
              <w:rPr>
                <w:rFonts w:hint="eastAsia" w:ascii="宋体" w:hAnsi="宋体" w:eastAsia="宋体" w:cs="宋体"/>
                <w:color w:val="0000FF"/>
                <w:sz w:val="21"/>
                <w:szCs w:val="21"/>
                <w:highlight w:val="none"/>
              </w:rPr>
            </w:pPr>
            <w:r>
              <w:rPr>
                <w:rFonts w:hint="eastAsia" w:ascii="宋体" w:hAnsi="宋体" w:eastAsia="宋体" w:cs="宋体"/>
                <w:color w:val="0000FF"/>
                <w:kern w:val="2"/>
                <w:sz w:val="21"/>
                <w:szCs w:val="21"/>
                <w:highlight w:val="none"/>
                <w:lang w:val="en-US" w:eastAsia="zh-CN" w:bidi="ar-SA"/>
              </w:rPr>
              <w:t>⑥</w:t>
            </w:r>
            <w:r>
              <w:rPr>
                <w:rFonts w:hint="eastAsia" w:ascii="宋体" w:hAnsi="宋体" w:eastAsia="宋体" w:cs="宋体"/>
                <w:color w:val="0000FF"/>
                <w:sz w:val="21"/>
                <w:szCs w:val="21"/>
                <w:highlight w:val="none"/>
              </w:rPr>
              <w:t>各种规章制度。</w:t>
            </w:r>
          </w:p>
          <w:p w14:paraId="2541D14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left"/>
              <w:textAlignment w:val="auto"/>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评分标准：</w:t>
            </w:r>
          </w:p>
          <w:p w14:paraId="7FB0C44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left"/>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满足以上要求得</w:t>
            </w:r>
            <w:r>
              <w:rPr>
                <w:rFonts w:hint="eastAsia" w:ascii="宋体" w:hAnsi="宋体" w:cs="宋体"/>
                <w:color w:val="0000FF"/>
                <w:sz w:val="21"/>
                <w:szCs w:val="21"/>
                <w:highlight w:val="none"/>
                <w:lang w:val="en-US" w:eastAsia="zh-CN"/>
              </w:rPr>
              <w:t>9</w:t>
            </w:r>
            <w:r>
              <w:rPr>
                <w:rFonts w:hint="eastAsia" w:ascii="宋体" w:hAnsi="宋体" w:eastAsia="宋体" w:cs="宋体"/>
                <w:color w:val="0000FF"/>
                <w:sz w:val="21"/>
                <w:szCs w:val="21"/>
                <w:highlight w:val="none"/>
              </w:rPr>
              <w:t>分，</w:t>
            </w:r>
            <w:r>
              <w:rPr>
                <w:rFonts w:hint="eastAsia" w:ascii="宋体" w:hAnsi="宋体" w:cs="宋体"/>
                <w:color w:val="0000FF"/>
                <w:sz w:val="21"/>
                <w:szCs w:val="21"/>
                <w:highlight w:val="none"/>
                <w:lang w:val="en-US" w:eastAsia="zh-CN"/>
              </w:rPr>
              <w:t>每少一项扣1.5分，</w:t>
            </w:r>
            <w:r>
              <w:rPr>
                <w:rFonts w:hint="eastAsia" w:ascii="宋体" w:hAnsi="宋体" w:eastAsia="宋体" w:cs="宋体"/>
                <w:color w:val="0000FF"/>
                <w:sz w:val="21"/>
                <w:szCs w:val="21"/>
                <w:highlight w:val="none"/>
              </w:rPr>
              <w:t>在此基础上：</w:t>
            </w:r>
          </w:p>
          <w:p w14:paraId="1AA73BC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left"/>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评分为优（维修服务方案内容具体、内容针对性强、内容科学合理、内容可操作性强）的加</w:t>
            </w:r>
            <w:r>
              <w:rPr>
                <w:rFonts w:hint="eastAsia" w:ascii="宋体" w:hAnsi="宋体" w:cs="宋体"/>
                <w:color w:val="0000FF"/>
                <w:sz w:val="21"/>
                <w:szCs w:val="21"/>
                <w:highlight w:val="none"/>
                <w:lang w:val="en-US" w:eastAsia="zh-CN"/>
              </w:rPr>
              <w:t>6</w:t>
            </w:r>
            <w:r>
              <w:rPr>
                <w:rFonts w:hint="eastAsia" w:ascii="宋体" w:hAnsi="宋体" w:eastAsia="宋体" w:cs="宋体"/>
                <w:color w:val="0000FF"/>
                <w:sz w:val="21"/>
                <w:szCs w:val="21"/>
                <w:highlight w:val="none"/>
              </w:rPr>
              <w:t>分；</w:t>
            </w:r>
          </w:p>
          <w:p w14:paraId="10241AB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left"/>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评分为良（维修服务方案内容较具体、内容针对性较强、内容较科学合理、内容可操作性较强）加</w:t>
            </w:r>
            <w:r>
              <w:rPr>
                <w:rFonts w:hint="eastAsia" w:ascii="宋体" w:hAnsi="宋体" w:cs="宋体"/>
                <w:color w:val="0000FF"/>
                <w:sz w:val="21"/>
                <w:szCs w:val="21"/>
                <w:highlight w:val="none"/>
                <w:lang w:val="en-US" w:eastAsia="zh-CN"/>
              </w:rPr>
              <w:t>3</w:t>
            </w:r>
            <w:r>
              <w:rPr>
                <w:rFonts w:hint="eastAsia" w:ascii="宋体" w:hAnsi="宋体" w:eastAsia="宋体" w:cs="宋体"/>
                <w:color w:val="0000FF"/>
                <w:sz w:val="21"/>
                <w:szCs w:val="21"/>
                <w:highlight w:val="none"/>
              </w:rPr>
              <w:t>分；</w:t>
            </w:r>
          </w:p>
          <w:p w14:paraId="22B3433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left"/>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评分为中(维修服务方案内容具体性一般、内容针对性一般、内容科学合理性一般、内容可操作性一般)加1分；</w:t>
            </w:r>
          </w:p>
          <w:p w14:paraId="6EDD702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left"/>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评分为差（维修服务方案内容不具体、无针对性、内容不合理、可操作性差）的不加分；</w:t>
            </w:r>
          </w:p>
          <w:p w14:paraId="5FB4B2E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jc w:val="left"/>
              <w:textAlignment w:val="auto"/>
              <w:rPr>
                <w:rFonts w:hint="eastAsia" w:ascii="宋体" w:hAnsi="宋体" w:eastAsia="宋体" w:cs="宋体"/>
                <w:color w:val="0000FF"/>
                <w:szCs w:val="21"/>
                <w:highlight w:val="none"/>
              </w:rPr>
            </w:pPr>
            <w:r>
              <w:rPr>
                <w:rFonts w:hint="eastAsia" w:ascii="宋体" w:hAnsi="宋体" w:eastAsia="宋体" w:cs="宋体"/>
                <w:color w:val="0000FF"/>
                <w:sz w:val="21"/>
                <w:szCs w:val="21"/>
                <w:highlight w:val="none"/>
              </w:rPr>
              <w:t>评分为差专家须书面说明理由，并记录在档。未提供的不得分。</w:t>
            </w:r>
          </w:p>
        </w:tc>
      </w:tr>
      <w:tr w14:paraId="5BD0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Merge w:val="continue"/>
            <w:vAlign w:val="center"/>
          </w:tcPr>
          <w:p w14:paraId="04747CC2">
            <w:pPr>
              <w:keepNext w:val="0"/>
              <w:keepLines w:val="0"/>
              <w:pageBreakBefore w:val="0"/>
              <w:kinsoku/>
              <w:wordWrap/>
              <w:overflowPunct/>
              <w:topLinePunct w:val="0"/>
              <w:bidi w:val="0"/>
              <w:snapToGrid/>
              <w:spacing w:line="340" w:lineRule="exact"/>
              <w:jc w:val="center"/>
              <w:rPr>
                <w:rFonts w:ascii="宋体" w:hAnsi="宋体" w:cs="Times New Roman"/>
                <w:color w:val="0000FF"/>
                <w:szCs w:val="21"/>
                <w:highlight w:val="none"/>
              </w:rPr>
            </w:pPr>
          </w:p>
        </w:tc>
        <w:tc>
          <w:tcPr>
            <w:tcW w:w="404" w:type="pct"/>
            <w:vAlign w:val="center"/>
          </w:tcPr>
          <w:p w14:paraId="6059E61D">
            <w:pPr>
              <w:keepNext w:val="0"/>
              <w:keepLines w:val="0"/>
              <w:pageBreakBefore w:val="0"/>
              <w:kinsoku/>
              <w:wordWrap/>
              <w:overflowPunct/>
              <w:topLinePunct w:val="0"/>
              <w:bidi w:val="0"/>
              <w:snapToGrid/>
              <w:spacing w:line="340" w:lineRule="exact"/>
              <w:jc w:val="center"/>
              <w:rPr>
                <w:rFonts w:ascii="宋体" w:hAnsi="宋体" w:cs="Times New Roman"/>
                <w:color w:val="0000FF"/>
                <w:szCs w:val="21"/>
                <w:highlight w:val="none"/>
              </w:rPr>
            </w:pPr>
            <w:r>
              <w:rPr>
                <w:rFonts w:ascii="宋体" w:hAnsi="宋体" w:cs="Times New Roman"/>
                <w:color w:val="0000FF"/>
                <w:szCs w:val="21"/>
                <w:highlight w:val="none"/>
              </w:rPr>
              <w:t>3</w:t>
            </w:r>
          </w:p>
        </w:tc>
        <w:tc>
          <w:tcPr>
            <w:tcW w:w="901" w:type="pct"/>
            <w:vAlign w:val="center"/>
          </w:tcPr>
          <w:p w14:paraId="1953ECD5">
            <w:pPr>
              <w:keepNext w:val="0"/>
              <w:keepLines w:val="0"/>
              <w:pageBreakBefore w:val="0"/>
              <w:widowControl w:val="0"/>
              <w:kinsoku/>
              <w:wordWrap/>
              <w:overflowPunct/>
              <w:topLinePunct w:val="0"/>
              <w:bidi w:val="0"/>
              <w:adjustRightInd/>
              <w:snapToGrid/>
              <w:spacing w:line="340" w:lineRule="exact"/>
              <w:ind w:left="0" w:leftChars="0" w:right="0" w:rightChars="0"/>
              <w:jc w:val="center"/>
              <w:rPr>
                <w:rFonts w:hint="eastAsia" w:ascii="宋体" w:hAnsi="宋体" w:eastAsia="宋体" w:cs="宋体"/>
                <w:color w:val="0000FF"/>
                <w:szCs w:val="21"/>
                <w:highlight w:val="none"/>
              </w:rPr>
            </w:pPr>
            <w:r>
              <w:rPr>
                <w:rFonts w:hint="eastAsia" w:ascii="宋体" w:hAnsi="宋体" w:eastAsia="宋体" w:cs="宋体"/>
                <w:color w:val="0000FF"/>
                <w:sz w:val="21"/>
                <w:szCs w:val="21"/>
                <w:highlight w:val="none"/>
              </w:rPr>
              <w:t>维修服务响应时间</w:t>
            </w:r>
          </w:p>
        </w:tc>
        <w:tc>
          <w:tcPr>
            <w:tcW w:w="429" w:type="pct"/>
            <w:vAlign w:val="center"/>
          </w:tcPr>
          <w:p w14:paraId="364E90B6">
            <w:pPr>
              <w:keepNext w:val="0"/>
              <w:keepLines w:val="0"/>
              <w:pageBreakBefore w:val="0"/>
              <w:widowControl w:val="0"/>
              <w:kinsoku/>
              <w:wordWrap/>
              <w:overflowPunct/>
              <w:topLinePunct w:val="0"/>
              <w:bidi w:val="0"/>
              <w:adjustRightInd/>
              <w:snapToGrid/>
              <w:spacing w:line="340" w:lineRule="exact"/>
              <w:ind w:left="0" w:leftChars="0" w:right="0" w:rightChars="0"/>
              <w:jc w:val="center"/>
              <w:rPr>
                <w:rFonts w:hint="eastAsia" w:ascii="宋体" w:hAnsi="宋体" w:eastAsia="宋体" w:cs="宋体"/>
                <w:color w:val="0000FF"/>
                <w:szCs w:val="21"/>
                <w:highlight w:val="none"/>
              </w:rPr>
            </w:pPr>
            <w:r>
              <w:rPr>
                <w:rFonts w:hint="eastAsia" w:ascii="宋体" w:hAnsi="宋体" w:eastAsia="宋体" w:cs="宋体"/>
                <w:color w:val="0000FF"/>
                <w:sz w:val="21"/>
                <w:szCs w:val="21"/>
                <w:highlight w:val="none"/>
                <w:lang w:val="en-US" w:eastAsia="zh-CN"/>
              </w:rPr>
              <w:t>6</w:t>
            </w:r>
          </w:p>
        </w:tc>
        <w:tc>
          <w:tcPr>
            <w:tcW w:w="2880" w:type="pct"/>
            <w:gridSpan w:val="2"/>
            <w:vAlign w:val="center"/>
          </w:tcPr>
          <w:p w14:paraId="1AAC76C5">
            <w:pPr>
              <w:keepNext w:val="0"/>
              <w:keepLines w:val="0"/>
              <w:pageBreakBefore w:val="0"/>
              <w:kinsoku/>
              <w:wordWrap/>
              <w:overflowPunct/>
              <w:topLinePunct w:val="0"/>
              <w:bidi w:val="0"/>
              <w:snapToGrid/>
              <w:spacing w:line="340" w:lineRule="exact"/>
              <w:jc w:val="left"/>
              <w:rPr>
                <w:rFonts w:hint="eastAsia" w:ascii="宋体" w:hAnsi="宋体" w:eastAsia="宋体" w:cs="宋体"/>
                <w:color w:val="0000FF"/>
                <w:sz w:val="21"/>
                <w:szCs w:val="21"/>
                <w:highlight w:val="none"/>
              </w:rPr>
            </w:pPr>
            <w:r>
              <w:rPr>
                <w:rFonts w:hint="eastAsia" w:ascii="宋体" w:hAnsi="宋体" w:eastAsia="宋体" w:cs="宋体"/>
                <w:b/>
                <w:color w:val="0000FF"/>
                <w:sz w:val="21"/>
                <w:szCs w:val="21"/>
                <w:highlight w:val="none"/>
              </w:rPr>
              <w:t>评审内容</w:t>
            </w:r>
            <w:r>
              <w:rPr>
                <w:rFonts w:hint="eastAsia" w:ascii="宋体" w:hAnsi="宋体" w:eastAsia="宋体" w:cs="宋体"/>
                <w:color w:val="0000FF"/>
                <w:sz w:val="21"/>
                <w:szCs w:val="21"/>
                <w:highlight w:val="none"/>
              </w:rPr>
              <w:t>：</w:t>
            </w:r>
          </w:p>
          <w:p w14:paraId="6E754E03">
            <w:pPr>
              <w:keepNext w:val="0"/>
              <w:keepLines w:val="0"/>
              <w:pageBreakBefore w:val="0"/>
              <w:widowControl w:val="0"/>
              <w:kinsoku/>
              <w:wordWrap/>
              <w:overflowPunct/>
              <w:topLinePunct w:val="0"/>
              <w:bidi w:val="0"/>
              <w:adjustRightInd/>
              <w:snapToGrid/>
              <w:spacing w:line="340" w:lineRule="exact"/>
              <w:ind w:left="0" w:leftChars="0" w:right="0" w:rightChars="0"/>
              <w:jc w:val="left"/>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投标人承诺自接到订单后10个工作日内完成维修。提供承诺得满分，未提供承诺或承诺不满足要求均作不得分处理。</w:t>
            </w:r>
          </w:p>
          <w:p w14:paraId="5776A0A4">
            <w:pPr>
              <w:keepNext w:val="0"/>
              <w:keepLines w:val="0"/>
              <w:pageBreakBefore w:val="0"/>
              <w:widowControl w:val="0"/>
              <w:kinsoku/>
              <w:wordWrap/>
              <w:overflowPunct/>
              <w:topLinePunct w:val="0"/>
              <w:bidi w:val="0"/>
              <w:adjustRightInd/>
              <w:snapToGrid/>
              <w:spacing w:line="340" w:lineRule="exact"/>
              <w:ind w:left="0" w:leftChars="0" w:right="0" w:rightChars="0"/>
              <w:jc w:val="left"/>
              <w:rPr>
                <w:rFonts w:hint="eastAsia" w:ascii="宋体" w:hAnsi="宋体" w:eastAsia="宋体" w:cs="宋体"/>
                <w:color w:val="0000FF"/>
                <w:szCs w:val="21"/>
                <w:highlight w:val="none"/>
              </w:rPr>
            </w:pPr>
            <w:r>
              <w:rPr>
                <w:rFonts w:hint="eastAsia" w:ascii="宋体" w:hAnsi="宋体" w:eastAsia="宋体" w:cs="宋体"/>
                <w:b/>
                <w:bCs/>
                <w:color w:val="0000FF"/>
                <w:sz w:val="21"/>
                <w:szCs w:val="21"/>
                <w:highlight w:val="none"/>
                <w:lang w:eastAsia="zh-CN"/>
              </w:rPr>
              <w:t>评分依据</w:t>
            </w:r>
            <w:r>
              <w:rPr>
                <w:rFonts w:hint="eastAsia" w:ascii="宋体" w:hAnsi="宋体" w:eastAsia="宋体" w:cs="宋体"/>
                <w:b/>
                <w:bCs/>
                <w:color w:val="0000FF"/>
                <w:sz w:val="21"/>
                <w:szCs w:val="21"/>
                <w:highlight w:val="none"/>
              </w:rPr>
              <w:t>：</w:t>
            </w:r>
            <w:r>
              <w:rPr>
                <w:rFonts w:hint="eastAsia" w:ascii="宋体" w:hAnsi="宋体" w:eastAsia="宋体" w:cs="宋体"/>
                <w:color w:val="0000FF"/>
                <w:sz w:val="21"/>
                <w:szCs w:val="21"/>
                <w:highlight w:val="none"/>
              </w:rPr>
              <w:t>承诺函加盖公章（格式自拟）</w:t>
            </w:r>
          </w:p>
        </w:tc>
      </w:tr>
      <w:tr w14:paraId="3EAE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Merge w:val="continue"/>
            <w:vAlign w:val="center"/>
          </w:tcPr>
          <w:p w14:paraId="3F1957F2">
            <w:pPr>
              <w:keepNext w:val="0"/>
              <w:keepLines w:val="0"/>
              <w:pageBreakBefore w:val="0"/>
              <w:kinsoku/>
              <w:wordWrap/>
              <w:overflowPunct/>
              <w:topLinePunct w:val="0"/>
              <w:bidi w:val="0"/>
              <w:snapToGrid/>
              <w:spacing w:line="340" w:lineRule="exact"/>
              <w:jc w:val="center"/>
              <w:outlineLvl w:val="2"/>
              <w:rPr>
                <w:rFonts w:ascii="宋体" w:hAnsi="宋体" w:cs="Times New Roman"/>
                <w:color w:val="0000FF"/>
                <w:szCs w:val="21"/>
                <w:highlight w:val="none"/>
              </w:rPr>
            </w:pPr>
          </w:p>
        </w:tc>
        <w:tc>
          <w:tcPr>
            <w:tcW w:w="404" w:type="pct"/>
            <w:vAlign w:val="center"/>
          </w:tcPr>
          <w:p w14:paraId="716953B7">
            <w:pPr>
              <w:keepNext w:val="0"/>
              <w:keepLines w:val="0"/>
              <w:pageBreakBefore w:val="0"/>
              <w:kinsoku/>
              <w:wordWrap/>
              <w:overflowPunct/>
              <w:topLinePunct w:val="0"/>
              <w:bidi w:val="0"/>
              <w:snapToGrid/>
              <w:spacing w:line="340" w:lineRule="exact"/>
              <w:jc w:val="center"/>
              <w:rPr>
                <w:rFonts w:hint="eastAsia" w:ascii="宋体" w:hAnsi="宋体" w:eastAsia="宋体" w:cs="Times New Roman"/>
                <w:color w:val="0000FF"/>
                <w:szCs w:val="21"/>
                <w:highlight w:val="none"/>
                <w:lang w:eastAsia="zh-CN"/>
              </w:rPr>
            </w:pPr>
            <w:r>
              <w:rPr>
                <w:rFonts w:hint="eastAsia" w:ascii="宋体" w:hAnsi="宋体" w:cs="Times New Roman"/>
                <w:color w:val="0000FF"/>
                <w:szCs w:val="21"/>
                <w:highlight w:val="none"/>
                <w:lang w:val="en-US" w:eastAsia="zh-CN"/>
              </w:rPr>
              <w:t>4</w:t>
            </w:r>
          </w:p>
        </w:tc>
        <w:tc>
          <w:tcPr>
            <w:tcW w:w="901" w:type="pct"/>
            <w:vAlign w:val="center"/>
          </w:tcPr>
          <w:p w14:paraId="425E8FA0">
            <w:pPr>
              <w:keepNext w:val="0"/>
              <w:keepLines w:val="0"/>
              <w:pageBreakBefore w:val="0"/>
              <w:widowControl w:val="0"/>
              <w:kinsoku/>
              <w:wordWrap/>
              <w:overflowPunct/>
              <w:topLinePunct w:val="0"/>
              <w:bidi w:val="0"/>
              <w:adjustRightInd/>
              <w:snapToGrid/>
              <w:spacing w:line="340" w:lineRule="exact"/>
              <w:ind w:left="0" w:leftChars="0" w:right="0" w:rightChars="0"/>
              <w:jc w:val="center"/>
              <w:rPr>
                <w:rFonts w:hint="eastAsia" w:ascii="宋体" w:hAnsi="宋体" w:eastAsia="宋体" w:cs="宋体"/>
                <w:color w:val="0000FF"/>
                <w:szCs w:val="21"/>
                <w:highlight w:val="none"/>
              </w:rPr>
            </w:pPr>
            <w:r>
              <w:rPr>
                <w:rFonts w:hint="eastAsia" w:ascii="宋体" w:hAnsi="宋体" w:eastAsia="宋体" w:cs="宋体"/>
                <w:color w:val="0000FF"/>
                <w:sz w:val="21"/>
                <w:szCs w:val="21"/>
                <w:highlight w:val="none"/>
              </w:rPr>
              <w:t>拟安排的项目负责人情况（仅限一人）</w:t>
            </w:r>
          </w:p>
        </w:tc>
        <w:tc>
          <w:tcPr>
            <w:tcW w:w="429" w:type="pct"/>
            <w:vAlign w:val="center"/>
          </w:tcPr>
          <w:p w14:paraId="18C4FC02">
            <w:pPr>
              <w:keepNext w:val="0"/>
              <w:keepLines w:val="0"/>
              <w:pageBreakBefore w:val="0"/>
              <w:widowControl w:val="0"/>
              <w:kinsoku/>
              <w:wordWrap/>
              <w:overflowPunct/>
              <w:topLinePunct w:val="0"/>
              <w:bidi w:val="0"/>
              <w:adjustRightInd/>
              <w:snapToGrid/>
              <w:spacing w:line="340" w:lineRule="exact"/>
              <w:ind w:left="0" w:leftChars="0" w:right="0" w:rightChars="0"/>
              <w:jc w:val="center"/>
              <w:rPr>
                <w:rFonts w:hint="eastAsia" w:ascii="宋体" w:hAnsi="宋体" w:eastAsia="宋体" w:cs="宋体"/>
                <w:color w:val="0000FF"/>
                <w:szCs w:val="21"/>
                <w:highlight w:val="none"/>
              </w:rPr>
            </w:pPr>
            <w:r>
              <w:rPr>
                <w:rFonts w:hint="eastAsia" w:ascii="宋体" w:hAnsi="宋体" w:cs="宋体"/>
                <w:color w:val="0000FF"/>
                <w:sz w:val="21"/>
                <w:szCs w:val="21"/>
                <w:highlight w:val="none"/>
                <w:lang w:val="en-US" w:eastAsia="zh-CN"/>
              </w:rPr>
              <w:t>8</w:t>
            </w:r>
          </w:p>
        </w:tc>
        <w:tc>
          <w:tcPr>
            <w:tcW w:w="2880" w:type="pct"/>
            <w:gridSpan w:val="2"/>
            <w:vAlign w:val="center"/>
          </w:tcPr>
          <w:p w14:paraId="282B1E71">
            <w:pPr>
              <w:keepNext w:val="0"/>
              <w:keepLines w:val="0"/>
              <w:pageBreakBefore w:val="0"/>
              <w:kinsoku/>
              <w:wordWrap/>
              <w:overflowPunct/>
              <w:topLinePunct w:val="0"/>
              <w:bidi w:val="0"/>
              <w:snapToGrid/>
              <w:spacing w:line="340" w:lineRule="exact"/>
              <w:jc w:val="left"/>
              <w:rPr>
                <w:rFonts w:hint="eastAsia" w:ascii="宋体" w:hAnsi="宋体" w:eastAsia="宋体" w:cs="宋体"/>
                <w:color w:val="0000FF"/>
                <w:sz w:val="21"/>
                <w:szCs w:val="21"/>
                <w:highlight w:val="none"/>
              </w:rPr>
            </w:pPr>
            <w:r>
              <w:rPr>
                <w:rFonts w:hint="eastAsia" w:ascii="宋体" w:hAnsi="宋体" w:eastAsia="宋体" w:cs="宋体"/>
                <w:b/>
                <w:color w:val="0000FF"/>
                <w:sz w:val="21"/>
                <w:szCs w:val="21"/>
                <w:highlight w:val="none"/>
              </w:rPr>
              <w:t>评审内容</w:t>
            </w:r>
            <w:r>
              <w:rPr>
                <w:rFonts w:hint="eastAsia" w:ascii="宋体" w:hAnsi="宋体" w:eastAsia="宋体" w:cs="宋体"/>
                <w:color w:val="0000FF"/>
                <w:sz w:val="21"/>
                <w:szCs w:val="21"/>
                <w:highlight w:val="none"/>
              </w:rPr>
              <w:t>：</w:t>
            </w:r>
          </w:p>
          <w:p w14:paraId="22BC4A83">
            <w:pPr>
              <w:keepNext w:val="0"/>
              <w:keepLines w:val="0"/>
              <w:pageBreakBefore w:val="0"/>
              <w:widowControl w:val="0"/>
              <w:numPr>
                <w:ilvl w:val="0"/>
                <w:numId w:val="0"/>
              </w:numPr>
              <w:kinsoku/>
              <w:wordWrap/>
              <w:overflowPunct/>
              <w:topLinePunct w:val="0"/>
              <w:bidi w:val="0"/>
              <w:adjustRightInd/>
              <w:snapToGrid/>
              <w:spacing w:line="340" w:lineRule="exact"/>
              <w:ind w:left="0" w:leftChars="0" w:right="0" w:rightChars="0"/>
              <w:rPr>
                <w:rFonts w:hint="eastAsia" w:ascii="宋体" w:hAnsi="宋体" w:cs="宋体"/>
                <w:color w:val="0000FF"/>
                <w:sz w:val="21"/>
                <w:szCs w:val="21"/>
                <w:highlight w:val="none"/>
                <w:lang w:val="en-US" w:eastAsia="zh-CN"/>
              </w:rPr>
            </w:pPr>
            <w:r>
              <w:rPr>
                <w:rFonts w:hint="eastAsia" w:ascii="宋体" w:hAnsi="宋体" w:eastAsia="宋体" w:cs="宋体"/>
                <w:color w:val="0000FF"/>
                <w:kern w:val="2"/>
                <w:sz w:val="21"/>
                <w:szCs w:val="21"/>
                <w:highlight w:val="none"/>
                <w:lang w:val="en-US" w:eastAsia="zh-CN" w:bidi="ar-SA"/>
              </w:rPr>
              <w:t>1.</w:t>
            </w:r>
            <w:r>
              <w:rPr>
                <w:rFonts w:hint="eastAsia" w:ascii="宋体" w:hAnsi="宋体" w:eastAsia="宋体" w:cs="宋体"/>
                <w:color w:val="0000FF"/>
                <w:sz w:val="21"/>
                <w:szCs w:val="21"/>
                <w:highlight w:val="none"/>
                <w:lang w:val="en-US" w:eastAsia="zh-CN"/>
              </w:rPr>
              <w:t>具有大专或以上学历</w:t>
            </w:r>
            <w:r>
              <w:rPr>
                <w:rFonts w:hint="eastAsia" w:ascii="宋体" w:hAnsi="宋体" w:cs="宋体"/>
                <w:color w:val="0000FF"/>
                <w:sz w:val="21"/>
                <w:szCs w:val="21"/>
                <w:highlight w:val="none"/>
                <w:lang w:val="en-US" w:eastAsia="zh-CN"/>
              </w:rPr>
              <w:t>得4分；</w:t>
            </w:r>
          </w:p>
          <w:p w14:paraId="2F84FC0A">
            <w:pPr>
              <w:keepNext w:val="0"/>
              <w:keepLines w:val="0"/>
              <w:pageBreakBefore w:val="0"/>
              <w:widowControl w:val="0"/>
              <w:numPr>
                <w:ilvl w:val="0"/>
                <w:numId w:val="0"/>
              </w:numPr>
              <w:kinsoku/>
              <w:wordWrap/>
              <w:overflowPunct/>
              <w:topLinePunct w:val="0"/>
              <w:bidi w:val="0"/>
              <w:adjustRightInd/>
              <w:snapToGrid/>
              <w:spacing w:line="340" w:lineRule="exact"/>
              <w:ind w:left="0" w:leftChars="0" w:right="0" w:rightChars="0"/>
              <w:rPr>
                <w:rFonts w:hint="eastAsia" w:ascii="宋体" w:hAnsi="宋体" w:cs="宋体"/>
                <w:color w:val="0000FF"/>
                <w:sz w:val="21"/>
                <w:szCs w:val="21"/>
                <w:highlight w:val="none"/>
                <w:lang w:val="en-US" w:eastAsia="zh-CN"/>
              </w:rPr>
            </w:pPr>
            <w:r>
              <w:rPr>
                <w:rFonts w:hint="eastAsia" w:ascii="宋体" w:hAnsi="宋体" w:eastAsia="宋体" w:cs="宋体"/>
                <w:color w:val="0000FF"/>
                <w:kern w:val="2"/>
                <w:sz w:val="21"/>
                <w:szCs w:val="21"/>
                <w:highlight w:val="none"/>
                <w:lang w:val="en-US" w:eastAsia="zh-CN" w:bidi="ar-SA"/>
              </w:rPr>
              <w:t>2.</w:t>
            </w:r>
            <w:r>
              <w:rPr>
                <w:rFonts w:hint="eastAsia" w:ascii="宋体" w:hAnsi="宋体" w:eastAsia="宋体" w:cs="宋体"/>
                <w:color w:val="0000FF"/>
                <w:sz w:val="21"/>
                <w:szCs w:val="21"/>
                <w:highlight w:val="none"/>
                <w:lang w:val="en-US" w:eastAsia="zh-CN"/>
              </w:rPr>
              <w:t>持相关假肢矫形资格证书得</w:t>
            </w:r>
            <w:r>
              <w:rPr>
                <w:rFonts w:hint="eastAsia" w:ascii="宋体" w:hAnsi="宋体" w:cs="宋体"/>
                <w:color w:val="0000FF"/>
                <w:sz w:val="21"/>
                <w:szCs w:val="21"/>
                <w:highlight w:val="none"/>
                <w:lang w:val="en-US" w:eastAsia="zh-CN"/>
              </w:rPr>
              <w:t>4</w:t>
            </w:r>
            <w:r>
              <w:rPr>
                <w:rFonts w:hint="eastAsia" w:ascii="宋体" w:hAnsi="宋体" w:eastAsia="宋体" w:cs="宋体"/>
                <w:color w:val="0000FF"/>
                <w:sz w:val="21"/>
                <w:szCs w:val="21"/>
                <w:highlight w:val="none"/>
                <w:lang w:val="en-US" w:eastAsia="zh-CN"/>
              </w:rPr>
              <w:t>分</w:t>
            </w:r>
            <w:r>
              <w:rPr>
                <w:rFonts w:hint="eastAsia" w:ascii="宋体" w:hAnsi="宋体" w:cs="宋体"/>
                <w:color w:val="0000FF"/>
                <w:sz w:val="21"/>
                <w:szCs w:val="21"/>
                <w:highlight w:val="none"/>
                <w:lang w:val="en-US" w:eastAsia="zh-CN"/>
              </w:rPr>
              <w:t>；</w:t>
            </w:r>
          </w:p>
          <w:p w14:paraId="60FB9217">
            <w:pPr>
              <w:keepNext w:val="0"/>
              <w:keepLines w:val="0"/>
              <w:pageBreakBefore w:val="0"/>
              <w:widowControl/>
              <w:kinsoku/>
              <w:wordWrap/>
              <w:overflowPunct/>
              <w:topLinePunct w:val="0"/>
              <w:bidi w:val="0"/>
              <w:adjustRightInd/>
              <w:snapToGrid/>
              <w:spacing w:line="340" w:lineRule="exact"/>
              <w:ind w:left="0" w:leftChars="0" w:right="0" w:rightChars="0"/>
              <w:rPr>
                <w:rFonts w:hint="eastAsia" w:ascii="宋体" w:hAnsi="宋体" w:eastAsia="宋体" w:cs="宋体"/>
                <w:color w:val="0000FF"/>
                <w:sz w:val="21"/>
                <w:szCs w:val="21"/>
                <w:highlight w:val="none"/>
                <w:lang w:val="en-US" w:eastAsia="zh-CN"/>
              </w:rPr>
            </w:pPr>
            <w:r>
              <w:rPr>
                <w:rFonts w:hint="eastAsia" w:ascii="宋体" w:hAnsi="宋体" w:cs="宋体"/>
                <w:color w:val="0000FF"/>
                <w:sz w:val="21"/>
                <w:szCs w:val="21"/>
                <w:highlight w:val="none"/>
                <w:lang w:val="en-US" w:eastAsia="zh-CN"/>
              </w:rPr>
              <w:t>以上2项累计得8分，</w:t>
            </w:r>
            <w:r>
              <w:rPr>
                <w:rFonts w:hint="eastAsia" w:ascii="宋体" w:hAnsi="宋体" w:eastAsia="宋体" w:cs="宋体"/>
                <w:color w:val="0000FF"/>
                <w:sz w:val="21"/>
                <w:szCs w:val="21"/>
                <w:highlight w:val="none"/>
                <w:lang w:val="en-US" w:eastAsia="zh-CN"/>
              </w:rPr>
              <w:t>其他情况不得分</w:t>
            </w:r>
            <w:r>
              <w:rPr>
                <w:rFonts w:hint="eastAsia" w:ascii="宋体" w:hAnsi="宋体" w:cs="宋体"/>
                <w:color w:val="0000FF"/>
                <w:sz w:val="21"/>
                <w:szCs w:val="21"/>
                <w:highlight w:val="none"/>
                <w:lang w:val="en-US" w:eastAsia="zh-CN"/>
              </w:rPr>
              <w:t>。</w:t>
            </w:r>
          </w:p>
          <w:p w14:paraId="72ADE5CB">
            <w:pPr>
              <w:keepNext w:val="0"/>
              <w:keepLines w:val="0"/>
              <w:pageBreakBefore w:val="0"/>
              <w:widowControl/>
              <w:kinsoku/>
              <w:wordWrap/>
              <w:overflowPunct/>
              <w:topLinePunct w:val="0"/>
              <w:bidi w:val="0"/>
              <w:adjustRightInd/>
              <w:snapToGrid/>
              <w:spacing w:line="340" w:lineRule="exact"/>
              <w:ind w:left="0" w:leftChars="0" w:right="0" w:rightChars="0"/>
              <w:rPr>
                <w:rFonts w:hint="eastAsia" w:ascii="宋体" w:hAnsi="宋体" w:eastAsia="宋体" w:cs="宋体"/>
                <w:color w:val="0000FF"/>
                <w:sz w:val="21"/>
                <w:szCs w:val="21"/>
                <w:highlight w:val="none"/>
              </w:rPr>
            </w:pPr>
            <w:r>
              <w:rPr>
                <w:rFonts w:hint="eastAsia" w:ascii="宋体" w:hAnsi="宋体" w:eastAsia="宋体" w:cs="宋体"/>
                <w:b/>
                <w:bCs/>
                <w:color w:val="0000FF"/>
                <w:sz w:val="21"/>
                <w:szCs w:val="21"/>
                <w:highlight w:val="none"/>
                <w:lang w:eastAsia="zh-CN"/>
              </w:rPr>
              <w:t>评分依据</w:t>
            </w:r>
            <w:r>
              <w:rPr>
                <w:rFonts w:hint="eastAsia" w:ascii="宋体" w:hAnsi="宋体" w:eastAsia="宋体" w:cs="宋体"/>
                <w:b/>
                <w:bCs/>
                <w:color w:val="0000FF"/>
                <w:sz w:val="21"/>
                <w:szCs w:val="21"/>
                <w:highlight w:val="none"/>
              </w:rPr>
              <w:t>：</w:t>
            </w:r>
            <w:r>
              <w:rPr>
                <w:rFonts w:hint="eastAsia" w:ascii="宋体" w:hAnsi="宋体" w:eastAsia="宋体" w:cs="宋体"/>
                <w:b/>
                <w:bCs/>
                <w:color w:val="0000FF"/>
                <w:sz w:val="21"/>
                <w:szCs w:val="21"/>
                <w:highlight w:val="none"/>
              </w:rPr>
              <w:br w:type="textWrapping"/>
            </w:r>
            <w:r>
              <w:rPr>
                <w:rFonts w:hint="eastAsia" w:ascii="宋体" w:hAnsi="宋体" w:eastAsia="宋体" w:cs="宋体"/>
                <w:color w:val="0000FF"/>
                <w:sz w:val="21"/>
                <w:szCs w:val="21"/>
                <w:highlight w:val="none"/>
              </w:rPr>
              <w:t>1.拟安排的项目负责人为投标人在职员工</w:t>
            </w:r>
            <w:r>
              <w:rPr>
                <w:rFonts w:hint="eastAsia" w:ascii="宋体" w:hAnsi="宋体" w:eastAsia="宋体" w:cs="宋体"/>
                <w:color w:val="0000FF"/>
                <w:sz w:val="21"/>
                <w:szCs w:val="21"/>
                <w:highlight w:val="none"/>
                <w:lang w:eastAsia="zh-CN"/>
              </w:rPr>
              <w:t>，</w:t>
            </w:r>
            <w:r>
              <w:rPr>
                <w:rFonts w:hint="eastAsia" w:ascii="宋体" w:hAnsi="宋体" w:eastAsia="宋体" w:cs="宋体"/>
                <w:color w:val="0000FF"/>
                <w:sz w:val="21"/>
                <w:szCs w:val="21"/>
                <w:highlight w:val="none"/>
              </w:rPr>
              <w:t>提供近</w:t>
            </w:r>
            <w:r>
              <w:rPr>
                <w:rFonts w:hint="eastAsia" w:ascii="宋体" w:hAnsi="宋体" w:cs="宋体"/>
                <w:color w:val="0000FF"/>
                <w:sz w:val="21"/>
                <w:szCs w:val="21"/>
                <w:highlight w:val="none"/>
                <w:lang w:val="en-US" w:eastAsia="zh-CN"/>
              </w:rPr>
              <w:t>1</w:t>
            </w:r>
            <w:r>
              <w:rPr>
                <w:rFonts w:hint="eastAsia" w:ascii="宋体" w:hAnsi="宋体" w:eastAsia="宋体" w:cs="宋体"/>
                <w:color w:val="0000FF"/>
                <w:sz w:val="21"/>
                <w:szCs w:val="21"/>
                <w:highlight w:val="none"/>
              </w:rPr>
              <w:t>个月在投标单位缴纳的社保证明(社保部门资料或网页资料或窗口打印资料均可)作为得分前提；</w:t>
            </w:r>
            <w:r>
              <w:rPr>
                <w:rFonts w:hint="eastAsia" w:ascii="宋体" w:hAnsi="宋体" w:eastAsia="宋体" w:cs="宋体"/>
                <w:bCs/>
                <w:color w:val="0000FF"/>
                <w:szCs w:val="21"/>
                <w:highlight w:val="none"/>
              </w:rPr>
              <w:t>如社保材料因社保部门原因暂时无法取得，则可以往前顺延一个月，但须提供社保部门出具的相关有效证明材料</w:t>
            </w:r>
            <w:r>
              <w:rPr>
                <w:rFonts w:hint="eastAsia" w:ascii="宋体" w:hAnsi="宋体" w:cs="宋体"/>
                <w:bCs/>
                <w:color w:val="0000FF"/>
                <w:szCs w:val="21"/>
                <w:highlight w:val="none"/>
                <w:lang w:eastAsia="zh-CN"/>
              </w:rPr>
              <w:t>。</w:t>
            </w:r>
            <w:r>
              <w:rPr>
                <w:rFonts w:hint="eastAsia" w:ascii="宋体" w:hAnsi="宋体" w:eastAsia="宋体" w:cs="宋体"/>
                <w:color w:val="0000FF"/>
                <w:kern w:val="0"/>
                <w:sz w:val="21"/>
                <w:szCs w:val="21"/>
                <w:highlight w:val="none"/>
              </w:rPr>
              <w:t>新成立不足</w:t>
            </w:r>
            <w:r>
              <w:rPr>
                <w:rFonts w:hint="eastAsia" w:ascii="宋体" w:hAnsi="宋体" w:cs="宋体"/>
                <w:color w:val="0000FF"/>
                <w:kern w:val="0"/>
                <w:sz w:val="21"/>
                <w:szCs w:val="21"/>
                <w:highlight w:val="none"/>
                <w:lang w:val="en-US" w:eastAsia="zh-CN"/>
              </w:rPr>
              <w:t>1</w:t>
            </w:r>
            <w:r>
              <w:rPr>
                <w:rFonts w:hint="eastAsia" w:ascii="宋体" w:hAnsi="宋体" w:eastAsia="宋体" w:cs="宋体"/>
                <w:color w:val="0000FF"/>
                <w:kern w:val="0"/>
                <w:sz w:val="21"/>
                <w:szCs w:val="21"/>
                <w:highlight w:val="none"/>
              </w:rPr>
              <w:t>个月的供应商</w:t>
            </w:r>
            <w:r>
              <w:rPr>
                <w:rFonts w:hint="eastAsia" w:ascii="宋体" w:hAnsi="宋体" w:eastAsia="宋体" w:cs="宋体"/>
                <w:color w:val="0000FF"/>
                <w:sz w:val="21"/>
                <w:szCs w:val="21"/>
                <w:highlight w:val="none"/>
                <w:lang w:eastAsia="zh-CN"/>
              </w:rPr>
              <w:t>，</w:t>
            </w:r>
            <w:r>
              <w:rPr>
                <w:rFonts w:hint="eastAsia" w:ascii="宋体" w:hAnsi="宋体" w:eastAsia="宋体" w:cs="宋体"/>
                <w:color w:val="0000FF"/>
                <w:sz w:val="21"/>
                <w:szCs w:val="21"/>
                <w:highlight w:val="none"/>
              </w:rPr>
              <w:t>可提供加盖公章的情况说明</w:t>
            </w:r>
            <w:r>
              <w:rPr>
                <w:rFonts w:hint="eastAsia" w:ascii="宋体" w:hAnsi="宋体" w:eastAsia="宋体" w:cs="宋体"/>
                <w:bCs/>
                <w:color w:val="0000FF"/>
                <w:szCs w:val="21"/>
                <w:highlight w:val="none"/>
              </w:rPr>
              <w:t>。</w:t>
            </w:r>
            <w:r>
              <w:rPr>
                <w:rFonts w:hint="eastAsia" w:ascii="宋体" w:hAnsi="宋体" w:eastAsia="宋体" w:cs="宋体"/>
                <w:color w:val="0000FF"/>
                <w:szCs w:val="20"/>
                <w:highlight w:val="none"/>
              </w:rPr>
              <w:t>否则本项直接计0分</w:t>
            </w:r>
            <w:r>
              <w:rPr>
                <w:rFonts w:hint="eastAsia" w:ascii="宋体" w:hAnsi="宋体" w:cs="宋体"/>
                <w:color w:val="0000FF"/>
                <w:szCs w:val="20"/>
                <w:highlight w:val="none"/>
                <w:lang w:eastAsia="zh-CN"/>
              </w:rPr>
              <w:t>；</w:t>
            </w:r>
            <w:r>
              <w:rPr>
                <w:rFonts w:hint="eastAsia" w:ascii="宋体" w:hAnsi="宋体" w:eastAsia="宋体" w:cs="宋体"/>
                <w:color w:val="0000FF"/>
                <w:sz w:val="21"/>
                <w:szCs w:val="21"/>
                <w:highlight w:val="none"/>
              </w:rPr>
              <w:br w:type="textWrapping"/>
            </w:r>
            <w:r>
              <w:rPr>
                <w:rFonts w:hint="eastAsia" w:ascii="宋体" w:hAnsi="宋体" w:eastAsia="宋体" w:cs="宋体"/>
                <w:color w:val="0000FF"/>
                <w:sz w:val="21"/>
                <w:szCs w:val="21"/>
                <w:highlight w:val="none"/>
                <w:lang w:val="en-US" w:eastAsia="zh-CN"/>
              </w:rPr>
              <w:t>2.</w:t>
            </w:r>
            <w:r>
              <w:rPr>
                <w:rFonts w:hint="eastAsia" w:ascii="宋体" w:hAnsi="宋体" w:eastAsia="宋体" w:cs="宋体"/>
                <w:color w:val="0000FF"/>
                <w:sz w:val="21"/>
                <w:szCs w:val="21"/>
                <w:highlight w:val="none"/>
              </w:rPr>
              <w:t>要求提供</w:t>
            </w:r>
            <w:r>
              <w:rPr>
                <w:rFonts w:hint="eastAsia" w:ascii="宋体" w:hAnsi="宋体" w:eastAsia="宋体" w:cs="宋体"/>
                <w:color w:val="0000FF"/>
                <w:kern w:val="0"/>
                <w:sz w:val="21"/>
                <w:szCs w:val="21"/>
                <w:highlight w:val="none"/>
                <w:lang w:val="en-US" w:eastAsia="zh-CN"/>
              </w:rPr>
              <w:t>学历</w:t>
            </w:r>
            <w:r>
              <w:rPr>
                <w:rFonts w:hint="eastAsia" w:ascii="宋体" w:hAnsi="宋体" w:eastAsia="宋体" w:cs="宋体"/>
                <w:color w:val="0000FF"/>
                <w:kern w:val="0"/>
                <w:sz w:val="21"/>
                <w:szCs w:val="21"/>
                <w:highlight w:val="none"/>
                <w:lang w:val="zh-CN"/>
              </w:rPr>
              <w:t>证书</w:t>
            </w:r>
            <w:r>
              <w:rPr>
                <w:rFonts w:hint="eastAsia" w:ascii="宋体" w:hAnsi="宋体" w:eastAsia="宋体" w:cs="宋体"/>
                <w:color w:val="0000FF"/>
                <w:sz w:val="21"/>
                <w:szCs w:val="21"/>
                <w:highlight w:val="none"/>
              </w:rPr>
              <w:t>以及学信网查询记录</w:t>
            </w:r>
            <w:r>
              <w:rPr>
                <w:rFonts w:hint="eastAsia" w:ascii="宋体" w:hAnsi="宋体" w:eastAsia="宋体" w:cs="宋体"/>
                <w:color w:val="0000FF"/>
                <w:sz w:val="21"/>
                <w:szCs w:val="21"/>
                <w:highlight w:val="none"/>
                <w:lang w:val="en-US" w:eastAsia="zh-CN"/>
              </w:rPr>
              <w:t>作为得分依据</w:t>
            </w:r>
            <w:r>
              <w:rPr>
                <w:rFonts w:hint="eastAsia" w:ascii="宋体" w:hAnsi="宋体" w:eastAsia="宋体" w:cs="宋体"/>
                <w:color w:val="0000FF"/>
                <w:sz w:val="21"/>
                <w:szCs w:val="21"/>
                <w:highlight w:val="none"/>
                <w:lang w:eastAsia="zh-CN"/>
              </w:rPr>
              <w:t>，</w:t>
            </w:r>
            <w:r>
              <w:rPr>
                <w:rFonts w:hint="eastAsia" w:ascii="宋体" w:hAnsi="宋体" w:eastAsia="宋体" w:cs="宋体"/>
                <w:color w:val="0000FF"/>
                <w:sz w:val="21"/>
                <w:szCs w:val="21"/>
                <w:highlight w:val="none"/>
              </w:rPr>
              <w:t>学信网无法查询的，提供其他佐证材料（如毕业院校、人社部门等颁发机构或监管机构等单位出具的证明）作为得分依据，留学归国人员如无法提供学信网查询记录截图，提供国（境）外学历证书复印件（以及中文翻译件）和教育部留学服务中心出具的国外学历学位认证书扫描件【或教育部留学服务中心网站（http://zwfw.cscse.edu.cn/）在线查询截图】也予以认可。</w:t>
            </w:r>
          </w:p>
          <w:p w14:paraId="1F0DCA08">
            <w:pPr>
              <w:keepNext w:val="0"/>
              <w:keepLines w:val="0"/>
              <w:pageBreakBefore w:val="0"/>
              <w:widowControl w:val="0"/>
              <w:kinsoku/>
              <w:wordWrap/>
              <w:overflowPunct/>
              <w:topLinePunct w:val="0"/>
              <w:bidi w:val="0"/>
              <w:adjustRightInd/>
              <w:snapToGrid/>
              <w:spacing w:line="340" w:lineRule="exact"/>
              <w:ind w:left="0" w:leftChars="0" w:right="0" w:rightChars="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val="en-US" w:eastAsia="zh-CN"/>
              </w:rPr>
              <w:t>3</w:t>
            </w:r>
            <w:r>
              <w:rPr>
                <w:rFonts w:hint="eastAsia" w:ascii="宋体" w:hAnsi="宋体" w:eastAsia="宋体" w:cs="宋体"/>
                <w:color w:val="0000FF"/>
                <w:sz w:val="21"/>
                <w:szCs w:val="21"/>
                <w:highlight w:val="none"/>
              </w:rPr>
              <w:t>.提供相关资格证书，证书真实有效且为合法机构颁发；</w:t>
            </w:r>
          </w:p>
          <w:p w14:paraId="3CC1E3E2">
            <w:pPr>
              <w:keepNext w:val="0"/>
              <w:keepLines w:val="0"/>
              <w:pageBreakBefore w:val="0"/>
              <w:widowControl w:val="0"/>
              <w:kinsoku/>
              <w:wordWrap/>
              <w:overflowPunct/>
              <w:topLinePunct w:val="0"/>
              <w:bidi w:val="0"/>
              <w:adjustRightInd/>
              <w:snapToGrid/>
              <w:spacing w:line="340" w:lineRule="exact"/>
              <w:ind w:left="0" w:leftChars="0" w:right="0" w:rightChars="0"/>
              <w:rPr>
                <w:rFonts w:hint="eastAsia" w:ascii="宋体" w:hAnsi="宋体" w:eastAsia="宋体" w:cs="宋体"/>
                <w:color w:val="0000FF"/>
                <w:szCs w:val="21"/>
                <w:highlight w:val="none"/>
              </w:rPr>
            </w:pPr>
            <w:r>
              <w:rPr>
                <w:rFonts w:hint="eastAsia" w:ascii="宋体" w:hAnsi="宋体" w:cs="宋体"/>
                <w:color w:val="0000FF"/>
                <w:sz w:val="21"/>
                <w:szCs w:val="21"/>
                <w:highlight w:val="none"/>
                <w:lang w:val="en-US" w:eastAsia="zh-CN"/>
              </w:rPr>
              <w:t>4.</w:t>
            </w:r>
            <w:r>
              <w:rPr>
                <w:rFonts w:hint="eastAsia" w:ascii="宋体" w:hAnsi="宋体" w:eastAsia="宋体" w:cs="宋体"/>
                <w:color w:val="0000FF"/>
                <w:sz w:val="21"/>
                <w:szCs w:val="21"/>
                <w:highlight w:val="none"/>
              </w:rPr>
              <w:t>以上资料均要求提供复印件，原件备查。评分中出现无证明资料或专家无法凭所提供资料判断是否得分的情况，一律作不得分处理。</w:t>
            </w:r>
          </w:p>
        </w:tc>
      </w:tr>
      <w:tr w14:paraId="7E49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Merge w:val="continue"/>
            <w:vAlign w:val="center"/>
          </w:tcPr>
          <w:p w14:paraId="7BAA9822">
            <w:pPr>
              <w:keepNext w:val="0"/>
              <w:keepLines w:val="0"/>
              <w:pageBreakBefore w:val="0"/>
              <w:kinsoku/>
              <w:wordWrap/>
              <w:overflowPunct/>
              <w:topLinePunct w:val="0"/>
              <w:bidi w:val="0"/>
              <w:snapToGrid/>
              <w:spacing w:line="340" w:lineRule="exact"/>
              <w:jc w:val="center"/>
              <w:outlineLvl w:val="0"/>
              <w:rPr>
                <w:rFonts w:ascii="宋体" w:hAnsi="宋体" w:cs="Times New Roman"/>
                <w:color w:val="0000FF"/>
                <w:szCs w:val="21"/>
                <w:highlight w:val="none"/>
              </w:rPr>
            </w:pPr>
          </w:p>
        </w:tc>
        <w:tc>
          <w:tcPr>
            <w:tcW w:w="404" w:type="pct"/>
            <w:vAlign w:val="center"/>
          </w:tcPr>
          <w:p w14:paraId="71C3DDD4">
            <w:pPr>
              <w:keepNext w:val="0"/>
              <w:keepLines w:val="0"/>
              <w:pageBreakBefore w:val="0"/>
              <w:kinsoku/>
              <w:wordWrap/>
              <w:overflowPunct/>
              <w:topLinePunct w:val="0"/>
              <w:bidi w:val="0"/>
              <w:snapToGrid/>
              <w:spacing w:line="340" w:lineRule="exact"/>
              <w:jc w:val="center"/>
              <w:rPr>
                <w:rFonts w:hint="eastAsia" w:ascii="宋体" w:hAnsi="宋体" w:eastAsia="宋体" w:cs="Times New Roman"/>
                <w:color w:val="0000FF"/>
                <w:szCs w:val="21"/>
                <w:highlight w:val="none"/>
                <w:lang w:val="en-US" w:eastAsia="zh-CN"/>
              </w:rPr>
            </w:pPr>
            <w:r>
              <w:rPr>
                <w:rFonts w:hint="eastAsia" w:ascii="宋体" w:hAnsi="宋体" w:cs="Times New Roman"/>
                <w:color w:val="0000FF"/>
                <w:szCs w:val="21"/>
                <w:highlight w:val="none"/>
                <w:lang w:val="en-US" w:eastAsia="zh-CN"/>
              </w:rPr>
              <w:t>5</w:t>
            </w:r>
          </w:p>
        </w:tc>
        <w:tc>
          <w:tcPr>
            <w:tcW w:w="901" w:type="pct"/>
            <w:vAlign w:val="center"/>
          </w:tcPr>
          <w:p w14:paraId="54B266BC">
            <w:pPr>
              <w:keepNext w:val="0"/>
              <w:keepLines w:val="0"/>
              <w:pageBreakBefore w:val="0"/>
              <w:widowControl w:val="0"/>
              <w:kinsoku/>
              <w:wordWrap/>
              <w:overflowPunct/>
              <w:topLinePunct w:val="0"/>
              <w:bidi w:val="0"/>
              <w:adjustRightInd/>
              <w:snapToGrid/>
              <w:spacing w:line="340" w:lineRule="exact"/>
              <w:ind w:left="0" w:leftChars="0" w:right="0" w:rightChars="0"/>
              <w:jc w:val="center"/>
              <w:rPr>
                <w:rFonts w:hint="eastAsia" w:ascii="宋体" w:hAnsi="宋体" w:eastAsia="宋体" w:cs="宋体"/>
                <w:color w:val="0000FF"/>
                <w:szCs w:val="21"/>
                <w:highlight w:val="none"/>
              </w:rPr>
            </w:pPr>
            <w:r>
              <w:rPr>
                <w:rFonts w:hint="eastAsia" w:ascii="宋体" w:hAnsi="宋体" w:eastAsia="宋体" w:cs="宋体"/>
                <w:color w:val="0000FF"/>
                <w:sz w:val="21"/>
                <w:szCs w:val="21"/>
                <w:highlight w:val="none"/>
              </w:rPr>
              <w:t>拟安排的项目团队成员（项目负责人除外）情况</w:t>
            </w:r>
          </w:p>
        </w:tc>
        <w:tc>
          <w:tcPr>
            <w:tcW w:w="429" w:type="pct"/>
            <w:vAlign w:val="center"/>
          </w:tcPr>
          <w:p w14:paraId="61C77C30">
            <w:pPr>
              <w:keepNext w:val="0"/>
              <w:keepLines w:val="0"/>
              <w:pageBreakBefore w:val="0"/>
              <w:widowControl w:val="0"/>
              <w:kinsoku/>
              <w:wordWrap/>
              <w:overflowPunct/>
              <w:topLinePunct w:val="0"/>
              <w:bidi w:val="0"/>
              <w:adjustRightInd/>
              <w:snapToGrid/>
              <w:spacing w:line="340" w:lineRule="exact"/>
              <w:ind w:left="0" w:leftChars="0" w:right="0" w:rightChars="0"/>
              <w:jc w:val="center"/>
              <w:rPr>
                <w:rFonts w:hint="default" w:ascii="宋体" w:hAnsi="宋体" w:eastAsia="宋体" w:cs="宋体"/>
                <w:color w:val="0000FF"/>
                <w:szCs w:val="21"/>
                <w:highlight w:val="none"/>
                <w:lang w:val="en-US"/>
              </w:rPr>
            </w:pPr>
            <w:r>
              <w:rPr>
                <w:rFonts w:hint="eastAsia" w:ascii="宋体" w:hAnsi="宋体" w:cs="宋体"/>
                <w:color w:val="0000FF"/>
                <w:sz w:val="21"/>
                <w:szCs w:val="21"/>
                <w:highlight w:val="none"/>
                <w:lang w:val="en-US" w:eastAsia="zh-CN"/>
              </w:rPr>
              <w:t>12</w:t>
            </w:r>
          </w:p>
        </w:tc>
        <w:tc>
          <w:tcPr>
            <w:tcW w:w="2880" w:type="pct"/>
            <w:gridSpan w:val="2"/>
            <w:vAlign w:val="center"/>
          </w:tcPr>
          <w:p w14:paraId="23B3AFC9">
            <w:pPr>
              <w:keepNext w:val="0"/>
              <w:keepLines w:val="0"/>
              <w:pageBreakBefore w:val="0"/>
              <w:kinsoku/>
              <w:wordWrap/>
              <w:overflowPunct/>
              <w:topLinePunct w:val="0"/>
              <w:bidi w:val="0"/>
              <w:snapToGrid/>
              <w:spacing w:line="340" w:lineRule="exact"/>
              <w:jc w:val="left"/>
              <w:rPr>
                <w:rFonts w:hint="eastAsia" w:ascii="宋体" w:hAnsi="宋体" w:eastAsia="宋体" w:cs="宋体"/>
                <w:color w:val="0000FF"/>
                <w:sz w:val="21"/>
                <w:szCs w:val="21"/>
                <w:highlight w:val="none"/>
              </w:rPr>
            </w:pPr>
            <w:r>
              <w:rPr>
                <w:rFonts w:hint="eastAsia" w:ascii="宋体" w:hAnsi="宋体" w:eastAsia="宋体" w:cs="宋体"/>
                <w:b/>
                <w:color w:val="0000FF"/>
                <w:sz w:val="21"/>
                <w:szCs w:val="21"/>
                <w:highlight w:val="none"/>
              </w:rPr>
              <w:t>评审内容</w:t>
            </w:r>
            <w:r>
              <w:rPr>
                <w:rFonts w:hint="eastAsia" w:ascii="宋体" w:hAnsi="宋体" w:eastAsia="宋体" w:cs="宋体"/>
                <w:color w:val="0000FF"/>
                <w:sz w:val="21"/>
                <w:szCs w:val="21"/>
                <w:highlight w:val="none"/>
              </w:rPr>
              <w:t>：</w:t>
            </w:r>
          </w:p>
          <w:p w14:paraId="6AB338E6">
            <w:pPr>
              <w:keepNext w:val="0"/>
              <w:keepLines w:val="0"/>
              <w:pageBreakBefore w:val="0"/>
              <w:widowControl w:val="0"/>
              <w:numPr>
                <w:ilvl w:val="0"/>
                <w:numId w:val="0"/>
              </w:numPr>
              <w:kinsoku/>
              <w:wordWrap/>
              <w:overflowPunct/>
              <w:topLinePunct w:val="0"/>
              <w:bidi w:val="0"/>
              <w:adjustRightInd/>
              <w:snapToGrid/>
              <w:spacing w:line="340" w:lineRule="exact"/>
              <w:ind w:right="0" w:rightChars="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val="en-US" w:eastAsia="zh-CN"/>
              </w:rPr>
              <w:t>1.</w:t>
            </w:r>
            <w:r>
              <w:rPr>
                <w:rFonts w:hint="eastAsia" w:ascii="宋体" w:hAnsi="宋体" w:eastAsia="宋体" w:cs="宋体"/>
                <w:color w:val="0000FF"/>
                <w:sz w:val="21"/>
                <w:szCs w:val="21"/>
                <w:highlight w:val="none"/>
                <w:lang w:eastAsia="zh-CN"/>
              </w:rPr>
              <w:t>投标人</w:t>
            </w:r>
            <w:r>
              <w:rPr>
                <w:rFonts w:hint="eastAsia" w:ascii="宋体" w:hAnsi="宋体" w:eastAsia="宋体" w:cs="宋体"/>
                <w:color w:val="0000FF"/>
                <w:sz w:val="21"/>
                <w:szCs w:val="21"/>
                <w:highlight w:val="none"/>
              </w:rPr>
              <w:t>项目团队</w:t>
            </w:r>
            <w:r>
              <w:rPr>
                <w:rFonts w:hint="eastAsia" w:ascii="宋体" w:hAnsi="宋体" w:eastAsia="宋体" w:cs="宋体"/>
                <w:color w:val="0000FF"/>
                <w:sz w:val="21"/>
                <w:szCs w:val="21"/>
                <w:highlight w:val="none"/>
                <w:lang w:eastAsia="zh-CN"/>
              </w:rPr>
              <w:t>至少</w:t>
            </w:r>
            <w:r>
              <w:rPr>
                <w:rFonts w:hint="eastAsia" w:ascii="宋体" w:hAnsi="宋体" w:eastAsia="宋体" w:cs="宋体"/>
                <w:color w:val="0000FF"/>
                <w:sz w:val="21"/>
                <w:szCs w:val="21"/>
                <w:highlight w:val="none"/>
                <w:lang w:val="en-US" w:eastAsia="zh-CN"/>
              </w:rPr>
              <w:t>4人</w:t>
            </w:r>
            <w:r>
              <w:rPr>
                <w:rFonts w:hint="eastAsia" w:ascii="宋体" w:hAnsi="宋体" w:eastAsia="宋体" w:cs="宋体"/>
                <w:color w:val="0000FF"/>
                <w:sz w:val="21"/>
                <w:szCs w:val="21"/>
                <w:highlight w:val="none"/>
                <w:lang w:eastAsia="zh-CN"/>
              </w:rPr>
              <w:t>，其中</w:t>
            </w:r>
            <w:r>
              <w:rPr>
                <w:rFonts w:hint="eastAsia" w:ascii="宋体" w:hAnsi="宋体" w:eastAsia="宋体" w:cs="宋体"/>
                <w:color w:val="0000FF"/>
                <w:sz w:val="21"/>
                <w:szCs w:val="21"/>
                <w:highlight w:val="none"/>
                <w:lang w:val="en-US" w:eastAsia="zh-CN"/>
              </w:rPr>
              <w:t>至少2</w:t>
            </w:r>
            <w:r>
              <w:rPr>
                <w:rFonts w:hint="eastAsia" w:ascii="宋体" w:hAnsi="宋体" w:eastAsia="宋体" w:cs="宋体"/>
                <w:color w:val="0000FF"/>
                <w:sz w:val="21"/>
                <w:szCs w:val="21"/>
                <w:highlight w:val="none"/>
              </w:rPr>
              <w:t>名成员</w:t>
            </w:r>
            <w:r>
              <w:rPr>
                <w:rFonts w:hint="eastAsia" w:ascii="宋体" w:hAnsi="宋体" w:cs="宋体"/>
                <w:color w:val="0000FF"/>
                <w:sz w:val="21"/>
                <w:szCs w:val="21"/>
                <w:highlight w:val="none"/>
                <w:lang w:val="en-US" w:eastAsia="zh-CN"/>
              </w:rPr>
              <w:t>持有</w:t>
            </w:r>
            <w:r>
              <w:rPr>
                <w:rFonts w:hint="eastAsia" w:ascii="宋体" w:hAnsi="宋体" w:eastAsia="宋体" w:cs="宋体"/>
                <w:color w:val="0000FF"/>
                <w:sz w:val="21"/>
                <w:szCs w:val="21"/>
                <w:highlight w:val="none"/>
                <w:lang w:eastAsia="zh-CN"/>
              </w:rPr>
              <w:t>假肢矫形相关证书</w:t>
            </w:r>
            <w:r>
              <w:rPr>
                <w:rFonts w:hint="eastAsia" w:ascii="宋体" w:hAnsi="宋体" w:eastAsia="宋体" w:cs="宋体"/>
                <w:color w:val="0000FF"/>
                <w:sz w:val="21"/>
                <w:szCs w:val="21"/>
                <w:highlight w:val="none"/>
              </w:rPr>
              <w:t>，</w:t>
            </w:r>
            <w:r>
              <w:rPr>
                <w:rFonts w:hint="eastAsia" w:ascii="宋体" w:hAnsi="宋体" w:eastAsia="宋体" w:cs="宋体"/>
                <w:color w:val="0000FF"/>
                <w:sz w:val="21"/>
                <w:szCs w:val="21"/>
                <w:highlight w:val="none"/>
                <w:lang w:eastAsia="zh-CN"/>
              </w:rPr>
              <w:t>满足</w:t>
            </w:r>
            <w:r>
              <w:rPr>
                <w:rFonts w:hint="eastAsia" w:ascii="宋体" w:hAnsi="宋体" w:eastAsia="宋体" w:cs="宋体"/>
                <w:color w:val="0000FF"/>
                <w:sz w:val="21"/>
                <w:szCs w:val="21"/>
                <w:highlight w:val="none"/>
              </w:rPr>
              <w:t>得</w:t>
            </w:r>
            <w:r>
              <w:rPr>
                <w:rFonts w:hint="eastAsia" w:ascii="宋体" w:hAnsi="宋体" w:cs="宋体"/>
                <w:color w:val="0000FF"/>
                <w:sz w:val="21"/>
                <w:szCs w:val="21"/>
                <w:highlight w:val="none"/>
                <w:lang w:val="en-US" w:eastAsia="zh-CN"/>
              </w:rPr>
              <w:t>10</w:t>
            </w:r>
            <w:r>
              <w:rPr>
                <w:rFonts w:hint="eastAsia" w:ascii="宋体" w:hAnsi="宋体" w:eastAsia="宋体" w:cs="宋体"/>
                <w:color w:val="0000FF"/>
                <w:sz w:val="21"/>
                <w:szCs w:val="21"/>
                <w:highlight w:val="none"/>
                <w:lang w:val="en-US" w:eastAsia="zh-CN"/>
              </w:rPr>
              <w:t>分，提供人数不足或未提供不得分</w:t>
            </w:r>
            <w:r>
              <w:rPr>
                <w:rFonts w:hint="eastAsia" w:ascii="宋体" w:hAnsi="宋体" w:eastAsia="宋体" w:cs="宋体"/>
                <w:color w:val="0000FF"/>
                <w:sz w:val="21"/>
                <w:szCs w:val="21"/>
                <w:highlight w:val="none"/>
              </w:rPr>
              <w:t>；</w:t>
            </w:r>
          </w:p>
          <w:p w14:paraId="4872A9F1">
            <w:pPr>
              <w:keepNext w:val="0"/>
              <w:keepLines w:val="0"/>
              <w:pageBreakBefore w:val="0"/>
              <w:widowControl/>
              <w:numPr>
                <w:ilvl w:val="0"/>
                <w:numId w:val="0"/>
              </w:numPr>
              <w:kinsoku/>
              <w:wordWrap/>
              <w:overflowPunct/>
              <w:topLinePunct w:val="0"/>
              <w:bidi w:val="0"/>
              <w:adjustRightInd/>
              <w:snapToGrid/>
              <w:spacing w:line="340" w:lineRule="exact"/>
              <w:ind w:right="0" w:rightChars="0"/>
              <w:jc w:val="left"/>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val="en-US" w:eastAsia="zh-CN"/>
              </w:rPr>
              <w:t>2.</w:t>
            </w:r>
            <w:r>
              <w:rPr>
                <w:rFonts w:hint="eastAsia" w:ascii="宋体" w:hAnsi="宋体" w:eastAsia="宋体" w:cs="宋体"/>
                <w:color w:val="0000FF"/>
                <w:sz w:val="21"/>
                <w:szCs w:val="21"/>
                <w:highlight w:val="none"/>
                <w:lang w:eastAsia="zh-CN"/>
              </w:rPr>
              <w:t>投标人</w:t>
            </w:r>
            <w:r>
              <w:rPr>
                <w:rFonts w:hint="eastAsia" w:ascii="宋体" w:hAnsi="宋体" w:eastAsia="宋体" w:cs="宋体"/>
                <w:color w:val="0000FF"/>
                <w:sz w:val="21"/>
                <w:szCs w:val="21"/>
                <w:highlight w:val="none"/>
              </w:rPr>
              <w:t>项目团队</w:t>
            </w:r>
            <w:r>
              <w:rPr>
                <w:rFonts w:hint="eastAsia" w:ascii="宋体" w:hAnsi="宋体" w:eastAsia="宋体" w:cs="宋体"/>
                <w:color w:val="0000FF"/>
                <w:sz w:val="21"/>
                <w:szCs w:val="21"/>
                <w:highlight w:val="none"/>
                <w:lang w:eastAsia="zh-CN"/>
              </w:rPr>
              <w:t>，每多提供一名持假肢矫形相关证书成员</w:t>
            </w:r>
            <w:r>
              <w:rPr>
                <w:rFonts w:hint="eastAsia" w:ascii="宋体" w:hAnsi="宋体" w:eastAsia="宋体" w:cs="宋体"/>
                <w:color w:val="0000FF"/>
                <w:sz w:val="21"/>
                <w:szCs w:val="21"/>
                <w:highlight w:val="none"/>
              </w:rPr>
              <w:t>得</w:t>
            </w:r>
            <w:r>
              <w:rPr>
                <w:rFonts w:hint="eastAsia" w:ascii="宋体" w:hAnsi="宋体" w:eastAsia="宋体" w:cs="宋体"/>
                <w:color w:val="0000FF"/>
                <w:sz w:val="21"/>
                <w:szCs w:val="21"/>
                <w:highlight w:val="none"/>
                <w:lang w:val="en-US" w:eastAsia="zh-CN"/>
              </w:rPr>
              <w:t>1分</w:t>
            </w:r>
            <w:r>
              <w:rPr>
                <w:rFonts w:hint="eastAsia" w:ascii="宋体" w:hAnsi="宋体" w:eastAsia="宋体" w:cs="宋体"/>
                <w:color w:val="0000FF"/>
                <w:sz w:val="21"/>
                <w:szCs w:val="21"/>
                <w:highlight w:val="none"/>
              </w:rPr>
              <w:t>(提供相关证书)</w:t>
            </w:r>
            <w:r>
              <w:rPr>
                <w:rFonts w:hint="eastAsia" w:ascii="宋体" w:hAnsi="宋体" w:eastAsia="宋体" w:cs="宋体"/>
                <w:color w:val="0000FF"/>
                <w:sz w:val="21"/>
                <w:szCs w:val="21"/>
                <w:highlight w:val="none"/>
                <w:lang w:eastAsia="zh-CN"/>
              </w:rPr>
              <w:t>，最高可得</w:t>
            </w:r>
            <w:r>
              <w:rPr>
                <w:rFonts w:hint="eastAsia" w:ascii="宋体" w:hAnsi="宋体" w:eastAsia="宋体" w:cs="宋体"/>
                <w:color w:val="0000FF"/>
                <w:sz w:val="21"/>
                <w:szCs w:val="21"/>
                <w:highlight w:val="none"/>
                <w:lang w:val="en-US" w:eastAsia="zh-CN"/>
              </w:rPr>
              <w:t>2分</w:t>
            </w:r>
            <w:r>
              <w:rPr>
                <w:rFonts w:hint="eastAsia" w:ascii="宋体" w:hAnsi="宋体" w:eastAsia="宋体" w:cs="宋体"/>
                <w:color w:val="0000FF"/>
                <w:sz w:val="21"/>
                <w:szCs w:val="21"/>
                <w:highlight w:val="none"/>
                <w:lang w:eastAsia="zh-CN"/>
              </w:rPr>
              <w:t>。</w:t>
            </w:r>
            <w:r>
              <w:rPr>
                <w:rFonts w:hint="eastAsia" w:ascii="宋体" w:hAnsi="宋体" w:eastAsia="宋体" w:cs="宋体"/>
                <w:color w:val="0000FF"/>
                <w:sz w:val="21"/>
                <w:szCs w:val="21"/>
                <w:highlight w:val="none"/>
              </w:rPr>
              <w:t xml:space="preserve"> </w:t>
            </w:r>
          </w:p>
          <w:p w14:paraId="5ED86E75">
            <w:pPr>
              <w:keepNext w:val="0"/>
              <w:keepLines w:val="0"/>
              <w:pageBreakBefore w:val="0"/>
              <w:widowControl w:val="0"/>
              <w:kinsoku/>
              <w:wordWrap/>
              <w:overflowPunct/>
              <w:topLinePunct w:val="0"/>
              <w:bidi w:val="0"/>
              <w:adjustRightInd/>
              <w:snapToGrid/>
              <w:spacing w:line="340" w:lineRule="exact"/>
              <w:ind w:left="0" w:leftChars="0" w:right="0" w:rightChars="0"/>
              <w:rPr>
                <w:rFonts w:hint="eastAsia" w:ascii="宋体" w:hAnsi="宋体" w:eastAsia="宋体" w:cs="宋体"/>
                <w:color w:val="0000FF"/>
                <w:szCs w:val="21"/>
                <w:highlight w:val="none"/>
              </w:rPr>
            </w:pPr>
            <w:r>
              <w:rPr>
                <w:rFonts w:hint="eastAsia" w:ascii="宋体" w:hAnsi="宋体" w:eastAsia="宋体" w:cs="宋体"/>
                <w:b/>
                <w:bCs/>
                <w:color w:val="0000FF"/>
                <w:sz w:val="21"/>
                <w:szCs w:val="21"/>
                <w:highlight w:val="none"/>
                <w:lang w:eastAsia="zh-CN"/>
              </w:rPr>
              <w:t>评分依据</w:t>
            </w:r>
            <w:r>
              <w:rPr>
                <w:rFonts w:hint="eastAsia" w:ascii="宋体" w:hAnsi="宋体" w:eastAsia="宋体" w:cs="宋体"/>
                <w:b/>
                <w:bCs/>
                <w:color w:val="0000FF"/>
                <w:sz w:val="21"/>
                <w:szCs w:val="21"/>
                <w:highlight w:val="none"/>
              </w:rPr>
              <w:t>：</w:t>
            </w:r>
            <w:r>
              <w:rPr>
                <w:rFonts w:hint="eastAsia" w:ascii="宋体" w:hAnsi="宋体" w:eastAsia="宋体" w:cs="宋体"/>
                <w:b/>
                <w:bCs/>
                <w:color w:val="0000FF"/>
                <w:sz w:val="21"/>
                <w:szCs w:val="21"/>
                <w:highlight w:val="none"/>
              </w:rPr>
              <w:br w:type="textWrapping"/>
            </w:r>
            <w:r>
              <w:rPr>
                <w:rFonts w:hint="eastAsia" w:ascii="宋体" w:hAnsi="宋体" w:eastAsia="宋体" w:cs="宋体"/>
                <w:color w:val="0000FF"/>
                <w:sz w:val="21"/>
                <w:szCs w:val="21"/>
                <w:highlight w:val="none"/>
              </w:rPr>
              <w:t>1.拟安排的项目</w:t>
            </w:r>
            <w:r>
              <w:rPr>
                <w:rFonts w:hint="eastAsia" w:ascii="宋体" w:hAnsi="宋体" w:eastAsia="宋体" w:cs="宋体"/>
                <w:color w:val="0000FF"/>
                <w:sz w:val="21"/>
                <w:szCs w:val="21"/>
                <w:highlight w:val="none"/>
                <w:lang w:val="en-US" w:eastAsia="zh-CN"/>
              </w:rPr>
              <w:t>团队人员</w:t>
            </w:r>
            <w:r>
              <w:rPr>
                <w:rFonts w:hint="eastAsia" w:ascii="宋体" w:hAnsi="宋体" w:eastAsia="宋体" w:cs="宋体"/>
                <w:color w:val="0000FF"/>
                <w:sz w:val="21"/>
                <w:szCs w:val="21"/>
                <w:highlight w:val="none"/>
              </w:rPr>
              <w:t>为投标人在职员工</w:t>
            </w:r>
            <w:r>
              <w:rPr>
                <w:rFonts w:hint="eastAsia" w:ascii="宋体" w:hAnsi="宋体" w:eastAsia="宋体" w:cs="宋体"/>
                <w:color w:val="0000FF"/>
                <w:sz w:val="21"/>
                <w:szCs w:val="21"/>
                <w:highlight w:val="none"/>
                <w:lang w:eastAsia="zh-CN"/>
              </w:rPr>
              <w:t>，</w:t>
            </w:r>
            <w:r>
              <w:rPr>
                <w:rFonts w:hint="eastAsia" w:ascii="宋体" w:hAnsi="宋体" w:eastAsia="宋体" w:cs="宋体"/>
                <w:color w:val="0000FF"/>
                <w:sz w:val="21"/>
                <w:szCs w:val="21"/>
                <w:highlight w:val="none"/>
              </w:rPr>
              <w:t>提供近</w:t>
            </w:r>
            <w:r>
              <w:rPr>
                <w:rFonts w:hint="eastAsia" w:ascii="宋体" w:hAnsi="宋体" w:cs="宋体"/>
                <w:color w:val="0000FF"/>
                <w:sz w:val="21"/>
                <w:szCs w:val="21"/>
                <w:highlight w:val="none"/>
                <w:lang w:val="en-US" w:eastAsia="zh-CN"/>
              </w:rPr>
              <w:t>1</w:t>
            </w:r>
            <w:r>
              <w:rPr>
                <w:rFonts w:hint="eastAsia" w:ascii="宋体" w:hAnsi="宋体" w:eastAsia="宋体" w:cs="宋体"/>
                <w:color w:val="0000FF"/>
                <w:sz w:val="21"/>
                <w:szCs w:val="21"/>
                <w:highlight w:val="none"/>
              </w:rPr>
              <w:t>个月在投标单位缴纳的社保证明(社保部门资料或网页资料或窗口打印资料均可)作为得分前提；</w:t>
            </w:r>
            <w:r>
              <w:rPr>
                <w:rFonts w:hint="eastAsia" w:ascii="宋体" w:hAnsi="宋体" w:eastAsia="宋体" w:cs="宋体"/>
                <w:bCs/>
                <w:color w:val="0000FF"/>
                <w:szCs w:val="21"/>
                <w:highlight w:val="none"/>
              </w:rPr>
              <w:t>如社保材料因社保部门原因暂时无法取得，则可以往前顺延一个月，但须提供社保部门出具的相关有效证明材料。</w:t>
            </w:r>
            <w:r>
              <w:rPr>
                <w:rFonts w:hint="eastAsia" w:ascii="宋体" w:hAnsi="宋体" w:eastAsia="宋体" w:cs="宋体"/>
                <w:bCs/>
                <w:color w:val="0000FF"/>
                <w:sz w:val="21"/>
                <w:szCs w:val="21"/>
                <w:highlight w:val="none"/>
              </w:rPr>
              <w:t>新成立不足</w:t>
            </w:r>
            <w:r>
              <w:rPr>
                <w:rFonts w:hint="eastAsia" w:ascii="宋体" w:hAnsi="宋体" w:cs="宋体"/>
                <w:bCs/>
                <w:color w:val="0000FF"/>
                <w:sz w:val="21"/>
                <w:szCs w:val="21"/>
                <w:highlight w:val="none"/>
                <w:lang w:val="en-US" w:eastAsia="zh-CN"/>
              </w:rPr>
              <w:t>1</w:t>
            </w:r>
            <w:r>
              <w:rPr>
                <w:rFonts w:hint="eastAsia" w:ascii="宋体" w:hAnsi="宋体" w:eastAsia="宋体" w:cs="宋体"/>
                <w:bCs/>
                <w:color w:val="0000FF"/>
                <w:sz w:val="21"/>
                <w:szCs w:val="21"/>
                <w:highlight w:val="none"/>
              </w:rPr>
              <w:t>个月的供应商，可提供加盖公章的情况说明。</w:t>
            </w:r>
            <w:r>
              <w:rPr>
                <w:rFonts w:hint="eastAsia" w:ascii="宋体" w:hAnsi="宋体" w:eastAsia="宋体" w:cs="宋体"/>
                <w:color w:val="0000FF"/>
                <w:szCs w:val="20"/>
                <w:highlight w:val="none"/>
              </w:rPr>
              <w:t>否则本项直接计0分</w:t>
            </w:r>
            <w:r>
              <w:rPr>
                <w:rFonts w:hint="eastAsia" w:ascii="宋体" w:hAnsi="宋体" w:cs="宋体"/>
                <w:color w:val="0000FF"/>
                <w:szCs w:val="20"/>
                <w:highlight w:val="none"/>
                <w:lang w:eastAsia="zh-CN"/>
              </w:rPr>
              <w:t>。</w:t>
            </w:r>
            <w:r>
              <w:rPr>
                <w:rFonts w:hint="eastAsia" w:ascii="宋体" w:hAnsi="宋体" w:eastAsia="宋体" w:cs="宋体"/>
                <w:b/>
                <w:bCs/>
                <w:color w:val="0000FF"/>
                <w:sz w:val="21"/>
                <w:szCs w:val="21"/>
                <w:highlight w:val="none"/>
              </w:rPr>
              <w:br w:type="textWrapping"/>
            </w:r>
            <w:r>
              <w:rPr>
                <w:rFonts w:hint="eastAsia" w:ascii="宋体" w:hAnsi="宋体" w:eastAsia="宋体" w:cs="宋体"/>
                <w:b w:val="0"/>
                <w:bCs w:val="0"/>
                <w:color w:val="0000FF"/>
                <w:sz w:val="21"/>
                <w:szCs w:val="21"/>
                <w:highlight w:val="none"/>
                <w:lang w:val="en-US" w:eastAsia="zh-CN"/>
              </w:rPr>
              <w:t>2.</w:t>
            </w:r>
            <w:r>
              <w:rPr>
                <w:rFonts w:hint="eastAsia" w:ascii="宋体" w:hAnsi="宋体" w:eastAsia="宋体" w:cs="宋体"/>
                <w:color w:val="0000FF"/>
                <w:sz w:val="21"/>
                <w:szCs w:val="21"/>
                <w:highlight w:val="none"/>
              </w:rPr>
              <w:t>提供相关人员执业资格证（人事部与民政部颁发）、职业资格证（劳动和社会保障部颁发）、上岗证（劳动和社会保障部颁发）或技工院校毕业证书（上述其中任意一种即可得分）复印件，原件备查，评分中出现无证明资料或专家无法凭所提供资料判断是否得分的情况，一律作不得分处理。</w:t>
            </w:r>
          </w:p>
        </w:tc>
      </w:tr>
      <w:tr w14:paraId="03F6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Merge w:val="continue"/>
            <w:vAlign w:val="center"/>
          </w:tcPr>
          <w:p w14:paraId="7C7950EC">
            <w:pPr>
              <w:keepNext w:val="0"/>
              <w:keepLines w:val="0"/>
              <w:pageBreakBefore w:val="0"/>
              <w:kinsoku/>
              <w:wordWrap/>
              <w:overflowPunct/>
              <w:topLinePunct w:val="0"/>
              <w:bidi w:val="0"/>
              <w:snapToGrid/>
              <w:spacing w:line="340" w:lineRule="exact"/>
              <w:jc w:val="center"/>
              <w:outlineLvl w:val="0"/>
              <w:rPr>
                <w:rFonts w:ascii="宋体" w:hAnsi="宋体" w:cs="Times New Roman"/>
                <w:color w:val="0000FF"/>
                <w:szCs w:val="21"/>
                <w:highlight w:val="none"/>
              </w:rPr>
            </w:pPr>
          </w:p>
        </w:tc>
        <w:tc>
          <w:tcPr>
            <w:tcW w:w="404" w:type="pct"/>
            <w:vAlign w:val="center"/>
          </w:tcPr>
          <w:p w14:paraId="381F5D80">
            <w:pPr>
              <w:keepNext w:val="0"/>
              <w:keepLines w:val="0"/>
              <w:pageBreakBefore w:val="0"/>
              <w:kinsoku/>
              <w:wordWrap/>
              <w:overflowPunct/>
              <w:topLinePunct w:val="0"/>
              <w:bidi w:val="0"/>
              <w:snapToGrid/>
              <w:spacing w:line="340" w:lineRule="exact"/>
              <w:jc w:val="center"/>
              <w:rPr>
                <w:rFonts w:hint="eastAsia" w:ascii="宋体" w:hAnsi="宋体" w:eastAsia="宋体" w:cs="Times New Roman"/>
                <w:color w:val="0000FF"/>
                <w:szCs w:val="21"/>
                <w:highlight w:val="none"/>
                <w:lang w:val="en-US" w:eastAsia="zh-CN"/>
              </w:rPr>
            </w:pPr>
            <w:r>
              <w:rPr>
                <w:rFonts w:hint="eastAsia" w:ascii="宋体" w:hAnsi="宋体" w:cs="Times New Roman"/>
                <w:color w:val="0000FF"/>
                <w:szCs w:val="21"/>
                <w:highlight w:val="none"/>
                <w:lang w:val="en-US" w:eastAsia="zh-CN"/>
              </w:rPr>
              <w:t>6</w:t>
            </w:r>
          </w:p>
        </w:tc>
        <w:tc>
          <w:tcPr>
            <w:tcW w:w="901" w:type="pct"/>
            <w:vAlign w:val="center"/>
          </w:tcPr>
          <w:p w14:paraId="1FC26E03">
            <w:pPr>
              <w:keepNext w:val="0"/>
              <w:keepLines w:val="0"/>
              <w:pageBreakBefore w:val="0"/>
              <w:widowControl w:val="0"/>
              <w:kinsoku/>
              <w:wordWrap/>
              <w:overflowPunct/>
              <w:topLinePunct w:val="0"/>
              <w:bidi w:val="0"/>
              <w:adjustRightInd/>
              <w:snapToGrid/>
              <w:spacing w:line="340" w:lineRule="exact"/>
              <w:ind w:left="0" w:leftChars="0" w:right="0" w:rightChars="0"/>
              <w:jc w:val="center"/>
              <w:rPr>
                <w:rFonts w:hint="eastAsia" w:ascii="宋体" w:hAnsi="宋体" w:eastAsia="宋体" w:cs="宋体"/>
                <w:color w:val="0000FF"/>
                <w:szCs w:val="21"/>
                <w:highlight w:val="none"/>
              </w:rPr>
            </w:pPr>
            <w:r>
              <w:rPr>
                <w:rFonts w:hint="eastAsia" w:ascii="宋体" w:hAnsi="宋体" w:eastAsia="宋体" w:cs="宋体"/>
                <w:color w:val="0000FF"/>
                <w:sz w:val="21"/>
                <w:szCs w:val="21"/>
                <w:highlight w:val="none"/>
              </w:rPr>
              <w:t>服务场地面积</w:t>
            </w:r>
          </w:p>
        </w:tc>
        <w:tc>
          <w:tcPr>
            <w:tcW w:w="429" w:type="pct"/>
            <w:vAlign w:val="center"/>
          </w:tcPr>
          <w:p w14:paraId="39095E27">
            <w:pPr>
              <w:keepNext w:val="0"/>
              <w:keepLines w:val="0"/>
              <w:pageBreakBefore w:val="0"/>
              <w:widowControl w:val="0"/>
              <w:kinsoku/>
              <w:wordWrap/>
              <w:overflowPunct/>
              <w:topLinePunct w:val="0"/>
              <w:bidi w:val="0"/>
              <w:adjustRightInd/>
              <w:snapToGrid/>
              <w:spacing w:line="340" w:lineRule="exact"/>
              <w:ind w:left="0" w:leftChars="0" w:right="0" w:rightChars="0"/>
              <w:jc w:val="center"/>
              <w:rPr>
                <w:rFonts w:hint="eastAsia" w:ascii="宋体" w:hAnsi="宋体" w:eastAsia="宋体" w:cs="宋体"/>
                <w:color w:val="0000FF"/>
                <w:szCs w:val="21"/>
                <w:highlight w:val="none"/>
              </w:rPr>
            </w:pPr>
            <w:r>
              <w:rPr>
                <w:rFonts w:hint="eastAsia" w:ascii="宋体" w:hAnsi="宋体" w:eastAsia="宋体" w:cs="宋体"/>
                <w:color w:val="0000FF"/>
                <w:sz w:val="21"/>
                <w:szCs w:val="21"/>
                <w:highlight w:val="none"/>
                <w:lang w:val="en-US" w:eastAsia="zh-CN"/>
              </w:rPr>
              <w:t>6</w:t>
            </w:r>
          </w:p>
        </w:tc>
        <w:tc>
          <w:tcPr>
            <w:tcW w:w="2880" w:type="pct"/>
            <w:gridSpan w:val="2"/>
            <w:vAlign w:val="center"/>
          </w:tcPr>
          <w:p w14:paraId="66180E8D">
            <w:pPr>
              <w:keepNext w:val="0"/>
              <w:keepLines w:val="0"/>
              <w:pageBreakBefore w:val="0"/>
              <w:kinsoku/>
              <w:wordWrap/>
              <w:overflowPunct/>
              <w:topLinePunct w:val="0"/>
              <w:bidi w:val="0"/>
              <w:snapToGrid/>
              <w:spacing w:line="340" w:lineRule="exact"/>
              <w:jc w:val="left"/>
              <w:rPr>
                <w:rFonts w:hint="eastAsia" w:ascii="宋体" w:hAnsi="宋体" w:eastAsia="宋体" w:cs="宋体"/>
                <w:color w:val="0000FF"/>
                <w:sz w:val="21"/>
                <w:szCs w:val="21"/>
                <w:highlight w:val="none"/>
              </w:rPr>
            </w:pPr>
            <w:r>
              <w:rPr>
                <w:rFonts w:hint="eastAsia" w:ascii="宋体" w:hAnsi="宋体" w:eastAsia="宋体" w:cs="宋体"/>
                <w:b/>
                <w:color w:val="0000FF"/>
                <w:sz w:val="21"/>
                <w:szCs w:val="21"/>
                <w:highlight w:val="none"/>
              </w:rPr>
              <w:t>评审内容</w:t>
            </w:r>
            <w:r>
              <w:rPr>
                <w:rFonts w:hint="eastAsia" w:ascii="宋体" w:hAnsi="宋体" w:eastAsia="宋体" w:cs="宋体"/>
                <w:color w:val="0000FF"/>
                <w:sz w:val="21"/>
                <w:szCs w:val="21"/>
                <w:highlight w:val="none"/>
              </w:rPr>
              <w:t>：</w:t>
            </w:r>
          </w:p>
          <w:p w14:paraId="75AF1F6F">
            <w:pPr>
              <w:keepNext w:val="0"/>
              <w:keepLines w:val="0"/>
              <w:pageBreakBefore w:val="0"/>
              <w:widowControl w:val="0"/>
              <w:kinsoku/>
              <w:wordWrap/>
              <w:overflowPunct/>
              <w:topLinePunct w:val="0"/>
              <w:bidi w:val="0"/>
              <w:adjustRightInd/>
              <w:snapToGrid/>
              <w:spacing w:line="340" w:lineRule="exact"/>
              <w:ind w:left="0" w:leftChars="0" w:right="0" w:rightChars="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1.场地面积≥110平方米,得</w:t>
            </w:r>
            <w:r>
              <w:rPr>
                <w:rFonts w:hint="eastAsia" w:ascii="宋体" w:hAnsi="宋体" w:eastAsia="宋体" w:cs="宋体"/>
                <w:color w:val="0000FF"/>
                <w:sz w:val="21"/>
                <w:szCs w:val="21"/>
                <w:highlight w:val="none"/>
                <w:lang w:val="en-US" w:eastAsia="zh-CN"/>
              </w:rPr>
              <w:t>6分</w:t>
            </w:r>
            <w:r>
              <w:rPr>
                <w:rFonts w:hint="eastAsia" w:ascii="宋体" w:hAnsi="宋体" w:eastAsia="宋体" w:cs="宋体"/>
                <w:color w:val="0000FF"/>
                <w:sz w:val="21"/>
                <w:szCs w:val="21"/>
                <w:highlight w:val="none"/>
              </w:rPr>
              <w:t>；</w:t>
            </w:r>
          </w:p>
          <w:p w14:paraId="3651C7A0">
            <w:pPr>
              <w:keepNext w:val="0"/>
              <w:keepLines w:val="0"/>
              <w:pageBreakBefore w:val="0"/>
              <w:widowControl w:val="0"/>
              <w:kinsoku/>
              <w:wordWrap/>
              <w:overflowPunct/>
              <w:topLinePunct w:val="0"/>
              <w:bidi w:val="0"/>
              <w:adjustRightInd/>
              <w:snapToGrid/>
              <w:spacing w:line="340" w:lineRule="exact"/>
              <w:ind w:left="0" w:leftChars="0" w:right="0" w:rightChars="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w:t>
            </w:r>
            <w:r>
              <w:rPr>
                <w:rFonts w:hint="eastAsia" w:ascii="宋体" w:hAnsi="宋体" w:cs="宋体"/>
                <w:color w:val="0000FF"/>
                <w:sz w:val="21"/>
                <w:szCs w:val="21"/>
                <w:highlight w:val="none"/>
                <w:lang w:val="en-US" w:eastAsia="zh-CN"/>
              </w:rPr>
              <w:t>80平方米≤</w:t>
            </w:r>
            <w:r>
              <w:rPr>
                <w:rFonts w:hint="eastAsia" w:ascii="宋体" w:hAnsi="宋体" w:eastAsia="宋体" w:cs="宋体"/>
                <w:color w:val="0000FF"/>
                <w:sz w:val="21"/>
                <w:szCs w:val="21"/>
                <w:highlight w:val="none"/>
              </w:rPr>
              <w:t>场地面积</w:t>
            </w:r>
            <w:r>
              <w:rPr>
                <w:rFonts w:hint="eastAsia" w:ascii="宋体" w:hAnsi="宋体" w:cs="宋体"/>
                <w:color w:val="0000FF"/>
                <w:sz w:val="21"/>
                <w:szCs w:val="21"/>
                <w:highlight w:val="none"/>
                <w:lang w:val="en-US" w:eastAsia="zh-CN"/>
              </w:rPr>
              <w:t>＜110</w:t>
            </w:r>
            <w:r>
              <w:rPr>
                <w:rFonts w:hint="eastAsia" w:ascii="宋体" w:hAnsi="宋体" w:eastAsia="宋体" w:cs="宋体"/>
                <w:color w:val="0000FF"/>
                <w:sz w:val="21"/>
                <w:szCs w:val="21"/>
                <w:highlight w:val="none"/>
              </w:rPr>
              <w:t>平方米,得</w:t>
            </w:r>
            <w:r>
              <w:rPr>
                <w:rFonts w:hint="eastAsia" w:ascii="宋体" w:hAnsi="宋体" w:eastAsia="宋体" w:cs="宋体"/>
                <w:color w:val="0000FF"/>
                <w:sz w:val="21"/>
                <w:szCs w:val="21"/>
                <w:highlight w:val="none"/>
                <w:lang w:val="en-US" w:eastAsia="zh-CN"/>
              </w:rPr>
              <w:t>4分</w:t>
            </w:r>
            <w:r>
              <w:rPr>
                <w:rFonts w:hint="eastAsia" w:ascii="宋体" w:hAnsi="宋体" w:eastAsia="宋体" w:cs="宋体"/>
                <w:color w:val="0000FF"/>
                <w:sz w:val="21"/>
                <w:szCs w:val="21"/>
                <w:highlight w:val="none"/>
              </w:rPr>
              <w:t>；</w:t>
            </w:r>
          </w:p>
          <w:p w14:paraId="5D3BF92E">
            <w:pPr>
              <w:keepNext w:val="0"/>
              <w:keepLines w:val="0"/>
              <w:pageBreakBefore w:val="0"/>
              <w:widowControl w:val="0"/>
              <w:kinsoku/>
              <w:wordWrap/>
              <w:overflowPunct/>
              <w:topLinePunct w:val="0"/>
              <w:bidi w:val="0"/>
              <w:adjustRightInd/>
              <w:snapToGrid/>
              <w:spacing w:line="340" w:lineRule="exact"/>
              <w:ind w:left="0" w:leftChars="0" w:right="0" w:rightChars="0"/>
              <w:rPr>
                <w:rFonts w:hint="eastAsia" w:ascii="宋体" w:hAnsi="宋体" w:cs="宋体"/>
                <w:color w:val="0000FF"/>
                <w:sz w:val="21"/>
                <w:szCs w:val="21"/>
                <w:highlight w:val="none"/>
                <w:lang w:val="en-US" w:eastAsia="zh-CN"/>
              </w:rPr>
            </w:pPr>
            <w:r>
              <w:rPr>
                <w:rFonts w:hint="eastAsia" w:ascii="宋体" w:hAnsi="宋体" w:eastAsia="宋体" w:cs="宋体"/>
                <w:color w:val="0000FF"/>
                <w:sz w:val="21"/>
                <w:szCs w:val="21"/>
                <w:highlight w:val="none"/>
              </w:rPr>
              <w:t>3.</w:t>
            </w:r>
            <w:r>
              <w:rPr>
                <w:rFonts w:hint="eastAsia" w:ascii="宋体" w:hAnsi="宋体" w:cs="宋体"/>
                <w:color w:val="0000FF"/>
                <w:sz w:val="21"/>
                <w:szCs w:val="21"/>
                <w:highlight w:val="none"/>
                <w:lang w:val="en-US" w:eastAsia="zh-CN"/>
              </w:rPr>
              <w:t>50平方米≤</w:t>
            </w:r>
            <w:r>
              <w:rPr>
                <w:rFonts w:hint="eastAsia" w:ascii="宋体" w:hAnsi="宋体" w:eastAsia="宋体" w:cs="宋体"/>
                <w:color w:val="0000FF"/>
                <w:sz w:val="21"/>
                <w:szCs w:val="21"/>
                <w:highlight w:val="none"/>
              </w:rPr>
              <w:t>场地面积</w:t>
            </w:r>
            <w:r>
              <w:rPr>
                <w:rFonts w:hint="eastAsia" w:ascii="宋体" w:hAnsi="宋体" w:cs="宋体"/>
                <w:color w:val="0000FF"/>
                <w:sz w:val="21"/>
                <w:szCs w:val="21"/>
                <w:highlight w:val="none"/>
                <w:lang w:val="en-US" w:eastAsia="zh-CN"/>
              </w:rPr>
              <w:t>＜8</w:t>
            </w:r>
            <w:r>
              <w:rPr>
                <w:rFonts w:hint="eastAsia" w:ascii="宋体" w:hAnsi="宋体" w:eastAsia="宋体" w:cs="宋体"/>
                <w:color w:val="0000FF"/>
                <w:sz w:val="21"/>
                <w:szCs w:val="21"/>
                <w:highlight w:val="none"/>
              </w:rPr>
              <w:t>0平方米,得</w:t>
            </w:r>
            <w:r>
              <w:rPr>
                <w:rFonts w:hint="eastAsia" w:ascii="宋体" w:hAnsi="宋体" w:eastAsia="宋体" w:cs="宋体"/>
                <w:color w:val="0000FF"/>
                <w:sz w:val="21"/>
                <w:szCs w:val="21"/>
                <w:highlight w:val="none"/>
                <w:lang w:val="en-US" w:eastAsia="zh-CN"/>
              </w:rPr>
              <w:t>2分</w:t>
            </w:r>
            <w:r>
              <w:rPr>
                <w:rFonts w:hint="eastAsia" w:ascii="宋体" w:hAnsi="宋体" w:cs="宋体"/>
                <w:color w:val="0000FF"/>
                <w:sz w:val="21"/>
                <w:szCs w:val="21"/>
                <w:highlight w:val="none"/>
                <w:lang w:val="en-US" w:eastAsia="zh-CN"/>
              </w:rPr>
              <w:t>；</w:t>
            </w:r>
          </w:p>
          <w:p w14:paraId="0F14A040">
            <w:pPr>
              <w:keepNext w:val="0"/>
              <w:keepLines w:val="0"/>
              <w:pageBreakBefore w:val="0"/>
              <w:widowControl w:val="0"/>
              <w:kinsoku/>
              <w:wordWrap/>
              <w:overflowPunct/>
              <w:topLinePunct w:val="0"/>
              <w:bidi w:val="0"/>
              <w:adjustRightInd/>
              <w:snapToGrid/>
              <w:spacing w:line="340" w:lineRule="exact"/>
              <w:ind w:left="0" w:leftChars="0" w:right="0" w:rightChars="0"/>
              <w:rPr>
                <w:rFonts w:hint="eastAsia" w:ascii="宋体" w:hAnsi="宋体" w:eastAsia="宋体" w:cs="宋体"/>
                <w:color w:val="0000FF"/>
                <w:sz w:val="21"/>
                <w:szCs w:val="21"/>
                <w:highlight w:val="none"/>
                <w:lang w:eastAsia="zh-CN"/>
              </w:rPr>
            </w:pPr>
            <w:r>
              <w:rPr>
                <w:rFonts w:hint="eastAsia" w:ascii="宋体" w:hAnsi="宋体" w:cs="宋体"/>
                <w:color w:val="0000FF"/>
                <w:sz w:val="21"/>
                <w:szCs w:val="21"/>
                <w:highlight w:val="none"/>
                <w:lang w:val="en-US" w:eastAsia="zh-CN"/>
              </w:rPr>
              <w:t>4.其他情况不得分</w:t>
            </w:r>
            <w:r>
              <w:rPr>
                <w:rFonts w:hint="eastAsia" w:ascii="宋体" w:hAnsi="宋体" w:eastAsia="宋体" w:cs="宋体"/>
                <w:color w:val="0000FF"/>
                <w:sz w:val="21"/>
                <w:szCs w:val="21"/>
                <w:highlight w:val="none"/>
                <w:lang w:eastAsia="zh-CN"/>
              </w:rPr>
              <w:t>。</w:t>
            </w:r>
          </w:p>
          <w:p w14:paraId="44395549">
            <w:pPr>
              <w:keepNext w:val="0"/>
              <w:keepLines w:val="0"/>
              <w:pageBreakBefore w:val="0"/>
              <w:widowControl w:val="0"/>
              <w:kinsoku/>
              <w:wordWrap/>
              <w:overflowPunct/>
              <w:topLinePunct w:val="0"/>
              <w:bidi w:val="0"/>
              <w:adjustRightInd/>
              <w:snapToGrid/>
              <w:spacing w:line="340" w:lineRule="exact"/>
              <w:ind w:left="0" w:leftChars="0" w:right="0" w:rightChars="0"/>
              <w:rPr>
                <w:rFonts w:hint="eastAsia" w:ascii="宋体" w:hAnsi="宋体" w:eastAsia="宋体" w:cs="宋体"/>
                <w:color w:val="0000FF"/>
                <w:szCs w:val="21"/>
                <w:highlight w:val="none"/>
              </w:rPr>
            </w:pPr>
            <w:r>
              <w:rPr>
                <w:rFonts w:hint="eastAsia" w:ascii="宋体" w:hAnsi="宋体" w:eastAsia="宋体" w:cs="宋体"/>
                <w:b/>
                <w:bCs/>
                <w:color w:val="0000FF"/>
                <w:sz w:val="21"/>
                <w:szCs w:val="21"/>
                <w:highlight w:val="none"/>
                <w:lang w:eastAsia="zh-CN"/>
              </w:rPr>
              <w:t>评分依据</w:t>
            </w:r>
            <w:r>
              <w:rPr>
                <w:rFonts w:hint="eastAsia" w:ascii="宋体" w:hAnsi="宋体" w:eastAsia="宋体" w:cs="宋体"/>
                <w:b/>
                <w:bCs/>
                <w:color w:val="0000FF"/>
                <w:sz w:val="21"/>
                <w:szCs w:val="21"/>
                <w:highlight w:val="none"/>
              </w:rPr>
              <w:t>：</w:t>
            </w:r>
            <w:r>
              <w:rPr>
                <w:rFonts w:hint="eastAsia" w:ascii="宋体" w:hAnsi="宋体" w:eastAsia="宋体" w:cs="宋体"/>
                <w:color w:val="0000FF"/>
                <w:sz w:val="21"/>
                <w:szCs w:val="21"/>
                <w:highlight w:val="none"/>
              </w:rPr>
              <w:t>提供投标人房屋租赁合同或场地使用证明或自有产权证明复印件</w:t>
            </w:r>
            <w:r>
              <w:rPr>
                <w:rFonts w:hint="eastAsia" w:ascii="宋体" w:hAnsi="宋体" w:eastAsia="宋体" w:cs="宋体"/>
                <w:color w:val="0000FF"/>
                <w:sz w:val="21"/>
                <w:szCs w:val="21"/>
                <w:highlight w:val="none"/>
                <w:lang w:eastAsia="zh-CN"/>
              </w:rPr>
              <w:t>（</w:t>
            </w:r>
            <w:r>
              <w:rPr>
                <w:rFonts w:hint="eastAsia" w:ascii="宋体" w:hAnsi="宋体" w:eastAsia="宋体" w:cs="宋体"/>
                <w:color w:val="0000FF"/>
                <w:sz w:val="21"/>
                <w:szCs w:val="21"/>
                <w:highlight w:val="none"/>
                <w:lang w:val="en-US" w:eastAsia="zh-CN"/>
              </w:rPr>
              <w:t>需体现以上评审信息</w:t>
            </w:r>
            <w:r>
              <w:rPr>
                <w:rFonts w:hint="eastAsia" w:ascii="宋体" w:hAnsi="宋体" w:eastAsia="宋体" w:cs="宋体"/>
                <w:color w:val="0000FF"/>
                <w:sz w:val="21"/>
                <w:szCs w:val="21"/>
                <w:highlight w:val="none"/>
                <w:lang w:eastAsia="zh-CN"/>
              </w:rPr>
              <w:t>）</w:t>
            </w:r>
            <w:r>
              <w:rPr>
                <w:rFonts w:hint="eastAsia" w:ascii="宋体" w:hAnsi="宋体" w:eastAsia="宋体" w:cs="宋体"/>
                <w:color w:val="0000FF"/>
                <w:sz w:val="21"/>
                <w:szCs w:val="21"/>
                <w:highlight w:val="none"/>
              </w:rPr>
              <w:t>，原件备查，评分中出现无证明资料或专家无法凭所提供资料判断是否得分的情况，一律作不得分处理。</w:t>
            </w:r>
          </w:p>
        </w:tc>
      </w:tr>
      <w:tr w14:paraId="5DF6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Merge w:val="continue"/>
            <w:vAlign w:val="center"/>
          </w:tcPr>
          <w:p w14:paraId="2C7E8AD7">
            <w:pPr>
              <w:keepNext w:val="0"/>
              <w:keepLines w:val="0"/>
              <w:pageBreakBefore w:val="0"/>
              <w:kinsoku/>
              <w:wordWrap/>
              <w:overflowPunct/>
              <w:topLinePunct w:val="0"/>
              <w:bidi w:val="0"/>
              <w:snapToGrid/>
              <w:spacing w:line="340" w:lineRule="exact"/>
              <w:jc w:val="center"/>
              <w:outlineLvl w:val="0"/>
              <w:rPr>
                <w:rFonts w:ascii="宋体" w:hAnsi="宋体" w:cs="Times New Roman"/>
                <w:color w:val="0000FF"/>
                <w:szCs w:val="21"/>
                <w:highlight w:val="none"/>
              </w:rPr>
            </w:pPr>
          </w:p>
        </w:tc>
        <w:tc>
          <w:tcPr>
            <w:tcW w:w="404" w:type="pct"/>
            <w:vAlign w:val="center"/>
          </w:tcPr>
          <w:p w14:paraId="1B59FEA2">
            <w:pPr>
              <w:keepNext w:val="0"/>
              <w:keepLines w:val="0"/>
              <w:pageBreakBefore w:val="0"/>
              <w:kinsoku/>
              <w:wordWrap/>
              <w:overflowPunct/>
              <w:topLinePunct w:val="0"/>
              <w:bidi w:val="0"/>
              <w:snapToGrid/>
              <w:spacing w:line="340" w:lineRule="exact"/>
              <w:jc w:val="center"/>
              <w:rPr>
                <w:rFonts w:hint="eastAsia" w:ascii="宋体" w:hAnsi="宋体" w:eastAsia="宋体" w:cs="Times New Roman"/>
                <w:color w:val="0000FF"/>
                <w:szCs w:val="21"/>
                <w:highlight w:val="none"/>
                <w:lang w:val="en-US" w:eastAsia="zh-CN"/>
              </w:rPr>
            </w:pPr>
            <w:r>
              <w:rPr>
                <w:rFonts w:hint="eastAsia" w:ascii="宋体" w:hAnsi="宋体" w:cs="Times New Roman"/>
                <w:color w:val="0000FF"/>
                <w:szCs w:val="21"/>
                <w:highlight w:val="none"/>
                <w:lang w:val="en-US" w:eastAsia="zh-CN"/>
              </w:rPr>
              <w:t>7</w:t>
            </w:r>
          </w:p>
        </w:tc>
        <w:tc>
          <w:tcPr>
            <w:tcW w:w="901" w:type="pct"/>
            <w:vAlign w:val="center"/>
          </w:tcPr>
          <w:p w14:paraId="7DA08D8F">
            <w:pPr>
              <w:keepNext w:val="0"/>
              <w:keepLines w:val="0"/>
              <w:pageBreakBefore w:val="0"/>
              <w:widowControl w:val="0"/>
              <w:kinsoku/>
              <w:wordWrap/>
              <w:overflowPunct/>
              <w:topLinePunct w:val="0"/>
              <w:bidi w:val="0"/>
              <w:adjustRightInd/>
              <w:snapToGrid/>
              <w:spacing w:line="340" w:lineRule="exact"/>
              <w:ind w:left="0" w:leftChars="0" w:right="0" w:rightChars="0"/>
              <w:jc w:val="center"/>
              <w:rPr>
                <w:rFonts w:hint="eastAsia" w:ascii="宋体" w:hAnsi="宋体" w:eastAsia="宋体" w:cs="宋体"/>
                <w:color w:val="0000FF"/>
                <w:szCs w:val="21"/>
                <w:highlight w:val="none"/>
              </w:rPr>
            </w:pPr>
            <w:r>
              <w:rPr>
                <w:rFonts w:hint="eastAsia" w:ascii="宋体" w:hAnsi="宋体" w:eastAsia="宋体" w:cs="宋体"/>
                <w:color w:val="0000FF"/>
                <w:sz w:val="21"/>
                <w:szCs w:val="21"/>
                <w:highlight w:val="none"/>
              </w:rPr>
              <w:t>科室设置</w:t>
            </w:r>
          </w:p>
        </w:tc>
        <w:tc>
          <w:tcPr>
            <w:tcW w:w="429" w:type="pct"/>
            <w:vAlign w:val="center"/>
          </w:tcPr>
          <w:p w14:paraId="2E05D024">
            <w:pPr>
              <w:keepNext w:val="0"/>
              <w:keepLines w:val="0"/>
              <w:pageBreakBefore w:val="0"/>
              <w:widowControl w:val="0"/>
              <w:kinsoku/>
              <w:wordWrap/>
              <w:overflowPunct/>
              <w:topLinePunct w:val="0"/>
              <w:bidi w:val="0"/>
              <w:adjustRightInd/>
              <w:snapToGrid/>
              <w:spacing w:line="340" w:lineRule="exact"/>
              <w:ind w:left="0" w:leftChars="0" w:right="0" w:rightChars="0"/>
              <w:jc w:val="center"/>
              <w:rPr>
                <w:rFonts w:hint="eastAsia" w:ascii="宋体" w:hAnsi="宋体" w:eastAsia="宋体" w:cs="宋体"/>
                <w:color w:val="0000FF"/>
                <w:szCs w:val="21"/>
                <w:highlight w:val="none"/>
              </w:rPr>
            </w:pPr>
            <w:r>
              <w:rPr>
                <w:rFonts w:hint="eastAsia" w:ascii="宋体" w:hAnsi="宋体" w:eastAsia="宋体" w:cs="宋体"/>
                <w:color w:val="0000FF"/>
                <w:sz w:val="21"/>
                <w:szCs w:val="21"/>
                <w:highlight w:val="none"/>
                <w:lang w:val="en-US" w:eastAsia="zh-CN"/>
              </w:rPr>
              <w:t>6</w:t>
            </w:r>
          </w:p>
        </w:tc>
        <w:tc>
          <w:tcPr>
            <w:tcW w:w="2880" w:type="pct"/>
            <w:gridSpan w:val="2"/>
            <w:vAlign w:val="center"/>
          </w:tcPr>
          <w:p w14:paraId="21F61EDE">
            <w:pPr>
              <w:keepNext w:val="0"/>
              <w:keepLines w:val="0"/>
              <w:pageBreakBefore w:val="0"/>
              <w:kinsoku/>
              <w:wordWrap/>
              <w:overflowPunct/>
              <w:topLinePunct w:val="0"/>
              <w:bidi w:val="0"/>
              <w:snapToGrid/>
              <w:spacing w:line="340" w:lineRule="exact"/>
              <w:jc w:val="left"/>
              <w:rPr>
                <w:rFonts w:hint="eastAsia" w:ascii="宋体" w:hAnsi="宋体" w:eastAsia="宋体" w:cs="宋体"/>
                <w:color w:val="0000FF"/>
                <w:sz w:val="21"/>
                <w:szCs w:val="21"/>
                <w:highlight w:val="none"/>
              </w:rPr>
            </w:pPr>
            <w:r>
              <w:rPr>
                <w:rFonts w:hint="eastAsia" w:ascii="宋体" w:hAnsi="宋体" w:eastAsia="宋体" w:cs="宋体"/>
                <w:b/>
                <w:color w:val="0000FF"/>
                <w:sz w:val="21"/>
                <w:szCs w:val="21"/>
                <w:highlight w:val="none"/>
              </w:rPr>
              <w:t>评审内容</w:t>
            </w:r>
            <w:r>
              <w:rPr>
                <w:rFonts w:hint="eastAsia" w:ascii="宋体" w:hAnsi="宋体" w:eastAsia="宋体" w:cs="宋体"/>
                <w:color w:val="0000FF"/>
                <w:sz w:val="21"/>
                <w:szCs w:val="21"/>
                <w:highlight w:val="none"/>
              </w:rPr>
              <w:t>：</w:t>
            </w:r>
          </w:p>
          <w:p w14:paraId="10B889D0">
            <w:pPr>
              <w:keepNext w:val="0"/>
              <w:keepLines w:val="0"/>
              <w:pageBreakBefore w:val="0"/>
              <w:widowControl w:val="0"/>
              <w:kinsoku/>
              <w:wordWrap/>
              <w:overflowPunct/>
              <w:topLinePunct w:val="0"/>
              <w:bidi w:val="0"/>
              <w:adjustRightInd/>
              <w:snapToGrid/>
              <w:spacing w:line="340" w:lineRule="exact"/>
              <w:ind w:left="0" w:leftChars="0" w:right="0" w:rightChars="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要求服务场地具备接待区域、维修区域：</w:t>
            </w:r>
            <w:r>
              <w:rPr>
                <w:rFonts w:hint="eastAsia" w:ascii="宋体" w:hAnsi="宋体" w:eastAsia="宋体" w:cs="宋体"/>
                <w:color w:val="0000FF"/>
                <w:sz w:val="21"/>
                <w:szCs w:val="21"/>
                <w:highlight w:val="none"/>
              </w:rPr>
              <w:br w:type="textWrapping"/>
            </w:r>
            <w:r>
              <w:rPr>
                <w:rFonts w:hint="eastAsia" w:ascii="宋体" w:hAnsi="宋体" w:eastAsia="宋体" w:cs="宋体"/>
                <w:color w:val="0000FF"/>
                <w:sz w:val="21"/>
                <w:szCs w:val="21"/>
                <w:highlight w:val="none"/>
              </w:rPr>
              <w:t>1</w:t>
            </w:r>
            <w:r>
              <w:rPr>
                <w:rFonts w:hint="eastAsia" w:ascii="宋体" w:hAnsi="宋体" w:eastAsia="宋体" w:cs="宋体"/>
                <w:color w:val="0000FF"/>
                <w:sz w:val="21"/>
                <w:szCs w:val="21"/>
                <w:highlight w:val="none"/>
                <w:lang w:val="en-US" w:eastAsia="zh-CN"/>
              </w:rPr>
              <w:t>.</w:t>
            </w:r>
            <w:r>
              <w:rPr>
                <w:rFonts w:hint="eastAsia" w:ascii="宋体" w:hAnsi="宋体" w:eastAsia="宋体" w:cs="宋体"/>
                <w:color w:val="0000FF"/>
                <w:sz w:val="21"/>
                <w:szCs w:val="21"/>
                <w:highlight w:val="none"/>
              </w:rPr>
              <w:t>具备接待区域得</w:t>
            </w:r>
            <w:r>
              <w:rPr>
                <w:rFonts w:hint="eastAsia" w:ascii="宋体" w:hAnsi="宋体" w:eastAsia="宋体" w:cs="宋体"/>
                <w:color w:val="0000FF"/>
                <w:sz w:val="21"/>
                <w:szCs w:val="21"/>
                <w:highlight w:val="none"/>
                <w:lang w:val="en-US" w:eastAsia="zh-CN"/>
              </w:rPr>
              <w:t>3分</w:t>
            </w:r>
            <w:r>
              <w:rPr>
                <w:rFonts w:hint="eastAsia" w:ascii="宋体" w:hAnsi="宋体" w:eastAsia="宋体" w:cs="宋体"/>
                <w:color w:val="0000FF"/>
                <w:sz w:val="21"/>
                <w:szCs w:val="21"/>
                <w:highlight w:val="none"/>
              </w:rPr>
              <w:t>；</w:t>
            </w:r>
          </w:p>
          <w:p w14:paraId="01E0A9A6">
            <w:pPr>
              <w:keepNext w:val="0"/>
              <w:keepLines w:val="0"/>
              <w:pageBreakBefore w:val="0"/>
              <w:widowControl w:val="0"/>
              <w:kinsoku/>
              <w:wordWrap/>
              <w:overflowPunct/>
              <w:topLinePunct w:val="0"/>
              <w:bidi w:val="0"/>
              <w:adjustRightInd/>
              <w:snapToGrid/>
              <w:spacing w:line="340" w:lineRule="exact"/>
              <w:ind w:left="0" w:leftChars="0" w:right="0" w:rightChars="0"/>
              <w:rPr>
                <w:rFonts w:hint="eastAsia"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rPr>
              <w:t>2</w:t>
            </w:r>
            <w:r>
              <w:rPr>
                <w:rFonts w:hint="eastAsia" w:ascii="宋体" w:hAnsi="宋体" w:eastAsia="宋体" w:cs="宋体"/>
                <w:color w:val="0000FF"/>
                <w:sz w:val="21"/>
                <w:szCs w:val="21"/>
                <w:highlight w:val="none"/>
                <w:lang w:val="en-US" w:eastAsia="zh-CN"/>
              </w:rPr>
              <w:t>.</w:t>
            </w:r>
            <w:r>
              <w:rPr>
                <w:rFonts w:hint="eastAsia" w:ascii="宋体" w:hAnsi="宋体" w:eastAsia="宋体" w:cs="宋体"/>
                <w:color w:val="0000FF"/>
                <w:sz w:val="21"/>
                <w:szCs w:val="21"/>
                <w:highlight w:val="none"/>
              </w:rPr>
              <w:t>具备维修区域得</w:t>
            </w:r>
            <w:r>
              <w:rPr>
                <w:rFonts w:hint="eastAsia" w:ascii="宋体" w:hAnsi="宋体" w:eastAsia="宋体" w:cs="宋体"/>
                <w:color w:val="0000FF"/>
                <w:sz w:val="21"/>
                <w:szCs w:val="21"/>
                <w:highlight w:val="none"/>
                <w:lang w:val="en-US" w:eastAsia="zh-CN"/>
              </w:rPr>
              <w:t>3分。</w:t>
            </w:r>
          </w:p>
          <w:p w14:paraId="30AC9B05">
            <w:pPr>
              <w:keepNext w:val="0"/>
              <w:keepLines w:val="0"/>
              <w:pageBreakBefore w:val="0"/>
              <w:widowControl w:val="0"/>
              <w:kinsoku/>
              <w:wordWrap/>
              <w:overflowPunct/>
              <w:topLinePunct w:val="0"/>
              <w:bidi w:val="0"/>
              <w:adjustRightInd/>
              <w:snapToGrid/>
              <w:spacing w:line="340" w:lineRule="exact"/>
              <w:ind w:left="0" w:leftChars="0" w:right="0" w:rightChars="0"/>
              <w:rPr>
                <w:rFonts w:hint="eastAsia" w:ascii="宋体" w:hAnsi="宋体" w:eastAsia="宋体" w:cs="宋体"/>
                <w:color w:val="0000FF"/>
                <w:szCs w:val="21"/>
                <w:highlight w:val="none"/>
              </w:rPr>
            </w:pPr>
            <w:r>
              <w:rPr>
                <w:rFonts w:hint="eastAsia" w:ascii="宋体" w:hAnsi="宋体" w:eastAsia="宋体" w:cs="宋体"/>
                <w:b/>
                <w:bCs/>
                <w:color w:val="0000FF"/>
                <w:sz w:val="21"/>
                <w:szCs w:val="21"/>
                <w:highlight w:val="none"/>
                <w:lang w:eastAsia="zh-CN"/>
              </w:rPr>
              <w:t>评分依据</w:t>
            </w:r>
            <w:r>
              <w:rPr>
                <w:rFonts w:hint="eastAsia" w:ascii="宋体" w:hAnsi="宋体" w:eastAsia="宋体" w:cs="宋体"/>
                <w:b/>
                <w:bCs/>
                <w:color w:val="0000FF"/>
                <w:sz w:val="21"/>
                <w:szCs w:val="21"/>
                <w:highlight w:val="none"/>
              </w:rPr>
              <w:t>：</w:t>
            </w:r>
            <w:r>
              <w:rPr>
                <w:rFonts w:hint="eastAsia" w:ascii="宋体" w:hAnsi="宋体" w:eastAsia="宋体" w:cs="宋体"/>
                <w:color w:val="0000FF"/>
                <w:sz w:val="21"/>
                <w:szCs w:val="21"/>
                <w:highlight w:val="none"/>
              </w:rPr>
              <w:t>要求提供服务场地图纸</w:t>
            </w:r>
            <w:r>
              <w:rPr>
                <w:rFonts w:hint="eastAsia" w:ascii="宋体" w:hAnsi="宋体" w:eastAsia="宋体" w:cs="宋体"/>
                <w:color w:val="0000FF"/>
                <w:sz w:val="21"/>
                <w:szCs w:val="21"/>
                <w:highlight w:val="none"/>
                <w:lang w:val="en-US" w:eastAsia="zh-CN"/>
              </w:rPr>
              <w:t>复印件</w:t>
            </w:r>
            <w:r>
              <w:rPr>
                <w:rFonts w:hint="eastAsia" w:ascii="宋体" w:hAnsi="宋体" w:eastAsia="宋体" w:cs="宋体"/>
                <w:color w:val="0000FF"/>
                <w:sz w:val="21"/>
                <w:szCs w:val="21"/>
                <w:highlight w:val="none"/>
                <w:lang w:eastAsia="zh-CN"/>
              </w:rPr>
              <w:t>（</w:t>
            </w:r>
            <w:r>
              <w:rPr>
                <w:rFonts w:hint="eastAsia" w:ascii="宋体" w:hAnsi="宋体" w:eastAsia="宋体" w:cs="宋体"/>
                <w:color w:val="0000FF"/>
                <w:sz w:val="21"/>
                <w:szCs w:val="21"/>
                <w:highlight w:val="none"/>
                <w:lang w:val="en-US" w:eastAsia="zh-CN"/>
              </w:rPr>
              <w:t>需文字注明区域类型</w:t>
            </w:r>
            <w:r>
              <w:rPr>
                <w:rFonts w:hint="eastAsia" w:ascii="宋体" w:hAnsi="宋体" w:eastAsia="宋体" w:cs="宋体"/>
                <w:color w:val="0000FF"/>
                <w:sz w:val="21"/>
                <w:szCs w:val="21"/>
                <w:highlight w:val="none"/>
                <w:lang w:eastAsia="zh-CN"/>
              </w:rPr>
              <w:t>），</w:t>
            </w:r>
            <w:r>
              <w:rPr>
                <w:rFonts w:hint="eastAsia" w:ascii="宋体" w:hAnsi="宋体" w:eastAsia="宋体" w:cs="宋体"/>
                <w:color w:val="0000FF"/>
                <w:sz w:val="21"/>
                <w:szCs w:val="21"/>
                <w:highlight w:val="none"/>
                <w:lang w:val="en-US" w:eastAsia="zh-CN"/>
              </w:rPr>
              <w:t>原件备查。</w:t>
            </w:r>
            <w:r>
              <w:rPr>
                <w:rFonts w:hint="eastAsia" w:ascii="宋体" w:hAnsi="宋体" w:eastAsia="宋体" w:cs="宋体"/>
                <w:color w:val="0000FF"/>
                <w:sz w:val="21"/>
                <w:szCs w:val="21"/>
                <w:highlight w:val="none"/>
              </w:rPr>
              <w:t>评分中出现无证明资料或专家无法凭所提供资料判断是否得分的情况，一律作不得分处理。</w:t>
            </w:r>
          </w:p>
        </w:tc>
      </w:tr>
      <w:tr w14:paraId="1068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Merge w:val="continue"/>
            <w:vAlign w:val="center"/>
          </w:tcPr>
          <w:p w14:paraId="5BA26EFB">
            <w:pPr>
              <w:keepNext w:val="0"/>
              <w:keepLines w:val="0"/>
              <w:pageBreakBefore w:val="0"/>
              <w:kinsoku/>
              <w:wordWrap/>
              <w:overflowPunct/>
              <w:topLinePunct w:val="0"/>
              <w:bidi w:val="0"/>
              <w:snapToGrid/>
              <w:spacing w:line="340" w:lineRule="exact"/>
              <w:jc w:val="center"/>
              <w:outlineLvl w:val="0"/>
              <w:rPr>
                <w:rFonts w:ascii="宋体" w:hAnsi="宋体" w:cs="Times New Roman"/>
                <w:color w:val="0000FF"/>
                <w:szCs w:val="21"/>
                <w:highlight w:val="none"/>
              </w:rPr>
            </w:pPr>
          </w:p>
        </w:tc>
        <w:tc>
          <w:tcPr>
            <w:tcW w:w="404" w:type="pct"/>
            <w:vAlign w:val="center"/>
          </w:tcPr>
          <w:p w14:paraId="5A53EAB7">
            <w:pPr>
              <w:keepNext w:val="0"/>
              <w:keepLines w:val="0"/>
              <w:pageBreakBefore w:val="0"/>
              <w:kinsoku/>
              <w:wordWrap/>
              <w:overflowPunct/>
              <w:topLinePunct w:val="0"/>
              <w:bidi w:val="0"/>
              <w:snapToGrid/>
              <w:spacing w:line="340" w:lineRule="exact"/>
              <w:jc w:val="center"/>
              <w:rPr>
                <w:rFonts w:hint="eastAsia" w:ascii="宋体" w:hAnsi="宋体" w:eastAsia="宋体" w:cs="Times New Roman"/>
                <w:color w:val="0000FF"/>
                <w:szCs w:val="21"/>
                <w:highlight w:val="none"/>
                <w:lang w:val="en-US" w:eastAsia="zh-CN"/>
              </w:rPr>
            </w:pPr>
            <w:r>
              <w:rPr>
                <w:rFonts w:hint="eastAsia" w:ascii="宋体" w:hAnsi="宋体" w:cs="Times New Roman"/>
                <w:color w:val="0000FF"/>
                <w:szCs w:val="21"/>
                <w:highlight w:val="none"/>
                <w:lang w:val="en-US" w:eastAsia="zh-CN"/>
              </w:rPr>
              <w:t>8</w:t>
            </w:r>
          </w:p>
        </w:tc>
        <w:tc>
          <w:tcPr>
            <w:tcW w:w="901" w:type="pct"/>
            <w:vAlign w:val="center"/>
          </w:tcPr>
          <w:p w14:paraId="0AE4CB2B">
            <w:pPr>
              <w:keepNext w:val="0"/>
              <w:keepLines w:val="0"/>
              <w:pageBreakBefore w:val="0"/>
              <w:widowControl w:val="0"/>
              <w:kinsoku/>
              <w:wordWrap/>
              <w:overflowPunct/>
              <w:topLinePunct w:val="0"/>
              <w:bidi w:val="0"/>
              <w:adjustRightInd/>
              <w:snapToGrid/>
              <w:spacing w:line="340" w:lineRule="exact"/>
              <w:ind w:left="0" w:leftChars="0" w:right="0" w:rightChars="0"/>
              <w:jc w:val="center"/>
              <w:rPr>
                <w:rFonts w:hint="eastAsia" w:ascii="宋体" w:hAnsi="宋体" w:eastAsia="宋体" w:cs="宋体"/>
                <w:color w:val="0000FF"/>
                <w:szCs w:val="21"/>
                <w:highlight w:val="none"/>
              </w:rPr>
            </w:pPr>
            <w:r>
              <w:rPr>
                <w:rFonts w:hint="eastAsia" w:ascii="宋体" w:hAnsi="宋体" w:eastAsia="宋体" w:cs="宋体"/>
                <w:color w:val="0000FF"/>
                <w:sz w:val="21"/>
                <w:szCs w:val="21"/>
                <w:highlight w:val="none"/>
              </w:rPr>
              <w:t>维修设备</w:t>
            </w:r>
          </w:p>
        </w:tc>
        <w:tc>
          <w:tcPr>
            <w:tcW w:w="429" w:type="pct"/>
            <w:vAlign w:val="center"/>
          </w:tcPr>
          <w:p w14:paraId="2EBC6CFB">
            <w:pPr>
              <w:keepNext w:val="0"/>
              <w:keepLines w:val="0"/>
              <w:pageBreakBefore w:val="0"/>
              <w:widowControl w:val="0"/>
              <w:kinsoku/>
              <w:wordWrap/>
              <w:overflowPunct/>
              <w:topLinePunct w:val="0"/>
              <w:bidi w:val="0"/>
              <w:adjustRightInd/>
              <w:snapToGrid/>
              <w:spacing w:line="340" w:lineRule="exact"/>
              <w:ind w:left="0" w:leftChars="0" w:right="0" w:rightChars="0"/>
              <w:jc w:val="center"/>
              <w:rPr>
                <w:rFonts w:hint="eastAsia" w:ascii="宋体" w:hAnsi="宋体" w:eastAsia="宋体" w:cs="宋体"/>
                <w:color w:val="0000FF"/>
                <w:szCs w:val="21"/>
                <w:highlight w:val="none"/>
              </w:rPr>
            </w:pPr>
            <w:r>
              <w:rPr>
                <w:rFonts w:hint="eastAsia" w:ascii="宋体" w:hAnsi="宋体" w:eastAsia="宋体" w:cs="宋体"/>
                <w:color w:val="0000FF"/>
                <w:sz w:val="21"/>
                <w:szCs w:val="21"/>
                <w:highlight w:val="none"/>
                <w:lang w:val="en-US" w:eastAsia="zh-CN"/>
              </w:rPr>
              <w:t>8</w:t>
            </w:r>
          </w:p>
        </w:tc>
        <w:tc>
          <w:tcPr>
            <w:tcW w:w="2880" w:type="pct"/>
            <w:gridSpan w:val="2"/>
            <w:vAlign w:val="center"/>
          </w:tcPr>
          <w:p w14:paraId="52C1DCC6">
            <w:pPr>
              <w:keepNext w:val="0"/>
              <w:keepLines w:val="0"/>
              <w:pageBreakBefore w:val="0"/>
              <w:kinsoku/>
              <w:wordWrap/>
              <w:overflowPunct/>
              <w:topLinePunct w:val="0"/>
              <w:bidi w:val="0"/>
              <w:snapToGrid/>
              <w:spacing w:line="340" w:lineRule="exact"/>
              <w:jc w:val="left"/>
              <w:rPr>
                <w:rFonts w:hint="eastAsia" w:ascii="宋体" w:hAnsi="宋体" w:eastAsia="宋体" w:cs="宋体"/>
                <w:color w:val="0000FF"/>
                <w:sz w:val="21"/>
                <w:szCs w:val="21"/>
                <w:highlight w:val="none"/>
              </w:rPr>
            </w:pPr>
            <w:r>
              <w:rPr>
                <w:rFonts w:hint="eastAsia" w:ascii="宋体" w:hAnsi="宋体" w:eastAsia="宋体" w:cs="宋体"/>
                <w:b/>
                <w:color w:val="0000FF"/>
                <w:sz w:val="21"/>
                <w:szCs w:val="21"/>
                <w:highlight w:val="none"/>
              </w:rPr>
              <w:t>评审内容</w:t>
            </w:r>
            <w:r>
              <w:rPr>
                <w:rFonts w:hint="eastAsia" w:ascii="宋体" w:hAnsi="宋体" w:eastAsia="宋体" w:cs="宋体"/>
                <w:color w:val="0000FF"/>
                <w:sz w:val="21"/>
                <w:szCs w:val="21"/>
                <w:highlight w:val="none"/>
              </w:rPr>
              <w:t>：</w:t>
            </w:r>
          </w:p>
          <w:p w14:paraId="466B524E">
            <w:pPr>
              <w:keepNext w:val="0"/>
              <w:keepLines w:val="0"/>
              <w:pageBreakBefore w:val="0"/>
              <w:widowControl w:val="0"/>
              <w:numPr>
                <w:ilvl w:val="0"/>
                <w:numId w:val="0"/>
              </w:numPr>
              <w:kinsoku/>
              <w:wordWrap/>
              <w:overflowPunct/>
              <w:topLinePunct w:val="0"/>
              <w:bidi w:val="0"/>
              <w:adjustRightInd/>
              <w:snapToGrid/>
              <w:spacing w:line="340" w:lineRule="exact"/>
              <w:ind w:right="0" w:rightChars="0"/>
              <w:jc w:val="left"/>
              <w:rPr>
                <w:rFonts w:hint="eastAsia" w:ascii="宋体" w:hAnsi="宋体" w:eastAsia="宋体" w:cs="宋体"/>
                <w:color w:val="0000FF"/>
                <w:kern w:val="2"/>
                <w:sz w:val="21"/>
                <w:szCs w:val="21"/>
                <w:highlight w:val="none"/>
                <w:lang w:val="en-US" w:eastAsia="zh-CN" w:bidi="ar-SA"/>
              </w:rPr>
            </w:pPr>
            <w:r>
              <w:rPr>
                <w:rFonts w:hint="eastAsia" w:ascii="宋体" w:hAnsi="宋体" w:eastAsia="宋体" w:cs="宋体"/>
                <w:color w:val="0000FF"/>
                <w:kern w:val="2"/>
                <w:sz w:val="21"/>
                <w:szCs w:val="21"/>
                <w:highlight w:val="none"/>
                <w:lang w:val="en-US" w:eastAsia="zh-CN" w:bidi="ar-SA"/>
              </w:rPr>
              <w:t>1.要求服务场地具备维修设备：空压机、立式打磨机、平板加热器、真空泵、红外线对线仪、砂轮机、热风枪、超声波焊机等，满足得6分；</w:t>
            </w:r>
          </w:p>
          <w:p w14:paraId="4A068AAE">
            <w:pPr>
              <w:keepNext w:val="0"/>
              <w:keepLines w:val="0"/>
              <w:pageBreakBefore w:val="0"/>
              <w:widowControl w:val="0"/>
              <w:numPr>
                <w:ilvl w:val="0"/>
                <w:numId w:val="0"/>
              </w:numPr>
              <w:kinsoku/>
              <w:wordWrap/>
              <w:overflowPunct/>
              <w:topLinePunct w:val="0"/>
              <w:bidi w:val="0"/>
              <w:adjustRightInd/>
              <w:snapToGrid/>
              <w:spacing w:line="340" w:lineRule="exact"/>
              <w:ind w:right="0" w:rightChars="0"/>
              <w:jc w:val="left"/>
              <w:rPr>
                <w:rFonts w:hint="eastAsia" w:ascii="宋体" w:hAnsi="宋体" w:eastAsia="宋体" w:cs="宋体"/>
                <w:color w:val="0000FF"/>
                <w:kern w:val="2"/>
                <w:sz w:val="21"/>
                <w:szCs w:val="21"/>
                <w:highlight w:val="none"/>
                <w:lang w:val="en-US" w:eastAsia="zh-CN" w:bidi="ar-SA"/>
              </w:rPr>
            </w:pPr>
            <w:r>
              <w:rPr>
                <w:rFonts w:hint="eastAsia" w:ascii="宋体" w:hAnsi="宋体" w:eastAsia="宋体" w:cs="宋体"/>
                <w:color w:val="0000FF"/>
                <w:kern w:val="2"/>
                <w:sz w:val="21"/>
                <w:szCs w:val="21"/>
                <w:highlight w:val="none"/>
                <w:lang w:val="en-US" w:eastAsia="zh-CN" w:bidi="ar-SA"/>
              </w:rPr>
              <w:t>2.每提供多一种得0.5分，最高得2分。</w:t>
            </w:r>
          </w:p>
          <w:p w14:paraId="73C863A1">
            <w:pPr>
              <w:keepNext w:val="0"/>
              <w:keepLines w:val="0"/>
              <w:pageBreakBefore w:val="0"/>
              <w:widowControl w:val="0"/>
              <w:kinsoku/>
              <w:wordWrap/>
              <w:overflowPunct/>
              <w:topLinePunct w:val="0"/>
              <w:bidi w:val="0"/>
              <w:adjustRightInd/>
              <w:snapToGrid/>
              <w:spacing w:line="340" w:lineRule="exact"/>
              <w:ind w:left="0" w:leftChars="0" w:right="0" w:rightChars="0"/>
              <w:rPr>
                <w:rFonts w:hint="eastAsia" w:ascii="宋体" w:hAnsi="宋体" w:eastAsia="宋体" w:cs="宋体"/>
                <w:color w:val="0000FF"/>
                <w:szCs w:val="21"/>
                <w:highlight w:val="none"/>
              </w:rPr>
            </w:pPr>
            <w:r>
              <w:rPr>
                <w:rFonts w:hint="eastAsia" w:ascii="宋体" w:hAnsi="宋体" w:eastAsia="宋体" w:cs="宋体"/>
                <w:b/>
                <w:bCs/>
                <w:color w:val="0000FF"/>
                <w:sz w:val="21"/>
                <w:szCs w:val="21"/>
                <w:highlight w:val="none"/>
                <w:lang w:eastAsia="zh-CN"/>
              </w:rPr>
              <w:t>评分依据</w:t>
            </w:r>
            <w:r>
              <w:rPr>
                <w:rFonts w:hint="eastAsia" w:ascii="宋体" w:hAnsi="宋体" w:eastAsia="宋体" w:cs="宋体"/>
                <w:b/>
                <w:bCs/>
                <w:color w:val="0000FF"/>
                <w:sz w:val="21"/>
                <w:szCs w:val="21"/>
                <w:highlight w:val="none"/>
              </w:rPr>
              <w:t>：</w:t>
            </w:r>
            <w:r>
              <w:rPr>
                <w:rFonts w:hint="eastAsia" w:ascii="宋体" w:hAnsi="宋体" w:eastAsia="宋体" w:cs="宋体"/>
                <w:color w:val="0000FF"/>
                <w:sz w:val="21"/>
                <w:szCs w:val="21"/>
                <w:highlight w:val="none"/>
              </w:rPr>
              <w:t>要求</w:t>
            </w:r>
            <w:r>
              <w:rPr>
                <w:rFonts w:hint="eastAsia" w:ascii="宋体" w:hAnsi="宋体" w:eastAsia="宋体" w:cs="宋体"/>
                <w:color w:val="0000FF"/>
                <w:sz w:val="21"/>
                <w:szCs w:val="21"/>
                <w:highlight w:val="none"/>
                <w:lang w:val="en-US" w:eastAsia="zh-CN"/>
              </w:rPr>
              <w:t>同时</w:t>
            </w:r>
            <w:r>
              <w:rPr>
                <w:rFonts w:hint="eastAsia" w:ascii="宋体" w:hAnsi="宋体" w:eastAsia="宋体" w:cs="宋体"/>
                <w:color w:val="0000FF"/>
                <w:sz w:val="21"/>
                <w:szCs w:val="21"/>
                <w:highlight w:val="none"/>
              </w:rPr>
              <w:t>提供</w:t>
            </w:r>
            <w:r>
              <w:rPr>
                <w:rFonts w:hint="eastAsia" w:ascii="Times New Roman" w:hAnsi="Times New Roman" w:cs="Times New Roman"/>
                <w:color w:val="0000FF"/>
                <w:szCs w:val="21"/>
                <w:highlight w:val="none"/>
              </w:rPr>
              <w:t>自有或租赁</w:t>
            </w:r>
            <w:r>
              <w:rPr>
                <w:rFonts w:hint="eastAsia" w:ascii="宋体" w:hAnsi="宋体" w:eastAsia="宋体" w:cs="宋体"/>
                <w:color w:val="0000FF"/>
                <w:sz w:val="21"/>
                <w:szCs w:val="21"/>
                <w:highlight w:val="none"/>
              </w:rPr>
              <w:t>维修设备</w:t>
            </w:r>
            <w:r>
              <w:rPr>
                <w:rFonts w:hint="eastAsia" w:ascii="宋体" w:hAnsi="宋体" w:eastAsia="宋体" w:cs="宋体"/>
                <w:color w:val="0000FF"/>
                <w:sz w:val="21"/>
                <w:szCs w:val="21"/>
                <w:highlight w:val="none"/>
                <w:lang w:val="en-US" w:eastAsia="zh-CN"/>
              </w:rPr>
              <w:t>清单</w:t>
            </w:r>
            <w:r>
              <w:rPr>
                <w:rFonts w:hint="eastAsia" w:ascii="宋体" w:hAnsi="宋体" w:eastAsia="宋体" w:cs="宋体"/>
                <w:color w:val="0000FF"/>
                <w:sz w:val="21"/>
                <w:szCs w:val="21"/>
                <w:highlight w:val="none"/>
              </w:rPr>
              <w:t>明细</w:t>
            </w:r>
            <w:r>
              <w:rPr>
                <w:rFonts w:hint="eastAsia" w:ascii="宋体" w:hAnsi="宋体" w:eastAsia="宋体" w:cs="宋体"/>
                <w:color w:val="0000FF"/>
                <w:sz w:val="21"/>
                <w:szCs w:val="21"/>
                <w:highlight w:val="none"/>
                <w:lang w:eastAsia="zh-CN"/>
              </w:rPr>
              <w:t>、</w:t>
            </w:r>
            <w:r>
              <w:rPr>
                <w:rFonts w:hint="eastAsia" w:ascii="宋体" w:hAnsi="宋体" w:eastAsia="宋体" w:cs="宋体"/>
                <w:color w:val="0000FF"/>
                <w:sz w:val="21"/>
                <w:szCs w:val="21"/>
                <w:highlight w:val="none"/>
                <w:lang w:val="en-US" w:eastAsia="zh-CN"/>
              </w:rPr>
              <w:t>设备购买发票</w:t>
            </w:r>
            <w:r>
              <w:rPr>
                <w:rFonts w:hint="eastAsia" w:ascii="宋体" w:hAnsi="宋体" w:cs="宋体"/>
                <w:color w:val="0000FF"/>
                <w:sz w:val="21"/>
                <w:szCs w:val="21"/>
                <w:highlight w:val="none"/>
                <w:lang w:val="en-US" w:eastAsia="zh-CN"/>
              </w:rPr>
              <w:t>（</w:t>
            </w:r>
            <w:r>
              <w:rPr>
                <w:rFonts w:hint="eastAsia" w:ascii="宋体" w:hAnsi="宋体" w:eastAsia="宋体" w:cs="宋体"/>
                <w:color w:val="0000FF"/>
                <w:sz w:val="21"/>
                <w:szCs w:val="21"/>
                <w:highlight w:val="none"/>
                <w:lang w:val="en-US" w:eastAsia="zh-CN"/>
              </w:rPr>
              <w:t>或购买合同</w:t>
            </w:r>
            <w:r>
              <w:rPr>
                <w:rFonts w:hint="eastAsia" w:ascii="宋体" w:hAnsi="宋体" w:cs="宋体"/>
                <w:color w:val="0000FF"/>
                <w:sz w:val="21"/>
                <w:szCs w:val="21"/>
                <w:highlight w:val="none"/>
                <w:lang w:val="en-US" w:eastAsia="zh-CN"/>
              </w:rPr>
              <w:t>）或租赁合同</w:t>
            </w:r>
            <w:r>
              <w:rPr>
                <w:rFonts w:hint="eastAsia" w:ascii="宋体" w:hAnsi="宋体" w:eastAsia="宋体" w:cs="宋体"/>
                <w:color w:val="0000FF"/>
                <w:sz w:val="21"/>
                <w:szCs w:val="21"/>
                <w:highlight w:val="none"/>
                <w:lang w:val="en-US" w:eastAsia="zh-CN"/>
              </w:rPr>
              <w:t>复印件</w:t>
            </w:r>
            <w:r>
              <w:rPr>
                <w:rFonts w:hint="eastAsia" w:ascii="宋体" w:hAnsi="宋体" w:eastAsia="宋体" w:cs="宋体"/>
                <w:color w:val="0000FF"/>
                <w:sz w:val="21"/>
                <w:szCs w:val="21"/>
                <w:highlight w:val="none"/>
              </w:rPr>
              <w:t>作为得分依据</w:t>
            </w:r>
            <w:r>
              <w:rPr>
                <w:rFonts w:hint="eastAsia" w:ascii="宋体" w:hAnsi="宋体" w:eastAsia="宋体" w:cs="宋体"/>
                <w:color w:val="0000FF"/>
                <w:sz w:val="21"/>
                <w:szCs w:val="21"/>
                <w:highlight w:val="none"/>
                <w:lang w:eastAsia="zh-CN"/>
              </w:rPr>
              <w:t>，</w:t>
            </w:r>
            <w:r>
              <w:rPr>
                <w:rFonts w:hint="eastAsia" w:ascii="宋体" w:hAnsi="宋体" w:eastAsia="宋体" w:cs="宋体"/>
                <w:color w:val="0000FF"/>
                <w:sz w:val="21"/>
                <w:szCs w:val="21"/>
                <w:highlight w:val="none"/>
              </w:rPr>
              <w:t>原件备查，评分中出现无证明资料或专家无法凭所提供资料判断是否得分的情况，一律作不得分处理。</w:t>
            </w:r>
          </w:p>
        </w:tc>
      </w:tr>
      <w:tr w14:paraId="4D89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Merge w:val="continue"/>
            <w:vAlign w:val="center"/>
          </w:tcPr>
          <w:p w14:paraId="52096F9F">
            <w:pPr>
              <w:keepNext w:val="0"/>
              <w:keepLines w:val="0"/>
              <w:pageBreakBefore w:val="0"/>
              <w:kinsoku/>
              <w:wordWrap/>
              <w:overflowPunct/>
              <w:topLinePunct w:val="0"/>
              <w:bidi w:val="0"/>
              <w:snapToGrid/>
              <w:spacing w:line="340" w:lineRule="exact"/>
              <w:jc w:val="center"/>
              <w:outlineLvl w:val="2"/>
              <w:rPr>
                <w:rFonts w:ascii="宋体" w:hAnsi="宋体" w:cs="Times New Roman"/>
                <w:color w:val="0000FF"/>
                <w:szCs w:val="21"/>
                <w:highlight w:val="none"/>
              </w:rPr>
            </w:pPr>
          </w:p>
        </w:tc>
        <w:tc>
          <w:tcPr>
            <w:tcW w:w="404" w:type="pct"/>
            <w:vAlign w:val="center"/>
          </w:tcPr>
          <w:p w14:paraId="290454E6">
            <w:pPr>
              <w:keepNext w:val="0"/>
              <w:keepLines w:val="0"/>
              <w:pageBreakBefore w:val="0"/>
              <w:kinsoku/>
              <w:wordWrap/>
              <w:overflowPunct/>
              <w:topLinePunct w:val="0"/>
              <w:bidi w:val="0"/>
              <w:snapToGrid/>
              <w:spacing w:line="340" w:lineRule="exact"/>
              <w:jc w:val="center"/>
              <w:rPr>
                <w:rFonts w:hint="default" w:ascii="宋体" w:hAnsi="宋体" w:eastAsia="宋体" w:cs="Times New Roman"/>
                <w:color w:val="0000FF"/>
                <w:szCs w:val="21"/>
                <w:highlight w:val="none"/>
                <w:lang w:val="en-US" w:eastAsia="zh-CN"/>
              </w:rPr>
            </w:pPr>
            <w:r>
              <w:rPr>
                <w:rFonts w:hint="eastAsia" w:ascii="宋体" w:hAnsi="宋体" w:cs="Times New Roman"/>
                <w:color w:val="0000FF"/>
                <w:szCs w:val="21"/>
                <w:highlight w:val="none"/>
                <w:lang w:val="en-US" w:eastAsia="zh-CN"/>
              </w:rPr>
              <w:t>9</w:t>
            </w:r>
          </w:p>
        </w:tc>
        <w:tc>
          <w:tcPr>
            <w:tcW w:w="901" w:type="pct"/>
            <w:vAlign w:val="center"/>
          </w:tcPr>
          <w:p w14:paraId="134C711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零部件储备</w:t>
            </w:r>
          </w:p>
        </w:tc>
        <w:tc>
          <w:tcPr>
            <w:tcW w:w="429" w:type="pct"/>
            <w:vAlign w:val="center"/>
          </w:tcPr>
          <w:p w14:paraId="4D99D96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宋体" w:hAnsi="宋体" w:eastAsia="宋体" w:cs="宋体"/>
                <w:color w:val="0000FF"/>
                <w:szCs w:val="21"/>
                <w:highlight w:val="none"/>
              </w:rPr>
            </w:pPr>
            <w:r>
              <w:rPr>
                <w:rFonts w:hint="eastAsia" w:ascii="宋体" w:hAnsi="宋体" w:eastAsia="宋体" w:cs="宋体"/>
                <w:color w:val="0000FF"/>
                <w:szCs w:val="21"/>
                <w:highlight w:val="none"/>
                <w:lang w:val="en-US" w:eastAsia="zh-CN"/>
              </w:rPr>
              <w:t>6</w:t>
            </w:r>
          </w:p>
        </w:tc>
        <w:tc>
          <w:tcPr>
            <w:tcW w:w="2880" w:type="pct"/>
            <w:gridSpan w:val="2"/>
            <w:vAlign w:val="center"/>
          </w:tcPr>
          <w:p w14:paraId="07CB6D7B">
            <w:pPr>
              <w:keepNext w:val="0"/>
              <w:keepLines w:val="0"/>
              <w:pageBreakBefore w:val="0"/>
              <w:kinsoku/>
              <w:wordWrap/>
              <w:overflowPunct/>
              <w:topLinePunct w:val="0"/>
              <w:bidi w:val="0"/>
              <w:snapToGrid/>
              <w:spacing w:line="340" w:lineRule="exact"/>
              <w:jc w:val="left"/>
              <w:rPr>
                <w:rFonts w:hint="eastAsia" w:ascii="宋体" w:hAnsi="宋体" w:eastAsia="宋体" w:cs="宋体"/>
                <w:color w:val="0000FF"/>
                <w:sz w:val="21"/>
                <w:szCs w:val="21"/>
                <w:highlight w:val="none"/>
              </w:rPr>
            </w:pPr>
            <w:r>
              <w:rPr>
                <w:rFonts w:hint="eastAsia" w:ascii="宋体" w:hAnsi="宋体" w:eastAsia="宋体" w:cs="宋体"/>
                <w:b/>
                <w:color w:val="0000FF"/>
                <w:sz w:val="21"/>
                <w:szCs w:val="21"/>
                <w:highlight w:val="none"/>
              </w:rPr>
              <w:t>评审内容</w:t>
            </w:r>
            <w:r>
              <w:rPr>
                <w:rFonts w:hint="eastAsia" w:ascii="宋体" w:hAnsi="宋体" w:eastAsia="宋体" w:cs="宋体"/>
                <w:color w:val="0000FF"/>
                <w:sz w:val="21"/>
                <w:szCs w:val="21"/>
                <w:highlight w:val="none"/>
              </w:rPr>
              <w:t>：</w:t>
            </w:r>
          </w:p>
          <w:p w14:paraId="4641922F">
            <w:pPr>
              <w:keepNext w:val="0"/>
              <w:keepLines w:val="0"/>
              <w:pageBreakBefore w:val="0"/>
              <w:widowControl w:val="0"/>
              <w:kinsoku/>
              <w:wordWrap/>
              <w:overflowPunct/>
              <w:topLinePunct w:val="0"/>
              <w:bidi w:val="0"/>
              <w:adjustRightInd/>
              <w:snapToGrid/>
              <w:spacing w:line="340" w:lineRule="exact"/>
              <w:ind w:left="0" w:leftChars="0" w:right="0" w:rightChars="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w:t>
            </w:r>
            <w:r>
              <w:rPr>
                <w:rFonts w:hint="eastAsia" w:ascii="宋体" w:hAnsi="宋体" w:eastAsia="宋体" w:cs="宋体"/>
                <w:color w:val="0000FF"/>
                <w:szCs w:val="21"/>
                <w:highlight w:val="none"/>
              </w:rPr>
              <w:t>零部件储备存量</w:t>
            </w:r>
            <w:r>
              <w:rPr>
                <w:rFonts w:hint="eastAsia" w:ascii="宋体" w:hAnsi="宋体" w:eastAsia="宋体" w:cs="宋体"/>
                <w:color w:val="0000FF"/>
                <w:sz w:val="21"/>
                <w:szCs w:val="21"/>
                <w:highlight w:val="none"/>
              </w:rPr>
              <w:t>≥</w:t>
            </w:r>
            <w:r>
              <w:rPr>
                <w:rFonts w:hint="eastAsia" w:ascii="宋体" w:hAnsi="宋体" w:eastAsia="宋体" w:cs="宋体"/>
                <w:color w:val="0000FF"/>
                <w:sz w:val="21"/>
                <w:szCs w:val="21"/>
                <w:highlight w:val="none"/>
                <w:lang w:val="en-US" w:eastAsia="zh-CN"/>
              </w:rPr>
              <w:t>800件</w:t>
            </w:r>
            <w:r>
              <w:rPr>
                <w:rFonts w:hint="eastAsia" w:ascii="宋体" w:hAnsi="宋体" w:eastAsia="宋体" w:cs="宋体"/>
                <w:color w:val="0000FF"/>
                <w:sz w:val="21"/>
                <w:szCs w:val="21"/>
                <w:highlight w:val="none"/>
              </w:rPr>
              <w:t>,得</w:t>
            </w:r>
            <w:r>
              <w:rPr>
                <w:rFonts w:hint="eastAsia" w:ascii="宋体" w:hAnsi="宋体" w:eastAsia="宋体" w:cs="宋体"/>
                <w:color w:val="0000FF"/>
                <w:sz w:val="21"/>
                <w:szCs w:val="21"/>
                <w:highlight w:val="none"/>
                <w:lang w:val="en-US" w:eastAsia="zh-CN"/>
              </w:rPr>
              <w:t>6分</w:t>
            </w:r>
            <w:r>
              <w:rPr>
                <w:rFonts w:hint="eastAsia" w:ascii="宋体" w:hAnsi="宋体" w:eastAsia="宋体" w:cs="宋体"/>
                <w:color w:val="0000FF"/>
                <w:sz w:val="21"/>
                <w:szCs w:val="21"/>
                <w:highlight w:val="none"/>
              </w:rPr>
              <w:t>；</w:t>
            </w:r>
          </w:p>
          <w:p w14:paraId="1498E907">
            <w:pPr>
              <w:keepNext w:val="0"/>
              <w:keepLines w:val="0"/>
              <w:pageBreakBefore w:val="0"/>
              <w:widowControl w:val="0"/>
              <w:kinsoku/>
              <w:wordWrap/>
              <w:overflowPunct/>
              <w:topLinePunct w:val="0"/>
              <w:bidi w:val="0"/>
              <w:adjustRightInd/>
              <w:snapToGrid/>
              <w:spacing w:line="340" w:lineRule="exact"/>
              <w:ind w:left="0" w:leftChars="0" w:right="0" w:rightChars="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w:t>
            </w:r>
            <w:r>
              <w:rPr>
                <w:rFonts w:hint="eastAsia" w:ascii="宋体" w:hAnsi="宋体" w:cs="宋体"/>
                <w:color w:val="0000FF"/>
                <w:sz w:val="21"/>
                <w:szCs w:val="21"/>
                <w:highlight w:val="none"/>
                <w:lang w:val="en-US" w:eastAsia="zh-CN"/>
              </w:rPr>
              <w:t>600件≤</w:t>
            </w:r>
            <w:r>
              <w:rPr>
                <w:rFonts w:hint="eastAsia" w:ascii="宋体" w:hAnsi="宋体" w:eastAsia="宋体" w:cs="宋体"/>
                <w:color w:val="0000FF"/>
                <w:szCs w:val="21"/>
                <w:highlight w:val="none"/>
              </w:rPr>
              <w:t>零部件储备存量</w:t>
            </w:r>
            <w:r>
              <w:rPr>
                <w:rFonts w:hint="eastAsia" w:ascii="宋体" w:hAnsi="宋体" w:cs="宋体"/>
                <w:color w:val="0000FF"/>
                <w:sz w:val="21"/>
                <w:szCs w:val="21"/>
                <w:highlight w:val="none"/>
                <w:lang w:val="en-US" w:eastAsia="zh-CN"/>
              </w:rPr>
              <w:t>＜8</w:t>
            </w:r>
            <w:r>
              <w:rPr>
                <w:rFonts w:hint="eastAsia" w:ascii="宋体" w:hAnsi="宋体" w:eastAsia="宋体" w:cs="宋体"/>
                <w:color w:val="0000FF"/>
                <w:sz w:val="21"/>
                <w:szCs w:val="21"/>
                <w:highlight w:val="none"/>
                <w:lang w:val="en-US" w:eastAsia="zh-CN"/>
              </w:rPr>
              <w:t>00件</w:t>
            </w:r>
            <w:r>
              <w:rPr>
                <w:rFonts w:hint="eastAsia" w:ascii="宋体" w:hAnsi="宋体" w:eastAsia="宋体" w:cs="宋体"/>
                <w:color w:val="0000FF"/>
                <w:sz w:val="21"/>
                <w:szCs w:val="21"/>
                <w:highlight w:val="none"/>
              </w:rPr>
              <w:t>,得</w:t>
            </w:r>
            <w:r>
              <w:rPr>
                <w:rFonts w:hint="eastAsia" w:ascii="宋体" w:hAnsi="宋体" w:eastAsia="宋体" w:cs="宋体"/>
                <w:color w:val="0000FF"/>
                <w:sz w:val="21"/>
                <w:szCs w:val="21"/>
                <w:highlight w:val="none"/>
                <w:lang w:val="en-US" w:eastAsia="zh-CN"/>
              </w:rPr>
              <w:t>4分</w:t>
            </w:r>
            <w:r>
              <w:rPr>
                <w:rFonts w:hint="eastAsia" w:ascii="宋体" w:hAnsi="宋体" w:eastAsia="宋体" w:cs="宋体"/>
                <w:color w:val="0000FF"/>
                <w:sz w:val="21"/>
                <w:szCs w:val="21"/>
                <w:highlight w:val="none"/>
              </w:rPr>
              <w:t>；</w:t>
            </w:r>
          </w:p>
          <w:p w14:paraId="33D303D1">
            <w:pPr>
              <w:keepNext w:val="0"/>
              <w:keepLines w:val="0"/>
              <w:pageBreakBefore w:val="0"/>
              <w:widowControl w:val="0"/>
              <w:kinsoku/>
              <w:wordWrap/>
              <w:overflowPunct/>
              <w:topLinePunct w:val="0"/>
              <w:bidi w:val="0"/>
              <w:adjustRightInd/>
              <w:snapToGrid/>
              <w:spacing w:line="340" w:lineRule="exact"/>
              <w:ind w:left="0" w:leftChars="0" w:right="0" w:rightChars="0"/>
              <w:rPr>
                <w:rFonts w:hint="eastAsia" w:ascii="宋体" w:hAnsi="宋体" w:cs="宋体"/>
                <w:color w:val="0000FF"/>
                <w:sz w:val="21"/>
                <w:szCs w:val="21"/>
                <w:highlight w:val="none"/>
                <w:lang w:val="en-US" w:eastAsia="zh-CN"/>
              </w:rPr>
            </w:pPr>
            <w:r>
              <w:rPr>
                <w:rFonts w:hint="eastAsia" w:ascii="宋体" w:hAnsi="宋体" w:eastAsia="宋体" w:cs="宋体"/>
                <w:color w:val="0000FF"/>
                <w:sz w:val="21"/>
                <w:szCs w:val="21"/>
                <w:highlight w:val="none"/>
              </w:rPr>
              <w:t>3.</w:t>
            </w:r>
            <w:r>
              <w:rPr>
                <w:rFonts w:hint="eastAsia" w:ascii="宋体" w:hAnsi="宋体" w:cs="宋体"/>
                <w:color w:val="0000FF"/>
                <w:sz w:val="21"/>
                <w:szCs w:val="21"/>
                <w:highlight w:val="none"/>
                <w:lang w:val="en-US" w:eastAsia="zh-CN"/>
              </w:rPr>
              <w:t>400件≤</w:t>
            </w:r>
            <w:r>
              <w:rPr>
                <w:rFonts w:hint="eastAsia" w:ascii="宋体" w:hAnsi="宋体" w:eastAsia="宋体" w:cs="宋体"/>
                <w:color w:val="0000FF"/>
                <w:szCs w:val="21"/>
                <w:highlight w:val="none"/>
              </w:rPr>
              <w:t>零部件储备存量</w:t>
            </w:r>
            <w:r>
              <w:rPr>
                <w:rFonts w:hint="eastAsia" w:ascii="宋体" w:hAnsi="宋体" w:cs="宋体"/>
                <w:color w:val="0000FF"/>
                <w:sz w:val="21"/>
                <w:szCs w:val="21"/>
                <w:highlight w:val="none"/>
                <w:lang w:val="en-US" w:eastAsia="zh-CN"/>
              </w:rPr>
              <w:t>＜6</w:t>
            </w:r>
            <w:r>
              <w:rPr>
                <w:rFonts w:hint="eastAsia" w:ascii="宋体" w:hAnsi="宋体" w:eastAsia="宋体" w:cs="宋体"/>
                <w:color w:val="0000FF"/>
                <w:sz w:val="21"/>
                <w:szCs w:val="21"/>
                <w:highlight w:val="none"/>
                <w:lang w:val="en-US" w:eastAsia="zh-CN"/>
              </w:rPr>
              <w:t>00</w:t>
            </w:r>
            <w:r>
              <w:rPr>
                <w:rFonts w:hint="eastAsia" w:ascii="宋体" w:hAnsi="宋体" w:eastAsia="宋体" w:cs="宋体"/>
                <w:color w:val="0000FF"/>
                <w:sz w:val="21"/>
                <w:szCs w:val="21"/>
                <w:highlight w:val="none"/>
                <w:lang w:eastAsia="zh-CN"/>
              </w:rPr>
              <w:t>件</w:t>
            </w:r>
            <w:r>
              <w:rPr>
                <w:rFonts w:hint="eastAsia" w:ascii="宋体" w:hAnsi="宋体" w:eastAsia="宋体" w:cs="宋体"/>
                <w:color w:val="0000FF"/>
                <w:sz w:val="21"/>
                <w:szCs w:val="21"/>
                <w:highlight w:val="none"/>
              </w:rPr>
              <w:t>,得</w:t>
            </w:r>
            <w:r>
              <w:rPr>
                <w:rFonts w:hint="eastAsia" w:ascii="宋体" w:hAnsi="宋体" w:eastAsia="宋体" w:cs="宋体"/>
                <w:color w:val="0000FF"/>
                <w:sz w:val="21"/>
                <w:szCs w:val="21"/>
                <w:highlight w:val="none"/>
                <w:lang w:val="en-US" w:eastAsia="zh-CN"/>
              </w:rPr>
              <w:t>2分</w:t>
            </w:r>
            <w:r>
              <w:rPr>
                <w:rFonts w:hint="eastAsia" w:ascii="宋体" w:hAnsi="宋体" w:cs="宋体"/>
                <w:color w:val="0000FF"/>
                <w:sz w:val="21"/>
                <w:szCs w:val="21"/>
                <w:highlight w:val="none"/>
                <w:lang w:val="en-US" w:eastAsia="zh-CN"/>
              </w:rPr>
              <w:t>；</w:t>
            </w:r>
          </w:p>
          <w:p w14:paraId="2D574B16">
            <w:pPr>
              <w:keepNext w:val="0"/>
              <w:keepLines w:val="0"/>
              <w:pageBreakBefore w:val="0"/>
              <w:widowControl w:val="0"/>
              <w:kinsoku/>
              <w:wordWrap/>
              <w:overflowPunct/>
              <w:topLinePunct w:val="0"/>
              <w:bidi w:val="0"/>
              <w:adjustRightInd/>
              <w:snapToGrid/>
              <w:spacing w:line="340" w:lineRule="exact"/>
              <w:ind w:left="0" w:leftChars="0" w:right="0" w:rightChars="0"/>
              <w:rPr>
                <w:rFonts w:hint="eastAsia" w:ascii="宋体" w:hAnsi="宋体" w:eastAsia="宋体" w:cs="宋体"/>
                <w:color w:val="0000FF"/>
                <w:sz w:val="21"/>
                <w:szCs w:val="21"/>
                <w:highlight w:val="none"/>
                <w:lang w:eastAsia="zh-CN"/>
              </w:rPr>
            </w:pPr>
            <w:r>
              <w:rPr>
                <w:rFonts w:hint="eastAsia" w:ascii="宋体" w:hAnsi="宋体" w:cs="宋体"/>
                <w:color w:val="0000FF"/>
                <w:sz w:val="21"/>
                <w:szCs w:val="21"/>
                <w:highlight w:val="none"/>
                <w:lang w:val="en-US" w:eastAsia="zh-CN"/>
              </w:rPr>
              <w:t>4.其他情况不得分</w:t>
            </w:r>
            <w:r>
              <w:rPr>
                <w:rFonts w:hint="eastAsia" w:ascii="宋体" w:hAnsi="宋体" w:eastAsia="宋体" w:cs="宋体"/>
                <w:color w:val="0000FF"/>
                <w:sz w:val="21"/>
                <w:szCs w:val="21"/>
                <w:highlight w:val="none"/>
                <w:lang w:val="en-US" w:eastAsia="zh-CN"/>
              </w:rPr>
              <w:t>。</w:t>
            </w:r>
          </w:p>
          <w:p w14:paraId="2CA21C3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textAlignment w:val="auto"/>
              <w:rPr>
                <w:rFonts w:hint="eastAsia" w:ascii="宋体" w:hAnsi="宋体" w:eastAsia="宋体" w:cs="宋体"/>
                <w:color w:val="0000FF"/>
                <w:szCs w:val="21"/>
                <w:highlight w:val="none"/>
              </w:rPr>
            </w:pPr>
            <w:r>
              <w:rPr>
                <w:rFonts w:hint="eastAsia" w:ascii="宋体" w:hAnsi="宋体" w:eastAsia="宋体" w:cs="宋体"/>
                <w:b/>
                <w:bCs/>
                <w:color w:val="0000FF"/>
                <w:sz w:val="21"/>
                <w:szCs w:val="21"/>
                <w:highlight w:val="none"/>
                <w:lang w:eastAsia="zh-CN"/>
              </w:rPr>
              <w:t>评分依据</w:t>
            </w:r>
            <w:r>
              <w:rPr>
                <w:rFonts w:hint="eastAsia" w:ascii="宋体" w:hAnsi="宋体" w:eastAsia="宋体" w:cs="宋体"/>
                <w:b/>
                <w:bCs/>
                <w:color w:val="0000FF"/>
                <w:sz w:val="21"/>
                <w:szCs w:val="21"/>
                <w:highlight w:val="none"/>
              </w:rPr>
              <w:t>：</w:t>
            </w:r>
            <w:r>
              <w:rPr>
                <w:rFonts w:hint="eastAsia" w:ascii="宋体" w:hAnsi="宋体" w:eastAsia="宋体" w:cs="宋体"/>
                <w:color w:val="0000FF"/>
                <w:sz w:val="21"/>
                <w:szCs w:val="21"/>
                <w:highlight w:val="none"/>
              </w:rPr>
              <w:t>投标人</w:t>
            </w:r>
            <w:r>
              <w:rPr>
                <w:rFonts w:hint="eastAsia" w:ascii="宋体" w:hAnsi="宋体" w:eastAsia="宋体" w:cs="宋体"/>
                <w:color w:val="0000FF"/>
                <w:szCs w:val="21"/>
                <w:highlight w:val="none"/>
              </w:rPr>
              <w:t>要求提供零部件库存清单及承诺函加盖投标人公章（格式自拟）作为得分依据，</w:t>
            </w:r>
            <w:r>
              <w:rPr>
                <w:rFonts w:hint="eastAsia" w:ascii="宋体" w:hAnsi="宋体" w:eastAsia="宋体" w:cs="宋体"/>
                <w:color w:val="0000FF"/>
                <w:sz w:val="21"/>
                <w:szCs w:val="21"/>
                <w:highlight w:val="none"/>
                <w:u w:val="none"/>
                <w:lang w:eastAsia="zh-CN"/>
              </w:rPr>
              <w:t>（</w:t>
            </w:r>
            <w:r>
              <w:rPr>
                <w:rFonts w:hint="eastAsia" w:ascii="宋体" w:hAnsi="宋体" w:eastAsia="宋体" w:cs="宋体"/>
                <w:color w:val="0000FF"/>
                <w:sz w:val="21"/>
                <w:szCs w:val="21"/>
                <w:highlight w:val="none"/>
                <w:u w:val="none"/>
                <w:lang w:val="en-US" w:eastAsia="zh-CN"/>
              </w:rPr>
              <w:t>需体现以上评审信息</w:t>
            </w:r>
            <w:r>
              <w:rPr>
                <w:rFonts w:hint="eastAsia" w:ascii="宋体" w:hAnsi="宋体" w:eastAsia="宋体" w:cs="宋体"/>
                <w:color w:val="0000FF"/>
                <w:sz w:val="21"/>
                <w:szCs w:val="21"/>
                <w:highlight w:val="none"/>
                <w:u w:val="none"/>
                <w:lang w:eastAsia="zh-CN"/>
              </w:rPr>
              <w:t>）</w:t>
            </w:r>
            <w:r>
              <w:rPr>
                <w:rFonts w:hint="eastAsia" w:ascii="宋体" w:hAnsi="宋体" w:eastAsia="宋体" w:cs="宋体"/>
                <w:color w:val="0000FF"/>
                <w:sz w:val="21"/>
                <w:szCs w:val="21"/>
                <w:highlight w:val="none"/>
                <w:u w:val="none"/>
              </w:rPr>
              <w:t>，评分中出现无证明资料或专家无法凭所提供资料判断是否得分的情况，一律作不得分处理。</w:t>
            </w:r>
          </w:p>
        </w:tc>
      </w:tr>
      <w:tr w14:paraId="233C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Align w:val="center"/>
          </w:tcPr>
          <w:p w14:paraId="39E036D6">
            <w:pPr>
              <w:keepNext w:val="0"/>
              <w:keepLines w:val="0"/>
              <w:pageBreakBefore w:val="0"/>
              <w:kinsoku/>
              <w:wordWrap/>
              <w:overflowPunct/>
              <w:topLinePunct w:val="0"/>
              <w:bidi w:val="0"/>
              <w:snapToGrid/>
              <w:spacing w:line="340" w:lineRule="exact"/>
              <w:jc w:val="center"/>
              <w:rPr>
                <w:rFonts w:hint="eastAsia" w:ascii="宋体" w:hAnsi="宋体" w:eastAsia="宋体" w:cs="Times New Roman"/>
                <w:b/>
                <w:color w:val="0000FF"/>
                <w:szCs w:val="21"/>
                <w:highlight w:val="none"/>
                <w:lang w:eastAsia="zh-CN"/>
              </w:rPr>
            </w:pPr>
            <w:r>
              <w:rPr>
                <w:rFonts w:hint="eastAsia" w:ascii="宋体" w:hAnsi="宋体" w:cs="Times New Roman"/>
                <w:b/>
                <w:color w:val="0000FF"/>
                <w:szCs w:val="21"/>
                <w:highlight w:val="none"/>
                <w:lang w:val="en-US" w:eastAsia="zh-CN"/>
              </w:rPr>
              <w:t>3</w:t>
            </w:r>
          </w:p>
        </w:tc>
        <w:tc>
          <w:tcPr>
            <w:tcW w:w="1735" w:type="pct"/>
            <w:gridSpan w:val="3"/>
            <w:vAlign w:val="center"/>
          </w:tcPr>
          <w:p w14:paraId="2B0B9019">
            <w:pPr>
              <w:keepNext w:val="0"/>
              <w:keepLines w:val="0"/>
              <w:pageBreakBefore w:val="0"/>
              <w:kinsoku/>
              <w:wordWrap/>
              <w:overflowPunct/>
              <w:topLinePunct w:val="0"/>
              <w:bidi w:val="0"/>
              <w:snapToGrid/>
              <w:spacing w:line="340" w:lineRule="exact"/>
              <w:jc w:val="center"/>
              <w:rPr>
                <w:rFonts w:ascii="宋体" w:hAnsi="宋体" w:cs="Times New Roman"/>
                <w:b/>
                <w:color w:val="0000FF"/>
                <w:szCs w:val="21"/>
                <w:highlight w:val="none"/>
              </w:rPr>
            </w:pPr>
            <w:r>
              <w:rPr>
                <w:rFonts w:hint="eastAsia" w:ascii="宋体" w:hAnsi="宋体" w:cs="Times New Roman"/>
                <w:b/>
                <w:color w:val="0000FF"/>
                <w:szCs w:val="21"/>
                <w:highlight w:val="none"/>
              </w:rPr>
              <w:t>诚信情况</w:t>
            </w:r>
          </w:p>
        </w:tc>
        <w:tc>
          <w:tcPr>
            <w:tcW w:w="2880" w:type="pct"/>
            <w:gridSpan w:val="2"/>
            <w:vAlign w:val="center"/>
          </w:tcPr>
          <w:p w14:paraId="3F9B050C">
            <w:pPr>
              <w:keepNext w:val="0"/>
              <w:keepLines w:val="0"/>
              <w:pageBreakBefore w:val="0"/>
              <w:widowControl w:val="0"/>
              <w:numPr>
                <w:ilvl w:val="12"/>
                <w:numId w:val="0"/>
              </w:numPr>
              <w:pBdr>
                <w:bottom w:val="none" w:color="auto" w:sz="0" w:space="0"/>
              </w:pBdr>
              <w:kinsoku/>
              <w:wordWrap/>
              <w:overflowPunct/>
              <w:topLinePunct w:val="0"/>
              <w:autoSpaceDE w:val="0"/>
              <w:autoSpaceDN w:val="0"/>
              <w:bidi w:val="0"/>
              <w:adjustRightInd w:val="0"/>
              <w:snapToGrid/>
              <w:spacing w:line="340" w:lineRule="exact"/>
              <w:jc w:val="center"/>
              <w:textAlignment w:val="baseline"/>
              <w:rPr>
                <w:rFonts w:ascii="宋体" w:hAnsi="宋体" w:eastAsia="宋体" w:cs="Times New Roman"/>
                <w:b/>
                <w:color w:val="0000FF"/>
                <w:kern w:val="0"/>
                <w:sz w:val="21"/>
                <w:szCs w:val="21"/>
                <w:highlight w:val="none"/>
                <w:lang w:val="en-US" w:eastAsia="zh-CN" w:bidi="ar-SA"/>
              </w:rPr>
            </w:pPr>
            <w:r>
              <w:rPr>
                <w:rFonts w:hint="eastAsia" w:ascii="宋体" w:hAnsi="宋体" w:eastAsia="宋体" w:cs="Times New Roman"/>
                <w:b/>
                <w:color w:val="0000FF"/>
                <w:kern w:val="0"/>
                <w:sz w:val="21"/>
                <w:szCs w:val="21"/>
                <w:highlight w:val="none"/>
                <w:lang w:val="en-US" w:eastAsia="zh-CN" w:bidi="ar-SA"/>
              </w:rPr>
              <w:t>5</w:t>
            </w:r>
          </w:p>
        </w:tc>
      </w:tr>
      <w:tr w14:paraId="000E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Merge w:val="restart"/>
            <w:vAlign w:val="center"/>
          </w:tcPr>
          <w:p w14:paraId="18AB1F8F">
            <w:pPr>
              <w:keepNext w:val="0"/>
              <w:keepLines w:val="0"/>
              <w:pageBreakBefore w:val="0"/>
              <w:kinsoku/>
              <w:wordWrap/>
              <w:overflowPunct/>
              <w:topLinePunct w:val="0"/>
              <w:bidi w:val="0"/>
              <w:snapToGrid/>
              <w:spacing w:line="340" w:lineRule="exact"/>
              <w:jc w:val="center"/>
              <w:rPr>
                <w:rFonts w:ascii="宋体" w:hAnsi="宋体" w:cs="Times New Roman"/>
                <w:b/>
                <w:color w:val="0000FF"/>
                <w:szCs w:val="21"/>
                <w:highlight w:val="none"/>
              </w:rPr>
            </w:pPr>
          </w:p>
        </w:tc>
        <w:tc>
          <w:tcPr>
            <w:tcW w:w="404" w:type="pct"/>
            <w:vAlign w:val="center"/>
          </w:tcPr>
          <w:p w14:paraId="6E84818F">
            <w:pPr>
              <w:keepNext w:val="0"/>
              <w:keepLines w:val="0"/>
              <w:pageBreakBefore w:val="0"/>
              <w:kinsoku/>
              <w:wordWrap/>
              <w:overflowPunct/>
              <w:topLinePunct w:val="0"/>
              <w:bidi w:val="0"/>
              <w:snapToGrid/>
              <w:spacing w:line="340" w:lineRule="exact"/>
              <w:jc w:val="center"/>
              <w:rPr>
                <w:rFonts w:ascii="宋体" w:hAnsi="宋体" w:cs="Times New Roman"/>
                <w:b/>
                <w:color w:val="0000FF"/>
                <w:szCs w:val="21"/>
                <w:highlight w:val="none"/>
              </w:rPr>
            </w:pPr>
            <w:r>
              <w:rPr>
                <w:rFonts w:hint="eastAsia" w:ascii="宋体" w:hAnsi="宋体" w:cs="Times New Roman"/>
                <w:b/>
                <w:color w:val="0000FF"/>
                <w:szCs w:val="21"/>
                <w:highlight w:val="none"/>
              </w:rPr>
              <w:t>序号</w:t>
            </w:r>
          </w:p>
        </w:tc>
        <w:tc>
          <w:tcPr>
            <w:tcW w:w="901" w:type="pct"/>
            <w:vAlign w:val="center"/>
          </w:tcPr>
          <w:p w14:paraId="48FEB065">
            <w:pPr>
              <w:keepNext w:val="0"/>
              <w:keepLines w:val="0"/>
              <w:pageBreakBefore w:val="0"/>
              <w:kinsoku/>
              <w:wordWrap/>
              <w:overflowPunct/>
              <w:topLinePunct w:val="0"/>
              <w:bidi w:val="0"/>
              <w:snapToGrid/>
              <w:spacing w:line="340" w:lineRule="exact"/>
              <w:jc w:val="center"/>
              <w:rPr>
                <w:rFonts w:ascii="宋体" w:hAnsi="宋体" w:cs="Times New Roman"/>
                <w:b/>
                <w:color w:val="0000FF"/>
                <w:szCs w:val="21"/>
                <w:highlight w:val="none"/>
              </w:rPr>
            </w:pPr>
            <w:r>
              <w:rPr>
                <w:rFonts w:hint="eastAsia" w:ascii="宋体" w:hAnsi="宋体" w:cs="Times New Roman"/>
                <w:b/>
                <w:color w:val="0000FF"/>
                <w:szCs w:val="21"/>
                <w:highlight w:val="none"/>
              </w:rPr>
              <w:t>评分因素</w:t>
            </w:r>
          </w:p>
        </w:tc>
        <w:tc>
          <w:tcPr>
            <w:tcW w:w="429" w:type="pct"/>
            <w:vAlign w:val="center"/>
          </w:tcPr>
          <w:p w14:paraId="0CB3CDBC">
            <w:pPr>
              <w:keepNext w:val="0"/>
              <w:keepLines w:val="0"/>
              <w:pageBreakBefore w:val="0"/>
              <w:kinsoku/>
              <w:wordWrap/>
              <w:overflowPunct/>
              <w:topLinePunct w:val="0"/>
              <w:bidi w:val="0"/>
              <w:snapToGrid/>
              <w:spacing w:line="340" w:lineRule="exact"/>
              <w:jc w:val="center"/>
              <w:rPr>
                <w:rFonts w:ascii="宋体" w:hAnsi="宋体" w:cs="Times New Roman"/>
                <w:b/>
                <w:color w:val="0000FF"/>
                <w:szCs w:val="21"/>
                <w:highlight w:val="none"/>
              </w:rPr>
            </w:pPr>
            <w:r>
              <w:rPr>
                <w:rFonts w:hint="eastAsia" w:ascii="宋体" w:hAnsi="宋体" w:cs="Times New Roman"/>
                <w:b/>
                <w:color w:val="0000FF"/>
                <w:szCs w:val="21"/>
                <w:highlight w:val="none"/>
              </w:rPr>
              <w:t>权重</w:t>
            </w:r>
          </w:p>
        </w:tc>
        <w:tc>
          <w:tcPr>
            <w:tcW w:w="2880" w:type="pct"/>
            <w:gridSpan w:val="2"/>
            <w:vAlign w:val="center"/>
          </w:tcPr>
          <w:p w14:paraId="0E0A6811">
            <w:pPr>
              <w:keepNext w:val="0"/>
              <w:keepLines w:val="0"/>
              <w:pageBreakBefore w:val="0"/>
              <w:kinsoku/>
              <w:wordWrap/>
              <w:overflowPunct/>
              <w:topLinePunct w:val="0"/>
              <w:bidi w:val="0"/>
              <w:snapToGrid/>
              <w:spacing w:line="340" w:lineRule="exact"/>
              <w:jc w:val="center"/>
              <w:rPr>
                <w:rFonts w:ascii="宋体" w:hAnsi="宋体" w:cs="Times New Roman"/>
                <w:b/>
                <w:color w:val="0000FF"/>
                <w:szCs w:val="21"/>
                <w:highlight w:val="none"/>
              </w:rPr>
            </w:pPr>
            <w:r>
              <w:rPr>
                <w:rFonts w:hint="eastAsia" w:ascii="宋体" w:hAnsi="宋体" w:cs="Times New Roman"/>
                <w:b/>
                <w:color w:val="0000FF"/>
                <w:szCs w:val="21"/>
                <w:highlight w:val="none"/>
              </w:rPr>
              <w:t>评分准则</w:t>
            </w:r>
          </w:p>
        </w:tc>
      </w:tr>
      <w:tr w14:paraId="5676A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Merge w:val="continue"/>
            <w:vAlign w:val="center"/>
          </w:tcPr>
          <w:p w14:paraId="40961341">
            <w:pPr>
              <w:keepNext w:val="0"/>
              <w:keepLines w:val="0"/>
              <w:pageBreakBefore w:val="0"/>
              <w:kinsoku/>
              <w:wordWrap/>
              <w:overflowPunct/>
              <w:topLinePunct w:val="0"/>
              <w:bidi w:val="0"/>
              <w:snapToGrid/>
              <w:spacing w:line="340" w:lineRule="exact"/>
              <w:jc w:val="center"/>
              <w:outlineLvl w:val="0"/>
              <w:rPr>
                <w:rFonts w:ascii="宋体" w:hAnsi="宋体" w:cs="Times New Roman"/>
                <w:color w:val="0000FF"/>
                <w:szCs w:val="21"/>
                <w:highlight w:val="none"/>
              </w:rPr>
            </w:pPr>
          </w:p>
        </w:tc>
        <w:tc>
          <w:tcPr>
            <w:tcW w:w="404" w:type="pct"/>
            <w:vAlign w:val="center"/>
          </w:tcPr>
          <w:p w14:paraId="282C1AA1">
            <w:pPr>
              <w:keepNext w:val="0"/>
              <w:keepLines w:val="0"/>
              <w:pageBreakBefore w:val="0"/>
              <w:kinsoku/>
              <w:wordWrap/>
              <w:overflowPunct/>
              <w:topLinePunct w:val="0"/>
              <w:bidi w:val="0"/>
              <w:snapToGrid/>
              <w:spacing w:line="340" w:lineRule="exact"/>
              <w:jc w:val="center"/>
              <w:rPr>
                <w:rFonts w:ascii="宋体" w:hAnsi="宋体" w:cs="Times New Roman"/>
                <w:color w:val="0000FF"/>
                <w:szCs w:val="21"/>
                <w:highlight w:val="none"/>
              </w:rPr>
            </w:pPr>
            <w:r>
              <w:rPr>
                <w:rFonts w:ascii="宋体" w:hAnsi="宋体" w:cs="Times New Roman"/>
                <w:color w:val="0000FF"/>
                <w:szCs w:val="21"/>
                <w:highlight w:val="none"/>
              </w:rPr>
              <w:t>1</w:t>
            </w:r>
          </w:p>
        </w:tc>
        <w:tc>
          <w:tcPr>
            <w:tcW w:w="901" w:type="pct"/>
            <w:vAlign w:val="center"/>
          </w:tcPr>
          <w:p w14:paraId="000908FE">
            <w:pPr>
              <w:keepNext w:val="0"/>
              <w:keepLines w:val="0"/>
              <w:pageBreakBefore w:val="0"/>
              <w:kinsoku/>
              <w:wordWrap/>
              <w:overflowPunct/>
              <w:topLinePunct w:val="0"/>
              <w:bidi w:val="0"/>
              <w:snapToGrid/>
              <w:spacing w:line="340" w:lineRule="exact"/>
              <w:jc w:val="center"/>
              <w:rPr>
                <w:rFonts w:ascii="宋体" w:hAnsi="宋体" w:cs="Times New Roman"/>
                <w:color w:val="0000FF"/>
                <w:szCs w:val="21"/>
                <w:highlight w:val="none"/>
              </w:rPr>
            </w:pPr>
            <w:r>
              <w:rPr>
                <w:rFonts w:hint="eastAsia" w:ascii="宋体" w:hAnsi="宋体" w:cs="Times New Roman"/>
                <w:color w:val="0000FF"/>
                <w:szCs w:val="21"/>
                <w:highlight w:val="none"/>
              </w:rPr>
              <w:t>诚信</w:t>
            </w:r>
          </w:p>
        </w:tc>
        <w:tc>
          <w:tcPr>
            <w:tcW w:w="429" w:type="pct"/>
            <w:vAlign w:val="center"/>
          </w:tcPr>
          <w:p w14:paraId="07AA5130">
            <w:pPr>
              <w:keepNext w:val="0"/>
              <w:keepLines w:val="0"/>
              <w:pageBreakBefore w:val="0"/>
              <w:kinsoku/>
              <w:wordWrap/>
              <w:overflowPunct/>
              <w:topLinePunct w:val="0"/>
              <w:bidi w:val="0"/>
              <w:snapToGrid/>
              <w:spacing w:line="340" w:lineRule="exact"/>
              <w:jc w:val="center"/>
              <w:rPr>
                <w:rFonts w:ascii="宋体" w:hAnsi="宋体" w:cs="Times New Roman"/>
                <w:color w:val="0000FF"/>
                <w:szCs w:val="21"/>
                <w:highlight w:val="none"/>
              </w:rPr>
            </w:pPr>
            <w:r>
              <w:rPr>
                <w:rFonts w:ascii="宋体" w:hAnsi="宋体" w:cs="Times New Roman"/>
                <w:color w:val="0000FF"/>
                <w:szCs w:val="21"/>
                <w:highlight w:val="none"/>
              </w:rPr>
              <w:t>5</w:t>
            </w:r>
          </w:p>
        </w:tc>
        <w:tc>
          <w:tcPr>
            <w:tcW w:w="2880" w:type="pct"/>
            <w:gridSpan w:val="2"/>
          </w:tcPr>
          <w:p w14:paraId="780DF508">
            <w:pPr>
              <w:wordWrap/>
              <w:spacing w:line="340" w:lineRule="exact"/>
              <w:jc w:val="left"/>
              <w:rPr>
                <w:rFonts w:hint="eastAsia" w:ascii="宋体" w:hAnsi="宋体" w:eastAsia="宋体" w:cs="宋体"/>
                <w:b w:val="0"/>
                <w:bCs w:val="0"/>
                <w:color w:val="0000FF"/>
                <w:sz w:val="21"/>
                <w:szCs w:val="21"/>
                <w:highlight w:val="none"/>
              </w:rPr>
            </w:pPr>
            <w:r>
              <w:rPr>
                <w:rFonts w:hint="eastAsia" w:ascii="宋体" w:hAnsi="宋体" w:eastAsia="宋体" w:cs="宋体"/>
                <w:b w:val="0"/>
                <w:bCs w:val="0"/>
                <w:color w:val="0000FF"/>
                <w:sz w:val="21"/>
                <w:szCs w:val="21"/>
                <w:highlight w:val="none"/>
              </w:rPr>
              <w:t>（一）评分内容</w:t>
            </w:r>
          </w:p>
          <w:p w14:paraId="2B50E9CD">
            <w:pPr>
              <w:wordWrap/>
              <w:spacing w:line="340" w:lineRule="exact"/>
              <w:jc w:val="left"/>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供应商存在《深圳市财政局政府采购供应商信用信息管理办法》（深财规〔2023〕3号）列明的一般行政处罚信息、一般违法失信记录信息的，本项不得分，不存在上述情形的本项得</w:t>
            </w:r>
            <w:r>
              <w:rPr>
                <w:rFonts w:hint="eastAsia" w:ascii="宋体" w:hAnsi="宋体" w:cs="宋体"/>
                <w:color w:val="0000FF"/>
                <w:sz w:val="21"/>
                <w:szCs w:val="21"/>
                <w:highlight w:val="none"/>
                <w:lang w:val="en-US" w:eastAsia="zh-CN"/>
              </w:rPr>
              <w:t>满</w:t>
            </w:r>
            <w:r>
              <w:rPr>
                <w:rFonts w:hint="eastAsia" w:ascii="宋体" w:hAnsi="宋体" w:eastAsia="宋体" w:cs="宋体"/>
                <w:color w:val="0000FF"/>
                <w:sz w:val="21"/>
                <w:szCs w:val="21"/>
                <w:highlight w:val="none"/>
              </w:rPr>
              <w:t>分。供应商无需提供任何证明材料，评标过程中由工作人员向评审委员会提供有关供应商诚信查询结果。</w:t>
            </w:r>
          </w:p>
          <w:p w14:paraId="153EB73E">
            <w:pPr>
              <w:wordWrap/>
              <w:spacing w:line="340" w:lineRule="exact"/>
              <w:jc w:val="left"/>
              <w:rPr>
                <w:rFonts w:hint="eastAsia" w:ascii="宋体" w:hAnsi="宋体" w:eastAsia="宋体" w:cs="宋体"/>
                <w:b w:val="0"/>
                <w:bCs w:val="0"/>
                <w:color w:val="0000FF"/>
                <w:sz w:val="21"/>
                <w:szCs w:val="21"/>
                <w:highlight w:val="none"/>
              </w:rPr>
            </w:pPr>
            <w:r>
              <w:rPr>
                <w:rFonts w:hint="eastAsia" w:ascii="宋体" w:hAnsi="宋体" w:eastAsia="宋体" w:cs="宋体"/>
                <w:b w:val="0"/>
                <w:bCs w:val="0"/>
                <w:color w:val="0000FF"/>
                <w:sz w:val="21"/>
                <w:szCs w:val="21"/>
                <w:highlight w:val="none"/>
              </w:rPr>
              <w:t>（二）评分依据</w:t>
            </w:r>
          </w:p>
          <w:p w14:paraId="3DE74B15">
            <w:pPr>
              <w:keepNext w:val="0"/>
              <w:keepLines w:val="0"/>
              <w:pageBreakBefore w:val="0"/>
              <w:widowControl/>
              <w:kinsoku/>
              <w:wordWrap/>
              <w:overflowPunct/>
              <w:topLinePunct w:val="0"/>
              <w:bidi w:val="0"/>
              <w:snapToGrid/>
              <w:spacing w:line="340" w:lineRule="exact"/>
              <w:jc w:val="left"/>
              <w:rPr>
                <w:rFonts w:hint="eastAsia" w:ascii="宋体" w:hAnsi="宋体" w:eastAsia="宋体" w:cs="宋体"/>
                <w:color w:val="0000FF"/>
                <w:kern w:val="2"/>
                <w:sz w:val="21"/>
                <w:szCs w:val="21"/>
                <w:highlight w:val="none"/>
                <w:lang w:val="en-US" w:eastAsia="zh-CN" w:bidi="ar-SA"/>
              </w:rPr>
            </w:pPr>
            <w:r>
              <w:rPr>
                <w:rFonts w:hint="eastAsia" w:ascii="宋体" w:hAnsi="宋体" w:eastAsia="宋体" w:cs="宋体"/>
                <w:color w:val="0000FF"/>
                <w:sz w:val="21"/>
                <w:szCs w:val="21"/>
                <w:highlight w:val="none"/>
              </w:rPr>
              <w:t>查询渠道：通过“信用中国”（www.creditchina.gov.cn，下载信用信息报告）、“中国政府采购网”（www.ccgp.gov.cn）以及“深圳市政府采购监管网”（http://zfcg.sz.gov.cn）查询供应商信用信息，信用信息以开标当日的查询结果为准。</w:t>
            </w:r>
          </w:p>
        </w:tc>
      </w:tr>
    </w:tbl>
    <w:p w14:paraId="7993502E">
      <w:pPr>
        <w:pageBreakBefore w:val="0"/>
        <w:kinsoku/>
        <w:overflowPunct/>
        <w:topLinePunct w:val="0"/>
        <w:bidi w:val="0"/>
        <w:spacing w:line="360" w:lineRule="auto"/>
        <w:rPr>
          <w:color w:val="auto"/>
          <w:highlight w:val="none"/>
        </w:rPr>
      </w:pPr>
      <w:r>
        <w:rPr>
          <w:rFonts w:hint="eastAsia"/>
          <w:color w:val="auto"/>
          <w:highlight w:val="none"/>
        </w:rPr>
        <w:br w:type="page"/>
      </w:r>
    </w:p>
    <w:p w14:paraId="6026E130">
      <w:pPr>
        <w:pStyle w:val="2"/>
        <w:pageBreakBefore w:val="0"/>
        <w:kinsoku/>
        <w:overflowPunct/>
        <w:topLinePunct w:val="0"/>
        <w:bidi w:val="0"/>
        <w:spacing w:line="360" w:lineRule="auto"/>
        <w:rPr>
          <w:color w:val="auto"/>
          <w:highlight w:val="none"/>
        </w:rPr>
      </w:pPr>
      <w:r>
        <w:rPr>
          <w:rFonts w:hint="eastAsia"/>
          <w:color w:val="auto"/>
          <w:highlight w:val="none"/>
        </w:rPr>
        <w:t>目   录</w:t>
      </w:r>
    </w:p>
    <w:p w14:paraId="2F7F49DE">
      <w:pPr>
        <w:pageBreakBefore w:val="0"/>
        <w:kinsoku/>
        <w:overflowPunct/>
        <w:topLinePunct w:val="0"/>
        <w:bidi w:val="0"/>
        <w:spacing w:line="360" w:lineRule="auto"/>
        <w:outlineLvl w:val="0"/>
        <w:rPr>
          <w:b/>
          <w:color w:val="auto"/>
          <w:sz w:val="24"/>
          <w:highlight w:val="none"/>
        </w:rPr>
      </w:pPr>
      <w:r>
        <w:rPr>
          <w:rFonts w:hint="eastAsia"/>
          <w:b/>
          <w:color w:val="auto"/>
          <w:sz w:val="24"/>
          <w:highlight w:val="none"/>
        </w:rPr>
        <w:t>第一册  专用条款</w:t>
      </w:r>
    </w:p>
    <w:p w14:paraId="7C68AE45">
      <w:pPr>
        <w:pageBreakBefore w:val="0"/>
        <w:kinsoku/>
        <w:overflowPunct/>
        <w:topLinePunct w:val="0"/>
        <w:bidi w:val="0"/>
        <w:spacing w:line="360" w:lineRule="auto"/>
        <w:rPr>
          <w:color w:val="auto"/>
          <w:sz w:val="24"/>
          <w:highlight w:val="none"/>
        </w:rPr>
      </w:pPr>
      <w:r>
        <w:rPr>
          <w:rFonts w:hint="eastAsia"/>
          <w:color w:val="auto"/>
          <w:sz w:val="24"/>
          <w:highlight w:val="none"/>
        </w:rPr>
        <w:t xml:space="preserve">          关键信息</w:t>
      </w:r>
    </w:p>
    <w:p w14:paraId="1AEB35A2">
      <w:pPr>
        <w:pageBreakBefore w:val="0"/>
        <w:kinsoku/>
        <w:overflowPunct/>
        <w:topLinePunct w:val="0"/>
        <w:bidi w:val="0"/>
        <w:spacing w:line="360" w:lineRule="auto"/>
        <w:ind w:left="630" w:leftChars="300" w:firstLine="630" w:firstLineChars="300"/>
        <w:rPr>
          <w:rFonts w:ascii="宋体" w:hAnsi="宋体"/>
          <w:color w:val="auto"/>
          <w:szCs w:val="21"/>
          <w:highlight w:val="none"/>
        </w:rPr>
      </w:pPr>
      <w:r>
        <w:rPr>
          <w:rFonts w:hint="eastAsia" w:ascii="宋体" w:hAnsi="宋体"/>
          <w:color w:val="auto"/>
          <w:szCs w:val="21"/>
          <w:highlight w:val="none"/>
        </w:rPr>
        <w:t>第一章  招标公告</w:t>
      </w:r>
    </w:p>
    <w:p w14:paraId="13F2F817">
      <w:pPr>
        <w:pageBreakBefore w:val="0"/>
        <w:kinsoku/>
        <w:overflowPunct/>
        <w:topLinePunct w:val="0"/>
        <w:bidi w:val="0"/>
        <w:spacing w:line="360" w:lineRule="auto"/>
        <w:ind w:left="630" w:leftChars="300" w:firstLine="630" w:firstLineChars="300"/>
        <w:rPr>
          <w:rFonts w:ascii="宋体" w:hAnsi="宋体"/>
          <w:color w:val="auto"/>
          <w:szCs w:val="21"/>
          <w:highlight w:val="none"/>
        </w:rPr>
      </w:pPr>
      <w:r>
        <w:rPr>
          <w:rFonts w:hint="eastAsia" w:ascii="宋体" w:hAnsi="宋体"/>
          <w:color w:val="auto"/>
          <w:szCs w:val="21"/>
          <w:highlight w:val="none"/>
        </w:rPr>
        <w:t xml:space="preserve">第二章  </w:t>
      </w:r>
      <w:bookmarkStart w:id="1" w:name="_Hlk71994379"/>
      <w:r>
        <w:rPr>
          <w:rFonts w:hint="eastAsia" w:ascii="宋体" w:hAnsi="宋体"/>
          <w:color w:val="auto"/>
          <w:szCs w:val="21"/>
          <w:highlight w:val="none"/>
        </w:rPr>
        <w:t>对通用条款的补充内容及其他关键信息</w:t>
      </w:r>
      <w:bookmarkEnd w:id="1"/>
    </w:p>
    <w:p w14:paraId="3C827229">
      <w:pPr>
        <w:pageBreakBefore w:val="0"/>
        <w:kinsoku/>
        <w:overflowPunct/>
        <w:topLinePunct w:val="0"/>
        <w:bidi w:val="0"/>
        <w:spacing w:line="360" w:lineRule="auto"/>
        <w:ind w:left="630" w:leftChars="300" w:firstLine="630" w:firstLineChars="300"/>
        <w:rPr>
          <w:rFonts w:ascii="宋体" w:hAnsi="宋体"/>
          <w:color w:val="auto"/>
          <w:szCs w:val="21"/>
          <w:highlight w:val="none"/>
        </w:rPr>
      </w:pPr>
      <w:r>
        <w:rPr>
          <w:rFonts w:hint="eastAsia" w:ascii="宋体" w:hAnsi="宋体"/>
          <w:color w:val="auto"/>
          <w:szCs w:val="21"/>
          <w:highlight w:val="none"/>
        </w:rPr>
        <w:t xml:space="preserve">第三章 </w:t>
      </w:r>
      <w:r>
        <w:rPr>
          <w:rFonts w:ascii="宋体" w:hAnsi="宋体"/>
          <w:color w:val="auto"/>
          <w:szCs w:val="21"/>
          <w:highlight w:val="none"/>
        </w:rPr>
        <w:t xml:space="preserve"> </w:t>
      </w:r>
      <w:r>
        <w:rPr>
          <w:rFonts w:hint="eastAsia" w:ascii="宋体" w:hAnsi="宋体"/>
          <w:color w:val="auto"/>
          <w:szCs w:val="21"/>
          <w:highlight w:val="none"/>
        </w:rPr>
        <w:t>用户需求书</w:t>
      </w:r>
    </w:p>
    <w:p w14:paraId="52782488">
      <w:pPr>
        <w:pageBreakBefore w:val="0"/>
        <w:kinsoku/>
        <w:overflowPunct/>
        <w:topLinePunct w:val="0"/>
        <w:bidi w:val="0"/>
        <w:spacing w:line="360" w:lineRule="auto"/>
        <w:ind w:left="630" w:leftChars="300" w:firstLine="630" w:firstLineChars="300"/>
        <w:rPr>
          <w:rFonts w:ascii="宋体" w:hAnsi="宋体"/>
          <w:color w:val="auto"/>
          <w:szCs w:val="21"/>
          <w:highlight w:val="none"/>
        </w:rPr>
      </w:pPr>
      <w:r>
        <w:rPr>
          <w:rFonts w:hint="eastAsia" w:ascii="宋体" w:hAnsi="宋体"/>
          <w:color w:val="auto"/>
          <w:szCs w:val="21"/>
          <w:highlight w:val="none"/>
        </w:rPr>
        <w:t xml:space="preserve">第四章 </w:t>
      </w:r>
      <w:r>
        <w:rPr>
          <w:rFonts w:ascii="宋体" w:hAnsi="宋体"/>
          <w:color w:val="auto"/>
          <w:szCs w:val="21"/>
          <w:highlight w:val="none"/>
        </w:rPr>
        <w:t xml:space="preserve"> </w:t>
      </w:r>
      <w:r>
        <w:rPr>
          <w:rFonts w:hint="eastAsia" w:ascii="宋体" w:hAnsi="宋体"/>
          <w:color w:val="auto"/>
          <w:szCs w:val="21"/>
          <w:highlight w:val="none"/>
        </w:rPr>
        <w:t>投标文件组成要求及格式</w:t>
      </w:r>
    </w:p>
    <w:p w14:paraId="39B088BD">
      <w:pPr>
        <w:pageBreakBefore w:val="0"/>
        <w:kinsoku/>
        <w:overflowPunct/>
        <w:topLinePunct w:val="0"/>
        <w:bidi w:val="0"/>
        <w:spacing w:line="360" w:lineRule="auto"/>
        <w:ind w:left="630" w:leftChars="300" w:firstLine="630" w:firstLineChars="300"/>
        <w:rPr>
          <w:rFonts w:ascii="宋体" w:hAnsi="宋体"/>
          <w:color w:val="auto"/>
          <w:szCs w:val="21"/>
          <w:highlight w:val="none"/>
        </w:rPr>
      </w:pPr>
      <w:r>
        <w:rPr>
          <w:rFonts w:hint="eastAsia" w:ascii="宋体" w:hAnsi="宋体"/>
          <w:color w:val="auto"/>
          <w:szCs w:val="21"/>
          <w:highlight w:val="none"/>
        </w:rPr>
        <w:t>第五章  合同条款及格式</w:t>
      </w:r>
    </w:p>
    <w:p w14:paraId="514DDE50">
      <w:pPr>
        <w:pageBreakBefore w:val="0"/>
        <w:kinsoku/>
        <w:overflowPunct/>
        <w:topLinePunct w:val="0"/>
        <w:bidi w:val="0"/>
        <w:spacing w:line="360" w:lineRule="auto"/>
        <w:rPr>
          <w:b/>
          <w:color w:val="auto"/>
          <w:sz w:val="24"/>
          <w:highlight w:val="none"/>
        </w:rPr>
      </w:pPr>
    </w:p>
    <w:p w14:paraId="657040C9">
      <w:pPr>
        <w:pageBreakBefore w:val="0"/>
        <w:kinsoku/>
        <w:overflowPunct/>
        <w:topLinePunct w:val="0"/>
        <w:bidi w:val="0"/>
        <w:spacing w:line="360" w:lineRule="auto"/>
        <w:outlineLvl w:val="0"/>
        <w:rPr>
          <w:b/>
          <w:color w:val="auto"/>
          <w:sz w:val="24"/>
          <w:highlight w:val="none"/>
        </w:rPr>
      </w:pPr>
      <w:r>
        <w:rPr>
          <w:rFonts w:hint="eastAsia"/>
          <w:b/>
          <w:color w:val="auto"/>
          <w:sz w:val="24"/>
          <w:highlight w:val="none"/>
        </w:rPr>
        <w:t>第二册  通用条款</w:t>
      </w:r>
    </w:p>
    <w:p w14:paraId="56096D62">
      <w:pPr>
        <w:pageBreakBefore w:val="0"/>
        <w:kinsoku/>
        <w:overflowPunct/>
        <w:topLinePunct w:val="0"/>
        <w:bidi w:val="0"/>
        <w:spacing w:line="360" w:lineRule="auto"/>
        <w:ind w:left="630" w:leftChars="300" w:firstLine="630" w:firstLineChars="300"/>
        <w:rPr>
          <w:rFonts w:ascii="宋体" w:hAnsi="宋体"/>
          <w:color w:val="auto"/>
          <w:szCs w:val="21"/>
          <w:highlight w:val="none"/>
        </w:rPr>
      </w:pPr>
      <w:r>
        <w:rPr>
          <w:rFonts w:hint="eastAsia" w:ascii="宋体" w:hAnsi="宋体"/>
          <w:color w:val="auto"/>
          <w:szCs w:val="21"/>
          <w:highlight w:val="none"/>
        </w:rPr>
        <w:t>第一章  总则</w:t>
      </w:r>
    </w:p>
    <w:p w14:paraId="221C60A9">
      <w:pPr>
        <w:pageBreakBefore w:val="0"/>
        <w:kinsoku/>
        <w:overflowPunct/>
        <w:topLinePunct w:val="0"/>
        <w:bidi w:val="0"/>
        <w:spacing w:line="360" w:lineRule="auto"/>
        <w:ind w:left="630" w:leftChars="300" w:firstLine="630" w:firstLineChars="300"/>
        <w:rPr>
          <w:rFonts w:ascii="宋体" w:hAnsi="宋体"/>
          <w:color w:val="auto"/>
          <w:szCs w:val="21"/>
          <w:highlight w:val="none"/>
        </w:rPr>
      </w:pPr>
      <w:r>
        <w:rPr>
          <w:rFonts w:hint="eastAsia" w:ascii="宋体" w:hAnsi="宋体"/>
          <w:color w:val="auto"/>
          <w:szCs w:val="21"/>
          <w:highlight w:val="none"/>
        </w:rPr>
        <w:t>第二章  招标文件</w:t>
      </w:r>
    </w:p>
    <w:p w14:paraId="23D0504D">
      <w:pPr>
        <w:pageBreakBefore w:val="0"/>
        <w:kinsoku/>
        <w:overflowPunct/>
        <w:topLinePunct w:val="0"/>
        <w:bidi w:val="0"/>
        <w:spacing w:line="360" w:lineRule="auto"/>
        <w:ind w:left="630" w:leftChars="300" w:firstLine="630" w:firstLineChars="300"/>
        <w:rPr>
          <w:rFonts w:ascii="宋体" w:hAnsi="宋体"/>
          <w:color w:val="auto"/>
          <w:szCs w:val="21"/>
          <w:highlight w:val="none"/>
        </w:rPr>
      </w:pPr>
      <w:r>
        <w:rPr>
          <w:rFonts w:hint="eastAsia" w:ascii="宋体" w:hAnsi="宋体"/>
          <w:color w:val="auto"/>
          <w:szCs w:val="21"/>
          <w:highlight w:val="none"/>
        </w:rPr>
        <w:t>第三章  投标文件的编制</w:t>
      </w:r>
    </w:p>
    <w:p w14:paraId="30277994">
      <w:pPr>
        <w:pageBreakBefore w:val="0"/>
        <w:kinsoku/>
        <w:overflowPunct/>
        <w:topLinePunct w:val="0"/>
        <w:bidi w:val="0"/>
        <w:spacing w:line="360" w:lineRule="auto"/>
        <w:ind w:left="630" w:leftChars="300" w:firstLine="630" w:firstLineChars="300"/>
        <w:rPr>
          <w:rFonts w:ascii="宋体" w:hAnsi="宋体"/>
          <w:color w:val="auto"/>
          <w:szCs w:val="21"/>
          <w:highlight w:val="none"/>
        </w:rPr>
      </w:pPr>
      <w:r>
        <w:rPr>
          <w:rFonts w:hint="eastAsia" w:ascii="宋体" w:hAnsi="宋体"/>
          <w:color w:val="auto"/>
          <w:szCs w:val="21"/>
          <w:highlight w:val="none"/>
        </w:rPr>
        <w:t>第四章  投标文件的递交</w:t>
      </w:r>
    </w:p>
    <w:p w14:paraId="3D28F938">
      <w:pPr>
        <w:pageBreakBefore w:val="0"/>
        <w:kinsoku/>
        <w:overflowPunct/>
        <w:topLinePunct w:val="0"/>
        <w:bidi w:val="0"/>
        <w:spacing w:line="360" w:lineRule="auto"/>
        <w:ind w:left="630" w:leftChars="300" w:firstLine="630" w:firstLineChars="300"/>
        <w:rPr>
          <w:rFonts w:ascii="宋体" w:hAnsi="宋体"/>
          <w:color w:val="auto"/>
          <w:szCs w:val="21"/>
          <w:highlight w:val="none"/>
        </w:rPr>
      </w:pPr>
      <w:r>
        <w:rPr>
          <w:rFonts w:hint="eastAsia" w:ascii="宋体" w:hAnsi="宋体"/>
          <w:color w:val="auto"/>
          <w:szCs w:val="21"/>
          <w:highlight w:val="none"/>
        </w:rPr>
        <w:t>第五章  开标</w:t>
      </w:r>
    </w:p>
    <w:p w14:paraId="1A74E643">
      <w:pPr>
        <w:pageBreakBefore w:val="0"/>
        <w:kinsoku/>
        <w:overflowPunct/>
        <w:topLinePunct w:val="0"/>
        <w:bidi w:val="0"/>
        <w:spacing w:line="360" w:lineRule="auto"/>
        <w:ind w:left="630" w:leftChars="300" w:firstLine="630" w:firstLineChars="300"/>
        <w:rPr>
          <w:rFonts w:ascii="宋体" w:hAnsi="宋体"/>
          <w:color w:val="auto"/>
          <w:szCs w:val="21"/>
          <w:highlight w:val="none"/>
        </w:rPr>
      </w:pPr>
      <w:r>
        <w:rPr>
          <w:rFonts w:hint="eastAsia" w:ascii="宋体" w:hAnsi="宋体"/>
          <w:color w:val="auto"/>
          <w:szCs w:val="21"/>
          <w:highlight w:val="none"/>
        </w:rPr>
        <w:t>第六章  评审要求</w:t>
      </w:r>
    </w:p>
    <w:p w14:paraId="511EC01E">
      <w:pPr>
        <w:pageBreakBefore w:val="0"/>
        <w:kinsoku/>
        <w:overflowPunct/>
        <w:topLinePunct w:val="0"/>
        <w:bidi w:val="0"/>
        <w:spacing w:line="360" w:lineRule="auto"/>
        <w:ind w:left="630" w:leftChars="300" w:firstLine="630" w:firstLineChars="300"/>
        <w:rPr>
          <w:rFonts w:ascii="宋体" w:hAnsi="宋体"/>
          <w:color w:val="auto"/>
          <w:szCs w:val="21"/>
          <w:highlight w:val="none"/>
        </w:rPr>
      </w:pPr>
      <w:r>
        <w:rPr>
          <w:rFonts w:hint="eastAsia" w:ascii="宋体" w:hAnsi="宋体"/>
          <w:color w:val="auto"/>
          <w:szCs w:val="21"/>
          <w:highlight w:val="none"/>
        </w:rPr>
        <w:t>第七章  评审程序及评审方法</w:t>
      </w:r>
    </w:p>
    <w:p w14:paraId="7CD4DEA2">
      <w:pPr>
        <w:pageBreakBefore w:val="0"/>
        <w:kinsoku/>
        <w:overflowPunct/>
        <w:topLinePunct w:val="0"/>
        <w:bidi w:val="0"/>
        <w:spacing w:line="360" w:lineRule="auto"/>
        <w:ind w:left="630" w:leftChars="300" w:firstLine="630" w:firstLineChars="300"/>
        <w:rPr>
          <w:rFonts w:ascii="宋体" w:hAnsi="宋体"/>
          <w:color w:val="auto"/>
          <w:szCs w:val="21"/>
          <w:highlight w:val="none"/>
        </w:rPr>
      </w:pPr>
      <w:r>
        <w:rPr>
          <w:rFonts w:hint="eastAsia" w:ascii="宋体" w:hAnsi="宋体"/>
          <w:color w:val="auto"/>
          <w:szCs w:val="21"/>
          <w:highlight w:val="none"/>
        </w:rPr>
        <w:t>第八章  定标及公示</w:t>
      </w:r>
    </w:p>
    <w:p w14:paraId="44D123E9">
      <w:pPr>
        <w:pageBreakBefore w:val="0"/>
        <w:kinsoku/>
        <w:overflowPunct/>
        <w:topLinePunct w:val="0"/>
        <w:bidi w:val="0"/>
        <w:spacing w:line="360" w:lineRule="auto"/>
        <w:ind w:left="630" w:leftChars="300" w:firstLine="630" w:firstLineChars="300"/>
        <w:rPr>
          <w:rFonts w:ascii="宋体" w:hAnsi="宋体"/>
          <w:color w:val="auto"/>
          <w:szCs w:val="21"/>
          <w:highlight w:val="none"/>
        </w:rPr>
      </w:pPr>
      <w:r>
        <w:rPr>
          <w:rFonts w:hint="eastAsia" w:ascii="宋体" w:hAnsi="宋体"/>
          <w:color w:val="auto"/>
          <w:szCs w:val="21"/>
          <w:highlight w:val="none"/>
        </w:rPr>
        <w:t>第九章  公开招标失败的后续处理</w:t>
      </w:r>
    </w:p>
    <w:p w14:paraId="10A3B8D9">
      <w:pPr>
        <w:pageBreakBefore w:val="0"/>
        <w:kinsoku/>
        <w:overflowPunct/>
        <w:topLinePunct w:val="0"/>
        <w:bidi w:val="0"/>
        <w:spacing w:line="360" w:lineRule="auto"/>
        <w:ind w:left="630" w:leftChars="300" w:firstLine="630" w:firstLineChars="300"/>
        <w:rPr>
          <w:rFonts w:ascii="宋体" w:hAnsi="宋体"/>
          <w:color w:val="auto"/>
          <w:szCs w:val="21"/>
          <w:highlight w:val="none"/>
        </w:rPr>
      </w:pPr>
      <w:r>
        <w:rPr>
          <w:rFonts w:hint="eastAsia" w:ascii="宋体" w:hAnsi="宋体"/>
          <w:color w:val="auto"/>
          <w:szCs w:val="21"/>
          <w:highlight w:val="none"/>
        </w:rPr>
        <w:t>第十章  合同的授予与备案</w:t>
      </w:r>
    </w:p>
    <w:p w14:paraId="731F1B27">
      <w:pPr>
        <w:pageBreakBefore w:val="0"/>
        <w:kinsoku/>
        <w:overflowPunct/>
        <w:topLinePunct w:val="0"/>
        <w:bidi w:val="0"/>
        <w:spacing w:line="360" w:lineRule="auto"/>
        <w:ind w:left="630" w:leftChars="300" w:firstLine="630" w:firstLineChars="300"/>
        <w:rPr>
          <w:rFonts w:ascii="宋体" w:hAnsi="宋体"/>
          <w:color w:val="auto"/>
          <w:szCs w:val="21"/>
          <w:highlight w:val="none"/>
        </w:rPr>
      </w:pPr>
      <w:r>
        <w:rPr>
          <w:rFonts w:hint="eastAsia" w:ascii="宋体" w:hAnsi="宋体"/>
          <w:color w:val="auto"/>
          <w:szCs w:val="21"/>
          <w:highlight w:val="none"/>
        </w:rPr>
        <w:t>第十一章  质疑处理</w:t>
      </w:r>
    </w:p>
    <w:p w14:paraId="2F60CC3F">
      <w:pPr>
        <w:pageBreakBefore w:val="0"/>
        <w:kinsoku/>
        <w:overflowPunct/>
        <w:topLinePunct w:val="0"/>
        <w:bidi w:val="0"/>
        <w:spacing w:line="360" w:lineRule="auto"/>
        <w:ind w:firstLine="420" w:firstLineChars="200"/>
        <w:jc w:val="left"/>
        <w:rPr>
          <w:rFonts w:ascii="宋体" w:hAnsi="宋体"/>
          <w:color w:val="auto"/>
          <w:szCs w:val="21"/>
          <w:highlight w:val="none"/>
        </w:rPr>
      </w:pPr>
    </w:p>
    <w:p w14:paraId="4301D609">
      <w:pPr>
        <w:pStyle w:val="2"/>
        <w:pageBreakBefore w:val="0"/>
        <w:kinsoku/>
        <w:overflowPunct/>
        <w:topLinePunct w:val="0"/>
        <w:bidi w:val="0"/>
        <w:spacing w:line="360" w:lineRule="auto"/>
        <w:rPr>
          <w:color w:val="auto"/>
          <w:sz w:val="24"/>
          <w:highlight w:val="none"/>
        </w:rPr>
      </w:pPr>
      <w:r>
        <w:rPr>
          <w:color w:val="auto"/>
          <w:highlight w:val="none"/>
        </w:rPr>
        <w:br w:type="page"/>
      </w:r>
      <w:bookmarkStart w:id="2" w:name="bt开标一览表"/>
      <w:bookmarkEnd w:id="2"/>
      <w:bookmarkStart w:id="3" w:name="bt合同条款"/>
      <w:bookmarkEnd w:id="3"/>
      <w:bookmarkStart w:id="4" w:name="bt投标报价汇总表"/>
      <w:bookmarkEnd w:id="4"/>
      <w:bookmarkStart w:id="5" w:name="bt投标函"/>
      <w:bookmarkEnd w:id="5"/>
      <w:bookmarkStart w:id="6" w:name="bt合同格式"/>
      <w:bookmarkEnd w:id="6"/>
      <w:bookmarkStart w:id="7" w:name="bt技术标投标文件格式"/>
      <w:bookmarkEnd w:id="7"/>
      <w:bookmarkStart w:id="8" w:name="bt合同条款及格式"/>
      <w:bookmarkEnd w:id="8"/>
      <w:bookmarkStart w:id="9" w:name="bt商务标投标文件格式"/>
      <w:bookmarkEnd w:id="9"/>
      <w:bookmarkStart w:id="10" w:name="bt说明"/>
      <w:bookmarkEnd w:id="10"/>
      <w:bookmarkStart w:id="11" w:name="bt投标文件签署授权委托书"/>
      <w:bookmarkEnd w:id="11"/>
      <w:bookmarkStart w:id="12" w:name="bt投标人情况介绍"/>
      <w:bookmarkEnd w:id="12"/>
      <w:bookmarkStart w:id="13" w:name="bt本工程承诺书"/>
      <w:bookmarkEnd w:id="13"/>
      <w:bookmarkStart w:id="14" w:name="bt其他资料由投标人自定"/>
      <w:bookmarkEnd w:id="14"/>
      <w:bookmarkStart w:id="15" w:name="bt项目管理班子配备情况"/>
      <w:bookmarkEnd w:id="15"/>
      <w:bookmarkStart w:id="16" w:name="bt投标人须知"/>
      <w:bookmarkEnd w:id="16"/>
      <w:bookmarkStart w:id="17" w:name="bt其他资料2"/>
      <w:bookmarkEnd w:id="17"/>
      <w:bookmarkStart w:id="18" w:name="合同格式"/>
      <w:bookmarkEnd w:id="18"/>
      <w:r>
        <w:rPr>
          <w:rFonts w:hint="eastAsia"/>
          <w:color w:val="auto"/>
          <w:highlight w:val="none"/>
        </w:rPr>
        <w:t>第一册专用条款</w:t>
      </w:r>
    </w:p>
    <w:p w14:paraId="2E1CDFF1">
      <w:pPr>
        <w:pStyle w:val="5"/>
        <w:pageBreakBefore w:val="0"/>
        <w:kinsoku/>
        <w:overflowPunct/>
        <w:topLinePunct w:val="0"/>
        <w:bidi w:val="0"/>
        <w:spacing w:line="360" w:lineRule="auto"/>
        <w:rPr>
          <w:b/>
          <w:bCs/>
          <w:color w:val="auto"/>
          <w:sz w:val="28"/>
          <w:szCs w:val="28"/>
          <w:highlight w:val="none"/>
        </w:rPr>
      </w:pPr>
      <w:r>
        <w:rPr>
          <w:rFonts w:hint="eastAsia"/>
          <w:b/>
          <w:bCs/>
          <w:color w:val="auto"/>
          <w:sz w:val="28"/>
          <w:szCs w:val="28"/>
          <w:highlight w:val="none"/>
        </w:rPr>
        <w:t>第一章  招标公告</w:t>
      </w:r>
    </w:p>
    <w:p w14:paraId="7715D1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b w:val="0"/>
          <w:bCs w:val="0"/>
          <w:i w:val="0"/>
          <w:iCs w:val="0"/>
          <w:caps w:val="0"/>
          <w:color w:val="auto"/>
          <w:spacing w:val="0"/>
          <w:kern w:val="2"/>
          <w:sz w:val="21"/>
          <w:szCs w:val="21"/>
          <w:highlight w:val="none"/>
          <w:shd w:val="clear" w:fill="FFFFFF"/>
          <w:vertAlign w:val="baseline"/>
          <w:lang w:val="en-US" w:eastAsia="zh-CN" w:bidi="ar-SA"/>
        </w:rPr>
      </w:pPr>
      <w:r>
        <w:rPr>
          <w:rFonts w:hint="eastAsia" w:ascii="宋体" w:hAnsi="宋体" w:eastAsia="宋体" w:cs="宋体"/>
          <w:b w:val="0"/>
          <w:bCs w:val="0"/>
          <w:i w:val="0"/>
          <w:iCs w:val="0"/>
          <w:caps w:val="0"/>
          <w:color w:val="auto"/>
          <w:spacing w:val="0"/>
          <w:kern w:val="2"/>
          <w:sz w:val="21"/>
          <w:szCs w:val="21"/>
          <w:highlight w:val="none"/>
          <w:shd w:val="clear" w:fill="FFFFFF"/>
          <w:vertAlign w:val="baseline"/>
          <w:lang w:val="en-US" w:eastAsia="zh-CN" w:bidi="ar-SA"/>
        </w:rPr>
        <w:t>深圳交易咨询集团有限公司受</w:t>
      </w:r>
      <w:r>
        <w:rPr>
          <w:rFonts w:hint="eastAsia" w:ascii="宋体" w:hAnsi="宋体" w:cs="宋体"/>
          <w:color w:val="0000FF"/>
          <w:kern w:val="2"/>
          <w:sz w:val="21"/>
          <w:szCs w:val="21"/>
          <w:highlight w:val="none"/>
          <w:lang w:val="en-US" w:eastAsia="zh-CN" w:bidi="ar-SA"/>
        </w:rPr>
        <w:t>深圳市残疾人综合服务中心</w:t>
      </w:r>
      <w:r>
        <w:rPr>
          <w:rFonts w:hint="eastAsia" w:ascii="宋体" w:hAnsi="宋体" w:eastAsia="宋体" w:cs="宋体"/>
          <w:b w:val="0"/>
          <w:bCs w:val="0"/>
          <w:i w:val="0"/>
          <w:iCs w:val="0"/>
          <w:caps w:val="0"/>
          <w:color w:val="auto"/>
          <w:spacing w:val="0"/>
          <w:kern w:val="2"/>
          <w:sz w:val="21"/>
          <w:szCs w:val="21"/>
          <w:highlight w:val="none"/>
          <w:shd w:val="clear" w:fill="FFFFFF"/>
          <w:vertAlign w:val="baseline"/>
          <w:lang w:val="en-US" w:eastAsia="zh-CN" w:bidi="ar-SA"/>
        </w:rPr>
        <w:t>委托，就 “</w:t>
      </w:r>
      <w:r>
        <w:rPr>
          <w:rFonts w:hint="eastAsia" w:ascii="宋体" w:hAnsi="宋体" w:cs="宋体"/>
          <w:b w:val="0"/>
          <w:bCs w:val="0"/>
          <w:i w:val="0"/>
          <w:iCs w:val="0"/>
          <w:caps w:val="0"/>
          <w:color w:val="0000FF"/>
          <w:spacing w:val="0"/>
          <w:kern w:val="2"/>
          <w:sz w:val="21"/>
          <w:szCs w:val="21"/>
          <w:highlight w:val="none"/>
          <w:shd w:val="clear" w:fill="FFFFFF"/>
          <w:vertAlign w:val="baseline"/>
          <w:lang w:val="en-US" w:eastAsia="zh-CN" w:bidi="ar-SA"/>
        </w:rPr>
        <w:t>辅具维修服务（A包）</w:t>
      </w:r>
      <w:r>
        <w:rPr>
          <w:rFonts w:hint="eastAsia" w:ascii="宋体" w:hAnsi="宋体" w:eastAsia="宋体" w:cs="宋体"/>
          <w:b w:val="0"/>
          <w:bCs w:val="0"/>
          <w:i w:val="0"/>
          <w:iCs w:val="0"/>
          <w:caps w:val="0"/>
          <w:color w:val="auto"/>
          <w:spacing w:val="0"/>
          <w:kern w:val="2"/>
          <w:sz w:val="21"/>
          <w:szCs w:val="21"/>
          <w:highlight w:val="none"/>
          <w:shd w:val="clear" w:fill="FFFFFF"/>
          <w:vertAlign w:val="baseline"/>
          <w:lang w:val="en-US" w:eastAsia="zh-CN" w:bidi="ar-SA"/>
        </w:rPr>
        <w:t>” 项目采用公开招标方式采购， 欢迎符合资格条件的供应商参加本次采购活动。</w:t>
      </w:r>
    </w:p>
    <w:p w14:paraId="4AE620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22" w:firstLineChars="200"/>
        <w:jc w:val="both"/>
        <w:textAlignment w:val="baseline"/>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i w:val="0"/>
          <w:iCs w:val="0"/>
          <w:caps w:val="0"/>
          <w:color w:val="auto"/>
          <w:spacing w:val="0"/>
          <w:kern w:val="2"/>
          <w:sz w:val="21"/>
          <w:szCs w:val="21"/>
          <w:highlight w:val="none"/>
          <w:shd w:val="clear" w:fill="FFFFFF"/>
          <w:vertAlign w:val="baseline"/>
          <w:lang w:val="en-US" w:eastAsia="zh-CN" w:bidi="ar-SA"/>
        </w:rPr>
        <w:t>一、项目基本情况</w:t>
      </w:r>
    </w:p>
    <w:p w14:paraId="5BED1CF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项目编号：</w:t>
      </w:r>
      <w:r>
        <w:rPr>
          <w:rFonts w:hint="eastAsia" w:ascii="宋体" w:hAnsi="宋体" w:cs="宋体"/>
          <w:color w:val="0000FF"/>
          <w:szCs w:val="21"/>
          <w:highlight w:val="none"/>
          <w:lang w:eastAsia="zh-CN"/>
        </w:rPr>
        <w:t>FTZXDL-2025-00030</w:t>
      </w:r>
    </w:p>
    <w:p w14:paraId="601801E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项目名称：</w:t>
      </w:r>
      <w:r>
        <w:rPr>
          <w:rFonts w:hint="eastAsia" w:ascii="宋体" w:hAnsi="宋体" w:cs="宋体"/>
          <w:color w:val="0000FF"/>
          <w:szCs w:val="21"/>
          <w:highlight w:val="none"/>
          <w:lang w:eastAsia="zh-CN"/>
        </w:rPr>
        <w:t>辅具维修服务（A包）</w:t>
      </w:r>
    </w:p>
    <w:p w14:paraId="5997268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项目内容</w:t>
      </w:r>
      <w:r>
        <w:rPr>
          <w:rFonts w:hint="eastAsia" w:ascii="宋体" w:hAnsi="宋体" w:eastAsia="宋体" w:cs="宋体"/>
          <w:color w:val="auto"/>
          <w:szCs w:val="21"/>
          <w:highlight w:val="none"/>
        </w:rPr>
        <w:t>：</w:t>
      </w:r>
    </w:p>
    <w:p w14:paraId="12B9200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①</w:t>
      </w:r>
      <w:r>
        <w:rPr>
          <w:rFonts w:hint="eastAsia" w:ascii="宋体" w:hAnsi="宋体" w:eastAsia="宋体" w:cs="宋体"/>
          <w:color w:val="auto"/>
          <w:szCs w:val="21"/>
          <w:highlight w:val="none"/>
        </w:rPr>
        <w:t>最高限价（如有）：/</w:t>
      </w:r>
    </w:p>
    <w:p w14:paraId="010D1B8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②</w:t>
      </w:r>
      <w:r>
        <w:rPr>
          <w:rFonts w:hint="eastAsia" w:ascii="宋体" w:hAnsi="宋体" w:eastAsia="宋体" w:cs="宋体"/>
          <w:color w:val="auto"/>
          <w:szCs w:val="21"/>
          <w:highlight w:val="none"/>
        </w:rPr>
        <w:t>采购需求：详见招标文件相关内容</w:t>
      </w:r>
    </w:p>
    <w:p w14:paraId="2DC92E0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③</w:t>
      </w:r>
      <w:r>
        <w:rPr>
          <w:rFonts w:hint="eastAsia" w:ascii="宋体" w:hAnsi="宋体" w:eastAsia="宋体" w:cs="宋体"/>
          <w:color w:val="auto"/>
          <w:szCs w:val="21"/>
          <w:highlight w:val="none"/>
        </w:rPr>
        <w:t>合同履行期限：详见招标文件相关内容</w:t>
      </w:r>
    </w:p>
    <w:p w14:paraId="30CB91D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0000FF"/>
          <w:szCs w:val="21"/>
          <w:highlight w:val="none"/>
        </w:rPr>
      </w:pPr>
      <w:r>
        <w:rPr>
          <w:rFonts w:hint="eastAsia" w:ascii="宋体" w:hAnsi="宋体" w:eastAsia="宋体" w:cs="宋体"/>
          <w:color w:val="0000FF"/>
          <w:szCs w:val="21"/>
          <w:highlight w:val="none"/>
          <w:lang w:val="en-US" w:eastAsia="zh-CN"/>
        </w:rPr>
        <w:t>④</w:t>
      </w:r>
      <w:r>
        <w:rPr>
          <w:rFonts w:hint="eastAsia" w:ascii="宋体" w:hAnsi="宋体" w:eastAsia="宋体" w:cs="宋体"/>
          <w:color w:val="0000FF"/>
          <w:szCs w:val="21"/>
          <w:highlight w:val="none"/>
        </w:rPr>
        <w:t>本项目是否接受联合体投标：否</w:t>
      </w:r>
    </w:p>
    <w:p w14:paraId="05F4EC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0000FF"/>
          <w:kern w:val="2"/>
          <w:sz w:val="21"/>
          <w:szCs w:val="21"/>
          <w:highlight w:val="none"/>
          <w:lang w:val="en-US" w:eastAsia="zh-CN" w:bidi="ar-SA"/>
        </w:rPr>
      </w:pPr>
      <w:r>
        <w:rPr>
          <w:rFonts w:hint="eastAsia" w:ascii="宋体" w:hAnsi="宋体" w:eastAsia="宋体" w:cs="宋体"/>
          <w:i w:val="0"/>
          <w:iCs w:val="0"/>
          <w:caps w:val="0"/>
          <w:color w:val="0000FF"/>
          <w:spacing w:val="0"/>
          <w:kern w:val="2"/>
          <w:sz w:val="21"/>
          <w:szCs w:val="21"/>
          <w:highlight w:val="none"/>
          <w:shd w:val="clear" w:fill="FFFFFF"/>
          <w:vertAlign w:val="baseline"/>
          <w:lang w:val="en-US" w:eastAsia="zh-CN" w:bidi="ar-SA"/>
        </w:rPr>
        <w:t>⑤现场踏勘：本项目不组织现场踏勘。</w:t>
      </w:r>
    </w:p>
    <w:p w14:paraId="1EB9B5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b w:val="0"/>
          <w:bCs w:val="0"/>
          <w:i w:val="0"/>
          <w:iCs w:val="0"/>
          <w:caps w:val="0"/>
          <w:color w:val="auto"/>
          <w:spacing w:val="0"/>
          <w:kern w:val="2"/>
          <w:sz w:val="21"/>
          <w:szCs w:val="21"/>
          <w:highlight w:val="none"/>
          <w:shd w:val="clear" w:fill="FFFFFF"/>
          <w:vertAlign w:val="baseline"/>
          <w:lang w:val="en-US" w:eastAsia="zh-CN" w:bidi="ar-SA"/>
        </w:rPr>
      </w:pPr>
      <w:r>
        <w:rPr>
          <w:rFonts w:hint="eastAsia" w:ascii="宋体" w:hAnsi="宋体" w:eastAsia="宋体" w:cs="宋体"/>
          <w:b w:val="0"/>
          <w:bCs w:val="0"/>
          <w:i w:val="0"/>
          <w:iCs w:val="0"/>
          <w:caps w:val="0"/>
          <w:color w:val="auto"/>
          <w:spacing w:val="0"/>
          <w:kern w:val="2"/>
          <w:sz w:val="21"/>
          <w:szCs w:val="21"/>
          <w:highlight w:val="none"/>
          <w:shd w:val="clear" w:fill="FFFFFF"/>
          <w:vertAlign w:val="baseline"/>
          <w:lang w:val="en-US" w:eastAsia="zh-CN" w:bidi="ar-SA"/>
        </w:rPr>
        <w:t>4.评标办法：</w:t>
      </w:r>
      <w:r>
        <w:rPr>
          <w:rFonts w:hint="eastAsia" w:ascii="宋体" w:hAnsi="宋体" w:eastAsia="宋体" w:cs="宋体"/>
          <w:b w:val="0"/>
          <w:bCs w:val="0"/>
          <w:i w:val="0"/>
          <w:iCs w:val="0"/>
          <w:caps w:val="0"/>
          <w:color w:val="0000FF"/>
          <w:spacing w:val="0"/>
          <w:kern w:val="2"/>
          <w:sz w:val="21"/>
          <w:szCs w:val="21"/>
          <w:highlight w:val="none"/>
          <w:shd w:val="clear" w:fill="FFFFFF"/>
          <w:vertAlign w:val="baseline"/>
          <w:lang w:val="en-US" w:eastAsia="zh-CN" w:bidi="ar-SA"/>
        </w:rPr>
        <w:t>综合评分法</w:t>
      </w:r>
    </w:p>
    <w:p w14:paraId="1BD40B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b w:val="0"/>
          <w:bCs w:val="0"/>
          <w:i w:val="0"/>
          <w:iCs w:val="0"/>
          <w:caps w:val="0"/>
          <w:color w:val="auto"/>
          <w:spacing w:val="0"/>
          <w:kern w:val="2"/>
          <w:sz w:val="21"/>
          <w:szCs w:val="21"/>
          <w:highlight w:val="none"/>
          <w:shd w:val="clear" w:fill="FFFFFF"/>
          <w:vertAlign w:val="baseline"/>
          <w:lang w:val="en-US" w:eastAsia="zh-CN" w:bidi="ar-SA"/>
        </w:rPr>
      </w:pPr>
      <w:r>
        <w:rPr>
          <w:rFonts w:hint="eastAsia" w:ascii="宋体" w:hAnsi="宋体" w:eastAsia="宋体" w:cs="宋体"/>
          <w:b w:val="0"/>
          <w:bCs w:val="0"/>
          <w:i w:val="0"/>
          <w:iCs w:val="0"/>
          <w:caps w:val="0"/>
          <w:color w:val="auto"/>
          <w:spacing w:val="0"/>
          <w:kern w:val="2"/>
          <w:sz w:val="21"/>
          <w:szCs w:val="21"/>
          <w:highlight w:val="none"/>
          <w:shd w:val="clear" w:fill="FFFFFF"/>
          <w:vertAlign w:val="baseline"/>
          <w:lang w:val="en-US" w:eastAsia="zh-CN" w:bidi="ar-SA"/>
        </w:rPr>
        <w:t>5.定标方式：</w:t>
      </w:r>
      <w:r>
        <w:rPr>
          <w:rFonts w:hint="eastAsia" w:ascii="宋体" w:hAnsi="宋体" w:eastAsia="宋体" w:cs="宋体"/>
          <w:b w:val="0"/>
          <w:bCs w:val="0"/>
          <w:i w:val="0"/>
          <w:iCs w:val="0"/>
          <w:caps w:val="0"/>
          <w:color w:val="0000FF"/>
          <w:spacing w:val="0"/>
          <w:kern w:val="2"/>
          <w:sz w:val="21"/>
          <w:szCs w:val="21"/>
          <w:highlight w:val="none"/>
          <w:shd w:val="clear" w:fill="FFFFFF"/>
          <w:vertAlign w:val="baseline"/>
          <w:lang w:val="en-US" w:eastAsia="zh-CN" w:bidi="ar-SA"/>
        </w:rPr>
        <w:t>由评标委员会直接确定中标人</w:t>
      </w:r>
    </w:p>
    <w:p w14:paraId="3DD1C7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b w:val="0"/>
          <w:bCs w:val="0"/>
          <w:i w:val="0"/>
          <w:iCs w:val="0"/>
          <w:caps w:val="0"/>
          <w:color w:val="auto"/>
          <w:spacing w:val="0"/>
          <w:kern w:val="2"/>
          <w:sz w:val="21"/>
          <w:szCs w:val="21"/>
          <w:highlight w:val="none"/>
          <w:shd w:val="clear" w:fill="FFFFFF"/>
          <w:vertAlign w:val="baseline"/>
          <w:lang w:val="en-US" w:eastAsia="zh-CN" w:bidi="ar-SA"/>
        </w:rPr>
      </w:pPr>
      <w:r>
        <w:rPr>
          <w:rFonts w:hint="eastAsia" w:ascii="宋体" w:hAnsi="宋体" w:eastAsia="宋体" w:cs="宋体"/>
          <w:b w:val="0"/>
          <w:bCs w:val="0"/>
          <w:i w:val="0"/>
          <w:iCs w:val="0"/>
          <w:caps w:val="0"/>
          <w:color w:val="auto"/>
          <w:spacing w:val="0"/>
          <w:kern w:val="2"/>
          <w:sz w:val="21"/>
          <w:szCs w:val="21"/>
          <w:highlight w:val="none"/>
          <w:shd w:val="clear" w:fill="FFFFFF"/>
          <w:vertAlign w:val="baseline"/>
          <w:lang w:val="en-US" w:eastAsia="zh-CN" w:bidi="ar-SA"/>
        </w:rPr>
        <w:t>6.预算金额：</w:t>
      </w:r>
      <w:r>
        <w:rPr>
          <w:rFonts w:hint="eastAsia" w:ascii="宋体" w:hAnsi="宋体" w:cs="宋体"/>
          <w:b w:val="0"/>
          <w:bCs w:val="0"/>
          <w:i w:val="0"/>
          <w:iCs w:val="0"/>
          <w:caps w:val="0"/>
          <w:color w:val="auto"/>
          <w:spacing w:val="0"/>
          <w:kern w:val="2"/>
          <w:sz w:val="21"/>
          <w:szCs w:val="21"/>
          <w:highlight w:val="none"/>
          <w:shd w:val="clear" w:fill="FFFFFF"/>
          <w:vertAlign w:val="baseline"/>
          <w:lang w:val="en-US" w:eastAsia="zh-CN" w:bidi="ar-SA"/>
        </w:rPr>
        <w:t>人民币</w:t>
      </w:r>
      <w:r>
        <w:rPr>
          <w:rFonts w:hint="eastAsia" w:ascii="宋体" w:hAnsi="宋体" w:eastAsia="宋体" w:cs="宋体"/>
          <w:b/>
          <w:bCs/>
          <w:i w:val="0"/>
          <w:iCs w:val="0"/>
          <w:caps w:val="0"/>
          <w:color w:val="0000FF"/>
          <w:spacing w:val="0"/>
          <w:kern w:val="2"/>
          <w:sz w:val="21"/>
          <w:szCs w:val="21"/>
          <w:highlight w:val="none"/>
          <w:shd w:val="clear" w:fill="FFFFFF"/>
          <w:vertAlign w:val="baseline"/>
          <w:lang w:val="en-US" w:eastAsia="zh-CN" w:bidi="ar-SA"/>
        </w:rPr>
        <w:t>20万元</w:t>
      </w:r>
    </w:p>
    <w:p w14:paraId="6D957464">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baseline"/>
        <w:rPr>
          <w:rFonts w:hint="eastAsia" w:ascii="宋体" w:hAnsi="宋体" w:eastAsia="宋体" w:cs="宋体"/>
          <w:b/>
          <w:bCs/>
          <w:color w:val="0000FF"/>
          <w:sz w:val="21"/>
          <w:szCs w:val="21"/>
          <w:highlight w:val="none"/>
        </w:rPr>
      </w:pPr>
      <w:r>
        <w:rPr>
          <w:rFonts w:hint="eastAsia" w:ascii="宋体" w:hAnsi="宋体" w:eastAsia="宋体" w:cs="宋体"/>
          <w:b/>
          <w:bCs/>
          <w:i w:val="0"/>
          <w:iCs w:val="0"/>
          <w:caps w:val="0"/>
          <w:color w:val="auto"/>
          <w:spacing w:val="0"/>
          <w:kern w:val="2"/>
          <w:sz w:val="21"/>
          <w:szCs w:val="21"/>
          <w:highlight w:val="none"/>
          <w:shd w:val="clear" w:fill="FFFFFF"/>
          <w:vertAlign w:val="baseline"/>
          <w:lang w:val="en-US" w:eastAsia="zh-CN" w:bidi="ar-SA"/>
        </w:rPr>
        <w:t>二、</w:t>
      </w:r>
      <w:r>
        <w:rPr>
          <w:rFonts w:hint="eastAsia" w:ascii="宋体" w:hAnsi="宋体" w:eastAsia="宋体" w:cs="宋体"/>
          <w:b/>
          <w:bCs/>
          <w:i w:val="0"/>
          <w:iCs w:val="0"/>
          <w:caps w:val="0"/>
          <w:color w:val="0000FF"/>
          <w:spacing w:val="0"/>
          <w:sz w:val="21"/>
          <w:szCs w:val="21"/>
          <w:highlight w:val="none"/>
          <w:shd w:val="clear" w:fill="FFFFFF"/>
          <w:vertAlign w:val="baseline"/>
        </w:rPr>
        <w:t>投标人资格要求</w:t>
      </w:r>
    </w:p>
    <w:p w14:paraId="4048200B">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0000FF"/>
          <w:sz w:val="21"/>
          <w:szCs w:val="21"/>
          <w:highlight w:val="none"/>
        </w:rPr>
      </w:pPr>
      <w:r>
        <w:rPr>
          <w:rFonts w:hint="eastAsia" w:ascii="宋体" w:hAnsi="宋体" w:eastAsia="宋体" w:cs="宋体"/>
          <w:i w:val="0"/>
          <w:iCs w:val="0"/>
          <w:caps w:val="0"/>
          <w:color w:val="0000FF"/>
          <w:spacing w:val="0"/>
          <w:sz w:val="21"/>
          <w:szCs w:val="21"/>
          <w:highlight w:val="none"/>
          <w:shd w:val="clear" w:fill="FFFFFF"/>
          <w:vertAlign w:val="baseline"/>
        </w:rPr>
        <w:t>1.具有独立承担民事责任的能力（提供营业执照或事业单位法人证书等证明资料扫描件，原件备查，分支机构参与投标的，须同时提供总公司授权文件且授权书载明其民事责任由总公司承担）；</w:t>
      </w:r>
    </w:p>
    <w:p w14:paraId="64886DED">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0000FF"/>
          <w:sz w:val="21"/>
          <w:szCs w:val="21"/>
          <w:highlight w:val="none"/>
        </w:rPr>
      </w:pPr>
      <w:r>
        <w:rPr>
          <w:rFonts w:hint="eastAsia" w:ascii="宋体" w:hAnsi="宋体" w:eastAsia="宋体" w:cs="宋体"/>
          <w:i w:val="0"/>
          <w:iCs w:val="0"/>
          <w:caps w:val="0"/>
          <w:color w:val="0000FF"/>
          <w:spacing w:val="0"/>
          <w:sz w:val="21"/>
          <w:szCs w:val="21"/>
          <w:highlight w:val="none"/>
          <w:shd w:val="clear" w:fill="FFFFFF"/>
          <w:vertAlign w:val="baseline"/>
        </w:rPr>
        <w:t>2.本项目不接受联合体投标，本项目不允许分包、转包；</w:t>
      </w:r>
    </w:p>
    <w:p w14:paraId="3ADC6A9E">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0000FF"/>
          <w:sz w:val="21"/>
          <w:szCs w:val="21"/>
          <w:highlight w:val="none"/>
        </w:rPr>
      </w:pPr>
      <w:r>
        <w:rPr>
          <w:rFonts w:hint="eastAsia" w:ascii="宋体" w:hAnsi="宋体" w:eastAsia="宋体" w:cs="宋体"/>
          <w:i w:val="0"/>
          <w:iCs w:val="0"/>
          <w:caps w:val="0"/>
          <w:color w:val="0000FF"/>
          <w:spacing w:val="0"/>
          <w:sz w:val="21"/>
          <w:szCs w:val="21"/>
          <w:highlight w:val="none"/>
          <w:shd w:val="clear" w:fill="FFFFFF"/>
          <w:vertAlign w:val="baseline"/>
        </w:rPr>
        <w:t>3.参与本项目采购活动时不存在被有关部门禁止参与政府采购活动且在有效期内的情况（由供应商在《采购投标及履约承诺函》中作出声明）；</w:t>
      </w:r>
    </w:p>
    <w:p w14:paraId="4D384389">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0000FF"/>
          <w:sz w:val="21"/>
          <w:szCs w:val="21"/>
          <w:highlight w:val="none"/>
        </w:rPr>
      </w:pPr>
      <w:r>
        <w:rPr>
          <w:rFonts w:hint="eastAsia" w:ascii="宋体" w:hAnsi="宋体" w:eastAsia="宋体" w:cs="宋体"/>
          <w:i w:val="0"/>
          <w:iCs w:val="0"/>
          <w:caps w:val="0"/>
          <w:color w:val="0000FF"/>
          <w:spacing w:val="0"/>
          <w:sz w:val="21"/>
          <w:szCs w:val="21"/>
          <w:highlight w:val="none"/>
          <w:shd w:val="clear" w:fill="FFFFFF"/>
          <w:vertAlign w:val="baseline"/>
        </w:rPr>
        <w:t>4.具备《中华人民共和国政府采购法》第二十二条第一款的条件（由供应商在《采购投标及履约承诺函》中作出声明）；</w:t>
      </w:r>
    </w:p>
    <w:p w14:paraId="36D4B96A">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0000FF"/>
          <w:sz w:val="21"/>
          <w:szCs w:val="21"/>
          <w:highlight w:val="none"/>
        </w:rPr>
      </w:pPr>
      <w:r>
        <w:rPr>
          <w:rFonts w:hint="eastAsia" w:ascii="宋体" w:hAnsi="宋体" w:eastAsia="宋体" w:cs="宋体"/>
          <w:i w:val="0"/>
          <w:iCs w:val="0"/>
          <w:caps w:val="0"/>
          <w:color w:val="0000FF"/>
          <w:spacing w:val="0"/>
          <w:sz w:val="21"/>
          <w:szCs w:val="21"/>
          <w:highlight w:val="none"/>
          <w:shd w:val="clear" w:fill="FFFFFF"/>
          <w:vertAlign w:val="baseline"/>
        </w:rPr>
        <w:t>5.未被列入失信被执行人、重大税收违法案件当事人名单</w:t>
      </w:r>
      <w:r>
        <w:rPr>
          <w:rFonts w:hint="eastAsia" w:ascii="宋体" w:hAnsi="宋体" w:cs="宋体"/>
          <w:i w:val="0"/>
          <w:iCs w:val="0"/>
          <w:caps w:val="0"/>
          <w:color w:val="0000FF"/>
          <w:spacing w:val="0"/>
          <w:sz w:val="21"/>
          <w:szCs w:val="21"/>
          <w:highlight w:val="none"/>
          <w:shd w:val="clear" w:fill="FFFFFF"/>
          <w:vertAlign w:val="baseline"/>
          <w:lang w:eastAsia="zh-CN"/>
        </w:rPr>
        <w:t>（重大税收违法失信主体）</w:t>
      </w:r>
      <w:r>
        <w:rPr>
          <w:rFonts w:hint="eastAsia" w:ascii="宋体" w:hAnsi="宋体" w:eastAsia="宋体" w:cs="宋体"/>
          <w:i w:val="0"/>
          <w:iCs w:val="0"/>
          <w:caps w:val="0"/>
          <w:color w:val="0000FF"/>
          <w:spacing w:val="0"/>
          <w:sz w:val="21"/>
          <w:szCs w:val="21"/>
          <w:highlight w:val="none"/>
          <w:shd w:val="clear" w:fill="FFFFFF"/>
          <w:vertAlign w:val="baseline"/>
        </w:rPr>
        <w:t>、政府采购严重违法失信行为记录名单（由供应商在《采购投标及履约承诺函》中作出声明）；</w:t>
      </w:r>
    </w:p>
    <w:p w14:paraId="2D6321DA">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baseline"/>
        <w:rPr>
          <w:rFonts w:hint="eastAsia" w:ascii="宋体" w:hAnsi="宋体" w:eastAsia="宋体" w:cs="宋体"/>
          <w:b/>
          <w:bCs/>
          <w:color w:val="0000FF"/>
          <w:sz w:val="21"/>
          <w:szCs w:val="21"/>
          <w:highlight w:val="none"/>
        </w:rPr>
      </w:pPr>
      <w:r>
        <w:rPr>
          <w:rFonts w:hint="eastAsia" w:ascii="宋体" w:hAnsi="宋体" w:eastAsia="宋体" w:cs="宋体"/>
          <w:b/>
          <w:bCs/>
          <w:i w:val="0"/>
          <w:iCs w:val="0"/>
          <w:caps w:val="0"/>
          <w:color w:val="0000FF"/>
          <w:spacing w:val="0"/>
          <w:sz w:val="21"/>
          <w:szCs w:val="21"/>
          <w:highlight w:val="none"/>
          <w:shd w:val="clear" w:fill="FFFFFF"/>
          <w:vertAlign w:val="baseline"/>
        </w:rPr>
        <w:t>6.不存在《深圳市财政局政府采购供应商信用信息管理办法》（深财规〔2023〕3号）列明的严重违法失信行为（由供应商在《采购投标及履约承诺函》中作出声明）；</w:t>
      </w:r>
    </w:p>
    <w:p w14:paraId="74DD417D">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0000FF"/>
          <w:sz w:val="21"/>
          <w:szCs w:val="21"/>
          <w:highlight w:val="none"/>
        </w:rPr>
      </w:pPr>
      <w:r>
        <w:rPr>
          <w:rFonts w:hint="eastAsia" w:ascii="宋体" w:hAnsi="宋体" w:eastAsia="宋体" w:cs="宋体"/>
          <w:i w:val="0"/>
          <w:iCs w:val="0"/>
          <w:caps w:val="0"/>
          <w:color w:val="0000FF"/>
          <w:spacing w:val="0"/>
          <w:sz w:val="21"/>
          <w:szCs w:val="21"/>
          <w:highlight w:val="none"/>
          <w:shd w:val="clear" w:fill="FFFFFF"/>
          <w:vertAlign w:val="baseline"/>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14:paraId="6E383474">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baseline"/>
        <w:rPr>
          <w:rFonts w:hint="eastAsia" w:ascii="宋体" w:hAnsi="宋体" w:eastAsia="宋体" w:cs="宋体"/>
          <w:b/>
          <w:bCs/>
          <w:color w:val="0000FF"/>
          <w:sz w:val="21"/>
          <w:szCs w:val="21"/>
          <w:highlight w:val="none"/>
        </w:rPr>
      </w:pPr>
      <w:r>
        <w:rPr>
          <w:rFonts w:hint="eastAsia" w:ascii="宋体" w:hAnsi="宋体" w:eastAsia="宋体" w:cs="宋体"/>
          <w:b/>
          <w:bCs/>
          <w:i w:val="0"/>
          <w:iCs w:val="0"/>
          <w:caps w:val="0"/>
          <w:color w:val="0000FF"/>
          <w:spacing w:val="0"/>
          <w:sz w:val="21"/>
          <w:szCs w:val="21"/>
          <w:highlight w:val="none"/>
          <w:shd w:val="clear" w:fill="FFFFFF"/>
          <w:vertAlign w:val="baseline"/>
        </w:rPr>
        <w:t>8.本项目是（否）专门面向中小企业采购：否。</w:t>
      </w:r>
    </w:p>
    <w:p w14:paraId="262B129C">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1166191C">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（2）供应商投标（上传投标文件）必须先行办理注册手续，具体操作指引请按照深圳公共资源交易网/交易服务指南/资料下载/深圳自行采购系统用户操作指引（供应商）相关内容指引办理。</w:t>
      </w:r>
    </w:p>
    <w:p w14:paraId="27F0D25A">
      <w:pPr>
        <w:keepNext w:val="0"/>
        <w:keepLines w:val="0"/>
        <w:pageBreakBefore w:val="0"/>
        <w:widowControl w:val="0"/>
        <w:kinsoku/>
        <w:wordWrap w:val="0"/>
        <w:overflowPunct/>
        <w:topLinePunct/>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对本次招标提出询问，请按以下方式联系。</w:t>
      </w:r>
    </w:p>
    <w:p w14:paraId="3C41707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w:t>
      </w:r>
      <w:r>
        <w:rPr>
          <w:rFonts w:hint="eastAsia" w:ascii="宋体" w:hAnsi="宋体" w:eastAsia="宋体" w:cs="宋体"/>
          <w:color w:val="0000FF"/>
          <w:sz w:val="21"/>
          <w:szCs w:val="21"/>
          <w:highlight w:val="none"/>
          <w:lang w:val="en-US" w:eastAsia="zh-CN"/>
        </w:rPr>
        <w:t>.</w:t>
      </w:r>
      <w:r>
        <w:rPr>
          <w:rFonts w:hint="eastAsia" w:ascii="宋体" w:hAnsi="宋体" w:eastAsia="宋体" w:cs="宋体"/>
          <w:color w:val="0000FF"/>
          <w:sz w:val="21"/>
          <w:szCs w:val="21"/>
          <w:highlight w:val="none"/>
        </w:rPr>
        <w:t>采购人信息</w:t>
      </w:r>
    </w:p>
    <w:p w14:paraId="3B63517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rPr>
        <w:t>名　  称：</w:t>
      </w:r>
      <w:r>
        <w:rPr>
          <w:rFonts w:hint="eastAsia" w:ascii="宋体" w:hAnsi="宋体" w:cs="宋体"/>
          <w:color w:val="0000FF"/>
          <w:sz w:val="21"/>
          <w:szCs w:val="21"/>
          <w:highlight w:val="none"/>
          <w:lang w:eastAsia="zh-CN"/>
        </w:rPr>
        <w:t>深圳市残疾人综合服务中心</w:t>
      </w:r>
    </w:p>
    <w:p w14:paraId="6D405A9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地  　址：深圳市福田区梅林路2号</w:t>
      </w:r>
    </w:p>
    <w:p w14:paraId="6E84F09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0000FF"/>
          <w:sz w:val="21"/>
          <w:szCs w:val="21"/>
          <w:highlight w:val="none"/>
        </w:rPr>
        <w:t>联系方式：黄先生、0755-82563206</w:t>
      </w:r>
      <w:r>
        <w:rPr>
          <w:rFonts w:hint="eastAsia" w:ascii="宋体" w:hAnsi="宋体" w:eastAsia="宋体" w:cs="宋体"/>
          <w:color w:val="auto"/>
          <w:sz w:val="21"/>
          <w:szCs w:val="21"/>
          <w:highlight w:val="none"/>
        </w:rPr>
        <w:t xml:space="preserve">　 </w:t>
      </w:r>
    </w:p>
    <w:p w14:paraId="5C5848C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采购代理机构信息</w:t>
      </w:r>
    </w:p>
    <w:p w14:paraId="7BFF51E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名　  称：深圳交易咨询集团有限公司  </w:t>
      </w:r>
    </w:p>
    <w:p w14:paraId="73619C3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址：深圳市南山区南山智谷产业园A座21/25楼</w:t>
      </w:r>
    </w:p>
    <w:p w14:paraId="3DDA5F4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联系方式：0755-83521951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0755-86715309    </w:t>
      </w:r>
    </w:p>
    <w:p w14:paraId="5BEAFEC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监督举报电话：0755-22965602、0755-86660475</w:t>
      </w:r>
    </w:p>
    <w:p w14:paraId="4468977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账户信息：</w:t>
      </w:r>
    </w:p>
    <w:p w14:paraId="1FD24BB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账户名称：深圳交易咨询集团有限公司</w:t>
      </w:r>
    </w:p>
    <w:p w14:paraId="4DB5B23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开户银行：平安银行深圳江苏大厦支行</w:t>
      </w:r>
    </w:p>
    <w:p w14:paraId="3A794D6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    号：（人民币）11002982389701（用于支付招标代理服务费）</w:t>
      </w:r>
    </w:p>
    <w:p w14:paraId="566C685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项目联系方式</w:t>
      </w:r>
    </w:p>
    <w:p w14:paraId="2D0F42F7">
      <w:pPr>
        <w:pageBreakBefore w:val="0"/>
        <w:kinsoku/>
        <w:wordWrap w:val="0"/>
        <w:overflowPunct/>
        <w:topLinePunct/>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项目联系人：王文乐、俞泓亚</w:t>
      </w:r>
    </w:p>
    <w:p w14:paraId="7F1D67BF">
      <w:pPr>
        <w:pageBreakBefore w:val="0"/>
        <w:kinsoku/>
        <w:wordWrap w:val="0"/>
        <w:overflowPunct/>
        <w:topLinePunct/>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话：0755-83521951、13682515285；0755-86715309、18210026365　</w:t>
      </w:r>
    </w:p>
    <w:p w14:paraId="5469E9CF">
      <w:pPr>
        <w:pageBreakBefore w:val="0"/>
        <w:kinsoku/>
        <w:wordWrap w:val="0"/>
        <w:overflowPunct/>
        <w:topLinePunct/>
        <w:bidi w:val="0"/>
        <w:spacing w:line="360" w:lineRule="auto"/>
        <w:ind w:firstLine="420" w:firstLineChars="200"/>
        <w:rPr>
          <w:rFonts w:hint="eastAsia" w:ascii="宋体" w:hAnsi="宋体" w:eastAsia="宋体" w:cs="宋体"/>
          <w:color w:val="0000FF"/>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b/>
          <w:bCs/>
          <w:color w:val="0000FF"/>
          <w:sz w:val="21"/>
          <w:szCs w:val="21"/>
          <w:highlight w:val="none"/>
          <w:lang w:val="en-US" w:eastAsia="zh-CN"/>
        </w:rPr>
        <w:t>.深圳政府采购自行采购系统技术支持:</w:t>
      </w:r>
      <w:r>
        <w:rPr>
          <w:rFonts w:hint="eastAsia" w:ascii="宋体" w:hAnsi="宋体" w:eastAsia="宋体" w:cs="宋体"/>
          <w:color w:val="0000FF"/>
          <w:sz w:val="21"/>
          <w:szCs w:val="21"/>
          <w:highlight w:val="none"/>
          <w:lang w:val="en-US" w:eastAsia="zh-CN"/>
        </w:rPr>
        <w:t>0755-36568999 1转7</w:t>
      </w:r>
    </w:p>
    <w:p w14:paraId="053D1ECB">
      <w:pPr>
        <w:pageBreakBefore w:val="0"/>
        <w:kinsoku/>
        <w:wordWrap w:val="0"/>
        <w:overflowPunct/>
        <w:topLinePunct/>
        <w:bidi w:val="0"/>
        <w:spacing w:line="360" w:lineRule="auto"/>
        <w:ind w:firstLine="562" w:firstLineChars="200"/>
        <w:rPr>
          <w:rFonts w:hint="eastAsia"/>
          <w:b/>
          <w:bCs/>
          <w:color w:val="auto"/>
          <w:sz w:val="28"/>
          <w:szCs w:val="28"/>
          <w:highlight w:val="none"/>
        </w:rPr>
      </w:pPr>
    </w:p>
    <w:p w14:paraId="0DE50DF5">
      <w:pPr>
        <w:keepNext w:val="0"/>
        <w:keepLines w:val="0"/>
        <w:pageBreakBefore w:val="0"/>
        <w:widowControl w:val="0"/>
        <w:kinsoku/>
        <w:wordWrap w:val="0"/>
        <w:overflowPunct/>
        <w:topLinePunct w:val="0"/>
        <w:autoSpaceDE/>
        <w:autoSpaceDN/>
        <w:bidi w:val="0"/>
        <w:adjustRightInd/>
        <w:snapToGrid/>
        <w:jc w:val="left"/>
        <w:textAlignment w:val="auto"/>
        <w:rPr>
          <w:sz w:val="22"/>
          <w:szCs w:val="18"/>
          <w:highlight w:val="none"/>
        </w:rPr>
      </w:pPr>
      <w:r>
        <w:rPr>
          <w:rFonts w:hint="eastAsia"/>
          <w:sz w:val="22"/>
          <w:szCs w:val="18"/>
          <w:highlight w:val="none"/>
        </w:rPr>
        <w:t>完整公告内容详见：深圳交易集团（深圳公共资源交易中心）官网https://www.szexgrp.com/jyfw/zfcg-view.html?id=zfcg</w:t>
      </w:r>
    </w:p>
    <w:p w14:paraId="0DCC7E41">
      <w:pPr>
        <w:pageBreakBefore w:val="0"/>
        <w:kinsoku/>
        <w:wordWrap w:val="0"/>
        <w:overflowPunct/>
        <w:topLinePunct/>
        <w:bidi w:val="0"/>
        <w:spacing w:line="360" w:lineRule="auto"/>
        <w:ind w:firstLine="562" w:firstLineChars="200"/>
        <w:rPr>
          <w:rFonts w:hint="eastAsia"/>
          <w:b/>
          <w:bCs/>
          <w:color w:val="auto"/>
          <w:sz w:val="28"/>
          <w:szCs w:val="28"/>
          <w:highlight w:val="none"/>
        </w:rPr>
      </w:pPr>
      <w:r>
        <w:rPr>
          <w:rFonts w:hint="eastAsia"/>
          <w:b/>
          <w:bCs/>
          <w:color w:val="auto"/>
          <w:sz w:val="28"/>
          <w:szCs w:val="28"/>
          <w:highlight w:val="none"/>
        </w:rPr>
        <w:br w:type="page"/>
      </w:r>
    </w:p>
    <w:p w14:paraId="2CC957D0">
      <w:pPr>
        <w:pStyle w:val="5"/>
        <w:pageBreakBefore w:val="0"/>
        <w:kinsoku/>
        <w:overflowPunct/>
        <w:topLinePunct w:val="0"/>
        <w:bidi w:val="0"/>
        <w:spacing w:line="360" w:lineRule="auto"/>
        <w:rPr>
          <w:b/>
          <w:bCs/>
          <w:color w:val="auto"/>
          <w:sz w:val="28"/>
          <w:szCs w:val="28"/>
          <w:highlight w:val="none"/>
        </w:rPr>
      </w:pPr>
      <w:r>
        <w:rPr>
          <w:rFonts w:hint="eastAsia"/>
          <w:b/>
          <w:bCs/>
          <w:color w:val="auto"/>
          <w:sz w:val="28"/>
          <w:szCs w:val="28"/>
          <w:highlight w:val="none"/>
        </w:rPr>
        <w:t>第二章 对通用条款的补充内容及其他关键信息</w:t>
      </w:r>
    </w:p>
    <w:p w14:paraId="7FF1C9DF">
      <w:pPr>
        <w:pStyle w:val="3"/>
        <w:keepNext w:val="0"/>
        <w:keepLines w:val="0"/>
        <w:pageBreakBefore w:val="0"/>
        <w:widowControl w:val="0"/>
        <w:kinsoku/>
        <w:wordWrap/>
        <w:overflowPunct/>
        <w:topLinePunct w:val="0"/>
        <w:autoSpaceDE/>
        <w:autoSpaceDN/>
        <w:bidi w:val="0"/>
        <w:adjustRightInd w:val="0"/>
        <w:snapToGrid/>
        <w:spacing w:before="120" w:beforeLines="50" w:after="120" w:afterLines="50" w:line="360" w:lineRule="auto"/>
        <w:jc w:val="center"/>
        <w:textAlignment w:val="baseline"/>
        <w:outlineLvl w:val="2"/>
        <w:rPr>
          <w:rFonts w:hint="eastAsia" w:ascii="宋体" w:hAnsi="宋体" w:eastAsia="宋体" w:cs="Times New Roman"/>
          <w:b w:val="0"/>
          <w:bCs w:val="0"/>
          <w:color w:val="auto"/>
          <w:sz w:val="24"/>
          <w:szCs w:val="22"/>
          <w:highlight w:val="none"/>
        </w:rPr>
      </w:pPr>
      <w:bookmarkStart w:id="19" w:name="_Toc73521635"/>
      <w:bookmarkStart w:id="20" w:name="_Toc73517639"/>
      <w:bookmarkStart w:id="21" w:name="_Toc60631620"/>
      <w:bookmarkStart w:id="22" w:name="_Toc101074876"/>
      <w:bookmarkStart w:id="23" w:name="_Toc60560625"/>
      <w:bookmarkStart w:id="24" w:name="_Toc100052364"/>
      <w:bookmarkStart w:id="25" w:name="_Toc73521547"/>
      <w:bookmarkStart w:id="26" w:name="_Toc73518117"/>
      <w:r>
        <w:rPr>
          <w:rFonts w:hint="eastAsia" w:ascii="宋体" w:hAnsi="宋体" w:eastAsia="宋体" w:cs="Times New Roman"/>
          <w:b w:val="0"/>
          <w:bCs w:val="0"/>
          <w:color w:val="auto"/>
          <w:sz w:val="24"/>
          <w:szCs w:val="22"/>
          <w:highlight w:val="none"/>
        </w:rPr>
        <w:t>一、对通用条款的补充内容</w:t>
      </w:r>
    </w:p>
    <w:bookmarkEnd w:id="19"/>
    <w:bookmarkEnd w:id="20"/>
    <w:bookmarkEnd w:id="21"/>
    <w:bookmarkEnd w:id="22"/>
    <w:bookmarkEnd w:id="23"/>
    <w:bookmarkEnd w:id="24"/>
    <w:bookmarkEnd w:id="25"/>
    <w:bookmarkEnd w:id="26"/>
    <w:tbl>
      <w:tblPr>
        <w:tblStyle w:val="44"/>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2526"/>
        <w:gridCol w:w="4871"/>
      </w:tblGrid>
      <w:tr w14:paraId="145209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A8894C2">
            <w:pPr>
              <w:pageBreakBefore w:val="0"/>
              <w:kinsoku/>
              <w:overflowPunct/>
              <w:topLinePunct w:val="0"/>
              <w:bidi w:val="0"/>
              <w:spacing w:line="360" w:lineRule="auto"/>
              <w:jc w:val="center"/>
              <w:rPr>
                <w:rFonts w:ascii="宋体" w:hAnsi="宋体"/>
                <w:b/>
                <w:bCs/>
                <w:color w:val="auto"/>
                <w:highlight w:val="none"/>
              </w:rPr>
            </w:pPr>
            <w:r>
              <w:rPr>
                <w:rFonts w:hint="eastAsia" w:ascii="宋体" w:hAnsi="宋体"/>
                <w:b/>
                <w:bCs/>
                <w:color w:val="auto"/>
                <w:highlight w:val="none"/>
              </w:rPr>
              <w:t>通用条款序号</w:t>
            </w:r>
          </w:p>
        </w:tc>
        <w:tc>
          <w:tcPr>
            <w:tcW w:w="2526" w:type="dxa"/>
            <w:vAlign w:val="center"/>
          </w:tcPr>
          <w:p w14:paraId="0C6C266C">
            <w:pPr>
              <w:pageBreakBefore w:val="0"/>
              <w:kinsoku/>
              <w:overflowPunct/>
              <w:topLinePunct w:val="0"/>
              <w:bidi w:val="0"/>
              <w:spacing w:line="360" w:lineRule="auto"/>
              <w:jc w:val="center"/>
              <w:rPr>
                <w:rFonts w:ascii="宋体" w:hAnsi="宋体"/>
                <w:b/>
                <w:bCs/>
                <w:color w:val="auto"/>
                <w:highlight w:val="none"/>
              </w:rPr>
            </w:pPr>
            <w:r>
              <w:rPr>
                <w:rFonts w:hint="eastAsia" w:ascii="宋体" w:hAnsi="宋体"/>
                <w:b/>
                <w:bCs/>
                <w:color w:val="auto"/>
                <w:highlight w:val="none"/>
              </w:rPr>
              <w:t>涉及事项</w:t>
            </w:r>
          </w:p>
        </w:tc>
        <w:tc>
          <w:tcPr>
            <w:tcW w:w="4871" w:type="dxa"/>
            <w:vAlign w:val="center"/>
          </w:tcPr>
          <w:p w14:paraId="09C6361F">
            <w:pPr>
              <w:pageBreakBefore w:val="0"/>
              <w:kinsoku/>
              <w:overflowPunct/>
              <w:topLinePunct w:val="0"/>
              <w:bidi w:val="0"/>
              <w:spacing w:line="360" w:lineRule="auto"/>
              <w:jc w:val="center"/>
              <w:rPr>
                <w:rFonts w:ascii="宋体" w:hAnsi="宋体"/>
                <w:b/>
                <w:bCs/>
                <w:color w:val="auto"/>
                <w:highlight w:val="none"/>
              </w:rPr>
            </w:pPr>
            <w:r>
              <w:rPr>
                <w:rFonts w:hint="eastAsia" w:ascii="宋体" w:hAnsi="宋体"/>
                <w:b/>
                <w:bCs/>
                <w:color w:val="auto"/>
                <w:highlight w:val="none"/>
              </w:rPr>
              <w:t xml:space="preserve">具 </w:t>
            </w:r>
            <w:r>
              <w:rPr>
                <w:rFonts w:ascii="宋体" w:hAnsi="宋体"/>
                <w:b/>
                <w:bCs/>
                <w:color w:val="auto"/>
                <w:highlight w:val="none"/>
              </w:rPr>
              <w:t xml:space="preserve"> </w:t>
            </w:r>
            <w:r>
              <w:rPr>
                <w:rFonts w:hint="eastAsia" w:ascii="宋体" w:hAnsi="宋体"/>
                <w:b/>
                <w:bCs/>
                <w:color w:val="auto"/>
                <w:highlight w:val="none"/>
              </w:rPr>
              <w:t xml:space="preserve">体 </w:t>
            </w:r>
            <w:r>
              <w:rPr>
                <w:rFonts w:ascii="宋体" w:hAnsi="宋体"/>
                <w:b/>
                <w:bCs/>
                <w:color w:val="auto"/>
                <w:highlight w:val="none"/>
              </w:rPr>
              <w:t xml:space="preserve"> </w:t>
            </w:r>
            <w:r>
              <w:rPr>
                <w:rFonts w:hint="eastAsia" w:ascii="宋体" w:hAnsi="宋体"/>
                <w:b/>
                <w:bCs/>
                <w:color w:val="auto"/>
                <w:highlight w:val="none"/>
              </w:rPr>
              <w:t xml:space="preserve">补 </w:t>
            </w:r>
            <w:r>
              <w:rPr>
                <w:rFonts w:ascii="宋体" w:hAnsi="宋体"/>
                <w:b/>
                <w:bCs/>
                <w:color w:val="auto"/>
                <w:highlight w:val="none"/>
              </w:rPr>
              <w:t xml:space="preserve"> </w:t>
            </w:r>
            <w:r>
              <w:rPr>
                <w:rFonts w:hint="eastAsia" w:ascii="宋体" w:hAnsi="宋体"/>
                <w:b/>
                <w:bCs/>
                <w:color w:val="auto"/>
                <w:highlight w:val="none"/>
              </w:rPr>
              <w:t xml:space="preserve">充 </w:t>
            </w:r>
            <w:r>
              <w:rPr>
                <w:rFonts w:ascii="宋体" w:hAnsi="宋体"/>
                <w:b/>
                <w:bCs/>
                <w:color w:val="auto"/>
                <w:highlight w:val="none"/>
              </w:rPr>
              <w:t xml:space="preserve"> </w:t>
            </w:r>
            <w:r>
              <w:rPr>
                <w:rFonts w:hint="eastAsia" w:ascii="宋体" w:hAnsi="宋体"/>
                <w:b/>
                <w:bCs/>
                <w:color w:val="auto"/>
                <w:highlight w:val="none"/>
              </w:rPr>
              <w:t xml:space="preserve">内 </w:t>
            </w:r>
            <w:r>
              <w:rPr>
                <w:rFonts w:ascii="宋体" w:hAnsi="宋体"/>
                <w:b/>
                <w:bCs/>
                <w:color w:val="auto"/>
                <w:highlight w:val="none"/>
              </w:rPr>
              <w:t xml:space="preserve"> </w:t>
            </w:r>
            <w:r>
              <w:rPr>
                <w:rFonts w:hint="eastAsia" w:ascii="宋体" w:hAnsi="宋体"/>
                <w:b/>
                <w:bCs/>
                <w:color w:val="auto"/>
                <w:highlight w:val="none"/>
              </w:rPr>
              <w:t>容</w:t>
            </w:r>
          </w:p>
        </w:tc>
      </w:tr>
      <w:tr w14:paraId="262E98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14:paraId="4B0C41A2">
            <w:pPr>
              <w:pageBreakBefore w:val="0"/>
              <w:kinsoku/>
              <w:overflowPunct/>
              <w:topLinePunct w:val="0"/>
              <w:bidi w:val="0"/>
              <w:spacing w:line="360" w:lineRule="auto"/>
              <w:jc w:val="center"/>
              <w:rPr>
                <w:rFonts w:ascii="宋体" w:hAnsi="宋体"/>
                <w:b/>
                <w:bCs/>
                <w:color w:val="auto"/>
                <w:highlight w:val="none"/>
              </w:rPr>
            </w:pPr>
            <w:r>
              <w:rPr>
                <w:rFonts w:hint="eastAsia"/>
                <w:color w:val="auto"/>
                <w:highlight w:val="none"/>
              </w:rPr>
              <w:t>本项目为自行采购项目，相关事宜按照招标文件要求及</w:t>
            </w:r>
            <w:r>
              <w:rPr>
                <w:rFonts w:hint="eastAsia"/>
                <w:color w:val="auto"/>
                <w:highlight w:val="none"/>
                <w:lang w:eastAsia="zh-CN"/>
              </w:rPr>
              <w:t>采购人</w:t>
            </w:r>
            <w:r>
              <w:rPr>
                <w:rFonts w:hint="eastAsia"/>
                <w:color w:val="auto"/>
                <w:highlight w:val="none"/>
              </w:rPr>
              <w:t>内控制度执行。</w:t>
            </w:r>
          </w:p>
        </w:tc>
      </w:tr>
      <w:tr w14:paraId="7C5F3D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2EEC937">
            <w:pPr>
              <w:pageBreakBefore w:val="0"/>
              <w:kinsoku/>
              <w:overflowPunct/>
              <w:topLinePunct w:val="0"/>
              <w:bidi w:val="0"/>
              <w:spacing w:line="360" w:lineRule="auto"/>
              <w:jc w:val="center"/>
              <w:rPr>
                <w:rFonts w:ascii="宋体" w:hAnsi="宋体"/>
                <w:color w:val="auto"/>
                <w:highlight w:val="none"/>
              </w:rPr>
            </w:pPr>
            <w:r>
              <w:rPr>
                <w:rFonts w:hint="eastAsia" w:ascii="宋体" w:hAnsi="宋体"/>
                <w:color w:val="auto"/>
                <w:highlight w:val="none"/>
              </w:rPr>
              <w:t>3</w:t>
            </w:r>
            <w:r>
              <w:rPr>
                <w:rFonts w:ascii="宋体" w:hAnsi="宋体"/>
                <w:color w:val="auto"/>
                <w:highlight w:val="none"/>
              </w:rPr>
              <w:t>.1</w:t>
            </w:r>
          </w:p>
        </w:tc>
        <w:tc>
          <w:tcPr>
            <w:tcW w:w="2526" w:type="dxa"/>
            <w:vAlign w:val="center"/>
          </w:tcPr>
          <w:p w14:paraId="66DAE05A">
            <w:pPr>
              <w:pageBreakBefore w:val="0"/>
              <w:kinsoku/>
              <w:overflowPunct/>
              <w:topLinePunct w:val="0"/>
              <w:bidi w:val="0"/>
              <w:spacing w:line="360" w:lineRule="auto"/>
              <w:jc w:val="center"/>
              <w:rPr>
                <w:color w:val="auto"/>
                <w:highlight w:val="none"/>
              </w:rPr>
            </w:pPr>
            <w:r>
              <w:rPr>
                <w:rFonts w:hint="eastAsia"/>
                <w:color w:val="auto"/>
                <w:highlight w:val="none"/>
              </w:rPr>
              <w:t>采购人</w:t>
            </w:r>
          </w:p>
        </w:tc>
        <w:tc>
          <w:tcPr>
            <w:tcW w:w="4871" w:type="dxa"/>
            <w:vAlign w:val="center"/>
          </w:tcPr>
          <w:p w14:paraId="4C9D4FFE">
            <w:pPr>
              <w:pageBreakBefore w:val="0"/>
              <w:kinsoku/>
              <w:overflowPunct/>
              <w:topLinePunct w:val="0"/>
              <w:bidi w:val="0"/>
              <w:spacing w:line="360" w:lineRule="auto"/>
              <w:jc w:val="center"/>
              <w:rPr>
                <w:rFonts w:hint="default" w:ascii="宋体" w:hAnsi="宋体" w:eastAsia="宋体"/>
                <w:color w:val="auto"/>
                <w:highlight w:val="none"/>
                <w:lang w:val="en-US" w:eastAsia="zh-CN"/>
              </w:rPr>
            </w:pPr>
            <w:r>
              <w:rPr>
                <w:rFonts w:hint="eastAsia" w:ascii="宋体" w:hAnsi="宋体"/>
                <w:color w:val="0000FF"/>
                <w:highlight w:val="none"/>
                <w:lang w:val="en-US" w:eastAsia="zh-CN"/>
              </w:rPr>
              <w:t>深圳市残疾人综合服务中心</w:t>
            </w:r>
          </w:p>
        </w:tc>
      </w:tr>
      <w:tr w14:paraId="6FDE23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CD9219B">
            <w:pPr>
              <w:pageBreakBefore w:val="0"/>
              <w:kinsoku/>
              <w:overflowPunct/>
              <w:topLinePunct w:val="0"/>
              <w:bidi w:val="0"/>
              <w:spacing w:line="360" w:lineRule="auto"/>
              <w:jc w:val="center"/>
              <w:rPr>
                <w:rFonts w:ascii="宋体" w:hAnsi="宋体"/>
                <w:color w:val="auto"/>
                <w:highlight w:val="none"/>
              </w:rPr>
            </w:pPr>
            <w:r>
              <w:rPr>
                <w:rFonts w:hint="eastAsia" w:ascii="宋体" w:hAnsi="宋体"/>
                <w:color w:val="auto"/>
                <w:highlight w:val="none"/>
              </w:rPr>
              <w:t>3</w:t>
            </w:r>
            <w:r>
              <w:rPr>
                <w:rFonts w:ascii="宋体" w:hAnsi="宋体"/>
                <w:color w:val="auto"/>
                <w:highlight w:val="none"/>
              </w:rPr>
              <w:t>.2</w:t>
            </w:r>
          </w:p>
        </w:tc>
        <w:tc>
          <w:tcPr>
            <w:tcW w:w="2526" w:type="dxa"/>
            <w:vAlign w:val="center"/>
          </w:tcPr>
          <w:p w14:paraId="037B5577">
            <w:pPr>
              <w:pageBreakBefore w:val="0"/>
              <w:kinsoku/>
              <w:overflowPunct/>
              <w:topLinePunct w:val="0"/>
              <w:bidi w:val="0"/>
              <w:spacing w:line="360" w:lineRule="auto"/>
              <w:jc w:val="center"/>
              <w:rPr>
                <w:rFonts w:hint="eastAsia" w:ascii="宋体" w:hAnsi="宋体" w:eastAsia="宋体"/>
                <w:color w:val="auto"/>
                <w:highlight w:val="none"/>
                <w:lang w:eastAsia="zh-CN"/>
              </w:rPr>
            </w:pPr>
            <w:r>
              <w:rPr>
                <w:rFonts w:hint="eastAsia" w:ascii="宋体" w:hAnsi="宋体"/>
                <w:color w:val="auto"/>
                <w:highlight w:val="none"/>
                <w:lang w:eastAsia="zh-CN"/>
              </w:rPr>
              <w:t>代理机构</w:t>
            </w:r>
          </w:p>
        </w:tc>
        <w:tc>
          <w:tcPr>
            <w:tcW w:w="4871" w:type="dxa"/>
            <w:vAlign w:val="center"/>
          </w:tcPr>
          <w:p w14:paraId="79ADB8D3">
            <w:pPr>
              <w:pageBreakBefore w:val="0"/>
              <w:kinsoku/>
              <w:overflowPunct/>
              <w:topLinePunct w:val="0"/>
              <w:bidi w:val="0"/>
              <w:spacing w:line="360" w:lineRule="auto"/>
              <w:jc w:val="center"/>
              <w:rPr>
                <w:rFonts w:hint="eastAsia" w:ascii="宋体" w:hAnsi="宋体" w:eastAsia="宋体"/>
                <w:color w:val="auto"/>
                <w:highlight w:val="none"/>
                <w:lang w:eastAsia="zh-CN"/>
              </w:rPr>
            </w:pPr>
            <w:r>
              <w:rPr>
                <w:rFonts w:hint="eastAsia" w:ascii="宋体" w:hAnsi="宋体"/>
                <w:color w:val="auto"/>
                <w:highlight w:val="none"/>
                <w:lang w:eastAsia="zh-CN"/>
              </w:rPr>
              <w:t>深圳交易咨询集团有限公司</w:t>
            </w:r>
          </w:p>
        </w:tc>
      </w:tr>
      <w:tr w14:paraId="4D6BA4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C3719AF">
            <w:pPr>
              <w:pageBreakBefore w:val="0"/>
              <w:kinsoku/>
              <w:overflowPunct/>
              <w:topLinePunct w:val="0"/>
              <w:bidi w:val="0"/>
              <w:spacing w:line="360" w:lineRule="auto"/>
              <w:jc w:val="center"/>
              <w:rPr>
                <w:rFonts w:ascii="宋体" w:hAnsi="宋体"/>
                <w:color w:val="auto"/>
                <w:highlight w:val="none"/>
              </w:rPr>
            </w:pPr>
            <w:r>
              <w:rPr>
                <w:rFonts w:hint="eastAsia" w:ascii="宋体" w:hAnsi="宋体"/>
                <w:color w:val="auto"/>
                <w:highlight w:val="none"/>
              </w:rPr>
              <w:t>9</w:t>
            </w:r>
          </w:p>
        </w:tc>
        <w:tc>
          <w:tcPr>
            <w:tcW w:w="2526" w:type="dxa"/>
            <w:vAlign w:val="center"/>
          </w:tcPr>
          <w:p w14:paraId="6A723D8E">
            <w:pPr>
              <w:pageBreakBefore w:val="0"/>
              <w:kinsoku/>
              <w:overflowPunct/>
              <w:topLinePunct w:val="0"/>
              <w:bidi w:val="0"/>
              <w:spacing w:line="360" w:lineRule="auto"/>
              <w:jc w:val="center"/>
              <w:rPr>
                <w:rFonts w:ascii="宋体" w:hAnsi="宋体"/>
                <w:color w:val="auto"/>
                <w:highlight w:val="none"/>
              </w:rPr>
            </w:pPr>
            <w:r>
              <w:rPr>
                <w:rFonts w:hint="eastAsia" w:ascii="宋体" w:hAnsi="宋体"/>
                <w:color w:val="auto"/>
                <w:highlight w:val="none"/>
              </w:rPr>
              <w:t>踏勘现场</w:t>
            </w:r>
          </w:p>
        </w:tc>
        <w:tc>
          <w:tcPr>
            <w:tcW w:w="4871" w:type="dxa"/>
            <w:vAlign w:val="center"/>
          </w:tcPr>
          <w:p w14:paraId="586393D3">
            <w:pPr>
              <w:pageBreakBefore w:val="0"/>
              <w:kinsoku/>
              <w:overflowPunct/>
              <w:topLinePunct w:val="0"/>
              <w:bidi w:val="0"/>
              <w:spacing w:line="360" w:lineRule="auto"/>
              <w:jc w:val="center"/>
              <w:rPr>
                <w:rFonts w:ascii="宋体" w:hAnsi="宋体"/>
                <w:color w:val="auto"/>
                <w:highlight w:val="none"/>
              </w:rPr>
            </w:pPr>
            <w:r>
              <w:rPr>
                <w:rFonts w:hint="eastAsia" w:ascii="宋体" w:hAnsi="宋体" w:eastAsia="宋体" w:cs="Times New Roman"/>
                <w:color w:val="auto"/>
                <w:highlight w:val="none"/>
              </w:rPr>
              <w:t>不组织</w:t>
            </w:r>
          </w:p>
        </w:tc>
      </w:tr>
      <w:tr w14:paraId="1ADDAC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C0B9FBC">
            <w:pPr>
              <w:pageBreakBefore w:val="0"/>
              <w:kinsoku/>
              <w:overflowPunct/>
              <w:topLinePunct w:val="0"/>
              <w:bidi w:val="0"/>
              <w:spacing w:line="360" w:lineRule="auto"/>
              <w:jc w:val="center"/>
              <w:rPr>
                <w:rFonts w:ascii="宋体" w:hAnsi="宋体"/>
                <w:color w:val="auto"/>
                <w:highlight w:val="none"/>
              </w:rPr>
            </w:pPr>
            <w:r>
              <w:rPr>
                <w:rFonts w:hint="eastAsia" w:ascii="宋体" w:hAnsi="宋体"/>
                <w:color w:val="auto"/>
                <w:highlight w:val="none"/>
              </w:rPr>
              <w:t>1</w:t>
            </w:r>
            <w:r>
              <w:rPr>
                <w:rFonts w:ascii="宋体" w:hAnsi="宋体"/>
                <w:color w:val="auto"/>
                <w:highlight w:val="none"/>
              </w:rPr>
              <w:t>0</w:t>
            </w:r>
          </w:p>
        </w:tc>
        <w:tc>
          <w:tcPr>
            <w:tcW w:w="2526" w:type="dxa"/>
            <w:vAlign w:val="center"/>
          </w:tcPr>
          <w:p w14:paraId="654E57A6">
            <w:pPr>
              <w:pageBreakBefore w:val="0"/>
              <w:kinsoku/>
              <w:overflowPunct/>
              <w:topLinePunct w:val="0"/>
              <w:bidi w:val="0"/>
              <w:spacing w:line="360" w:lineRule="auto"/>
              <w:jc w:val="center"/>
              <w:rPr>
                <w:rFonts w:ascii="宋体" w:hAnsi="宋体"/>
                <w:color w:val="auto"/>
                <w:highlight w:val="none"/>
              </w:rPr>
            </w:pPr>
            <w:r>
              <w:rPr>
                <w:rFonts w:hint="eastAsia" w:ascii="宋体" w:hAnsi="宋体"/>
                <w:color w:val="auto"/>
                <w:highlight w:val="none"/>
              </w:rPr>
              <w:t>标前会议</w:t>
            </w:r>
          </w:p>
        </w:tc>
        <w:tc>
          <w:tcPr>
            <w:tcW w:w="4871" w:type="dxa"/>
            <w:vAlign w:val="center"/>
          </w:tcPr>
          <w:p w14:paraId="6F8E0B7B">
            <w:pPr>
              <w:pageBreakBefore w:val="0"/>
              <w:kinsoku/>
              <w:overflowPunct/>
              <w:topLinePunct w:val="0"/>
              <w:bidi w:val="0"/>
              <w:spacing w:line="360" w:lineRule="auto"/>
              <w:jc w:val="center"/>
              <w:rPr>
                <w:rFonts w:ascii="宋体" w:hAnsi="宋体"/>
                <w:color w:val="auto"/>
                <w:highlight w:val="none"/>
              </w:rPr>
            </w:pPr>
            <w:r>
              <w:rPr>
                <w:rFonts w:hint="eastAsia" w:ascii="宋体" w:hAnsi="宋体"/>
                <w:color w:val="auto"/>
                <w:highlight w:val="none"/>
              </w:rPr>
              <w:t>不组织</w:t>
            </w:r>
          </w:p>
        </w:tc>
      </w:tr>
      <w:tr w14:paraId="06DFD0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A1752E5">
            <w:pPr>
              <w:pageBreakBefore w:val="0"/>
              <w:kinsoku/>
              <w:overflowPunct/>
              <w:topLinePunct w:val="0"/>
              <w:bidi w:val="0"/>
              <w:spacing w:line="360" w:lineRule="auto"/>
              <w:jc w:val="center"/>
              <w:rPr>
                <w:rFonts w:ascii="宋体" w:hAnsi="宋体"/>
                <w:color w:val="auto"/>
                <w:highlight w:val="none"/>
              </w:rPr>
            </w:pPr>
            <w:r>
              <w:rPr>
                <w:rFonts w:hint="eastAsia" w:ascii="宋体" w:hAnsi="宋体"/>
                <w:color w:val="auto"/>
                <w:highlight w:val="none"/>
              </w:rPr>
              <w:t>1</w:t>
            </w:r>
            <w:r>
              <w:rPr>
                <w:rFonts w:ascii="宋体" w:hAnsi="宋体"/>
                <w:color w:val="auto"/>
                <w:highlight w:val="none"/>
              </w:rPr>
              <w:t>2</w:t>
            </w:r>
            <w:r>
              <w:rPr>
                <w:rFonts w:hint="eastAsia" w:ascii="宋体" w:hAnsi="宋体"/>
                <w:color w:val="auto"/>
                <w:highlight w:val="none"/>
              </w:rPr>
              <w:t>/1</w:t>
            </w:r>
            <w:r>
              <w:rPr>
                <w:rFonts w:ascii="宋体" w:hAnsi="宋体"/>
                <w:color w:val="auto"/>
                <w:highlight w:val="none"/>
              </w:rPr>
              <w:t>3</w:t>
            </w:r>
          </w:p>
        </w:tc>
        <w:tc>
          <w:tcPr>
            <w:tcW w:w="2526" w:type="dxa"/>
            <w:vAlign w:val="center"/>
          </w:tcPr>
          <w:p w14:paraId="3C9993FE">
            <w:pPr>
              <w:pageBreakBefore w:val="0"/>
              <w:kinsoku/>
              <w:overflowPunct/>
              <w:topLinePunct w:val="0"/>
              <w:bidi w:val="0"/>
              <w:spacing w:line="360" w:lineRule="auto"/>
              <w:jc w:val="center"/>
              <w:rPr>
                <w:rFonts w:ascii="宋体" w:hAnsi="宋体"/>
                <w:color w:val="auto"/>
                <w:highlight w:val="none"/>
              </w:rPr>
            </w:pPr>
            <w:r>
              <w:rPr>
                <w:rFonts w:hint="eastAsia" w:ascii="宋体" w:hAnsi="宋体"/>
                <w:color w:val="auto"/>
                <w:highlight w:val="none"/>
              </w:rPr>
              <w:t>招标文件的澄清和修改</w:t>
            </w:r>
          </w:p>
        </w:tc>
        <w:tc>
          <w:tcPr>
            <w:tcW w:w="4871" w:type="dxa"/>
            <w:vAlign w:val="center"/>
          </w:tcPr>
          <w:p w14:paraId="5304B65D">
            <w:pPr>
              <w:pageBreakBefore w:val="0"/>
              <w:kinsoku/>
              <w:overflowPunct/>
              <w:topLinePunct w:val="0"/>
              <w:bidi w:val="0"/>
              <w:spacing w:line="360" w:lineRule="auto"/>
              <w:jc w:val="left"/>
              <w:rPr>
                <w:rFonts w:ascii="宋体" w:hAnsi="宋体"/>
                <w:color w:val="auto"/>
                <w:highlight w:val="none"/>
              </w:rPr>
            </w:pPr>
            <w:r>
              <w:rPr>
                <w:rFonts w:hint="eastAsia" w:ascii="宋体" w:hAnsi="宋体"/>
                <w:color w:val="auto"/>
                <w:highlight w:val="none"/>
              </w:rPr>
              <w:t>投标截止日三日前，投标人有义务在招标期间在</w:t>
            </w:r>
            <w:r>
              <w:rPr>
                <w:rFonts w:hint="eastAsia" w:ascii="宋体" w:hAnsi="宋体"/>
                <w:color w:val="auto"/>
                <w:highlight w:val="none"/>
                <w:lang w:eastAsia="zh-CN"/>
              </w:rPr>
              <w:t>代理机构</w:t>
            </w:r>
            <w:r>
              <w:rPr>
                <w:rFonts w:hint="eastAsia" w:ascii="宋体" w:hAnsi="宋体"/>
                <w:color w:val="auto"/>
                <w:highlight w:val="none"/>
              </w:rPr>
              <w:t>网站浏览与本项目有关的澄清和修改信息</w:t>
            </w:r>
          </w:p>
        </w:tc>
      </w:tr>
      <w:tr w14:paraId="39B44B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68E84EE">
            <w:pPr>
              <w:pageBreakBefore w:val="0"/>
              <w:kinsoku/>
              <w:overflowPunct/>
              <w:topLinePunct w:val="0"/>
              <w:bidi w:val="0"/>
              <w:spacing w:line="360" w:lineRule="auto"/>
              <w:jc w:val="center"/>
              <w:rPr>
                <w:rFonts w:ascii="宋体" w:hAnsi="宋体"/>
                <w:color w:val="auto"/>
                <w:highlight w:val="none"/>
              </w:rPr>
            </w:pPr>
            <w:r>
              <w:rPr>
                <w:rFonts w:hint="eastAsia" w:ascii="宋体" w:hAnsi="宋体"/>
                <w:color w:val="auto"/>
                <w:highlight w:val="none"/>
              </w:rPr>
              <w:t>2</w:t>
            </w:r>
            <w:r>
              <w:rPr>
                <w:rFonts w:ascii="宋体" w:hAnsi="宋体"/>
                <w:color w:val="auto"/>
                <w:highlight w:val="none"/>
              </w:rPr>
              <w:t>0</w:t>
            </w:r>
          </w:p>
        </w:tc>
        <w:tc>
          <w:tcPr>
            <w:tcW w:w="2526" w:type="dxa"/>
            <w:vAlign w:val="center"/>
          </w:tcPr>
          <w:p w14:paraId="3391E368">
            <w:pPr>
              <w:pageBreakBefore w:val="0"/>
              <w:kinsoku/>
              <w:overflowPunct/>
              <w:topLinePunct w:val="0"/>
              <w:bidi w:val="0"/>
              <w:spacing w:line="360" w:lineRule="auto"/>
              <w:jc w:val="center"/>
              <w:rPr>
                <w:rFonts w:ascii="宋体" w:hAnsi="宋体"/>
                <w:color w:val="auto"/>
                <w:highlight w:val="none"/>
              </w:rPr>
            </w:pPr>
            <w:r>
              <w:rPr>
                <w:rFonts w:hint="eastAsia" w:ascii="宋体" w:hAnsi="宋体"/>
                <w:color w:val="auto"/>
                <w:highlight w:val="none"/>
              </w:rPr>
              <w:t>投标有效期</w:t>
            </w:r>
          </w:p>
        </w:tc>
        <w:tc>
          <w:tcPr>
            <w:tcW w:w="4871" w:type="dxa"/>
            <w:vAlign w:val="center"/>
          </w:tcPr>
          <w:p w14:paraId="1086EB33">
            <w:pPr>
              <w:pageBreakBefore w:val="0"/>
              <w:kinsoku/>
              <w:overflowPunct/>
              <w:topLinePunct w:val="0"/>
              <w:bidi w:val="0"/>
              <w:spacing w:line="360" w:lineRule="auto"/>
              <w:jc w:val="center"/>
              <w:rPr>
                <w:rFonts w:ascii="宋体" w:hAnsi="宋体"/>
                <w:color w:val="auto"/>
                <w:highlight w:val="none"/>
              </w:rPr>
            </w:pPr>
            <w:r>
              <w:rPr>
                <w:rFonts w:hint="eastAsia" w:ascii="宋体" w:hAnsi="宋体"/>
                <w:color w:val="auto"/>
                <w:highlight w:val="none"/>
              </w:rPr>
              <w:t>120个日历日</w:t>
            </w:r>
          </w:p>
        </w:tc>
      </w:tr>
      <w:tr w14:paraId="3B62E8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45AC749">
            <w:pPr>
              <w:pageBreakBefore w:val="0"/>
              <w:kinsoku/>
              <w:overflowPunct/>
              <w:topLinePunct w:val="0"/>
              <w:bidi w:val="0"/>
              <w:spacing w:line="360" w:lineRule="auto"/>
              <w:jc w:val="center"/>
              <w:rPr>
                <w:rFonts w:ascii="宋体" w:hAnsi="宋体"/>
                <w:color w:val="auto"/>
                <w:highlight w:val="none"/>
              </w:rPr>
            </w:pPr>
            <w:r>
              <w:rPr>
                <w:rFonts w:hint="eastAsia" w:ascii="宋体" w:hAnsi="宋体"/>
                <w:color w:val="auto"/>
                <w:highlight w:val="none"/>
              </w:rPr>
              <w:t>2</w:t>
            </w:r>
            <w:r>
              <w:rPr>
                <w:rFonts w:ascii="宋体" w:hAnsi="宋体"/>
                <w:color w:val="auto"/>
                <w:highlight w:val="none"/>
              </w:rPr>
              <w:t>2</w:t>
            </w:r>
          </w:p>
        </w:tc>
        <w:tc>
          <w:tcPr>
            <w:tcW w:w="2526" w:type="dxa"/>
            <w:vAlign w:val="center"/>
          </w:tcPr>
          <w:p w14:paraId="76E7B014">
            <w:pPr>
              <w:pageBreakBefore w:val="0"/>
              <w:kinsoku/>
              <w:overflowPunct/>
              <w:topLinePunct w:val="0"/>
              <w:bidi w:val="0"/>
              <w:spacing w:line="360" w:lineRule="auto"/>
              <w:jc w:val="center"/>
              <w:rPr>
                <w:rFonts w:ascii="宋体" w:hAnsi="宋体"/>
                <w:color w:val="auto"/>
                <w:highlight w:val="none"/>
              </w:rPr>
            </w:pPr>
            <w:r>
              <w:rPr>
                <w:rFonts w:hint="eastAsia" w:ascii="宋体" w:hAnsi="宋体"/>
                <w:color w:val="auto"/>
                <w:highlight w:val="none"/>
              </w:rPr>
              <w:t>投标人的替代方案</w:t>
            </w:r>
          </w:p>
        </w:tc>
        <w:tc>
          <w:tcPr>
            <w:tcW w:w="4871" w:type="dxa"/>
            <w:vAlign w:val="center"/>
          </w:tcPr>
          <w:p w14:paraId="3BC5BE8A">
            <w:pPr>
              <w:pageBreakBefore w:val="0"/>
              <w:kinsoku/>
              <w:overflowPunct/>
              <w:topLinePunct w:val="0"/>
              <w:bidi w:val="0"/>
              <w:spacing w:line="360" w:lineRule="auto"/>
              <w:jc w:val="center"/>
              <w:rPr>
                <w:rFonts w:ascii="宋体" w:hAnsi="宋体"/>
                <w:color w:val="auto"/>
                <w:highlight w:val="none"/>
              </w:rPr>
            </w:pPr>
            <w:r>
              <w:rPr>
                <w:rFonts w:hint="eastAsia" w:ascii="宋体" w:hAnsi="宋体"/>
                <w:color w:val="auto"/>
                <w:highlight w:val="none"/>
              </w:rPr>
              <w:t>不接受</w:t>
            </w:r>
          </w:p>
        </w:tc>
      </w:tr>
      <w:tr w14:paraId="7E1740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F64676F">
            <w:pPr>
              <w:pageBreakBefore w:val="0"/>
              <w:kinsoku/>
              <w:overflowPunct/>
              <w:topLinePunct w:val="0"/>
              <w:bidi w:val="0"/>
              <w:spacing w:line="360" w:lineRule="auto"/>
              <w:jc w:val="center"/>
              <w:rPr>
                <w:rFonts w:ascii="宋体" w:hAnsi="宋体"/>
                <w:color w:val="auto"/>
                <w:highlight w:val="none"/>
              </w:rPr>
            </w:pPr>
            <w:r>
              <w:rPr>
                <w:rFonts w:hint="eastAsia" w:ascii="宋体" w:hAnsi="宋体"/>
                <w:color w:val="auto"/>
                <w:highlight w:val="none"/>
              </w:rPr>
              <w:t>2</w:t>
            </w:r>
            <w:r>
              <w:rPr>
                <w:rFonts w:ascii="宋体" w:hAnsi="宋体"/>
                <w:color w:val="auto"/>
                <w:highlight w:val="none"/>
              </w:rPr>
              <w:t>5</w:t>
            </w:r>
          </w:p>
        </w:tc>
        <w:tc>
          <w:tcPr>
            <w:tcW w:w="2526" w:type="dxa"/>
            <w:vAlign w:val="center"/>
          </w:tcPr>
          <w:p w14:paraId="4E7F55F0">
            <w:pPr>
              <w:pageBreakBefore w:val="0"/>
              <w:kinsoku/>
              <w:overflowPunct/>
              <w:topLinePunct w:val="0"/>
              <w:bidi w:val="0"/>
              <w:spacing w:line="360" w:lineRule="auto"/>
              <w:jc w:val="center"/>
              <w:rPr>
                <w:rFonts w:ascii="宋体" w:hAnsi="宋体"/>
                <w:color w:val="auto"/>
                <w:highlight w:val="none"/>
              </w:rPr>
            </w:pPr>
            <w:r>
              <w:rPr>
                <w:rFonts w:hint="eastAsia" w:ascii="宋体" w:hAnsi="宋体"/>
                <w:color w:val="auto"/>
                <w:highlight w:val="none"/>
              </w:rPr>
              <w:t>投标文件的大小</w:t>
            </w:r>
          </w:p>
        </w:tc>
        <w:tc>
          <w:tcPr>
            <w:tcW w:w="4871" w:type="dxa"/>
            <w:vAlign w:val="center"/>
          </w:tcPr>
          <w:p w14:paraId="5F91D077">
            <w:pPr>
              <w:pageBreakBefore w:val="0"/>
              <w:kinsoku/>
              <w:overflowPunct/>
              <w:topLinePunct w:val="0"/>
              <w:bidi w:val="0"/>
              <w:spacing w:line="360" w:lineRule="auto"/>
              <w:jc w:val="center"/>
              <w:rPr>
                <w:rFonts w:ascii="宋体" w:hAnsi="宋体"/>
                <w:color w:val="auto"/>
                <w:highlight w:val="none"/>
              </w:rPr>
            </w:pPr>
            <w:r>
              <w:rPr>
                <w:rFonts w:hint="eastAsia" w:ascii="宋体" w:hAnsi="宋体"/>
                <w:color w:val="auto"/>
                <w:highlight w:val="none"/>
              </w:rPr>
              <w:t>投标文件大小不得超过</w:t>
            </w:r>
            <w:r>
              <w:rPr>
                <w:rFonts w:ascii="宋体" w:hAnsi="宋体"/>
                <w:color w:val="auto"/>
                <w:highlight w:val="none"/>
              </w:rPr>
              <w:t>1</w:t>
            </w:r>
            <w:r>
              <w:rPr>
                <w:rFonts w:hint="eastAsia" w:ascii="宋体" w:hAnsi="宋体"/>
                <w:color w:val="auto"/>
                <w:highlight w:val="none"/>
              </w:rPr>
              <w:t>00MB</w:t>
            </w:r>
          </w:p>
        </w:tc>
      </w:tr>
      <w:tr w14:paraId="5E5184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B8C0F3E">
            <w:pPr>
              <w:pageBreakBefore w:val="0"/>
              <w:kinsoku/>
              <w:overflowPunct/>
              <w:topLinePunct w:val="0"/>
              <w:bidi w:val="0"/>
              <w:spacing w:line="360" w:lineRule="auto"/>
              <w:jc w:val="center"/>
              <w:rPr>
                <w:rFonts w:ascii="宋体" w:hAnsi="宋体"/>
                <w:color w:val="auto"/>
                <w:highlight w:val="none"/>
              </w:rPr>
            </w:pPr>
            <w:r>
              <w:rPr>
                <w:rFonts w:hint="eastAsia" w:ascii="宋体" w:hAnsi="宋体"/>
                <w:color w:val="auto"/>
                <w:highlight w:val="none"/>
              </w:rPr>
              <w:t>2</w:t>
            </w:r>
            <w:r>
              <w:rPr>
                <w:rFonts w:ascii="宋体" w:hAnsi="宋体"/>
                <w:color w:val="auto"/>
                <w:highlight w:val="none"/>
              </w:rPr>
              <w:t>6</w:t>
            </w:r>
          </w:p>
        </w:tc>
        <w:tc>
          <w:tcPr>
            <w:tcW w:w="2526" w:type="dxa"/>
            <w:vAlign w:val="center"/>
          </w:tcPr>
          <w:p w14:paraId="2F4AEB21">
            <w:pPr>
              <w:pageBreakBefore w:val="0"/>
              <w:kinsoku/>
              <w:overflowPunct/>
              <w:topLinePunct w:val="0"/>
              <w:bidi w:val="0"/>
              <w:spacing w:line="360" w:lineRule="auto"/>
              <w:jc w:val="center"/>
              <w:rPr>
                <w:rFonts w:ascii="宋体" w:hAnsi="宋体"/>
                <w:color w:val="auto"/>
                <w:highlight w:val="none"/>
              </w:rPr>
            </w:pPr>
            <w:bookmarkStart w:id="27" w:name="_Hlk71664860"/>
            <w:r>
              <w:rPr>
                <w:rFonts w:hint="eastAsia" w:ascii="宋体" w:hAnsi="宋体"/>
                <w:color w:val="auto"/>
                <w:highlight w:val="none"/>
              </w:rPr>
              <w:t>样品、演示、方案讲解</w:t>
            </w:r>
            <w:bookmarkEnd w:id="27"/>
          </w:p>
        </w:tc>
        <w:tc>
          <w:tcPr>
            <w:tcW w:w="4871" w:type="dxa"/>
            <w:vAlign w:val="center"/>
          </w:tcPr>
          <w:p w14:paraId="49246A54">
            <w:pPr>
              <w:pageBreakBefore w:val="0"/>
              <w:kinsoku/>
              <w:overflowPunct/>
              <w:topLinePunct w:val="0"/>
              <w:bidi w:val="0"/>
              <w:spacing w:line="360" w:lineRule="auto"/>
              <w:rPr>
                <w:rFonts w:ascii="宋体" w:hAnsi="宋体"/>
                <w:color w:val="auto"/>
                <w:highlight w:val="none"/>
              </w:rPr>
            </w:pPr>
            <w:r>
              <w:rPr>
                <w:rFonts w:hint="eastAsia" w:ascii="宋体" w:hAnsi="宋体"/>
                <w:color w:val="auto"/>
                <w:highlight w:val="none"/>
              </w:rPr>
              <w:t>如有样品、演示、方案讲解，具体安排见第三章 用户需求书相关要求</w:t>
            </w:r>
          </w:p>
        </w:tc>
      </w:tr>
      <w:tr w14:paraId="34BDE5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8C3FFAF">
            <w:pPr>
              <w:pageBreakBefore w:val="0"/>
              <w:kinsoku/>
              <w:overflowPunct/>
              <w:topLinePunct w:val="0"/>
              <w:bidi w:val="0"/>
              <w:spacing w:line="360" w:lineRule="auto"/>
              <w:jc w:val="center"/>
              <w:rPr>
                <w:rFonts w:ascii="宋体" w:hAnsi="宋体"/>
                <w:color w:val="auto"/>
                <w:highlight w:val="none"/>
              </w:rPr>
            </w:pPr>
            <w:r>
              <w:rPr>
                <w:rFonts w:hint="eastAsia" w:ascii="宋体" w:hAnsi="宋体"/>
                <w:color w:val="auto"/>
                <w:highlight w:val="none"/>
              </w:rPr>
              <w:t>3</w:t>
            </w:r>
            <w:r>
              <w:rPr>
                <w:rFonts w:ascii="宋体" w:hAnsi="宋体"/>
                <w:color w:val="auto"/>
                <w:highlight w:val="none"/>
              </w:rPr>
              <w:t>7</w:t>
            </w:r>
          </w:p>
        </w:tc>
        <w:tc>
          <w:tcPr>
            <w:tcW w:w="2526" w:type="dxa"/>
            <w:vAlign w:val="center"/>
          </w:tcPr>
          <w:p w14:paraId="14B91244">
            <w:pPr>
              <w:pageBreakBefore w:val="0"/>
              <w:kinsoku/>
              <w:overflowPunct/>
              <w:topLinePunct w:val="0"/>
              <w:bidi w:val="0"/>
              <w:spacing w:line="360" w:lineRule="auto"/>
              <w:jc w:val="center"/>
              <w:rPr>
                <w:rFonts w:ascii="宋体" w:hAnsi="宋体"/>
                <w:color w:val="auto"/>
                <w:highlight w:val="none"/>
              </w:rPr>
            </w:pPr>
            <w:r>
              <w:rPr>
                <w:rFonts w:hint="eastAsia" w:ascii="宋体" w:hAnsi="宋体"/>
                <w:color w:val="auto"/>
                <w:highlight w:val="none"/>
              </w:rPr>
              <w:t>评审方法</w:t>
            </w:r>
          </w:p>
        </w:tc>
        <w:tc>
          <w:tcPr>
            <w:tcW w:w="4871" w:type="dxa"/>
            <w:vAlign w:val="center"/>
          </w:tcPr>
          <w:p w14:paraId="342924A3">
            <w:pPr>
              <w:pageBreakBefore w:val="0"/>
              <w:kinsoku/>
              <w:overflowPunct/>
              <w:topLinePunct w:val="0"/>
              <w:bidi w:val="0"/>
              <w:spacing w:line="360" w:lineRule="auto"/>
              <w:jc w:val="center"/>
              <w:rPr>
                <w:rFonts w:ascii="宋体" w:hAnsi="宋体"/>
                <w:color w:val="0000FF"/>
                <w:highlight w:val="none"/>
              </w:rPr>
            </w:pPr>
            <w:r>
              <w:rPr>
                <w:rFonts w:hint="eastAsia" w:ascii="宋体" w:hAnsi="宋体"/>
                <w:color w:val="0000FF"/>
                <w:highlight w:val="none"/>
              </w:rPr>
              <w:t>综合评分法</w:t>
            </w:r>
          </w:p>
        </w:tc>
      </w:tr>
      <w:tr w14:paraId="38871A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14:paraId="43AECF9D">
            <w:pPr>
              <w:pageBreakBefore w:val="0"/>
              <w:kinsoku/>
              <w:overflowPunct/>
              <w:topLinePunct w:val="0"/>
              <w:bidi w:val="0"/>
              <w:spacing w:line="360" w:lineRule="auto"/>
              <w:jc w:val="center"/>
              <w:rPr>
                <w:rFonts w:ascii="宋体" w:hAnsi="宋体"/>
                <w:color w:val="auto"/>
                <w:highlight w:val="none"/>
              </w:rPr>
            </w:pPr>
            <w:r>
              <w:rPr>
                <w:rFonts w:hint="eastAsia" w:ascii="宋体" w:hAnsi="宋体"/>
                <w:color w:val="auto"/>
                <w:highlight w:val="none"/>
              </w:rPr>
              <w:t>3</w:t>
            </w:r>
            <w:r>
              <w:rPr>
                <w:rFonts w:ascii="宋体" w:hAnsi="宋体"/>
                <w:color w:val="auto"/>
                <w:highlight w:val="none"/>
              </w:rPr>
              <w:t>8</w:t>
            </w:r>
          </w:p>
        </w:tc>
        <w:tc>
          <w:tcPr>
            <w:tcW w:w="2526" w:type="dxa"/>
            <w:vAlign w:val="center"/>
          </w:tcPr>
          <w:p w14:paraId="0FA48EBA">
            <w:pPr>
              <w:pageBreakBefore w:val="0"/>
              <w:kinsoku/>
              <w:overflowPunct/>
              <w:topLinePunct w:val="0"/>
              <w:bidi w:val="0"/>
              <w:spacing w:line="360" w:lineRule="auto"/>
              <w:jc w:val="center"/>
              <w:rPr>
                <w:rFonts w:ascii="宋体" w:hAnsi="宋体"/>
                <w:color w:val="auto"/>
                <w:highlight w:val="none"/>
              </w:rPr>
            </w:pPr>
            <w:r>
              <w:rPr>
                <w:rFonts w:hint="eastAsia" w:ascii="宋体" w:hAnsi="宋体"/>
                <w:color w:val="auto"/>
                <w:highlight w:val="none"/>
              </w:rPr>
              <w:t>定标方法</w:t>
            </w:r>
          </w:p>
        </w:tc>
        <w:tc>
          <w:tcPr>
            <w:tcW w:w="4871" w:type="dxa"/>
            <w:vAlign w:val="center"/>
          </w:tcPr>
          <w:p w14:paraId="116FD800">
            <w:pPr>
              <w:pageBreakBefore w:val="0"/>
              <w:kinsoku/>
              <w:overflowPunct/>
              <w:topLinePunct w:val="0"/>
              <w:bidi w:val="0"/>
              <w:spacing w:line="360" w:lineRule="auto"/>
              <w:jc w:val="center"/>
              <w:rPr>
                <w:rFonts w:ascii="宋体" w:hAnsi="宋体"/>
                <w:color w:val="0000FF"/>
                <w:highlight w:val="none"/>
              </w:rPr>
            </w:pPr>
            <w:r>
              <w:rPr>
                <w:rFonts w:hint="eastAsia" w:ascii="宋体" w:hAnsi="宋体"/>
                <w:color w:val="0000FF"/>
                <w:highlight w:val="none"/>
              </w:rPr>
              <w:t>非评定分离</w:t>
            </w:r>
          </w:p>
        </w:tc>
      </w:tr>
      <w:tr w14:paraId="3CEE84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D77D3A4">
            <w:pPr>
              <w:pageBreakBefore w:val="0"/>
              <w:kinsoku/>
              <w:overflowPunct/>
              <w:topLinePunct w:val="0"/>
              <w:bidi w:val="0"/>
              <w:spacing w:line="360" w:lineRule="auto"/>
              <w:jc w:val="center"/>
              <w:rPr>
                <w:rFonts w:ascii="宋体" w:hAnsi="宋体"/>
                <w:color w:val="auto"/>
                <w:highlight w:val="none"/>
              </w:rPr>
            </w:pPr>
            <w:r>
              <w:rPr>
                <w:rFonts w:hint="eastAsia" w:ascii="宋体" w:hAnsi="宋体"/>
                <w:color w:val="auto"/>
                <w:highlight w:val="none"/>
              </w:rPr>
              <w:t>4</w:t>
            </w:r>
            <w:r>
              <w:rPr>
                <w:rFonts w:ascii="宋体" w:hAnsi="宋体"/>
                <w:color w:val="auto"/>
                <w:highlight w:val="none"/>
              </w:rPr>
              <w:t>6</w:t>
            </w:r>
          </w:p>
        </w:tc>
        <w:tc>
          <w:tcPr>
            <w:tcW w:w="2526" w:type="dxa"/>
            <w:vAlign w:val="center"/>
          </w:tcPr>
          <w:p w14:paraId="7EA366E6">
            <w:pPr>
              <w:pageBreakBefore w:val="0"/>
              <w:kinsoku/>
              <w:overflowPunct/>
              <w:topLinePunct w:val="0"/>
              <w:bidi w:val="0"/>
              <w:spacing w:line="360" w:lineRule="auto"/>
              <w:jc w:val="center"/>
              <w:rPr>
                <w:rFonts w:ascii="宋体" w:hAnsi="宋体"/>
                <w:color w:val="auto"/>
                <w:highlight w:val="none"/>
              </w:rPr>
            </w:pPr>
            <w:r>
              <w:rPr>
                <w:rFonts w:hint="eastAsia" w:ascii="宋体" w:hAnsi="宋体"/>
                <w:color w:val="auto"/>
                <w:highlight w:val="none"/>
              </w:rPr>
              <w:t>履约担保</w:t>
            </w:r>
          </w:p>
        </w:tc>
        <w:tc>
          <w:tcPr>
            <w:tcW w:w="4871" w:type="dxa"/>
            <w:vAlign w:val="center"/>
          </w:tcPr>
          <w:p w14:paraId="67C8AF14">
            <w:pPr>
              <w:pageBreakBefore w:val="0"/>
              <w:kinsoku/>
              <w:overflowPunct/>
              <w:topLinePunct w:val="0"/>
              <w:bidi w:val="0"/>
              <w:spacing w:line="360" w:lineRule="auto"/>
              <w:jc w:val="center"/>
              <w:rPr>
                <w:rFonts w:ascii="宋体" w:hAnsi="宋体"/>
                <w:color w:val="0000FF"/>
                <w:highlight w:val="none"/>
              </w:rPr>
            </w:pPr>
            <w:r>
              <w:rPr>
                <w:rFonts w:hint="eastAsia" w:ascii="宋体" w:hAnsi="宋体"/>
                <w:color w:val="0000FF"/>
                <w:highlight w:val="none"/>
              </w:rPr>
              <w:t>不需要</w:t>
            </w:r>
          </w:p>
        </w:tc>
      </w:tr>
      <w:tr w14:paraId="3DFED7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F890F70">
            <w:pPr>
              <w:pageBreakBefore w:val="0"/>
              <w:kinsoku/>
              <w:overflowPunct/>
              <w:topLinePunct w:val="0"/>
              <w:bidi w:val="0"/>
              <w:spacing w:line="360" w:lineRule="auto"/>
              <w:jc w:val="center"/>
              <w:rPr>
                <w:rFonts w:ascii="宋体" w:hAnsi="宋体"/>
                <w:color w:val="auto"/>
                <w:highlight w:val="none"/>
              </w:rPr>
            </w:pPr>
            <w:r>
              <w:rPr>
                <w:rFonts w:hint="eastAsia" w:ascii="宋体" w:hAnsi="宋体"/>
                <w:color w:val="auto"/>
                <w:highlight w:val="none"/>
              </w:rPr>
              <w:t>52.8</w:t>
            </w:r>
          </w:p>
        </w:tc>
        <w:tc>
          <w:tcPr>
            <w:tcW w:w="2526" w:type="dxa"/>
            <w:vAlign w:val="center"/>
          </w:tcPr>
          <w:p w14:paraId="1A10BA79">
            <w:pPr>
              <w:pageBreakBefore w:val="0"/>
              <w:kinsoku/>
              <w:overflowPunct/>
              <w:topLinePunct w:val="0"/>
              <w:bidi w:val="0"/>
              <w:spacing w:line="360" w:lineRule="auto"/>
              <w:jc w:val="center"/>
              <w:rPr>
                <w:rFonts w:ascii="宋体" w:hAnsi="宋体"/>
                <w:color w:val="auto"/>
                <w:highlight w:val="none"/>
              </w:rPr>
            </w:pPr>
            <w:r>
              <w:rPr>
                <w:rFonts w:hint="eastAsia" w:ascii="宋体" w:hAnsi="宋体"/>
                <w:color w:val="auto"/>
                <w:highlight w:val="none"/>
              </w:rPr>
              <w:t>投诉</w:t>
            </w:r>
          </w:p>
        </w:tc>
        <w:tc>
          <w:tcPr>
            <w:tcW w:w="4871" w:type="dxa"/>
            <w:vAlign w:val="center"/>
          </w:tcPr>
          <w:p w14:paraId="4E0BFF57">
            <w:pPr>
              <w:pageBreakBefore w:val="0"/>
              <w:kinsoku/>
              <w:overflowPunct/>
              <w:topLinePunct w:val="0"/>
              <w:bidi w:val="0"/>
              <w:spacing w:line="360" w:lineRule="auto"/>
              <w:jc w:val="left"/>
              <w:rPr>
                <w:rFonts w:ascii="宋体" w:hAnsi="宋体"/>
                <w:b/>
                <w:color w:val="auto"/>
                <w:highlight w:val="none"/>
              </w:rPr>
            </w:pPr>
            <w:r>
              <w:rPr>
                <w:rFonts w:hint="eastAsia" w:ascii="宋体" w:hAnsi="宋体"/>
                <w:color w:val="auto"/>
                <w:highlight w:val="none"/>
              </w:rPr>
              <w:t>对被质疑人的答复不满意或者被质疑人未在规定时间内答复的，提出质疑的供应商可以在答复期满后十五个工作日内向本项目预算主管单位（本项目采购人）投诉。供应商投诉的事项应当是经过质疑的事项。</w:t>
            </w:r>
          </w:p>
        </w:tc>
      </w:tr>
    </w:tbl>
    <w:p w14:paraId="1DAA6178">
      <w:pPr>
        <w:pageBreakBefore w:val="0"/>
        <w:kinsoku/>
        <w:overflowPunct/>
        <w:topLinePunct w:val="0"/>
        <w:bidi w:val="0"/>
        <w:spacing w:line="360" w:lineRule="auto"/>
        <w:rPr>
          <w:b/>
          <w:color w:val="auto"/>
          <w:highlight w:val="none"/>
        </w:rPr>
      </w:pPr>
      <w:r>
        <w:rPr>
          <w:rFonts w:hint="eastAsia"/>
          <w:color w:val="auto"/>
          <w:szCs w:val="21"/>
          <w:highlight w:val="none"/>
        </w:rPr>
        <w:t>备注：本表是通用条款相关条款的补充和明确，如与通用条款内容相冲突的，以本表为准。</w:t>
      </w:r>
    </w:p>
    <w:p w14:paraId="74B99A71">
      <w:pPr>
        <w:pageBreakBefore w:val="0"/>
        <w:kinsoku/>
        <w:overflowPunct/>
        <w:topLinePunct w:val="0"/>
        <w:bidi w:val="0"/>
        <w:spacing w:line="360" w:lineRule="auto"/>
        <w:rPr>
          <w:b/>
          <w:color w:val="auto"/>
          <w:highlight w:val="none"/>
        </w:rPr>
      </w:pPr>
    </w:p>
    <w:p w14:paraId="6179A67A">
      <w:pPr>
        <w:pStyle w:val="3"/>
        <w:keepNext w:val="0"/>
        <w:keepLines w:val="0"/>
        <w:pageBreakBefore w:val="0"/>
        <w:widowControl w:val="0"/>
        <w:kinsoku/>
        <w:wordWrap/>
        <w:overflowPunct/>
        <w:topLinePunct w:val="0"/>
        <w:autoSpaceDE/>
        <w:autoSpaceDN/>
        <w:bidi w:val="0"/>
        <w:adjustRightInd w:val="0"/>
        <w:snapToGrid/>
        <w:spacing w:before="120" w:beforeLines="50" w:after="120" w:afterLines="50" w:line="360" w:lineRule="auto"/>
        <w:jc w:val="center"/>
        <w:textAlignment w:val="baseline"/>
        <w:outlineLvl w:val="2"/>
        <w:rPr>
          <w:rFonts w:hint="eastAsia" w:ascii="宋体" w:hAnsi="宋体" w:eastAsia="宋体" w:cs="Times New Roman"/>
          <w:b w:val="0"/>
          <w:bCs w:val="0"/>
          <w:color w:val="auto"/>
          <w:sz w:val="24"/>
          <w:szCs w:val="22"/>
          <w:highlight w:val="none"/>
        </w:rPr>
      </w:pPr>
      <w:r>
        <w:rPr>
          <w:rFonts w:hint="eastAsia" w:ascii="宋体" w:hAnsi="宋体" w:eastAsia="宋体" w:cs="Times New Roman"/>
          <w:b w:val="0"/>
          <w:bCs w:val="0"/>
          <w:color w:val="auto"/>
          <w:sz w:val="24"/>
          <w:szCs w:val="22"/>
          <w:highlight w:val="none"/>
        </w:rPr>
        <w:t>二、其他关键信息</w:t>
      </w:r>
    </w:p>
    <w:p w14:paraId="4A6EFAA0">
      <w:pPr>
        <w:pageBreakBefore w:val="0"/>
        <w:kinsoku/>
        <w:overflowPunct/>
        <w:topLinePunct w:val="0"/>
        <w:bidi w:val="0"/>
        <w:spacing w:line="360" w:lineRule="auto"/>
        <w:ind w:firstLine="422" w:firstLineChars="200"/>
        <w:rPr>
          <w:b/>
          <w:bCs/>
          <w:color w:val="auto"/>
          <w:highlight w:val="none"/>
        </w:rPr>
      </w:pPr>
      <w:r>
        <w:rPr>
          <w:rFonts w:hint="eastAsia"/>
          <w:b/>
          <w:bCs/>
          <w:color w:val="auto"/>
          <w:highlight w:val="none"/>
        </w:rPr>
        <w:t>（一）与“对通用条款的补充内容”章节相关的事项</w:t>
      </w:r>
    </w:p>
    <w:p w14:paraId="2C281F64">
      <w:pPr>
        <w:pageBreakBefore w:val="0"/>
        <w:kinsoku/>
        <w:overflowPunct/>
        <w:topLinePunct w:val="0"/>
        <w:bidi w:val="0"/>
        <w:spacing w:line="360" w:lineRule="auto"/>
        <w:ind w:firstLine="422" w:firstLineChars="200"/>
        <w:jc w:val="left"/>
        <w:rPr>
          <w:rFonts w:asciiTheme="minorEastAsia" w:hAnsiTheme="minorEastAsia" w:eastAsiaTheme="minorEastAsia"/>
          <w:b/>
          <w:color w:val="auto"/>
          <w:kern w:val="0"/>
          <w:szCs w:val="20"/>
          <w:highlight w:val="none"/>
        </w:rPr>
      </w:pPr>
      <w:bookmarkStart w:id="28" w:name="_Hlk72579465"/>
      <w:r>
        <w:rPr>
          <w:rFonts w:hint="eastAsia" w:asciiTheme="minorEastAsia" w:hAnsiTheme="minorEastAsia" w:eastAsiaTheme="minorEastAsia"/>
          <w:b/>
          <w:color w:val="auto"/>
          <w:kern w:val="0"/>
          <w:szCs w:val="20"/>
          <w:highlight w:val="none"/>
        </w:rPr>
        <w:t>1、评标定标信息</w:t>
      </w:r>
    </w:p>
    <w:p w14:paraId="09BB35E3">
      <w:pPr>
        <w:pageBreakBefore w:val="0"/>
        <w:kinsoku/>
        <w:overflowPunct/>
        <w:topLinePunct w:val="0"/>
        <w:bidi w:val="0"/>
        <w:spacing w:line="360" w:lineRule="auto"/>
        <w:jc w:val="center"/>
        <w:rPr>
          <w:color w:val="auto"/>
          <w:highlight w:val="none"/>
        </w:rPr>
      </w:pPr>
      <w:r>
        <w:rPr>
          <w:rFonts w:hint="eastAsia"/>
          <w:b/>
          <w:color w:val="auto"/>
          <w:highlight w:val="none"/>
        </w:rPr>
        <w:t>非评定分离项目</w:t>
      </w:r>
    </w:p>
    <w:tbl>
      <w:tblPr>
        <w:tblStyle w:val="45"/>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4"/>
        <w:gridCol w:w="4827"/>
      </w:tblGrid>
      <w:tr w14:paraId="55EF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4" w:type="dxa"/>
          </w:tcPr>
          <w:p w14:paraId="42E3E499">
            <w:pPr>
              <w:pageBreakBefore w:val="0"/>
              <w:kinsoku/>
              <w:overflowPunct/>
              <w:topLinePunct w:val="0"/>
              <w:bidi w:val="0"/>
              <w:spacing w:line="360" w:lineRule="auto"/>
              <w:jc w:val="center"/>
              <w:rPr>
                <w:color w:val="0000FF"/>
                <w:highlight w:val="none"/>
              </w:rPr>
            </w:pPr>
            <w:r>
              <w:rPr>
                <w:rFonts w:hint="eastAsia"/>
                <w:color w:val="0000FF"/>
                <w:highlight w:val="none"/>
              </w:rPr>
              <w:t>评标方法</w:t>
            </w:r>
          </w:p>
        </w:tc>
        <w:tc>
          <w:tcPr>
            <w:tcW w:w="4827" w:type="dxa"/>
          </w:tcPr>
          <w:p w14:paraId="7EB964FE">
            <w:pPr>
              <w:pageBreakBefore w:val="0"/>
              <w:kinsoku/>
              <w:overflowPunct/>
              <w:topLinePunct w:val="0"/>
              <w:bidi w:val="0"/>
              <w:spacing w:line="360" w:lineRule="auto"/>
              <w:jc w:val="center"/>
              <w:rPr>
                <w:rFonts w:hint="default" w:eastAsia="宋体"/>
                <w:color w:val="0000FF"/>
                <w:highlight w:val="none"/>
                <w:lang w:val="en-US" w:eastAsia="zh-CN"/>
              </w:rPr>
            </w:pPr>
            <w:r>
              <w:rPr>
                <w:rFonts w:hint="eastAsia"/>
                <w:color w:val="0000FF"/>
                <w:highlight w:val="none"/>
              </w:rPr>
              <w:t>综合评分法</w:t>
            </w:r>
          </w:p>
        </w:tc>
      </w:tr>
      <w:tr w14:paraId="5C2B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4" w:type="dxa"/>
          </w:tcPr>
          <w:p w14:paraId="6D18795F">
            <w:pPr>
              <w:pageBreakBefore w:val="0"/>
              <w:kinsoku/>
              <w:overflowPunct/>
              <w:topLinePunct w:val="0"/>
              <w:bidi w:val="0"/>
              <w:spacing w:line="360" w:lineRule="auto"/>
              <w:jc w:val="center"/>
              <w:rPr>
                <w:color w:val="0000FF"/>
                <w:highlight w:val="none"/>
              </w:rPr>
            </w:pPr>
            <w:r>
              <w:rPr>
                <w:rFonts w:hint="eastAsia"/>
                <w:color w:val="0000FF"/>
                <w:highlight w:val="none"/>
              </w:rPr>
              <w:t>候选中标供应商家数</w:t>
            </w:r>
          </w:p>
        </w:tc>
        <w:tc>
          <w:tcPr>
            <w:tcW w:w="4827" w:type="dxa"/>
          </w:tcPr>
          <w:p w14:paraId="4637A605">
            <w:pPr>
              <w:pageBreakBefore w:val="0"/>
              <w:kinsoku/>
              <w:overflowPunct/>
              <w:topLinePunct w:val="0"/>
              <w:bidi w:val="0"/>
              <w:spacing w:line="360" w:lineRule="auto"/>
              <w:jc w:val="center"/>
              <w:rPr>
                <w:rFonts w:hint="default" w:eastAsia="宋体"/>
                <w:color w:val="0000FF"/>
                <w:highlight w:val="none"/>
                <w:lang w:val="en-US" w:eastAsia="zh-CN"/>
              </w:rPr>
            </w:pPr>
            <w:r>
              <w:rPr>
                <w:rFonts w:hint="eastAsia"/>
                <w:color w:val="0000FF"/>
                <w:highlight w:val="none"/>
              </w:rPr>
              <w:t>3</w:t>
            </w:r>
          </w:p>
        </w:tc>
      </w:tr>
      <w:tr w14:paraId="79FA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4" w:type="dxa"/>
          </w:tcPr>
          <w:p w14:paraId="43055676">
            <w:pPr>
              <w:pageBreakBefore w:val="0"/>
              <w:kinsoku/>
              <w:overflowPunct/>
              <w:topLinePunct w:val="0"/>
              <w:bidi w:val="0"/>
              <w:spacing w:line="360" w:lineRule="auto"/>
              <w:jc w:val="center"/>
              <w:rPr>
                <w:color w:val="0000FF"/>
                <w:highlight w:val="none"/>
              </w:rPr>
            </w:pPr>
            <w:r>
              <w:rPr>
                <w:rFonts w:hint="eastAsia"/>
                <w:color w:val="0000FF"/>
                <w:highlight w:val="none"/>
              </w:rPr>
              <w:t>中标供应商家数</w:t>
            </w:r>
          </w:p>
        </w:tc>
        <w:tc>
          <w:tcPr>
            <w:tcW w:w="4827" w:type="dxa"/>
          </w:tcPr>
          <w:p w14:paraId="10434398">
            <w:pPr>
              <w:pageBreakBefore w:val="0"/>
              <w:kinsoku/>
              <w:overflowPunct/>
              <w:topLinePunct w:val="0"/>
              <w:bidi w:val="0"/>
              <w:spacing w:line="360" w:lineRule="auto"/>
              <w:jc w:val="center"/>
              <w:rPr>
                <w:color w:val="0000FF"/>
                <w:highlight w:val="none"/>
              </w:rPr>
            </w:pPr>
            <w:r>
              <w:rPr>
                <w:rFonts w:hint="eastAsia"/>
                <w:color w:val="0000FF"/>
                <w:highlight w:val="none"/>
              </w:rPr>
              <w:t>1</w:t>
            </w:r>
          </w:p>
        </w:tc>
      </w:tr>
    </w:tbl>
    <w:p w14:paraId="1351C32D">
      <w:pPr>
        <w:pageBreakBefore w:val="0"/>
        <w:kinsoku/>
        <w:overflowPunct/>
        <w:topLinePunct w:val="0"/>
        <w:bidi w:val="0"/>
        <w:spacing w:line="360" w:lineRule="auto"/>
        <w:ind w:firstLine="422" w:firstLineChars="200"/>
        <w:rPr>
          <w:rFonts w:ascii="宋体" w:hAnsi="宋体"/>
          <w:b/>
          <w:color w:val="auto"/>
          <w:highlight w:val="none"/>
        </w:rPr>
      </w:pPr>
    </w:p>
    <w:bookmarkEnd w:id="28"/>
    <w:p w14:paraId="20D7ABA0">
      <w:pPr>
        <w:pageBreakBefore w:val="0"/>
        <w:kinsoku/>
        <w:overflowPunct/>
        <w:topLinePunct w:val="0"/>
        <w:bidi w:val="0"/>
        <w:spacing w:line="360" w:lineRule="auto"/>
        <w:ind w:firstLine="422" w:firstLineChars="200"/>
        <w:rPr>
          <w:rFonts w:hint="eastAsia"/>
          <w:b/>
          <w:color w:val="auto"/>
          <w:highlight w:val="none"/>
        </w:rPr>
      </w:pPr>
      <w:r>
        <w:rPr>
          <w:rFonts w:hint="eastAsia"/>
          <w:b/>
          <w:color w:val="auto"/>
          <w:highlight w:val="none"/>
        </w:rPr>
        <w:t>（二）其他事项</w:t>
      </w:r>
    </w:p>
    <w:p w14:paraId="17E4CCCE">
      <w:pPr>
        <w:pageBreakBefore w:val="0"/>
        <w:kinsoku/>
        <w:overflowPunct/>
        <w:topLinePunct w:val="0"/>
        <w:bidi w:val="0"/>
        <w:spacing w:line="360" w:lineRule="auto"/>
        <w:ind w:firstLine="420" w:firstLineChars="200"/>
        <w:rPr>
          <w:color w:val="auto"/>
          <w:highlight w:val="none"/>
        </w:rPr>
      </w:pPr>
      <w:r>
        <w:rPr>
          <w:color w:val="auto"/>
          <w:highlight w:val="none"/>
        </w:rPr>
        <w:t>1</w:t>
      </w:r>
      <w:r>
        <w:rPr>
          <w:rFonts w:hint="eastAsia"/>
          <w:color w:val="auto"/>
          <w:highlight w:val="none"/>
        </w:rPr>
        <w:t>、关于享受优惠政策的主体及价格扣除比例</w:t>
      </w:r>
    </w:p>
    <w:p w14:paraId="1478D25C">
      <w:pPr>
        <w:pageBreakBefore w:val="0"/>
        <w:kinsoku/>
        <w:overflowPunct/>
        <w:topLinePunct w:val="0"/>
        <w:bidi w:val="0"/>
        <w:spacing w:line="360" w:lineRule="auto"/>
        <w:ind w:firstLine="420" w:firstLineChars="200"/>
        <w:rPr>
          <w:rFonts w:hint="default" w:eastAsia="宋体"/>
          <w:color w:val="auto"/>
          <w:highlight w:val="none"/>
          <w:lang w:val="en-US" w:eastAsia="zh-CN"/>
        </w:rPr>
      </w:pPr>
      <w:r>
        <w:rPr>
          <w:rFonts w:hint="eastAsia"/>
          <w:color w:val="auto"/>
          <w:highlight w:val="none"/>
        </w:rPr>
        <w:t>（1）</w:t>
      </w:r>
      <w:r>
        <w:rPr>
          <w:rFonts w:hint="eastAsia" w:ascii="Times New Roman" w:eastAsia="宋体"/>
          <w:color w:val="auto"/>
          <w:highlight w:val="none"/>
          <w:lang w:val="en-US" w:eastAsia="zh-CN"/>
        </w:rPr>
        <w:t>专门面向中小企业采购的项目，不再执行价格扣除比例。</w:t>
      </w:r>
    </w:p>
    <w:p w14:paraId="60AC4ACA">
      <w:pPr>
        <w:pageBreakBefore w:val="0"/>
        <w:kinsoku/>
        <w:overflowPunct/>
        <w:topLinePunct w:val="0"/>
        <w:bidi w:val="0"/>
        <w:spacing w:line="360" w:lineRule="auto"/>
        <w:ind w:firstLine="420" w:firstLineChars="200"/>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w:t>
      </w:r>
      <w:r>
        <w:rPr>
          <w:rFonts w:hint="eastAsia" w:ascii="Times New Roman" w:eastAsia="宋体"/>
          <w:color w:val="auto"/>
          <w:highlight w:val="none"/>
          <w:lang w:val="en-US" w:eastAsia="zh-CN"/>
        </w:rPr>
        <w:t>非专门面向中小企业采购的项目，应执行价格扣除比例：</w:t>
      </w:r>
      <w:r>
        <w:rPr>
          <w:rFonts w:hint="eastAsia"/>
          <w:color w:val="auto"/>
          <w:highlight w:val="none"/>
          <w:lang w:val="en-US" w:eastAsia="zh-CN"/>
        </w:rPr>
        <w:t>供应商</w:t>
      </w:r>
      <w:r>
        <w:rPr>
          <w:rFonts w:hint="eastAsia"/>
          <w:color w:val="auto"/>
          <w:highlight w:val="none"/>
        </w:rPr>
        <w:t>提供的服务全部由优惠主体承接，则对其投标总价给予</w:t>
      </w:r>
      <w:r>
        <w:rPr>
          <w:rFonts w:hint="eastAsia" w:ascii="Times New Roman" w:hAnsi="Times New Roman" w:eastAsia="宋体" w:cs="Times New Roman"/>
          <w:b/>
          <w:bCs/>
          <w:color w:val="FF0000"/>
          <w:sz w:val="36"/>
          <w:szCs w:val="36"/>
          <w:highlight w:val="none"/>
          <w:u w:val="single"/>
          <w:lang w:val="en-US" w:eastAsia="zh-CN"/>
        </w:rPr>
        <w:t>10</w:t>
      </w:r>
      <w:r>
        <w:rPr>
          <w:rFonts w:hint="eastAsia" w:ascii="Times New Roman" w:hAnsi="Times New Roman" w:eastAsia="宋体" w:cs="Times New Roman"/>
          <w:b/>
          <w:bCs/>
          <w:color w:val="FF0000"/>
          <w:sz w:val="36"/>
          <w:szCs w:val="36"/>
          <w:highlight w:val="none"/>
          <w:u w:val="single"/>
        </w:rPr>
        <w:t>%</w:t>
      </w:r>
      <w:r>
        <w:rPr>
          <w:rFonts w:hint="eastAsia"/>
          <w:color w:val="auto"/>
          <w:highlight w:val="none"/>
        </w:rPr>
        <w:t>的扣除，用扣除后的价格参与评审。满足多项优惠政策的企业，不重复享受多项价格扣除政策。</w:t>
      </w:r>
    </w:p>
    <w:p w14:paraId="6429C03C">
      <w:pPr>
        <w:pageBreakBefore w:val="0"/>
        <w:kinsoku/>
        <w:overflowPunct/>
        <w:topLinePunct w:val="0"/>
        <w:bidi w:val="0"/>
        <w:spacing w:line="360" w:lineRule="auto"/>
        <w:ind w:firstLine="420" w:firstLineChars="200"/>
        <w:rPr>
          <w:rFonts w:hint="eastAsia"/>
          <w:color w:val="auto"/>
          <w:highlight w:val="none"/>
        </w:rPr>
      </w:pPr>
      <w:r>
        <w:rPr>
          <w:rFonts w:hint="eastAsia"/>
          <w:color w:val="auto"/>
          <w:highlight w:val="none"/>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rPr>
          <w:color w:val="auto"/>
          <w:highlight w:val="none"/>
        </w:rPr>
        <w:t>b)</w:t>
      </w:r>
      <w:r>
        <w:rPr>
          <w:rFonts w:hint="eastAsia"/>
          <w:color w:val="auto"/>
          <w:highlight w:val="none"/>
        </w:rPr>
        <w:t>优惠主体承接是指提供服务的人员为中小企业依照《中华人民共和国劳动合同法》订立劳动合同的从业人员。</w:t>
      </w:r>
    </w:p>
    <w:p w14:paraId="14778B46">
      <w:pPr>
        <w:pageBreakBefore w:val="0"/>
        <w:numPr>
          <w:ilvl w:val="0"/>
          <w:numId w:val="7"/>
        </w:numPr>
        <w:kinsoku/>
        <w:overflowPunct/>
        <w:topLinePunct w:val="0"/>
        <w:bidi w:val="0"/>
        <w:spacing w:line="360" w:lineRule="auto"/>
        <w:ind w:firstLine="420" w:firstLineChars="200"/>
        <w:rPr>
          <w:rFonts w:hint="eastAsia"/>
          <w:color w:val="auto"/>
          <w:sz w:val="21"/>
          <w:szCs w:val="21"/>
          <w:highlight w:val="none"/>
        </w:rPr>
      </w:pPr>
      <w:r>
        <w:rPr>
          <w:rFonts w:ascii="宋体" w:hAnsi="宋体" w:eastAsia="宋体" w:cs="宋体"/>
          <w:color w:val="auto"/>
          <w:sz w:val="21"/>
          <w:szCs w:val="21"/>
          <w:highlight w:val="none"/>
        </w:rPr>
        <w:t>中小企业参加</w:t>
      </w:r>
      <w:r>
        <w:rPr>
          <w:rFonts w:hint="eastAsia" w:ascii="宋体" w:hAnsi="宋体" w:eastAsia="宋体" w:cs="宋体"/>
          <w:color w:val="auto"/>
          <w:sz w:val="21"/>
          <w:szCs w:val="21"/>
          <w:highlight w:val="none"/>
          <w:lang w:val="en-US" w:eastAsia="zh-CN"/>
        </w:rPr>
        <w:t>政府采购、自行采购</w:t>
      </w:r>
      <w:r>
        <w:rPr>
          <w:rFonts w:ascii="宋体" w:hAnsi="宋体" w:eastAsia="宋体" w:cs="宋体"/>
          <w:color w:val="auto"/>
          <w:sz w:val="21"/>
          <w:szCs w:val="21"/>
          <w:highlight w:val="none"/>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eastAsia="宋体" w:cs="宋体"/>
          <w:b/>
          <w:bCs/>
          <w:color w:val="auto"/>
          <w:sz w:val="21"/>
          <w:szCs w:val="21"/>
          <w:highlight w:val="none"/>
        </w:rPr>
        <w:t>《中小企业声明函》中相关企业所属行业应当与采购标的所属行业相一致。</w:t>
      </w:r>
      <w:r>
        <w:rPr>
          <w:rFonts w:hint="eastAsia"/>
          <w:color w:val="auto"/>
          <w:sz w:val="21"/>
          <w:szCs w:val="21"/>
          <w:highlight w:val="none"/>
        </w:rPr>
        <w:t>本项目采购标的（</w:t>
      </w:r>
      <w:r>
        <w:rPr>
          <w:rFonts w:hint="eastAsia" w:ascii="Times New Roman" w:eastAsia="宋体"/>
          <w:color w:val="auto"/>
          <w:sz w:val="21"/>
          <w:szCs w:val="21"/>
          <w:highlight w:val="none"/>
          <w:lang w:val="en-US" w:eastAsia="zh-CN"/>
        </w:rPr>
        <w:t>服务需求</w:t>
      </w:r>
      <w:r>
        <w:rPr>
          <w:rFonts w:hint="eastAsia"/>
          <w:color w:val="auto"/>
          <w:sz w:val="21"/>
          <w:szCs w:val="21"/>
          <w:highlight w:val="none"/>
        </w:rPr>
        <w:t>）对应的中小企业划分标准所属行业为</w:t>
      </w:r>
      <w:r>
        <w:rPr>
          <w:color w:val="auto"/>
          <w:sz w:val="21"/>
          <w:szCs w:val="21"/>
          <w:highlight w:val="none"/>
          <w:u w:val="single"/>
        </w:rPr>
        <w:t xml:space="preserve"> </w:t>
      </w:r>
      <w:r>
        <w:rPr>
          <w:rFonts w:hint="eastAsia"/>
          <w:color w:val="FF0000"/>
          <w:sz w:val="21"/>
          <w:szCs w:val="21"/>
          <w:highlight w:val="none"/>
          <w:u w:val="single"/>
          <w:lang w:val="en-US" w:eastAsia="zh-CN"/>
        </w:rPr>
        <w:t xml:space="preserve"> </w:t>
      </w:r>
      <w:r>
        <w:rPr>
          <w:rFonts w:hint="eastAsia"/>
          <w:b/>
          <w:bCs/>
          <w:color w:val="FF0000"/>
          <w:sz w:val="36"/>
          <w:szCs w:val="36"/>
          <w:highlight w:val="none"/>
          <w:u w:val="single"/>
          <w:lang w:val="en-US" w:eastAsia="zh-CN"/>
        </w:rPr>
        <w:t>其他未列明行业</w:t>
      </w:r>
      <w:r>
        <w:rPr>
          <w:rFonts w:hint="eastAsia"/>
          <w:color w:val="FF0000"/>
          <w:sz w:val="21"/>
          <w:szCs w:val="21"/>
          <w:highlight w:val="none"/>
          <w:u w:val="single"/>
          <w:lang w:val="en-US" w:eastAsia="zh-CN"/>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rPr>
        <w:t>。</w:t>
      </w:r>
    </w:p>
    <w:p w14:paraId="54F2BE49">
      <w:pPr>
        <w:pageBreakBefore w:val="0"/>
        <w:numPr>
          <w:ilvl w:val="0"/>
          <w:numId w:val="7"/>
        </w:numPr>
        <w:kinsoku/>
        <w:overflowPunct/>
        <w:topLinePunct w:val="0"/>
        <w:bidi w:val="0"/>
        <w:spacing w:line="360" w:lineRule="auto"/>
        <w:ind w:firstLine="420" w:firstLineChars="200"/>
        <w:rPr>
          <w:color w:val="auto"/>
          <w:highlight w:val="none"/>
        </w:rPr>
      </w:pPr>
      <w:r>
        <w:rPr>
          <w:rFonts w:hint="eastAsia"/>
          <w:color w:val="auto"/>
          <w:sz w:val="21"/>
          <w:szCs w:val="21"/>
          <w:highlight w:val="none"/>
        </w:rPr>
        <w:t>小型企业、微</w:t>
      </w:r>
      <w:r>
        <w:rPr>
          <w:rFonts w:hint="eastAsia"/>
          <w:color w:val="auto"/>
          <w:highlight w:val="none"/>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w:t>
      </w:r>
      <w:r>
        <w:rPr>
          <w:rFonts w:hint="eastAsia" w:ascii="Times New Roman" w:eastAsia="宋体"/>
          <w:color w:val="auto"/>
          <w:highlight w:val="none"/>
          <w:lang w:val="en-US" w:eastAsia="zh-CN"/>
        </w:rPr>
        <w:t>四</w:t>
      </w:r>
      <w:r>
        <w:rPr>
          <w:rFonts w:hint="eastAsia"/>
          <w:color w:val="auto"/>
          <w:highlight w:val="none"/>
        </w:rPr>
        <w:t>章“</w:t>
      </w:r>
      <w:r>
        <w:rPr>
          <w:rFonts w:hint="eastAsia"/>
          <w:color w:val="auto"/>
          <w:highlight w:val="none"/>
          <w:lang w:eastAsia="zh-CN"/>
        </w:rPr>
        <w:t>投标文件组成要求及格式</w:t>
      </w:r>
      <w:r>
        <w:rPr>
          <w:rFonts w:hint="eastAsia"/>
          <w:color w:val="auto"/>
          <w:highlight w:val="none"/>
        </w:rPr>
        <w:t>”中“</w:t>
      </w:r>
      <w:r>
        <w:rPr>
          <w:rFonts w:hint="eastAsia" w:ascii="Times New Roman" w:eastAsia="宋体"/>
          <w:color w:val="auto"/>
          <w:highlight w:val="none"/>
          <w:lang w:val="en-US" w:eastAsia="zh-CN"/>
        </w:rPr>
        <w:t>三、</w:t>
      </w:r>
      <w:r>
        <w:rPr>
          <w:rFonts w:hint="eastAsia"/>
          <w:color w:val="auto"/>
          <w:highlight w:val="none"/>
        </w:rPr>
        <w:t>投标人情况介绍及资格证明文件”章节提供的格式）。</w:t>
      </w:r>
    </w:p>
    <w:p w14:paraId="618A16CE">
      <w:pPr>
        <w:pageBreakBefore w:val="0"/>
        <w:kinsoku/>
        <w:overflowPunct/>
        <w:topLinePunct w:val="0"/>
        <w:bidi w:val="0"/>
        <w:spacing w:line="360" w:lineRule="auto"/>
        <w:ind w:firstLine="420" w:firstLineChars="200"/>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）享受价格扣除获得采购合同的，小微企业不得将合同分包给大中型企业。</w:t>
      </w:r>
    </w:p>
    <w:p w14:paraId="6CB87326">
      <w:pPr>
        <w:pageBreakBefore w:val="0"/>
        <w:kinsoku/>
        <w:overflowPunct/>
        <w:topLinePunct w:val="0"/>
        <w:bidi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2.关于采购订单融资政策</w:t>
      </w:r>
    </w:p>
    <w:p w14:paraId="27C9B7C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ascii="宋体" w:hAnsi="宋体"/>
          <w:b/>
          <w:color w:val="auto"/>
          <w:highlight w:val="none"/>
        </w:rPr>
      </w:pPr>
      <w:r>
        <w:rPr>
          <w:rFonts w:hint="eastAsia"/>
          <w:color w:val="auto"/>
          <w:highlight w:val="none"/>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4587FE5A">
      <w:pPr>
        <w:ind w:firstLine="422" w:firstLineChars="200"/>
        <w:rPr>
          <w:rFonts w:hint="eastAsia"/>
          <w:b/>
          <w:bCs w:val="0"/>
          <w:highlight w:val="none"/>
        </w:rPr>
      </w:pPr>
      <w:r>
        <w:rPr>
          <w:rFonts w:hint="eastAsia"/>
          <w:b/>
          <w:bCs w:val="0"/>
          <w:highlight w:val="none"/>
        </w:rPr>
        <w:t>3、中标</w:t>
      </w:r>
      <w:r>
        <w:rPr>
          <w:rFonts w:hint="eastAsia" w:eastAsia="宋体"/>
          <w:b/>
          <w:bCs w:val="0"/>
          <w:highlight w:val="none"/>
          <w:lang w:eastAsia="zh-CN"/>
        </w:rPr>
        <w:t>（</w:t>
      </w:r>
      <w:r>
        <w:rPr>
          <w:rFonts w:hint="eastAsia" w:ascii="Times New Roman" w:eastAsia="宋体"/>
          <w:b/>
          <w:bCs w:val="0"/>
          <w:highlight w:val="none"/>
          <w:lang w:val="en-US" w:eastAsia="zh-CN"/>
        </w:rPr>
        <w:t>成交</w:t>
      </w:r>
      <w:r>
        <w:rPr>
          <w:rFonts w:hint="eastAsia" w:eastAsia="宋体"/>
          <w:b/>
          <w:bCs w:val="0"/>
          <w:highlight w:val="none"/>
          <w:lang w:eastAsia="zh-CN"/>
        </w:rPr>
        <w:t>）</w:t>
      </w:r>
      <w:r>
        <w:rPr>
          <w:rFonts w:hint="eastAsia"/>
          <w:b/>
          <w:bCs w:val="0"/>
          <w:highlight w:val="none"/>
        </w:rPr>
        <w:t>供应商在领取《中标</w:t>
      </w:r>
      <w:r>
        <w:rPr>
          <w:rFonts w:hint="eastAsia" w:eastAsia="宋体"/>
          <w:b/>
          <w:bCs w:val="0"/>
          <w:highlight w:val="none"/>
          <w:lang w:eastAsia="zh-CN"/>
        </w:rPr>
        <w:t>（</w:t>
      </w:r>
      <w:r>
        <w:rPr>
          <w:rFonts w:hint="eastAsia" w:ascii="Times New Roman" w:eastAsia="宋体"/>
          <w:b/>
          <w:bCs w:val="0"/>
          <w:highlight w:val="none"/>
          <w:lang w:val="en-US" w:eastAsia="zh-CN"/>
        </w:rPr>
        <w:t>成交</w:t>
      </w:r>
      <w:r>
        <w:rPr>
          <w:rFonts w:hint="eastAsia" w:eastAsia="宋体"/>
          <w:b/>
          <w:bCs w:val="0"/>
          <w:highlight w:val="none"/>
          <w:lang w:eastAsia="zh-CN"/>
        </w:rPr>
        <w:t>）</w:t>
      </w:r>
      <w:r>
        <w:rPr>
          <w:rFonts w:hint="eastAsia"/>
          <w:b/>
          <w:bCs w:val="0"/>
          <w:highlight w:val="none"/>
        </w:rPr>
        <w:t>通知书》之前须向</w:t>
      </w:r>
      <w:r>
        <w:rPr>
          <w:rFonts w:hint="eastAsia" w:eastAsia="宋体"/>
          <w:b/>
          <w:bCs w:val="0"/>
          <w:highlight w:val="none"/>
          <w:lang w:eastAsia="zh-CN"/>
        </w:rPr>
        <w:t>深圳交易咨询集团有限公司</w:t>
      </w:r>
      <w:r>
        <w:rPr>
          <w:rFonts w:hint="eastAsia"/>
          <w:b/>
          <w:bCs w:val="0"/>
          <w:highlight w:val="none"/>
        </w:rPr>
        <w:t>交纳代理服务费。若因中标</w:t>
      </w:r>
      <w:r>
        <w:rPr>
          <w:rFonts w:hint="eastAsia" w:eastAsia="宋体"/>
          <w:b/>
          <w:bCs w:val="0"/>
          <w:highlight w:val="none"/>
          <w:lang w:eastAsia="zh-CN"/>
        </w:rPr>
        <w:t>（</w:t>
      </w:r>
      <w:r>
        <w:rPr>
          <w:rFonts w:hint="eastAsia" w:ascii="Times New Roman" w:eastAsia="宋体"/>
          <w:b/>
          <w:bCs w:val="0"/>
          <w:highlight w:val="none"/>
          <w:lang w:val="en-US" w:eastAsia="zh-CN"/>
        </w:rPr>
        <w:t>成交</w:t>
      </w:r>
      <w:r>
        <w:rPr>
          <w:rFonts w:hint="eastAsia" w:eastAsia="宋体"/>
          <w:b/>
          <w:bCs w:val="0"/>
          <w:highlight w:val="none"/>
          <w:lang w:eastAsia="zh-CN"/>
        </w:rPr>
        <w:t>）</w:t>
      </w:r>
      <w:r>
        <w:rPr>
          <w:rFonts w:hint="eastAsia"/>
          <w:b/>
          <w:bCs w:val="0"/>
          <w:highlight w:val="none"/>
        </w:rPr>
        <w:t>供应商交纳代理服务费所产生的时间影响到合同签订的，由中标</w:t>
      </w:r>
      <w:r>
        <w:rPr>
          <w:rFonts w:hint="eastAsia" w:eastAsia="宋体"/>
          <w:b/>
          <w:bCs w:val="0"/>
          <w:highlight w:val="none"/>
          <w:lang w:eastAsia="zh-CN"/>
        </w:rPr>
        <w:t>（</w:t>
      </w:r>
      <w:r>
        <w:rPr>
          <w:rFonts w:hint="eastAsia" w:ascii="Times New Roman" w:eastAsia="宋体"/>
          <w:b/>
          <w:bCs w:val="0"/>
          <w:highlight w:val="none"/>
          <w:lang w:val="en-US" w:eastAsia="zh-CN"/>
        </w:rPr>
        <w:t>成交</w:t>
      </w:r>
      <w:r>
        <w:rPr>
          <w:rFonts w:hint="eastAsia" w:eastAsia="宋体"/>
          <w:b/>
          <w:bCs w:val="0"/>
          <w:highlight w:val="none"/>
          <w:lang w:eastAsia="zh-CN"/>
        </w:rPr>
        <w:t>）</w:t>
      </w:r>
      <w:r>
        <w:rPr>
          <w:rFonts w:hint="eastAsia"/>
          <w:b/>
          <w:bCs w:val="0"/>
          <w:highlight w:val="none"/>
        </w:rPr>
        <w:t>供应商自行承担责任。</w:t>
      </w:r>
    </w:p>
    <w:p w14:paraId="280757FD">
      <w:pPr>
        <w:ind w:firstLine="420" w:firstLineChars="200"/>
        <w:rPr>
          <w:rFonts w:hint="default" w:eastAsia="宋体"/>
          <w:b/>
          <w:bCs/>
          <w:color w:val="0000FF"/>
          <w:sz w:val="36"/>
          <w:szCs w:val="44"/>
          <w:highlight w:val="none"/>
          <w:lang w:val="en-US" w:eastAsia="zh-CN"/>
        </w:rPr>
      </w:pPr>
      <w:r>
        <w:rPr>
          <w:rFonts w:hint="eastAsia"/>
          <w:highlight w:val="none"/>
          <w:lang w:val="en-US" w:eastAsia="zh-CN"/>
        </w:rPr>
        <w:t>（1）</w:t>
      </w:r>
      <w:r>
        <w:rPr>
          <w:rFonts w:hint="eastAsia"/>
          <w:b/>
          <w:bCs/>
          <w:color w:val="0000FF"/>
          <w:sz w:val="36"/>
          <w:szCs w:val="44"/>
          <w:highlight w:val="none"/>
          <w:lang w:val="en-US" w:eastAsia="zh-CN"/>
        </w:rPr>
        <w:t>本项目</w:t>
      </w:r>
      <w:r>
        <w:rPr>
          <w:rFonts w:hint="eastAsia"/>
          <w:b/>
          <w:bCs/>
          <w:color w:val="0000FF"/>
          <w:sz w:val="36"/>
          <w:szCs w:val="44"/>
          <w:highlight w:val="none"/>
        </w:rPr>
        <w:t>代理服务费</w:t>
      </w:r>
      <w:r>
        <w:rPr>
          <w:rFonts w:hint="eastAsia"/>
          <w:b/>
          <w:bCs/>
          <w:color w:val="0000FF"/>
          <w:sz w:val="36"/>
          <w:szCs w:val="44"/>
          <w:highlight w:val="none"/>
          <w:lang w:val="en-US" w:eastAsia="zh-CN"/>
        </w:rPr>
        <w:t>定额收取：人民币3000元。</w:t>
      </w:r>
    </w:p>
    <w:p w14:paraId="79427BF4">
      <w:pPr>
        <w:ind w:firstLine="420" w:firstLineChars="200"/>
        <w:rPr>
          <w:rFonts w:hint="eastAsia" w:eastAsia="宋体"/>
          <w:highlight w:val="none"/>
          <w:lang w:eastAsia="zh-CN"/>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中标（成交）供应商中标（成交）后，必须按规定采用银行对公转账方式向</w:t>
      </w:r>
      <w:r>
        <w:rPr>
          <w:rFonts w:hint="eastAsia" w:eastAsia="宋体"/>
          <w:highlight w:val="none"/>
          <w:lang w:eastAsia="zh-CN"/>
        </w:rPr>
        <w:t>深圳交易咨询集团有限公司</w:t>
      </w:r>
      <w:r>
        <w:rPr>
          <w:rFonts w:hint="eastAsia"/>
          <w:highlight w:val="none"/>
        </w:rPr>
        <w:t>直接交纳代理服务费，交纳信息及要求</w:t>
      </w:r>
      <w:r>
        <w:rPr>
          <w:rFonts w:hint="eastAsia" w:eastAsia="宋体"/>
          <w:highlight w:val="none"/>
          <w:lang w:eastAsia="zh-CN"/>
        </w:rPr>
        <w:t>：</w:t>
      </w:r>
    </w:p>
    <w:p w14:paraId="26CAB5BD">
      <w:pPr>
        <w:ind w:firstLine="422" w:firstLineChars="200"/>
        <w:rPr>
          <w:rFonts w:ascii="宋体" w:hAnsi="宋体" w:eastAsia="宋体" w:cs="宋体"/>
          <w:bCs/>
          <w:color w:val="FF0000"/>
          <w:szCs w:val="21"/>
          <w:highlight w:val="none"/>
        </w:rPr>
      </w:pPr>
      <w:r>
        <w:rPr>
          <w:rFonts w:hint="eastAsia" w:ascii="宋体" w:hAnsi="宋体" w:eastAsia="宋体" w:cs="宋体"/>
          <w:b/>
          <w:bCs/>
          <w:color w:val="FF0000"/>
          <w:szCs w:val="21"/>
          <w:highlight w:val="none"/>
        </w:rPr>
        <w:t>基本户信息：</w:t>
      </w:r>
    </w:p>
    <w:p w14:paraId="3DEAE622">
      <w:pPr>
        <w:ind w:firstLine="420" w:firstLineChars="200"/>
        <w:rPr>
          <w:rFonts w:ascii="宋体" w:hAnsi="宋体" w:eastAsia="宋体" w:cs="宋体"/>
          <w:color w:val="FF0000"/>
          <w:szCs w:val="21"/>
          <w:highlight w:val="none"/>
        </w:rPr>
      </w:pPr>
      <w:r>
        <w:rPr>
          <w:rFonts w:hint="eastAsia" w:ascii="宋体" w:hAnsi="宋体" w:eastAsia="宋体" w:cs="宋体"/>
          <w:color w:val="FF0000"/>
          <w:szCs w:val="21"/>
          <w:highlight w:val="none"/>
        </w:rPr>
        <w:t>账户名：深圳交易</w:t>
      </w:r>
      <w:r>
        <w:rPr>
          <w:rFonts w:hint="eastAsia" w:ascii="宋体" w:hAnsi="宋体" w:cs="宋体"/>
          <w:color w:val="FF0000"/>
          <w:szCs w:val="21"/>
          <w:highlight w:val="none"/>
          <w:lang w:val="en-US" w:eastAsia="zh-CN"/>
        </w:rPr>
        <w:t>咨询</w:t>
      </w:r>
      <w:r>
        <w:rPr>
          <w:rFonts w:hint="eastAsia" w:ascii="宋体" w:hAnsi="宋体" w:eastAsia="宋体" w:cs="宋体"/>
          <w:color w:val="FF0000"/>
          <w:szCs w:val="21"/>
          <w:highlight w:val="none"/>
        </w:rPr>
        <w:t>集团有限公司</w:t>
      </w:r>
    </w:p>
    <w:p w14:paraId="1DC9D985">
      <w:pPr>
        <w:ind w:firstLine="420" w:firstLineChars="200"/>
        <w:rPr>
          <w:rFonts w:hint="eastAsia" w:ascii="宋体" w:hAnsi="宋体" w:eastAsia="宋体" w:cs="宋体"/>
          <w:b w:val="0"/>
          <w:bCs w:val="0"/>
          <w:color w:val="FF0000"/>
          <w:szCs w:val="21"/>
          <w:highlight w:val="none"/>
        </w:rPr>
      </w:pPr>
      <w:r>
        <w:rPr>
          <w:rFonts w:hint="eastAsia" w:ascii="宋体" w:hAnsi="宋体" w:eastAsia="宋体" w:cs="宋体"/>
          <w:b w:val="0"/>
          <w:bCs w:val="0"/>
          <w:color w:val="FF0000"/>
          <w:szCs w:val="21"/>
          <w:highlight w:val="none"/>
        </w:rPr>
        <w:t>开户银行：平安银行深圳江苏大厦支行</w:t>
      </w:r>
    </w:p>
    <w:p w14:paraId="111F8DE1">
      <w:pPr>
        <w:ind w:firstLine="420" w:firstLineChars="200"/>
        <w:rPr>
          <w:rFonts w:hint="eastAsia" w:ascii="宋体" w:hAnsi="宋体" w:eastAsia="宋体" w:cs="宋体"/>
          <w:b w:val="0"/>
          <w:bCs w:val="0"/>
          <w:color w:val="FF0000"/>
          <w:szCs w:val="21"/>
          <w:highlight w:val="none"/>
        </w:rPr>
      </w:pPr>
      <w:r>
        <w:rPr>
          <w:rFonts w:hint="eastAsia" w:ascii="宋体" w:hAnsi="宋体" w:eastAsia="宋体" w:cs="宋体"/>
          <w:b w:val="0"/>
          <w:bCs w:val="0"/>
          <w:color w:val="FF0000"/>
          <w:szCs w:val="21"/>
          <w:highlight w:val="none"/>
        </w:rPr>
        <w:t>账    号：（人民币）11002982389701（用于支付中标服务费）</w:t>
      </w:r>
    </w:p>
    <w:p w14:paraId="129CF435">
      <w:pPr>
        <w:ind w:firstLine="422" w:firstLineChars="200"/>
        <w:rPr>
          <w:rFonts w:ascii="宋体" w:hAnsi="宋体" w:eastAsia="宋体" w:cs="宋体"/>
          <w:bCs/>
          <w:color w:val="FF0000"/>
          <w:szCs w:val="21"/>
          <w:highlight w:val="none"/>
        </w:rPr>
      </w:pPr>
      <w:r>
        <w:rPr>
          <w:rFonts w:hint="eastAsia" w:ascii="宋体" w:hAnsi="宋体" w:eastAsia="宋体" w:cs="宋体"/>
          <w:b/>
          <w:bCs/>
          <w:color w:val="FF0000"/>
          <w:szCs w:val="21"/>
          <w:highlight w:val="none"/>
        </w:rPr>
        <w:t>转账备注：</w:t>
      </w:r>
    </w:p>
    <w:p w14:paraId="641F9CCE">
      <w:pPr>
        <w:pageBreakBefore w:val="0"/>
        <w:kinsoku/>
        <w:overflowPunct/>
        <w:topLinePunct w:val="0"/>
        <w:bidi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FF0000"/>
          <w:szCs w:val="21"/>
          <w:highlight w:val="none"/>
        </w:rPr>
        <w:t>项目编号+项目名称</w:t>
      </w:r>
    </w:p>
    <w:p w14:paraId="5985EB9C">
      <w:pPr>
        <w:pageBreakBefore w:val="0"/>
        <w:kinsoku/>
        <w:overflowPunct/>
        <w:topLinePunct w:val="0"/>
        <w:bidi w:val="0"/>
        <w:spacing w:line="360" w:lineRule="auto"/>
        <w:ind w:firstLine="420" w:firstLineChars="200"/>
        <w:jc w:val="left"/>
        <w:rPr>
          <w:color w:val="auto"/>
          <w:highlight w:val="none"/>
        </w:rPr>
      </w:pPr>
    </w:p>
    <w:p w14:paraId="2460F9A9">
      <w:pPr>
        <w:pageBreakBefore w:val="0"/>
        <w:kinsoku/>
        <w:overflowPunct/>
        <w:topLinePunct w:val="0"/>
        <w:bidi w:val="0"/>
        <w:spacing w:line="360" w:lineRule="auto"/>
        <w:rPr>
          <w:rFonts w:ascii="宋体" w:hAnsi="宋体"/>
          <w:b/>
          <w:bCs/>
          <w:color w:val="auto"/>
          <w:kern w:val="0"/>
          <w:sz w:val="28"/>
          <w:szCs w:val="28"/>
          <w:highlight w:val="none"/>
        </w:rPr>
      </w:pPr>
      <w:bookmarkStart w:id="29" w:name="_Toc128884461"/>
      <w:r>
        <w:rPr>
          <w:color w:val="auto"/>
          <w:sz w:val="28"/>
          <w:szCs w:val="28"/>
          <w:highlight w:val="none"/>
        </w:rPr>
        <w:br w:type="page"/>
      </w:r>
    </w:p>
    <w:p w14:paraId="32401E9A">
      <w:pPr>
        <w:pStyle w:val="5"/>
        <w:pageBreakBefore w:val="0"/>
        <w:kinsoku/>
        <w:overflowPunct/>
        <w:topLinePunct w:val="0"/>
        <w:bidi w:val="0"/>
        <w:spacing w:line="360" w:lineRule="auto"/>
        <w:rPr>
          <w:b/>
          <w:bCs/>
          <w:color w:val="auto"/>
          <w:sz w:val="28"/>
          <w:szCs w:val="28"/>
          <w:highlight w:val="none"/>
        </w:rPr>
      </w:pPr>
      <w:r>
        <w:rPr>
          <w:rFonts w:hint="eastAsia"/>
          <w:b/>
          <w:bCs/>
          <w:color w:val="auto"/>
          <w:sz w:val="28"/>
          <w:szCs w:val="28"/>
          <w:highlight w:val="none"/>
        </w:rPr>
        <w:t>第三章 用户需求书</w:t>
      </w:r>
    </w:p>
    <w:p w14:paraId="0A8A29F7">
      <w:pPr>
        <w:pStyle w:val="3"/>
        <w:keepNext w:val="0"/>
        <w:keepLines w:val="0"/>
        <w:pageBreakBefore w:val="0"/>
        <w:widowControl w:val="0"/>
        <w:kinsoku/>
        <w:wordWrap/>
        <w:overflowPunct/>
        <w:topLinePunct w:val="0"/>
        <w:autoSpaceDE/>
        <w:autoSpaceDN/>
        <w:bidi w:val="0"/>
        <w:adjustRightInd w:val="0"/>
        <w:snapToGrid/>
        <w:spacing w:before="120" w:beforeLines="50" w:after="120" w:afterLines="50" w:line="360" w:lineRule="auto"/>
        <w:jc w:val="center"/>
        <w:textAlignment w:val="baseline"/>
        <w:outlineLvl w:val="2"/>
        <w:rPr>
          <w:b w:val="0"/>
          <w:bCs w:val="0"/>
          <w:color w:val="auto"/>
          <w:sz w:val="24"/>
          <w:szCs w:val="22"/>
          <w:highlight w:val="none"/>
        </w:rPr>
      </w:pPr>
      <w:r>
        <w:rPr>
          <w:rFonts w:hint="eastAsia"/>
          <w:b w:val="0"/>
          <w:bCs w:val="0"/>
          <w:color w:val="auto"/>
          <w:sz w:val="24"/>
          <w:szCs w:val="22"/>
          <w:highlight w:val="none"/>
        </w:rPr>
        <w:t>一、项目基本信息</w:t>
      </w:r>
    </w:p>
    <w:tbl>
      <w:tblPr>
        <w:tblStyle w:val="44"/>
        <w:tblW w:w="8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208"/>
        <w:gridCol w:w="4640"/>
      </w:tblGrid>
      <w:tr w14:paraId="7154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0" w:type="dxa"/>
            <w:vAlign w:val="center"/>
          </w:tcPr>
          <w:p w14:paraId="2B8E438C">
            <w:pPr>
              <w:pageBreakBefore w:val="0"/>
              <w:kinsoku/>
              <w:overflowPunct/>
              <w:topLinePunct w:val="0"/>
              <w:bidi w:val="0"/>
              <w:spacing w:line="360" w:lineRule="auto"/>
              <w:jc w:val="center"/>
              <w:rPr>
                <w:bCs/>
                <w:color w:val="auto"/>
                <w:szCs w:val="21"/>
                <w:highlight w:val="none"/>
              </w:rPr>
            </w:pPr>
            <w:r>
              <w:rPr>
                <w:rFonts w:hint="eastAsia"/>
                <w:bCs/>
                <w:color w:val="auto"/>
                <w:szCs w:val="21"/>
                <w:highlight w:val="none"/>
              </w:rPr>
              <w:t>序号</w:t>
            </w:r>
          </w:p>
        </w:tc>
        <w:tc>
          <w:tcPr>
            <w:tcW w:w="3208" w:type="dxa"/>
            <w:vAlign w:val="center"/>
          </w:tcPr>
          <w:p w14:paraId="1976DF71">
            <w:pPr>
              <w:pageBreakBefore w:val="0"/>
              <w:kinsoku/>
              <w:overflowPunct/>
              <w:topLinePunct w:val="0"/>
              <w:bidi w:val="0"/>
              <w:spacing w:line="360" w:lineRule="auto"/>
              <w:jc w:val="center"/>
              <w:rPr>
                <w:bCs/>
                <w:color w:val="auto"/>
                <w:szCs w:val="21"/>
                <w:highlight w:val="none"/>
              </w:rPr>
            </w:pPr>
            <w:r>
              <w:rPr>
                <w:rFonts w:hint="eastAsia"/>
                <w:bCs/>
                <w:color w:val="auto"/>
                <w:szCs w:val="21"/>
                <w:highlight w:val="none"/>
              </w:rPr>
              <w:t>采购项目名称</w:t>
            </w:r>
          </w:p>
        </w:tc>
        <w:tc>
          <w:tcPr>
            <w:tcW w:w="4640" w:type="dxa"/>
            <w:vAlign w:val="center"/>
          </w:tcPr>
          <w:p w14:paraId="26712248">
            <w:pPr>
              <w:pageBreakBefore w:val="0"/>
              <w:kinsoku/>
              <w:overflowPunct/>
              <w:topLinePunct w:val="0"/>
              <w:bidi w:val="0"/>
              <w:spacing w:line="360" w:lineRule="auto"/>
              <w:jc w:val="center"/>
              <w:rPr>
                <w:b/>
                <w:bCs/>
                <w:color w:val="auto"/>
                <w:szCs w:val="21"/>
                <w:highlight w:val="none"/>
              </w:rPr>
            </w:pPr>
            <w:r>
              <w:rPr>
                <w:rFonts w:hint="eastAsia"/>
                <w:b/>
                <w:bCs/>
                <w:color w:val="auto"/>
                <w:szCs w:val="21"/>
                <w:highlight w:val="none"/>
              </w:rPr>
              <w:t>预算金额</w:t>
            </w:r>
          </w:p>
        </w:tc>
      </w:tr>
      <w:tr w14:paraId="6FC8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40" w:type="dxa"/>
            <w:vAlign w:val="center"/>
          </w:tcPr>
          <w:p w14:paraId="56C7B2FF">
            <w:pPr>
              <w:pageBreakBefore w:val="0"/>
              <w:kinsoku/>
              <w:overflowPunct/>
              <w:topLinePunct w:val="0"/>
              <w:bidi w:val="0"/>
              <w:spacing w:line="360" w:lineRule="auto"/>
              <w:jc w:val="center"/>
              <w:rPr>
                <w:b w:val="0"/>
                <w:bCs/>
                <w:color w:val="0000FF"/>
                <w:szCs w:val="21"/>
                <w:highlight w:val="none"/>
              </w:rPr>
            </w:pPr>
            <w:r>
              <w:rPr>
                <w:rFonts w:hint="eastAsia"/>
                <w:b w:val="0"/>
                <w:bCs/>
                <w:color w:val="0000FF"/>
                <w:szCs w:val="21"/>
                <w:highlight w:val="none"/>
              </w:rPr>
              <w:t>1</w:t>
            </w:r>
          </w:p>
        </w:tc>
        <w:tc>
          <w:tcPr>
            <w:tcW w:w="3208" w:type="dxa"/>
            <w:vAlign w:val="center"/>
          </w:tcPr>
          <w:p w14:paraId="5B4215F0">
            <w:pPr>
              <w:pageBreakBefore w:val="0"/>
              <w:kinsoku/>
              <w:overflowPunct/>
              <w:topLinePunct w:val="0"/>
              <w:bidi w:val="0"/>
              <w:spacing w:line="360" w:lineRule="auto"/>
              <w:jc w:val="center"/>
              <w:rPr>
                <w:rFonts w:hint="eastAsia" w:eastAsia="宋体"/>
                <w:b w:val="0"/>
                <w:bCs/>
                <w:color w:val="0000FF"/>
                <w:szCs w:val="21"/>
                <w:highlight w:val="none"/>
                <w:lang w:eastAsia="zh-CN"/>
              </w:rPr>
            </w:pPr>
            <w:r>
              <w:rPr>
                <w:rFonts w:hint="eastAsia"/>
                <w:b w:val="0"/>
                <w:bCs/>
                <w:color w:val="0000FF"/>
                <w:szCs w:val="21"/>
                <w:highlight w:val="none"/>
                <w:lang w:eastAsia="zh-CN"/>
              </w:rPr>
              <w:t>辅具维修服务（A包）</w:t>
            </w:r>
          </w:p>
        </w:tc>
        <w:tc>
          <w:tcPr>
            <w:tcW w:w="4640" w:type="dxa"/>
            <w:vAlign w:val="center"/>
          </w:tcPr>
          <w:p w14:paraId="365BE1FB">
            <w:pPr>
              <w:pageBreakBefore w:val="0"/>
              <w:kinsoku/>
              <w:overflowPunct/>
              <w:topLinePunct w:val="0"/>
              <w:bidi w:val="0"/>
              <w:spacing w:line="360" w:lineRule="auto"/>
              <w:jc w:val="center"/>
              <w:rPr>
                <w:rFonts w:hint="default" w:eastAsia="宋体"/>
                <w:b w:val="0"/>
                <w:bCs/>
                <w:color w:val="0000FF"/>
                <w:szCs w:val="21"/>
                <w:highlight w:val="none"/>
                <w:lang w:val="en-US" w:eastAsia="zh-CN"/>
              </w:rPr>
            </w:pPr>
            <w:r>
              <w:rPr>
                <w:rFonts w:hint="eastAsia"/>
                <w:b w:val="0"/>
                <w:bCs/>
                <w:color w:val="0000FF"/>
                <w:szCs w:val="21"/>
                <w:highlight w:val="none"/>
                <w:lang w:val="en-US" w:eastAsia="zh-CN"/>
              </w:rPr>
              <w:t>人民币</w:t>
            </w:r>
            <w:r>
              <w:rPr>
                <w:rFonts w:hint="default" w:eastAsia="宋体"/>
                <w:b w:val="0"/>
                <w:bCs/>
                <w:color w:val="0000FF"/>
                <w:szCs w:val="21"/>
                <w:highlight w:val="none"/>
                <w:lang w:val="en-US" w:eastAsia="zh-CN"/>
              </w:rPr>
              <w:t>20万元</w:t>
            </w:r>
          </w:p>
        </w:tc>
      </w:tr>
    </w:tbl>
    <w:p w14:paraId="14F1177D">
      <w:pPr>
        <w:pStyle w:val="3"/>
        <w:keepNext w:val="0"/>
        <w:keepLines w:val="0"/>
        <w:pageBreakBefore w:val="0"/>
        <w:widowControl w:val="0"/>
        <w:kinsoku/>
        <w:wordWrap/>
        <w:overflowPunct/>
        <w:topLinePunct w:val="0"/>
        <w:autoSpaceDE/>
        <w:autoSpaceDN/>
        <w:bidi w:val="0"/>
        <w:adjustRightInd w:val="0"/>
        <w:snapToGrid/>
        <w:spacing w:before="120" w:beforeLines="50" w:after="120" w:afterLines="50" w:line="360" w:lineRule="auto"/>
        <w:jc w:val="center"/>
        <w:textAlignment w:val="baseline"/>
        <w:outlineLvl w:val="2"/>
        <w:rPr>
          <w:rFonts w:hint="eastAsia" w:ascii="宋体" w:hAnsi="宋体" w:eastAsia="宋体" w:cs="Times New Roman"/>
          <w:b w:val="0"/>
          <w:bCs w:val="0"/>
          <w:color w:val="auto"/>
          <w:sz w:val="24"/>
          <w:szCs w:val="22"/>
          <w:highlight w:val="none"/>
        </w:rPr>
      </w:pPr>
      <w:r>
        <w:rPr>
          <w:rFonts w:hint="eastAsia" w:ascii="宋体" w:hAnsi="宋体" w:eastAsia="宋体" w:cs="Times New Roman"/>
          <w:b w:val="0"/>
          <w:bCs w:val="0"/>
          <w:color w:val="auto"/>
          <w:sz w:val="24"/>
          <w:szCs w:val="22"/>
          <w:highlight w:val="none"/>
        </w:rPr>
        <w:t>二、项目概况</w:t>
      </w:r>
    </w:p>
    <w:p w14:paraId="02689386">
      <w:pPr>
        <w:spacing w:line="360" w:lineRule="auto"/>
        <w:ind w:firstLine="420" w:firstLineChars="200"/>
        <w:rPr>
          <w:rFonts w:hint="eastAsia" w:eastAsia="宋体" w:cs="Times New Roman"/>
          <w:color w:val="0000FF"/>
          <w:kern w:val="2"/>
          <w:sz w:val="21"/>
          <w:szCs w:val="24"/>
          <w:highlight w:val="none"/>
          <w:lang w:val="en-US" w:eastAsia="zh-CN"/>
        </w:rPr>
      </w:pPr>
      <w:r>
        <w:rPr>
          <w:rFonts w:hint="eastAsia" w:cs="Times New Roman" w:asciiTheme="minorEastAsia" w:hAnsiTheme="minorEastAsia" w:eastAsiaTheme="minorEastAsia"/>
          <w:color w:val="0000FF"/>
          <w:highlight w:val="none"/>
          <w:lang w:val="en-US" w:eastAsia="zh-CN"/>
        </w:rPr>
        <w:t xml:space="preserve">根据《深圳市残疾人辅助器具管理办法》和《深圳市残疾人辅助器具维修细则》，为深圳市残疾人提供专业化辅助器具维修服务。维修辅具类别为 </w:t>
      </w:r>
      <w:r>
        <w:rPr>
          <w:rFonts w:hint="eastAsia" w:cs="Times New Roman" w:asciiTheme="minorEastAsia" w:hAnsiTheme="minorEastAsia" w:eastAsiaTheme="minorEastAsia"/>
          <w:color w:val="0000FF"/>
          <w:highlight w:val="none"/>
          <w:u w:val="single"/>
          <w:lang w:val="en-US" w:eastAsia="zh-CN"/>
        </w:rPr>
        <w:t xml:space="preserve"> 矫形器和假肢 </w:t>
      </w:r>
      <w:r>
        <w:rPr>
          <w:rFonts w:hint="eastAsia" w:cs="Times New Roman" w:asciiTheme="minorEastAsia" w:hAnsiTheme="minorEastAsia" w:eastAsiaTheme="minorEastAsia"/>
          <w:color w:val="0000FF"/>
          <w:highlight w:val="none"/>
          <w:lang w:val="en-US" w:eastAsia="zh-CN"/>
        </w:rPr>
        <w:t xml:space="preserve"> 。</w:t>
      </w:r>
    </w:p>
    <w:p w14:paraId="7BD26049">
      <w:pPr>
        <w:pageBreakBefore w:val="0"/>
        <w:kinsoku/>
        <w:overflowPunct/>
        <w:topLinePunct w:val="0"/>
        <w:bidi w:val="0"/>
        <w:spacing w:line="360" w:lineRule="auto"/>
        <w:rPr>
          <w:rFonts w:ascii="宋体" w:hAnsi="宋体"/>
          <w:b/>
          <w:color w:val="auto"/>
          <w:szCs w:val="21"/>
          <w:highlight w:val="none"/>
        </w:rPr>
      </w:pPr>
    </w:p>
    <w:p w14:paraId="70234F58">
      <w:pPr>
        <w:pStyle w:val="3"/>
        <w:keepNext w:val="0"/>
        <w:keepLines w:val="0"/>
        <w:pageBreakBefore w:val="0"/>
        <w:widowControl w:val="0"/>
        <w:kinsoku/>
        <w:wordWrap/>
        <w:overflowPunct/>
        <w:topLinePunct w:val="0"/>
        <w:autoSpaceDE/>
        <w:autoSpaceDN/>
        <w:bidi w:val="0"/>
        <w:adjustRightInd w:val="0"/>
        <w:snapToGrid/>
        <w:spacing w:before="120" w:beforeLines="50" w:after="120" w:afterLines="50" w:line="360" w:lineRule="auto"/>
        <w:jc w:val="center"/>
        <w:textAlignment w:val="baseline"/>
        <w:outlineLvl w:val="2"/>
        <w:rPr>
          <w:rFonts w:hint="eastAsia" w:ascii="宋体" w:hAnsi="宋体" w:eastAsia="宋体" w:cs="Times New Roman"/>
          <w:b w:val="0"/>
          <w:bCs w:val="0"/>
          <w:color w:val="auto"/>
          <w:sz w:val="24"/>
          <w:szCs w:val="22"/>
          <w:highlight w:val="none"/>
        </w:rPr>
      </w:pPr>
      <w:r>
        <w:rPr>
          <w:rFonts w:hint="eastAsia" w:ascii="宋体" w:hAnsi="宋体" w:eastAsia="宋体" w:cs="Times New Roman"/>
          <w:b w:val="0"/>
          <w:bCs w:val="0"/>
          <w:color w:val="auto"/>
          <w:sz w:val="24"/>
          <w:szCs w:val="22"/>
          <w:highlight w:val="none"/>
        </w:rPr>
        <w:t>三、</w:t>
      </w:r>
      <w:bookmarkStart w:id="30" w:name="_Hlk72073432"/>
      <w:r>
        <w:rPr>
          <w:rFonts w:hint="eastAsia" w:ascii="宋体" w:hAnsi="宋体" w:eastAsia="宋体" w:cs="Times New Roman"/>
          <w:b w:val="0"/>
          <w:bCs w:val="0"/>
          <w:color w:val="auto"/>
          <w:sz w:val="24"/>
          <w:szCs w:val="22"/>
          <w:highlight w:val="none"/>
        </w:rPr>
        <w:t>服务需求明细</w:t>
      </w:r>
      <w:bookmarkEnd w:id="30"/>
    </w:p>
    <w:tbl>
      <w:tblPr>
        <w:tblStyle w:val="4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228"/>
        <w:gridCol w:w="1517"/>
        <w:gridCol w:w="1613"/>
        <w:gridCol w:w="902"/>
        <w:gridCol w:w="1600"/>
      </w:tblGrid>
      <w:tr w14:paraId="03669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3D198B00">
            <w:pPr>
              <w:keepNext w:val="0"/>
              <w:keepLines w:val="0"/>
              <w:pageBreakBefore w:val="0"/>
              <w:widowControl w:val="0"/>
              <w:kinsoku/>
              <w:wordWrap/>
              <w:overflowPunct/>
              <w:topLinePunct w:val="0"/>
              <w:autoSpaceDE/>
              <w:autoSpaceDN/>
              <w:bidi w:val="0"/>
              <w:adjustRightInd/>
              <w:snapToGrid/>
              <w:jc w:val="center"/>
              <w:textAlignment w:val="auto"/>
              <w:rPr>
                <w:b/>
                <w:color w:val="0000FF"/>
                <w:highlight w:val="none"/>
              </w:rPr>
            </w:pPr>
            <w:r>
              <w:rPr>
                <w:b/>
                <w:color w:val="0000FF"/>
                <w:highlight w:val="none"/>
              </w:rPr>
              <w:t>序号</w:t>
            </w:r>
          </w:p>
        </w:tc>
        <w:tc>
          <w:tcPr>
            <w:tcW w:w="1307" w:type="pct"/>
            <w:vAlign w:val="center"/>
          </w:tcPr>
          <w:p w14:paraId="5189FF39">
            <w:pPr>
              <w:keepNext w:val="0"/>
              <w:keepLines w:val="0"/>
              <w:pageBreakBefore w:val="0"/>
              <w:widowControl w:val="0"/>
              <w:kinsoku/>
              <w:wordWrap/>
              <w:overflowPunct/>
              <w:topLinePunct w:val="0"/>
              <w:autoSpaceDE/>
              <w:autoSpaceDN/>
              <w:bidi w:val="0"/>
              <w:adjustRightInd/>
              <w:snapToGrid/>
              <w:jc w:val="center"/>
              <w:textAlignment w:val="auto"/>
              <w:rPr>
                <w:b/>
                <w:color w:val="0000FF"/>
                <w:highlight w:val="none"/>
              </w:rPr>
            </w:pPr>
            <w:r>
              <w:rPr>
                <w:b/>
                <w:color w:val="0000FF"/>
                <w:highlight w:val="none"/>
              </w:rPr>
              <w:t>服务名称</w:t>
            </w:r>
          </w:p>
        </w:tc>
        <w:tc>
          <w:tcPr>
            <w:tcW w:w="890" w:type="pct"/>
            <w:vAlign w:val="center"/>
          </w:tcPr>
          <w:p w14:paraId="26549A51">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
                <w:color w:val="0000FF"/>
                <w:highlight w:val="none"/>
                <w:lang w:val="en-US" w:eastAsia="zh-CN"/>
              </w:rPr>
            </w:pPr>
            <w:r>
              <w:rPr>
                <w:rFonts w:hint="eastAsia"/>
                <w:b/>
                <w:color w:val="0000FF"/>
                <w:highlight w:val="none"/>
                <w:lang w:val="en-US" w:eastAsia="zh-CN"/>
              </w:rPr>
              <w:t>包号</w:t>
            </w:r>
          </w:p>
        </w:tc>
        <w:tc>
          <w:tcPr>
            <w:tcW w:w="946" w:type="pct"/>
            <w:vAlign w:val="center"/>
          </w:tcPr>
          <w:p w14:paraId="29CCEF81">
            <w:pPr>
              <w:keepNext w:val="0"/>
              <w:keepLines w:val="0"/>
              <w:pageBreakBefore w:val="0"/>
              <w:widowControl w:val="0"/>
              <w:kinsoku/>
              <w:wordWrap/>
              <w:overflowPunct/>
              <w:topLinePunct w:val="0"/>
              <w:autoSpaceDE/>
              <w:autoSpaceDN/>
              <w:bidi w:val="0"/>
              <w:adjustRightInd/>
              <w:snapToGrid/>
              <w:jc w:val="center"/>
              <w:textAlignment w:val="auto"/>
              <w:rPr>
                <w:b/>
                <w:color w:val="0000FF"/>
                <w:highlight w:val="none"/>
              </w:rPr>
            </w:pPr>
            <w:r>
              <w:rPr>
                <w:b/>
                <w:color w:val="0000FF"/>
                <w:highlight w:val="none"/>
              </w:rPr>
              <w:t>数量</w:t>
            </w:r>
          </w:p>
        </w:tc>
        <w:tc>
          <w:tcPr>
            <w:tcW w:w="529" w:type="pct"/>
            <w:vAlign w:val="center"/>
          </w:tcPr>
          <w:p w14:paraId="6380E232">
            <w:pPr>
              <w:keepNext w:val="0"/>
              <w:keepLines w:val="0"/>
              <w:pageBreakBefore w:val="0"/>
              <w:widowControl w:val="0"/>
              <w:kinsoku/>
              <w:wordWrap/>
              <w:overflowPunct/>
              <w:topLinePunct w:val="0"/>
              <w:autoSpaceDE/>
              <w:autoSpaceDN/>
              <w:bidi w:val="0"/>
              <w:adjustRightInd/>
              <w:snapToGrid/>
              <w:jc w:val="center"/>
              <w:textAlignment w:val="auto"/>
              <w:rPr>
                <w:b/>
                <w:color w:val="0000FF"/>
                <w:highlight w:val="none"/>
              </w:rPr>
            </w:pPr>
            <w:r>
              <w:rPr>
                <w:b/>
                <w:color w:val="0000FF"/>
                <w:highlight w:val="none"/>
              </w:rPr>
              <w:t>单位</w:t>
            </w:r>
          </w:p>
        </w:tc>
        <w:tc>
          <w:tcPr>
            <w:tcW w:w="938" w:type="pct"/>
            <w:vAlign w:val="center"/>
          </w:tcPr>
          <w:p w14:paraId="4BD8D1DE">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color w:val="0000FF"/>
                <w:highlight w:val="none"/>
              </w:rPr>
            </w:pPr>
            <w:r>
              <w:rPr>
                <w:rFonts w:hint="eastAsia"/>
                <w:b/>
                <w:color w:val="0000FF"/>
                <w:szCs w:val="21"/>
                <w:highlight w:val="none"/>
              </w:rPr>
              <w:t>预算控制金额</w:t>
            </w:r>
          </w:p>
        </w:tc>
      </w:tr>
      <w:tr w14:paraId="63FC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Align w:val="center"/>
          </w:tcPr>
          <w:p w14:paraId="11B1BF45">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olor w:val="0000FF"/>
                <w:highlight w:val="none"/>
              </w:rPr>
            </w:pPr>
            <w:r>
              <w:rPr>
                <w:rFonts w:ascii="宋体" w:hAnsi="宋体"/>
                <w:color w:val="0000FF"/>
                <w:highlight w:val="none"/>
              </w:rPr>
              <w:t>1</w:t>
            </w:r>
          </w:p>
        </w:tc>
        <w:tc>
          <w:tcPr>
            <w:tcW w:w="1307" w:type="pct"/>
            <w:vAlign w:val="center"/>
          </w:tcPr>
          <w:p w14:paraId="21645CA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olor w:val="0000FF"/>
                <w:highlight w:val="none"/>
                <w:lang w:eastAsia="zh-CN"/>
              </w:rPr>
            </w:pPr>
            <w:r>
              <w:rPr>
                <w:rFonts w:hint="eastAsia" w:asciiTheme="minorEastAsia" w:hAnsiTheme="minorEastAsia" w:eastAsiaTheme="minorEastAsia"/>
                <w:color w:val="0000FF"/>
                <w:szCs w:val="21"/>
                <w:highlight w:val="none"/>
                <w:lang w:eastAsia="zh-CN"/>
              </w:rPr>
              <w:t>辅具维修服务（A包）</w:t>
            </w:r>
          </w:p>
        </w:tc>
        <w:tc>
          <w:tcPr>
            <w:tcW w:w="890" w:type="pct"/>
            <w:vAlign w:val="center"/>
          </w:tcPr>
          <w:p w14:paraId="28C04E9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olor w:val="0000FF"/>
                <w:szCs w:val="21"/>
                <w:highlight w:val="none"/>
              </w:rPr>
            </w:pPr>
            <w:r>
              <w:rPr>
                <w:rFonts w:hint="eastAsia" w:ascii="宋体" w:hAnsi="宋体"/>
                <w:color w:val="0000FF"/>
                <w:highlight w:val="none"/>
              </w:rPr>
              <w:t>A包</w:t>
            </w:r>
          </w:p>
        </w:tc>
        <w:tc>
          <w:tcPr>
            <w:tcW w:w="946" w:type="pct"/>
            <w:vAlign w:val="center"/>
          </w:tcPr>
          <w:p w14:paraId="5730857C">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olor w:val="0000FF"/>
                <w:highlight w:val="none"/>
              </w:rPr>
            </w:pPr>
            <w:r>
              <w:rPr>
                <w:rFonts w:ascii="宋体" w:hAnsi="宋体"/>
                <w:color w:val="0000FF"/>
                <w:highlight w:val="none"/>
              </w:rPr>
              <w:t>1</w:t>
            </w:r>
          </w:p>
        </w:tc>
        <w:tc>
          <w:tcPr>
            <w:tcW w:w="529" w:type="pct"/>
            <w:vAlign w:val="center"/>
          </w:tcPr>
          <w:p w14:paraId="229F7E7B">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olor w:val="0000FF"/>
                <w:highlight w:val="none"/>
              </w:rPr>
            </w:pPr>
            <w:r>
              <w:rPr>
                <w:rFonts w:ascii="宋体" w:hAnsi="宋体"/>
                <w:color w:val="0000FF"/>
                <w:highlight w:val="none"/>
              </w:rPr>
              <w:t>项</w:t>
            </w:r>
          </w:p>
        </w:tc>
        <w:tc>
          <w:tcPr>
            <w:tcW w:w="938" w:type="pct"/>
            <w:vAlign w:val="center"/>
          </w:tcPr>
          <w:p w14:paraId="048F951B">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olor w:val="0000FF"/>
                <w:highlight w:val="none"/>
              </w:rPr>
            </w:pPr>
            <w:r>
              <w:rPr>
                <w:rFonts w:hint="eastAsia"/>
                <w:color w:val="0000FF"/>
                <w:szCs w:val="21"/>
                <w:highlight w:val="none"/>
                <w:lang w:val="en-US" w:eastAsia="zh-CN"/>
              </w:rPr>
              <w:t>20</w:t>
            </w:r>
            <w:r>
              <w:rPr>
                <w:rFonts w:hint="eastAsia"/>
                <w:color w:val="0000FF"/>
                <w:szCs w:val="21"/>
                <w:highlight w:val="none"/>
              </w:rPr>
              <w:t>万元</w:t>
            </w:r>
          </w:p>
        </w:tc>
      </w:tr>
    </w:tbl>
    <w:p w14:paraId="6E729921">
      <w:pPr>
        <w:pageBreakBefore w:val="0"/>
        <w:kinsoku/>
        <w:overflowPunct/>
        <w:topLinePunct w:val="0"/>
        <w:bidi w:val="0"/>
        <w:spacing w:line="360" w:lineRule="auto"/>
        <w:rPr>
          <w:rFonts w:ascii="宋体" w:hAnsi="宋体"/>
          <w:b/>
          <w:color w:val="auto"/>
          <w:szCs w:val="21"/>
          <w:highlight w:val="none"/>
        </w:rPr>
      </w:pPr>
    </w:p>
    <w:p w14:paraId="5F6DD83B">
      <w:pPr>
        <w:pStyle w:val="3"/>
        <w:keepNext w:val="0"/>
        <w:keepLines w:val="0"/>
        <w:pageBreakBefore w:val="0"/>
        <w:widowControl w:val="0"/>
        <w:kinsoku/>
        <w:wordWrap/>
        <w:overflowPunct/>
        <w:topLinePunct w:val="0"/>
        <w:autoSpaceDE/>
        <w:autoSpaceDN/>
        <w:bidi w:val="0"/>
        <w:adjustRightInd w:val="0"/>
        <w:snapToGrid/>
        <w:spacing w:before="120" w:beforeLines="50" w:after="120" w:afterLines="50" w:line="360" w:lineRule="auto"/>
        <w:jc w:val="center"/>
        <w:textAlignment w:val="baseline"/>
        <w:outlineLvl w:val="2"/>
        <w:rPr>
          <w:rFonts w:hint="eastAsia" w:ascii="宋体" w:hAnsi="宋体" w:eastAsia="宋体" w:cs="Times New Roman"/>
          <w:b w:val="0"/>
          <w:bCs w:val="0"/>
          <w:color w:val="auto"/>
          <w:sz w:val="24"/>
          <w:szCs w:val="22"/>
          <w:highlight w:val="none"/>
        </w:rPr>
      </w:pPr>
      <w:r>
        <w:rPr>
          <w:rFonts w:hint="eastAsia" w:ascii="宋体" w:hAnsi="宋体" w:eastAsia="宋体" w:cs="Times New Roman"/>
          <w:b w:val="0"/>
          <w:bCs w:val="0"/>
          <w:color w:val="auto"/>
          <w:sz w:val="24"/>
          <w:szCs w:val="22"/>
          <w:highlight w:val="none"/>
        </w:rPr>
        <w:t>四、实质性条款</w:t>
      </w:r>
    </w:p>
    <w:tbl>
      <w:tblPr>
        <w:tblStyle w:val="44"/>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951"/>
      </w:tblGrid>
      <w:tr w14:paraId="2C43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49F4CCCF">
            <w:pPr>
              <w:pageBreakBefore w:val="0"/>
              <w:kinsoku/>
              <w:overflowPunct/>
              <w:topLinePunct w:val="0"/>
              <w:bidi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序号</w:t>
            </w:r>
          </w:p>
        </w:tc>
        <w:tc>
          <w:tcPr>
            <w:tcW w:w="7951" w:type="dxa"/>
          </w:tcPr>
          <w:p w14:paraId="222C8A83">
            <w:pPr>
              <w:pageBreakBefore w:val="0"/>
              <w:kinsoku/>
              <w:overflowPunct/>
              <w:topLinePunct w:val="0"/>
              <w:bidi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实质性条款具体内容</w:t>
            </w:r>
          </w:p>
        </w:tc>
      </w:tr>
      <w:tr w14:paraId="1174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77D8D77D">
            <w:pPr>
              <w:pageBreakBefore w:val="0"/>
              <w:kinsoku/>
              <w:overflowPunct/>
              <w:topLinePunct w:val="0"/>
              <w:bidi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7951" w:type="dxa"/>
          </w:tcPr>
          <w:p w14:paraId="6FDDB15C">
            <w:pPr>
              <w:pageBreakBefore w:val="0"/>
              <w:kinsoku/>
              <w:overflowPunct/>
              <w:topLinePunct w:val="0"/>
              <w:bidi w:val="0"/>
              <w:spacing w:line="360" w:lineRule="auto"/>
              <w:jc w:val="center"/>
              <w:rPr>
                <w:rFonts w:hAnsi="宋体" w:eastAsiaTheme="minorEastAsia"/>
                <w:color w:val="auto"/>
                <w:kern w:val="0"/>
                <w:szCs w:val="21"/>
                <w:highlight w:val="none"/>
              </w:rPr>
            </w:pPr>
            <w:r>
              <w:rPr>
                <w:rFonts w:hint="eastAsia"/>
                <w:color w:val="0000FF"/>
                <w:highlight w:val="none"/>
              </w:rPr>
              <w:t>满足本项目标★的条款要求</w:t>
            </w:r>
          </w:p>
        </w:tc>
      </w:tr>
      <w:bookmarkEnd w:id="29"/>
    </w:tbl>
    <w:p w14:paraId="21E55398">
      <w:pPr>
        <w:pageBreakBefore w:val="0"/>
        <w:kinsoku/>
        <w:overflowPunct/>
        <w:topLinePunct w:val="0"/>
        <w:bidi w:val="0"/>
        <w:spacing w:line="360" w:lineRule="auto"/>
        <w:rPr>
          <w:rFonts w:ascii="宋体"/>
          <w:b/>
          <w:color w:val="auto"/>
          <w:kern w:val="0"/>
          <w:sz w:val="24"/>
          <w:szCs w:val="20"/>
          <w:highlight w:val="none"/>
        </w:rPr>
      </w:pPr>
      <w:r>
        <w:rPr>
          <w:rFonts w:ascii="宋体"/>
          <w:b/>
          <w:color w:val="auto"/>
          <w:kern w:val="0"/>
          <w:sz w:val="24"/>
          <w:szCs w:val="20"/>
          <w:highlight w:val="none"/>
        </w:rPr>
        <w:t>注：上表所列内容为不可负偏离条款，负偏离将视为未实质性满足</w:t>
      </w:r>
      <w:r>
        <w:rPr>
          <w:rFonts w:hint="eastAsia" w:ascii="宋体"/>
          <w:b/>
          <w:color w:val="auto"/>
          <w:kern w:val="0"/>
          <w:sz w:val="24"/>
          <w:szCs w:val="20"/>
          <w:highlight w:val="none"/>
        </w:rPr>
        <w:t>招标</w:t>
      </w:r>
      <w:r>
        <w:rPr>
          <w:rFonts w:ascii="宋体"/>
          <w:b/>
          <w:color w:val="auto"/>
          <w:kern w:val="0"/>
          <w:sz w:val="24"/>
          <w:szCs w:val="20"/>
          <w:highlight w:val="none"/>
        </w:rPr>
        <w:t>文件要求和条件作投标无效处理。</w:t>
      </w:r>
    </w:p>
    <w:p w14:paraId="03BC4593">
      <w:pPr>
        <w:rPr>
          <w:highlight w:val="none"/>
        </w:rPr>
      </w:pPr>
    </w:p>
    <w:p w14:paraId="448D9AC7">
      <w:pPr>
        <w:rPr>
          <w:rFonts w:ascii="宋体"/>
          <w:b/>
          <w:color w:val="auto"/>
          <w:kern w:val="0"/>
          <w:sz w:val="24"/>
          <w:szCs w:val="20"/>
          <w:highlight w:val="none"/>
        </w:rPr>
      </w:pPr>
    </w:p>
    <w:p w14:paraId="420CCE52">
      <w:pPr>
        <w:rPr>
          <w:highlight w:val="none"/>
        </w:rPr>
      </w:pPr>
    </w:p>
    <w:p w14:paraId="365390D8">
      <w:pPr>
        <w:pStyle w:val="8"/>
        <w:pageBreakBefore w:val="0"/>
        <w:kinsoku/>
        <w:overflowPunct/>
        <w:topLinePunct w:val="0"/>
        <w:bidi w:val="0"/>
        <w:spacing w:line="360" w:lineRule="auto"/>
        <w:rPr>
          <w:color w:val="auto"/>
          <w:highlight w:val="none"/>
        </w:rPr>
      </w:pPr>
    </w:p>
    <w:p w14:paraId="66CA83B1">
      <w:pPr>
        <w:pStyle w:val="3"/>
        <w:keepNext w:val="0"/>
        <w:keepLines w:val="0"/>
        <w:pageBreakBefore w:val="0"/>
        <w:widowControl w:val="0"/>
        <w:kinsoku/>
        <w:wordWrap/>
        <w:overflowPunct/>
        <w:topLinePunct w:val="0"/>
        <w:autoSpaceDE/>
        <w:autoSpaceDN/>
        <w:bidi w:val="0"/>
        <w:adjustRightInd w:val="0"/>
        <w:snapToGrid/>
        <w:spacing w:before="120" w:beforeLines="50" w:after="120" w:afterLines="50" w:line="360" w:lineRule="auto"/>
        <w:jc w:val="center"/>
        <w:textAlignment w:val="baseline"/>
        <w:outlineLvl w:val="2"/>
        <w:rPr>
          <w:rFonts w:hint="eastAsia" w:ascii="宋体" w:hAnsi="宋体" w:eastAsia="宋体" w:cs="Times New Roman"/>
          <w:b/>
          <w:bCs/>
          <w:color w:val="0000FF"/>
          <w:sz w:val="24"/>
          <w:szCs w:val="22"/>
          <w:highlight w:val="none"/>
        </w:rPr>
      </w:pPr>
      <w:r>
        <w:rPr>
          <w:rFonts w:hint="eastAsia" w:ascii="宋体" w:hAnsi="宋体" w:eastAsia="宋体" w:cs="Times New Roman"/>
          <w:b/>
          <w:bCs/>
          <w:color w:val="0000FF"/>
          <w:sz w:val="24"/>
          <w:szCs w:val="22"/>
          <w:highlight w:val="none"/>
        </w:rPr>
        <w:t>五、技术要求</w:t>
      </w:r>
    </w:p>
    <w:p w14:paraId="600BE9D5">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1.维修范围</w:t>
      </w:r>
    </w:p>
    <w:p w14:paraId="29DFF427">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维修的辅助器具均指超过保修期和不在保修范围内的辅助器具。</w:t>
      </w:r>
    </w:p>
    <w:p w14:paraId="7CB64621">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1.1由深圳市（区）配送或购置补贴的辅助器具；</w:t>
      </w:r>
    </w:p>
    <w:p w14:paraId="78C17C01">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1.2由深圳市各级机构配送的个案部分自费的辅助器具；</w:t>
      </w:r>
    </w:p>
    <w:p w14:paraId="2C5440DE">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1.3个案自行购买的辅助器具（含非深户残疾人）；</w:t>
      </w:r>
    </w:p>
    <w:p w14:paraId="79C0C355">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1.4深圳范围内的福利院、敬老院、托养机构及为残疾人服务的民非企需维修的辅助器具。</w:t>
      </w:r>
    </w:p>
    <w:p w14:paraId="6C331DE3">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2.维修费用</w:t>
      </w:r>
    </w:p>
    <w:p w14:paraId="1D0499E4">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2.1深圳户籍残疾人维修辅具时，个案无需支付费用；</w:t>
      </w:r>
    </w:p>
    <w:p w14:paraId="1B8E553E">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2.2非深圳户籍残疾人维修辅具时，个案支付所需更换零件的零件费；</w:t>
      </w:r>
    </w:p>
    <w:p w14:paraId="4B2500A0">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2.3深圳范围内的福利院、敬老院、托养机构及为残疾人服务的民非企等维修辅具时，支付所需更换零件的零件费。</w:t>
      </w:r>
    </w:p>
    <w:p w14:paraId="7890CC1D">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3.服务内容</w:t>
      </w:r>
    </w:p>
    <w:p w14:paraId="229F5A14">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3.1计划提供不少于80件辅具维修服务。</w:t>
      </w:r>
    </w:p>
    <w:p w14:paraId="7074C12F">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3.2以上服务数据必须录入指定系统。</w:t>
      </w:r>
    </w:p>
    <w:p w14:paraId="39497B44">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4.服务要求</w:t>
      </w:r>
    </w:p>
    <w:p w14:paraId="37EC96B6">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4.1中标方及时为残疾人提供辅具维修服务，凡在已报维修服务范围内的不得推脱。</w:t>
      </w:r>
    </w:p>
    <w:p w14:paraId="38ECB027">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4.2维修同时，提供检测和清洗消毒服务。辅具清洗消毒服务按照先清洗后消毒的顺序进行。严格按照消毒剂使用说明注明的使用范围、使用方法、有效期和安全性检测结果使用。作用时间到达后应用清水擦拭或冲洗，去除残留消毒剂。</w:t>
      </w:r>
    </w:p>
    <w:p w14:paraId="38CCDAE5">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★5、服务范围</w:t>
      </w:r>
    </w:p>
    <w:p w14:paraId="2E9F2B7B">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承接《康复辅助器具分类和术语》（GB/T 16432-2016/ISO 9999:2011）中06主类“矫形器和假肢”的维修服务。</w:t>
      </w:r>
    </w:p>
    <w:p w14:paraId="7A028257">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6、场地及设备</w:t>
      </w:r>
    </w:p>
    <w:p w14:paraId="6BBD6641">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服务机构业务用房有维修区域；维修区域应配置可开展相应维修服务的设备。</w:t>
      </w:r>
    </w:p>
    <w:p w14:paraId="4228F868">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★7、专业人员配备</w:t>
      </w:r>
    </w:p>
    <w:p w14:paraId="0543E225">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应至少配备1名假肢矫形器技师。</w:t>
      </w:r>
    </w:p>
    <w:p w14:paraId="73CBDC65">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8、维修价格</w:t>
      </w:r>
    </w:p>
    <w:p w14:paraId="64024F61">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投标人需根据《深圳市残疾人辅助器具维修（矫形器和假肢）零部件价格表》中的维修更换零部件列出相应报价。辅具维修检测费为60元/件，清洗消毒费30元/件。</w:t>
      </w:r>
    </w:p>
    <w:p w14:paraId="7E903F2E">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9、服务机构有下列行为之一的，报主管部门取消其服务机构资格：</w:t>
      </w:r>
    </w:p>
    <w:p w14:paraId="35C1AC67">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9.1 违反国家有关法律法规的。</w:t>
      </w:r>
    </w:p>
    <w:p w14:paraId="2382C5AE">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9.2 不履行《服务协议》的。</w:t>
      </w:r>
    </w:p>
    <w:p w14:paraId="039FE0D7">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9.3维修辅助器具名不符实、价格不实的。</w:t>
      </w:r>
    </w:p>
    <w:p w14:paraId="084224E8">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9.4 出现严重事故，在社会上造成不良影响的。</w:t>
      </w:r>
    </w:p>
    <w:p w14:paraId="41D224D9">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9.5 提供虚假资料的。</w:t>
      </w:r>
    </w:p>
    <w:p w14:paraId="44AAD692">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9.6 每年组织考核评分服务机构一次，考核不合格的；</w:t>
      </w:r>
    </w:p>
    <w:p w14:paraId="43EA0369">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9.7 无故不接受服务达到三次的；</w:t>
      </w:r>
    </w:p>
    <w:p w14:paraId="34D4F9CF">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9.8 服务机构与个案违规串通套取“服务费用”的。</w:t>
      </w:r>
    </w:p>
    <w:p w14:paraId="7722F6BE">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10、服务机构有下列行为之一的，给予警告处罚（警告三次的，报市主管部门取消其服务机构资格）。</w:t>
      </w:r>
    </w:p>
    <w:p w14:paraId="3AF10BF3">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10.1 服务机构的维修逾期数量高于5％的（自接到订单后10个工作日内完成维修）；</w:t>
      </w:r>
    </w:p>
    <w:p w14:paraId="480005F0">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10.2 投诉达到3%的；</w:t>
      </w:r>
    </w:p>
    <w:p w14:paraId="35347C3F">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10.3 收受当事人规定范围外财物的；</w:t>
      </w:r>
    </w:p>
    <w:p w14:paraId="28744EDF">
      <w:pPr>
        <w:pageBreakBefore w:val="0"/>
        <w:kinsoku/>
        <w:overflowPunct/>
        <w:topLinePunct w:val="0"/>
        <w:bidi w:val="0"/>
        <w:spacing w:line="360" w:lineRule="auto"/>
        <w:ind w:firstLine="420" w:firstLineChars="200"/>
        <w:rPr>
          <w:rFonts w:hint="eastAsia" w:cs="Times New Roman" w:asciiTheme="minorEastAsia" w:hAnsiTheme="minorEastAsia" w:eastAsiaTheme="minorEastAsia"/>
          <w:color w:val="0000FF"/>
          <w:highlight w:val="none"/>
          <w:lang w:val="en-US" w:eastAsia="zh-CN"/>
        </w:rPr>
      </w:pPr>
      <w:r>
        <w:rPr>
          <w:rFonts w:hint="eastAsia" w:cs="Times New Roman" w:asciiTheme="minorEastAsia" w:hAnsiTheme="minorEastAsia" w:eastAsiaTheme="minorEastAsia"/>
          <w:color w:val="0000FF"/>
          <w:highlight w:val="none"/>
          <w:lang w:val="en-US" w:eastAsia="zh-CN"/>
        </w:rPr>
        <w:t>10.4 未按时且未完整的将服务信息录入指定系统的。</w:t>
      </w:r>
    </w:p>
    <w:p w14:paraId="1C7CDC7E">
      <w:pPr>
        <w:pageBreakBefore w:val="0"/>
        <w:kinsoku/>
        <w:overflowPunct/>
        <w:topLinePunct w:val="0"/>
        <w:bidi w:val="0"/>
        <w:spacing w:line="360" w:lineRule="auto"/>
        <w:rPr>
          <w:b/>
          <w:color w:val="auto"/>
          <w:sz w:val="24"/>
          <w:highlight w:val="none"/>
        </w:rPr>
      </w:pPr>
    </w:p>
    <w:p w14:paraId="3DC19BC3">
      <w:pPr>
        <w:pStyle w:val="3"/>
        <w:keepNext w:val="0"/>
        <w:keepLines w:val="0"/>
        <w:pageBreakBefore w:val="0"/>
        <w:widowControl w:val="0"/>
        <w:kinsoku/>
        <w:wordWrap/>
        <w:overflowPunct/>
        <w:topLinePunct w:val="0"/>
        <w:autoSpaceDE/>
        <w:autoSpaceDN/>
        <w:bidi w:val="0"/>
        <w:adjustRightInd w:val="0"/>
        <w:snapToGrid/>
        <w:spacing w:before="120" w:beforeLines="50" w:after="120" w:afterLines="50" w:line="360" w:lineRule="auto"/>
        <w:jc w:val="center"/>
        <w:textAlignment w:val="baseline"/>
        <w:outlineLvl w:val="2"/>
        <w:rPr>
          <w:rFonts w:hint="eastAsia" w:ascii="宋体" w:hAnsi="宋体" w:eastAsia="宋体" w:cs="Times New Roman"/>
          <w:b w:val="0"/>
          <w:bCs w:val="0"/>
          <w:color w:val="auto"/>
          <w:sz w:val="24"/>
          <w:szCs w:val="22"/>
          <w:highlight w:val="none"/>
        </w:rPr>
      </w:pPr>
      <w:r>
        <w:rPr>
          <w:rFonts w:hint="eastAsia" w:ascii="宋体" w:hAnsi="宋体" w:eastAsia="宋体" w:cs="Times New Roman"/>
          <w:b w:val="0"/>
          <w:bCs w:val="0"/>
          <w:color w:val="auto"/>
          <w:sz w:val="24"/>
          <w:szCs w:val="22"/>
          <w:highlight w:val="none"/>
        </w:rPr>
        <w:t>六、商务要求</w:t>
      </w:r>
    </w:p>
    <w:p w14:paraId="283B64E6">
      <w:pPr>
        <w:pageBreakBefore w:val="0"/>
        <w:kinsoku/>
        <w:overflowPunct/>
        <w:topLinePunct w:val="0"/>
        <w:bidi w:val="0"/>
        <w:spacing w:line="360" w:lineRule="auto"/>
        <w:ind w:firstLine="420" w:firstLineChars="200"/>
        <w:rPr>
          <w:rFonts w:hint="eastAsia" w:asciiTheme="minorEastAsia" w:hAnsiTheme="minorEastAsia" w:eastAsiaTheme="minorEastAsia"/>
          <w:color w:val="0000FF"/>
          <w:highlight w:val="none"/>
          <w:lang w:val="en-US" w:eastAsia="zh-CN"/>
        </w:rPr>
      </w:pPr>
      <w:r>
        <w:rPr>
          <w:rFonts w:hint="eastAsia" w:asciiTheme="minorEastAsia" w:hAnsiTheme="minorEastAsia" w:eastAsiaTheme="minorEastAsia"/>
          <w:color w:val="0000FF"/>
          <w:highlight w:val="none"/>
          <w:lang w:val="en-US" w:eastAsia="zh-CN"/>
        </w:rPr>
        <w:t>★一、服务期限</w:t>
      </w:r>
    </w:p>
    <w:p w14:paraId="189E99EB">
      <w:pPr>
        <w:pageBreakBefore w:val="0"/>
        <w:kinsoku/>
        <w:overflowPunct/>
        <w:topLinePunct w:val="0"/>
        <w:bidi w:val="0"/>
        <w:spacing w:line="360" w:lineRule="auto"/>
        <w:ind w:firstLine="420" w:firstLineChars="200"/>
        <w:rPr>
          <w:rFonts w:hint="eastAsia" w:asciiTheme="minorEastAsia" w:hAnsiTheme="minorEastAsia" w:eastAsiaTheme="minorEastAsia"/>
          <w:color w:val="0000FF"/>
          <w:highlight w:val="none"/>
          <w:lang w:val="en-US" w:eastAsia="zh-CN"/>
        </w:rPr>
      </w:pPr>
      <w:r>
        <w:rPr>
          <w:rFonts w:hint="eastAsia" w:asciiTheme="minorEastAsia" w:hAnsiTheme="minorEastAsia" w:eastAsiaTheme="minorEastAsia"/>
          <w:color w:val="0000FF"/>
          <w:highlight w:val="none"/>
          <w:lang w:val="en-US" w:eastAsia="zh-CN"/>
        </w:rPr>
        <w:t>自签订合同之日起至2025年12月31日止，本项目年度总支付上限为20万元，一旦总额达到20万元，则服务合同即行终止。</w:t>
      </w:r>
    </w:p>
    <w:p w14:paraId="7B57A9A9">
      <w:pPr>
        <w:pageBreakBefore w:val="0"/>
        <w:kinsoku/>
        <w:overflowPunct/>
        <w:topLinePunct w:val="0"/>
        <w:bidi w:val="0"/>
        <w:spacing w:line="360" w:lineRule="auto"/>
        <w:ind w:firstLine="420" w:firstLineChars="200"/>
        <w:rPr>
          <w:rFonts w:hint="eastAsia" w:asciiTheme="minorEastAsia" w:hAnsiTheme="minorEastAsia" w:eastAsiaTheme="minorEastAsia"/>
          <w:color w:val="0000FF"/>
          <w:highlight w:val="none"/>
          <w:lang w:val="en-US" w:eastAsia="zh-CN"/>
        </w:rPr>
      </w:pPr>
      <w:r>
        <w:rPr>
          <w:rFonts w:hint="eastAsia" w:asciiTheme="minorEastAsia" w:hAnsiTheme="minorEastAsia" w:eastAsiaTheme="minorEastAsia"/>
          <w:color w:val="0000FF"/>
          <w:highlight w:val="none"/>
          <w:lang w:val="en-US" w:eastAsia="zh-CN"/>
        </w:rPr>
        <w:t>★二、付款方式</w:t>
      </w:r>
    </w:p>
    <w:p w14:paraId="65054F15">
      <w:pPr>
        <w:pageBreakBefore w:val="0"/>
        <w:kinsoku/>
        <w:overflowPunct/>
        <w:topLinePunct w:val="0"/>
        <w:bidi w:val="0"/>
        <w:spacing w:line="360" w:lineRule="auto"/>
        <w:ind w:firstLine="420" w:firstLineChars="200"/>
        <w:rPr>
          <w:rFonts w:hint="eastAsia" w:asciiTheme="minorEastAsia" w:hAnsiTheme="minorEastAsia" w:eastAsiaTheme="minorEastAsia"/>
          <w:color w:val="0000FF"/>
          <w:highlight w:val="none"/>
          <w:lang w:val="en-US" w:eastAsia="zh-CN"/>
        </w:rPr>
      </w:pPr>
      <w:r>
        <w:rPr>
          <w:rFonts w:hint="eastAsia" w:asciiTheme="minorEastAsia" w:hAnsiTheme="minorEastAsia" w:eastAsiaTheme="minorEastAsia"/>
          <w:color w:val="0000FF"/>
          <w:highlight w:val="none"/>
          <w:lang w:val="en-US" w:eastAsia="zh-CN"/>
        </w:rPr>
        <w:t>合同签订后支付首期款项（即年度总支付上限的70%）；每月结算核定金额累计达到或超过上限的70%时，支付中期款项（即年度总支付上限的20%）；项目完成后根据月结累计的实际维修数量和验收报告结算尾款。结算时，结算内容按中标单位《深圳市残疾人辅助器具（矫形器和假肢）维修零部件价格表》投标价格执行（如投标价格高于单价限价，一律按无效投标）。</w:t>
      </w:r>
    </w:p>
    <w:p w14:paraId="356A61B5">
      <w:pPr>
        <w:pStyle w:val="3"/>
        <w:keepNext w:val="0"/>
        <w:keepLines w:val="0"/>
        <w:pageBreakBefore w:val="0"/>
        <w:widowControl w:val="0"/>
        <w:kinsoku/>
        <w:wordWrap/>
        <w:overflowPunct/>
        <w:topLinePunct w:val="0"/>
        <w:autoSpaceDE/>
        <w:autoSpaceDN/>
        <w:bidi w:val="0"/>
        <w:adjustRightInd w:val="0"/>
        <w:snapToGrid/>
        <w:spacing w:before="120" w:beforeLines="50" w:after="120" w:afterLines="50" w:line="360" w:lineRule="auto"/>
        <w:jc w:val="center"/>
        <w:textAlignment w:val="baseline"/>
        <w:outlineLvl w:val="2"/>
        <w:rPr>
          <w:rFonts w:hint="eastAsia" w:ascii="宋体" w:hAnsi="宋体" w:eastAsia="宋体" w:cs="Times New Roman"/>
          <w:b w:val="0"/>
          <w:bCs w:val="0"/>
          <w:color w:val="auto"/>
          <w:sz w:val="24"/>
          <w:szCs w:val="22"/>
          <w:highlight w:val="none"/>
        </w:rPr>
      </w:pPr>
      <w:bookmarkStart w:id="31" w:name="_Hlk72167863"/>
      <w:r>
        <w:rPr>
          <w:rFonts w:hint="eastAsia" w:ascii="宋体" w:hAnsi="宋体" w:eastAsia="宋体" w:cs="Times New Roman"/>
          <w:b w:val="0"/>
          <w:bCs w:val="0"/>
          <w:color w:val="auto"/>
          <w:sz w:val="24"/>
          <w:szCs w:val="22"/>
          <w:highlight w:val="none"/>
        </w:rPr>
        <w:t>七、</w:t>
      </w:r>
      <w:bookmarkEnd w:id="31"/>
      <w:r>
        <w:rPr>
          <w:rFonts w:hint="eastAsia" w:ascii="宋体" w:hAnsi="宋体" w:eastAsia="宋体" w:cs="Times New Roman"/>
          <w:b w:val="0"/>
          <w:bCs w:val="0"/>
          <w:color w:val="auto"/>
          <w:sz w:val="24"/>
          <w:szCs w:val="22"/>
          <w:highlight w:val="none"/>
        </w:rPr>
        <w:t>其他重要条款</w:t>
      </w:r>
    </w:p>
    <w:p w14:paraId="054B3C57">
      <w:pPr>
        <w:pageBreakBefore w:val="0"/>
        <w:kinsoku/>
        <w:overflowPunct/>
        <w:topLinePunct w:val="0"/>
        <w:bidi w:val="0"/>
        <w:spacing w:line="360" w:lineRule="auto"/>
        <w:ind w:firstLine="420" w:firstLineChars="200"/>
        <w:rPr>
          <w:bCs/>
          <w:color w:val="auto"/>
          <w:szCs w:val="21"/>
          <w:highlight w:val="none"/>
        </w:rPr>
      </w:pPr>
      <w:bookmarkStart w:id="32" w:name="_Hlk72257111"/>
      <w:r>
        <w:rPr>
          <w:rFonts w:hint="eastAsia"/>
          <w:bCs/>
          <w:color w:val="auto"/>
          <w:szCs w:val="21"/>
          <w:highlight w:val="none"/>
        </w:rPr>
        <w:t>1、本项目投标报价采用包干制，应包括成本、法定税费和相应的利润，应涵盖本项目招标范围和招标文件所列的各项内容中所述的全部。</w:t>
      </w:r>
    </w:p>
    <w:p w14:paraId="6A3AE4C8">
      <w:pPr>
        <w:pStyle w:val="7"/>
        <w:pageBreakBefore w:val="0"/>
        <w:kinsoku/>
        <w:overflowPunct/>
        <w:topLinePunct w:val="0"/>
        <w:bidi w:val="0"/>
        <w:spacing w:before="60" w:beforeLines="25" w:after="60" w:afterLines="25" w:line="360" w:lineRule="auto"/>
        <w:ind w:firstLine="392" w:firstLineChars="187"/>
        <w:rPr>
          <w:rFonts w:ascii="宋体" w:hAnsi="宋体"/>
          <w:color w:val="auto"/>
          <w:szCs w:val="21"/>
          <w:highlight w:val="none"/>
        </w:rPr>
      </w:pPr>
      <w:r>
        <w:rPr>
          <w:bCs/>
          <w:color w:val="auto"/>
          <w:szCs w:val="21"/>
          <w:highlight w:val="none"/>
        </w:rPr>
        <w:t>2</w:t>
      </w:r>
      <w:r>
        <w:rPr>
          <w:rFonts w:hint="eastAsia"/>
          <w:bCs/>
          <w:color w:val="auto"/>
          <w:szCs w:val="21"/>
          <w:highlight w:val="none"/>
        </w:rPr>
        <w:t>、投标人应充分了解项目的位置、情况、道路及任何</w:t>
      </w:r>
      <w:r>
        <w:rPr>
          <w:rFonts w:hint="eastAsia"/>
          <w:bCs/>
          <w:color w:val="auto"/>
          <w:szCs w:val="21"/>
          <w:highlight w:val="none"/>
          <w:lang w:eastAsia="zh-CN"/>
        </w:rPr>
        <w:t>其他</w:t>
      </w:r>
      <w:r>
        <w:rPr>
          <w:rFonts w:hint="eastAsia"/>
          <w:bCs/>
          <w:color w:val="auto"/>
          <w:szCs w:val="21"/>
          <w:highlight w:val="none"/>
        </w:rPr>
        <w:t>足以影响投标报价的情况，任何因忽视或误解项目情况而导致的索赔或服务期限延长申请将不获批准。</w:t>
      </w:r>
    </w:p>
    <w:p w14:paraId="76DB979F">
      <w:pPr>
        <w:pageBreakBefore w:val="0"/>
        <w:kinsoku/>
        <w:overflowPunct/>
        <w:topLinePunct w:val="0"/>
        <w:bidi w:val="0"/>
        <w:spacing w:line="360" w:lineRule="auto"/>
        <w:ind w:firstLine="420" w:firstLineChars="200"/>
        <w:rPr>
          <w:bCs/>
          <w:color w:val="auto"/>
          <w:szCs w:val="21"/>
          <w:highlight w:val="none"/>
        </w:rPr>
      </w:pPr>
      <w:r>
        <w:rPr>
          <w:bCs/>
          <w:color w:val="auto"/>
          <w:szCs w:val="21"/>
          <w:highlight w:val="none"/>
        </w:rPr>
        <w:t>3</w:t>
      </w:r>
      <w:r>
        <w:rPr>
          <w:rFonts w:hint="eastAsia"/>
          <w:bCs/>
          <w:color w:val="auto"/>
          <w:szCs w:val="21"/>
          <w:highlight w:val="none"/>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CD586C0">
      <w:pPr>
        <w:pageBreakBefore w:val="0"/>
        <w:kinsoku/>
        <w:overflowPunct/>
        <w:topLinePunct w:val="0"/>
        <w:bidi w:val="0"/>
        <w:spacing w:line="360" w:lineRule="auto"/>
        <w:ind w:firstLine="420" w:firstLineChars="200"/>
        <w:rPr>
          <w:bCs/>
          <w:color w:val="auto"/>
          <w:szCs w:val="21"/>
          <w:highlight w:val="none"/>
        </w:rPr>
      </w:pPr>
      <w:r>
        <w:rPr>
          <w:bCs/>
          <w:color w:val="auto"/>
          <w:szCs w:val="21"/>
          <w:highlight w:val="none"/>
        </w:rPr>
        <w:t>4</w:t>
      </w:r>
      <w:r>
        <w:rPr>
          <w:rFonts w:hint="eastAsia"/>
          <w:bCs/>
          <w:color w:val="auto"/>
          <w:szCs w:val="21"/>
          <w:highlight w:val="none"/>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1B736FEC">
      <w:pPr>
        <w:pageBreakBefore w:val="0"/>
        <w:widowControl/>
        <w:kinsoku/>
        <w:overflowPunct/>
        <w:topLinePunct w:val="0"/>
        <w:bidi w:val="0"/>
        <w:spacing w:line="360" w:lineRule="auto"/>
        <w:ind w:firstLine="420" w:firstLineChars="200"/>
        <w:jc w:val="left"/>
        <w:rPr>
          <w:rFonts w:ascii="宋体" w:hAnsi="宋体"/>
          <w:b/>
          <w:bCs/>
          <w:color w:val="auto"/>
          <w:sz w:val="24"/>
          <w:szCs w:val="20"/>
          <w:highlight w:val="none"/>
        </w:rPr>
      </w:pPr>
      <w:r>
        <w:rPr>
          <w:bCs/>
          <w:color w:val="auto"/>
          <w:szCs w:val="21"/>
          <w:highlight w:val="none"/>
        </w:rPr>
        <w:t>5</w:t>
      </w:r>
      <w:r>
        <w:rPr>
          <w:rFonts w:hint="eastAsia"/>
          <w:bCs/>
          <w:color w:val="auto"/>
          <w:szCs w:val="21"/>
          <w:highlight w:val="none"/>
        </w:rPr>
        <w:t>、除采购合同继续履行将损害国家利益和社会公共利益外，双方当事人不得擅自变更、中止或者终止合同。</w:t>
      </w:r>
      <w:bookmarkEnd w:id="32"/>
      <w:r>
        <w:rPr>
          <w:color w:val="auto"/>
          <w:highlight w:val="none"/>
        </w:rPr>
        <w:br w:type="page"/>
      </w:r>
    </w:p>
    <w:p w14:paraId="54C81D2E">
      <w:pPr>
        <w:pStyle w:val="5"/>
        <w:pageBreakBefore w:val="0"/>
        <w:kinsoku/>
        <w:overflowPunct/>
        <w:topLinePunct w:val="0"/>
        <w:bidi w:val="0"/>
        <w:spacing w:line="360" w:lineRule="auto"/>
        <w:rPr>
          <w:rFonts w:hint="eastAsia" w:eastAsia="宋体"/>
          <w:b/>
          <w:bCs/>
          <w:color w:val="auto"/>
          <w:sz w:val="28"/>
          <w:szCs w:val="28"/>
          <w:highlight w:val="none"/>
          <w:lang w:eastAsia="zh-CN"/>
        </w:rPr>
      </w:pPr>
      <w:r>
        <w:rPr>
          <w:rFonts w:hint="eastAsia"/>
          <w:b/>
          <w:bCs/>
          <w:color w:val="auto"/>
          <w:sz w:val="28"/>
          <w:szCs w:val="28"/>
          <w:highlight w:val="none"/>
        </w:rPr>
        <w:t xml:space="preserve">第四章 </w:t>
      </w:r>
      <w:r>
        <w:rPr>
          <w:rFonts w:hint="eastAsia"/>
          <w:b/>
          <w:bCs/>
          <w:color w:val="auto"/>
          <w:sz w:val="28"/>
          <w:szCs w:val="28"/>
          <w:highlight w:val="none"/>
          <w:lang w:eastAsia="zh-CN"/>
        </w:rPr>
        <w:t>投标文件组成要求及格式</w:t>
      </w:r>
    </w:p>
    <w:p w14:paraId="34EBAAC7">
      <w:pPr>
        <w:pageBreakBefore w:val="0"/>
        <w:kinsoku/>
        <w:overflowPunct/>
        <w:topLinePunct w:val="0"/>
        <w:bidi w:val="0"/>
        <w:spacing w:line="360" w:lineRule="auto"/>
        <w:rPr>
          <w:rStyle w:val="66"/>
          <w:color w:val="auto"/>
          <w:sz w:val="24"/>
          <w:highlight w:val="none"/>
        </w:rPr>
      </w:pPr>
      <w:r>
        <w:rPr>
          <w:rStyle w:val="66"/>
          <w:rFonts w:hint="eastAsia"/>
          <w:color w:val="auto"/>
          <w:sz w:val="24"/>
          <w:highlight w:val="none"/>
        </w:rPr>
        <w:t>特别提醒：</w:t>
      </w:r>
    </w:p>
    <w:p w14:paraId="74CC578C">
      <w:pPr>
        <w:pageBreakBefore w:val="0"/>
        <w:tabs>
          <w:tab w:val="left" w:pos="1470"/>
        </w:tabs>
        <w:kinsoku/>
        <w:overflowPunct/>
        <w:topLinePunct w:val="0"/>
        <w:bidi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1D64F801">
      <w:pPr>
        <w:pageBreakBefore w:val="0"/>
        <w:tabs>
          <w:tab w:val="left" w:pos="1470"/>
        </w:tabs>
        <w:kinsoku/>
        <w:overflowPunct/>
        <w:topLinePunct w:val="0"/>
        <w:bidi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2、投标文件正文（信息公开部分）必须编制于“正文（公开部分）”部分，投标文件附件（非信息公开部分）必须编制于“附件（不公开部分）”部分。</w:t>
      </w:r>
    </w:p>
    <w:p w14:paraId="573F2887">
      <w:pPr>
        <w:pageBreakBefore w:val="0"/>
        <w:tabs>
          <w:tab w:val="left" w:pos="1470"/>
        </w:tabs>
        <w:kinsoku/>
        <w:overflowPunct/>
        <w:topLinePunct w:val="0"/>
        <w:bidi w:val="0"/>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b/>
          <w:color w:val="auto"/>
          <w:sz w:val="24"/>
          <w:highlight w:val="none"/>
          <w:lang w:eastAsia="zh-CN"/>
        </w:rPr>
        <w:t>代理机构</w:t>
      </w:r>
      <w:r>
        <w:rPr>
          <w:rFonts w:hint="eastAsia" w:ascii="宋体" w:hAnsi="宋体" w:cs="宋体"/>
          <w:b/>
          <w:color w:val="auto"/>
          <w:sz w:val="24"/>
          <w:highlight w:val="none"/>
        </w:rPr>
        <w:t>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14:paraId="265952FC">
      <w:pPr>
        <w:pageBreakBefore w:val="0"/>
        <w:widowControl/>
        <w:kinsoku/>
        <w:overflowPunct/>
        <w:topLinePunct w:val="0"/>
        <w:bidi w:val="0"/>
        <w:spacing w:line="360" w:lineRule="auto"/>
        <w:jc w:val="left"/>
        <w:rPr>
          <w:rFonts w:ascii="宋体" w:hAnsi="宋体"/>
          <w:color w:val="auto"/>
          <w:sz w:val="24"/>
          <w:highlight w:val="none"/>
        </w:rPr>
      </w:pPr>
    </w:p>
    <w:p w14:paraId="68A8D24A">
      <w:pPr>
        <w:pageBreakBefore w:val="0"/>
        <w:kinsoku/>
        <w:overflowPunct/>
        <w:topLinePunct w:val="0"/>
        <w:bidi w:val="0"/>
        <w:spacing w:line="360" w:lineRule="auto"/>
        <w:rPr>
          <w:rFonts w:ascii="宋体" w:hAnsi="宋体"/>
          <w:b/>
          <w:bCs/>
          <w:color w:val="auto"/>
          <w:sz w:val="24"/>
          <w:highlight w:val="none"/>
        </w:rPr>
      </w:pPr>
      <w:r>
        <w:rPr>
          <w:rFonts w:hint="eastAsia" w:ascii="宋体" w:hAnsi="宋体"/>
          <w:b/>
          <w:bCs/>
          <w:color w:val="auto"/>
          <w:sz w:val="24"/>
          <w:highlight w:val="none"/>
        </w:rPr>
        <w:t>投标文件组成：</w:t>
      </w:r>
    </w:p>
    <w:p w14:paraId="07933B6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2"/>
        <w:rPr>
          <w:rFonts w:ascii="宋体" w:hAnsi="宋体"/>
          <w:color w:val="auto"/>
          <w:sz w:val="24"/>
          <w:highlight w:val="none"/>
        </w:rPr>
      </w:pPr>
      <w:r>
        <w:rPr>
          <w:rFonts w:hint="eastAsia" w:ascii="宋体" w:hAnsi="宋体"/>
          <w:color w:val="auto"/>
          <w:sz w:val="24"/>
          <w:highlight w:val="none"/>
        </w:rPr>
        <w:t>1.投标文件正文</w:t>
      </w:r>
      <w:r>
        <w:rPr>
          <w:rFonts w:hint="eastAsia" w:ascii="宋体" w:hAnsi="宋体"/>
          <w:b/>
          <w:color w:val="auto"/>
          <w:sz w:val="24"/>
          <w:highlight w:val="none"/>
        </w:rPr>
        <w:t>（信息公开部分）</w:t>
      </w:r>
      <w:r>
        <w:rPr>
          <w:rFonts w:hint="eastAsia" w:ascii="宋体" w:hAnsi="宋体"/>
          <w:color w:val="auto"/>
          <w:sz w:val="24"/>
          <w:highlight w:val="none"/>
        </w:rPr>
        <w:t>，主要包括以下内容：</w:t>
      </w:r>
    </w:p>
    <w:p w14:paraId="36DB0B7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color w:val="auto"/>
          <w:szCs w:val="21"/>
          <w:highlight w:val="none"/>
        </w:rPr>
      </w:pPr>
      <w:r>
        <w:rPr>
          <w:rFonts w:hint="eastAsia"/>
          <w:color w:val="auto"/>
          <w:szCs w:val="21"/>
          <w:highlight w:val="none"/>
        </w:rPr>
        <w:t>（1）</w:t>
      </w:r>
      <w:bookmarkStart w:id="33" w:name="_Hlk72070784"/>
      <w:r>
        <w:rPr>
          <w:rFonts w:hint="eastAsia"/>
          <w:color w:val="auto"/>
          <w:szCs w:val="21"/>
          <w:highlight w:val="none"/>
        </w:rPr>
        <w:t>投标函</w:t>
      </w:r>
      <w:bookmarkEnd w:id="33"/>
    </w:p>
    <w:p w14:paraId="4A99550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eastAsia="宋体"/>
          <w:color w:val="auto"/>
          <w:szCs w:val="21"/>
          <w:highlight w:val="none"/>
          <w:lang w:eastAsia="zh-CN"/>
        </w:rPr>
      </w:pPr>
      <w:r>
        <w:rPr>
          <w:rFonts w:hint="eastAsia"/>
          <w:color w:val="auto"/>
          <w:szCs w:val="21"/>
          <w:highlight w:val="none"/>
        </w:rPr>
        <w:t>（2）</w:t>
      </w:r>
      <w:r>
        <w:rPr>
          <w:rFonts w:hint="eastAsia"/>
          <w:color w:val="auto"/>
          <w:szCs w:val="21"/>
          <w:highlight w:val="none"/>
          <w:lang w:eastAsia="zh-CN"/>
        </w:rPr>
        <w:t>采购投标及履约承诺函</w:t>
      </w:r>
    </w:p>
    <w:p w14:paraId="3956111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）投标人情况及资格证明文件</w:t>
      </w:r>
    </w:p>
    <w:p w14:paraId="6F0811D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color w:val="auto"/>
          <w:szCs w:val="21"/>
          <w:highlight w:val="none"/>
        </w:rPr>
      </w:pPr>
      <w:bookmarkStart w:id="34" w:name="_Hlk72257201"/>
      <w:r>
        <w:rPr>
          <w:rFonts w:hint="eastAsia"/>
          <w:color w:val="auto"/>
          <w:szCs w:val="21"/>
          <w:highlight w:val="none"/>
        </w:rPr>
        <w:t>（</w:t>
      </w:r>
      <w:r>
        <w:rPr>
          <w:color w:val="auto"/>
          <w:szCs w:val="21"/>
          <w:highlight w:val="none"/>
        </w:rPr>
        <w:t>4</w:t>
      </w:r>
      <w:r>
        <w:rPr>
          <w:rFonts w:hint="eastAsia"/>
          <w:color w:val="auto"/>
          <w:szCs w:val="21"/>
          <w:highlight w:val="none"/>
        </w:rPr>
        <w:t>）项目详细报价</w:t>
      </w:r>
    </w:p>
    <w:p w14:paraId="5ACB26B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color w:val="auto"/>
          <w:szCs w:val="21"/>
          <w:highlight w:val="none"/>
        </w:rPr>
      </w:pPr>
    </w:p>
    <w:bookmarkEnd w:id="34"/>
    <w:p w14:paraId="176C885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2"/>
        <w:rPr>
          <w:rFonts w:ascii="宋体" w:hAnsi="宋体"/>
          <w:color w:val="auto"/>
          <w:sz w:val="24"/>
          <w:highlight w:val="none"/>
        </w:rPr>
      </w:pPr>
      <w:r>
        <w:rPr>
          <w:rFonts w:hint="eastAsia" w:ascii="宋体" w:hAnsi="宋体"/>
          <w:color w:val="auto"/>
          <w:sz w:val="24"/>
          <w:highlight w:val="none"/>
        </w:rPr>
        <w:t>2.投标文件附件</w:t>
      </w:r>
      <w:r>
        <w:rPr>
          <w:rFonts w:hint="eastAsia" w:ascii="宋体" w:hAnsi="宋体"/>
          <w:b/>
          <w:color w:val="auto"/>
          <w:sz w:val="24"/>
          <w:highlight w:val="none"/>
        </w:rPr>
        <w:t>（信息不公开部分）</w:t>
      </w:r>
      <w:r>
        <w:rPr>
          <w:rFonts w:hint="eastAsia" w:ascii="宋体" w:hAnsi="宋体"/>
          <w:color w:val="auto"/>
          <w:sz w:val="24"/>
          <w:highlight w:val="none"/>
        </w:rPr>
        <w:t>：主要包括以下内容：</w:t>
      </w:r>
    </w:p>
    <w:p w14:paraId="6F7E92C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法定代表人（负责人）证明书</w:t>
      </w:r>
    </w:p>
    <w:p w14:paraId="42BE33D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投标文件签署授权委托书</w:t>
      </w:r>
    </w:p>
    <w:p w14:paraId="644618C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实质性条款响应情况表</w:t>
      </w:r>
    </w:p>
    <w:p w14:paraId="166C3ED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(4)质量保证方案</w:t>
      </w:r>
    </w:p>
    <w:p w14:paraId="2A6AE86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(5)维修服务方案</w:t>
      </w:r>
    </w:p>
    <w:p w14:paraId="4EBAB25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(6)维修服务响应时间</w:t>
      </w:r>
    </w:p>
    <w:p w14:paraId="37FE097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(7)投标人业绩情况</w:t>
      </w:r>
    </w:p>
    <w:p w14:paraId="57C5C89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(8)拟安排的项目负责人情况（仅限一人）</w:t>
      </w:r>
    </w:p>
    <w:p w14:paraId="3FBBEB7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(9)拟安排的项目团队成员（项目负责人除外）情况</w:t>
      </w:r>
    </w:p>
    <w:p w14:paraId="0FB7E82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(10)服务场地面积</w:t>
      </w:r>
    </w:p>
    <w:p w14:paraId="44BD75B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(11)科室设置</w:t>
      </w:r>
    </w:p>
    <w:p w14:paraId="7432758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(12)维修设备</w:t>
      </w:r>
    </w:p>
    <w:p w14:paraId="28BBF27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(13)零部件储备</w:t>
      </w:r>
    </w:p>
    <w:p w14:paraId="55CB93F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0000FF"/>
          <w:szCs w:val="21"/>
          <w:highlight w:val="none"/>
          <w:lang w:val="en-US" w:eastAsia="zh-CN"/>
        </w:rPr>
        <w:t>(14)</w:t>
      </w:r>
      <w:r>
        <w:rPr>
          <w:rFonts w:hint="eastAsia" w:ascii="宋体" w:hAnsi="宋体" w:eastAsia="宋体" w:cs="宋体"/>
          <w:color w:val="auto"/>
          <w:szCs w:val="21"/>
          <w:highlight w:val="none"/>
        </w:rPr>
        <w:t>投标人认为需要加以说明的其他内容</w:t>
      </w:r>
    </w:p>
    <w:p w14:paraId="3D38BCD9">
      <w:pPr>
        <w:pageBreakBefore w:val="0"/>
        <w:kinsoku/>
        <w:overflowPunct/>
        <w:topLinePunct w:val="0"/>
        <w:bidi w:val="0"/>
        <w:spacing w:line="360" w:lineRule="auto"/>
        <w:ind w:firstLine="426" w:firstLineChars="202"/>
        <w:rPr>
          <w:rFonts w:ascii="宋体" w:hAnsi="宋体"/>
          <w:b/>
          <w:color w:val="auto"/>
          <w:szCs w:val="21"/>
          <w:highlight w:val="none"/>
        </w:rPr>
      </w:pPr>
      <w:r>
        <w:rPr>
          <w:rFonts w:hint="eastAsia" w:ascii="宋体" w:hAnsi="宋体"/>
          <w:b/>
          <w:color w:val="auto"/>
          <w:szCs w:val="21"/>
          <w:highlight w:val="none"/>
        </w:rPr>
        <w:t>备注：</w:t>
      </w:r>
    </w:p>
    <w:p w14:paraId="2D1FC515">
      <w:pPr>
        <w:pageBreakBefore w:val="0"/>
        <w:kinsoku/>
        <w:overflowPunct/>
        <w:topLinePunct w:val="0"/>
        <w:bidi w:val="0"/>
        <w:spacing w:line="360" w:lineRule="auto"/>
        <w:ind w:firstLine="426" w:firstLineChars="202"/>
        <w:rPr>
          <w:rFonts w:ascii="宋体" w:hAnsi="宋体"/>
          <w:b/>
          <w:color w:val="auto"/>
          <w:szCs w:val="21"/>
          <w:highlight w:val="none"/>
        </w:rPr>
      </w:pPr>
      <w:r>
        <w:rPr>
          <w:rFonts w:hint="eastAsia" w:ascii="宋体" w:hAnsi="宋体"/>
          <w:b/>
          <w:color w:val="auto"/>
          <w:szCs w:val="21"/>
          <w:highlight w:val="none"/>
        </w:rPr>
        <w:t>1.本项目为网上电子投标项目，投标文件不需法人或授权委托人另行签字，无需加盖单位公章，招标文件专用条款另有规定的除外。</w:t>
      </w:r>
    </w:p>
    <w:p w14:paraId="14A2464E">
      <w:pPr>
        <w:pageBreakBefore w:val="0"/>
        <w:kinsoku/>
        <w:overflowPunct/>
        <w:topLinePunct w:val="0"/>
        <w:bidi w:val="0"/>
        <w:spacing w:line="360" w:lineRule="auto"/>
        <w:ind w:firstLine="426" w:firstLineChars="202"/>
        <w:rPr>
          <w:rFonts w:ascii="宋体" w:hAnsi="宋体"/>
          <w:b/>
          <w:color w:val="auto"/>
          <w:szCs w:val="21"/>
          <w:highlight w:val="none"/>
        </w:rPr>
      </w:pPr>
      <w:r>
        <w:rPr>
          <w:rFonts w:hint="eastAsia" w:ascii="宋体" w:hAnsi="宋体"/>
          <w:b/>
          <w:color w:val="auto"/>
          <w:szCs w:val="21"/>
          <w:highlight w:val="none"/>
        </w:rPr>
        <w:t>2.关于填写“开标一览表”的说明：“开标一览表”中除“投标报价”外，其他信息不作评审依据。</w:t>
      </w:r>
    </w:p>
    <w:p w14:paraId="56B8C87E">
      <w:pPr>
        <w:pageBreakBefore w:val="0"/>
        <w:kinsoku/>
        <w:overflowPunct/>
        <w:topLinePunct w:val="0"/>
        <w:bidi w:val="0"/>
        <w:spacing w:line="360" w:lineRule="auto"/>
        <w:jc w:val="left"/>
        <w:rPr>
          <w:rFonts w:ascii="宋体" w:hAnsi="宋体"/>
          <w:b/>
          <w:color w:val="auto"/>
          <w:sz w:val="36"/>
          <w:szCs w:val="36"/>
          <w:highlight w:val="none"/>
        </w:rPr>
      </w:pPr>
      <w:r>
        <w:rPr>
          <w:rFonts w:hint="eastAsia" w:ascii="宋体" w:hAnsi="宋体"/>
          <w:b/>
          <w:color w:val="auto"/>
          <w:sz w:val="36"/>
          <w:szCs w:val="36"/>
          <w:highlight w:val="none"/>
        </w:rPr>
        <w:br w:type="page"/>
      </w:r>
    </w:p>
    <w:p w14:paraId="0A202CA1">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ascii="宋体" w:hAnsi="宋体"/>
          <w:b/>
          <w:color w:val="auto"/>
          <w:sz w:val="28"/>
          <w:szCs w:val="28"/>
          <w:highlight w:val="none"/>
        </w:rPr>
      </w:pPr>
      <w:r>
        <w:rPr>
          <w:rFonts w:hint="eastAsia" w:ascii="宋体" w:hAnsi="宋体"/>
          <w:b/>
          <w:color w:val="auto"/>
          <w:sz w:val="28"/>
          <w:szCs w:val="28"/>
          <w:highlight w:val="none"/>
        </w:rPr>
        <w:t>投标文件正文（信息公开部分）</w:t>
      </w:r>
    </w:p>
    <w:p w14:paraId="06566F5F">
      <w:pPr>
        <w:pStyle w:val="4"/>
        <w:keepNext/>
        <w:keepLines/>
        <w:pageBreakBefore w:val="0"/>
        <w:widowControl w:val="0"/>
        <w:kinsoku/>
        <w:wordWrap/>
        <w:overflowPunct/>
        <w:topLinePunct w:val="0"/>
        <w:autoSpaceDE/>
        <w:autoSpaceDN/>
        <w:bidi w:val="0"/>
        <w:adjustRightInd/>
        <w:snapToGrid/>
        <w:spacing w:line="360" w:lineRule="auto"/>
        <w:jc w:val="center"/>
        <w:textAlignment w:val="auto"/>
        <w:outlineLvl w:val="3"/>
        <w:rPr>
          <w:rFonts w:ascii="黑体" w:eastAsia="黑体"/>
          <w:b w:val="0"/>
          <w:color w:val="auto"/>
          <w:kern w:val="0"/>
          <w:sz w:val="24"/>
          <w:highlight w:val="none"/>
        </w:rPr>
      </w:pPr>
      <w:r>
        <w:rPr>
          <w:rFonts w:hint="eastAsia" w:ascii="黑体" w:eastAsia="黑体"/>
          <w:b w:val="0"/>
          <w:color w:val="auto"/>
          <w:kern w:val="0"/>
          <w:sz w:val="24"/>
          <w:highlight w:val="none"/>
        </w:rPr>
        <w:t>一、投标函</w:t>
      </w:r>
    </w:p>
    <w:p w14:paraId="3C0CDA3D">
      <w:pPr>
        <w:pageBreakBefore w:val="0"/>
        <w:kinsoku/>
        <w:overflowPunct/>
        <w:topLinePunct w:val="0"/>
        <w:bidi w:val="0"/>
        <w:spacing w:line="360" w:lineRule="auto"/>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深圳交易咨询集团有限公司</w:t>
      </w:r>
      <w:r>
        <w:rPr>
          <w:rFonts w:hint="eastAsia" w:ascii="宋体" w:hAnsi="宋体"/>
          <w:color w:val="auto"/>
          <w:szCs w:val="21"/>
          <w:highlight w:val="none"/>
          <w:u w:val="single"/>
        </w:rPr>
        <w:t xml:space="preserve">  </w:t>
      </w:r>
    </w:p>
    <w:p w14:paraId="14A26E85">
      <w:pPr>
        <w:pageBreakBefore w:val="0"/>
        <w:kinsoku/>
        <w:overflowPunct/>
        <w:topLinePunct w:val="0"/>
        <w:bidi w:val="0"/>
        <w:spacing w:line="360" w:lineRule="auto"/>
        <w:ind w:firstLine="420" w:firstLineChars="200"/>
        <w:rPr>
          <w:rFonts w:ascii="宋体" w:hAnsi="宋体"/>
          <w:color w:val="auto"/>
          <w:szCs w:val="21"/>
          <w:highlight w:val="none"/>
        </w:rPr>
      </w:pPr>
      <w:bookmarkStart w:id="35" w:name="_Hlk73818812"/>
      <w:r>
        <w:rPr>
          <w:rFonts w:hint="eastAsia"/>
          <w:color w:val="auto"/>
          <w:szCs w:val="21"/>
          <w:highlight w:val="none"/>
        </w:rPr>
        <w:t>1、根据已收到贵单位的项目编号为</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的</w:t>
      </w:r>
      <w:r>
        <w:rPr>
          <w:rFonts w:hint="eastAsia"/>
          <w:color w:val="auto"/>
          <w:szCs w:val="21"/>
          <w:highlight w:val="none"/>
          <w:u w:val="single"/>
        </w:rPr>
        <w:t xml:space="preserve">               </w:t>
      </w:r>
      <w:r>
        <w:rPr>
          <w:rFonts w:hint="eastAsia"/>
          <w:color w:val="auto"/>
          <w:szCs w:val="21"/>
          <w:highlight w:val="none"/>
        </w:rPr>
        <w:t>项目的招标文件，遵照《深圳经济特区政府采购条例》和《深圳网上政府采购管理暂行办法》等有关规定，我单位经研究上述招标文件的专用条款及通用条款后，</w:t>
      </w:r>
      <w:bookmarkStart w:id="36" w:name="_Hlk72263588"/>
      <w:r>
        <w:rPr>
          <w:rFonts w:hint="eastAsia"/>
          <w:color w:val="auto"/>
          <w:szCs w:val="21"/>
          <w:highlight w:val="none"/>
        </w:rPr>
        <w:t>愿意按照招标文件要求承包上述项目并修补其任何缺陷。</w:t>
      </w:r>
      <w:bookmarkEnd w:id="36"/>
    </w:p>
    <w:p w14:paraId="64071333">
      <w:pPr>
        <w:pageBreakBefore w:val="0"/>
        <w:kinsoku/>
        <w:overflowPunct/>
        <w:topLinePunct w:val="0"/>
        <w:bidi w:val="0"/>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、投标价格见</w:t>
      </w:r>
      <w:r>
        <w:rPr>
          <w:rFonts w:hint="eastAsia"/>
          <w:color w:val="auto"/>
          <w:szCs w:val="21"/>
          <w:highlight w:val="none"/>
        </w:rPr>
        <w:t>投标书编制软件中《开标一览表》中填写的投标报价。</w:t>
      </w:r>
    </w:p>
    <w:p w14:paraId="4CDD68DA">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3、如果我单位中标，我单位将按照招标文件的要求提交履约担保。</w:t>
      </w:r>
    </w:p>
    <w:p w14:paraId="2F78C51F">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4、我单位同意所递交的投标文件在“对通用条款的补充内容”中明确的投标有效期内有效，在此期间内我单位的投标有可能中标，我方将受此约束。</w:t>
      </w:r>
    </w:p>
    <w:p w14:paraId="1B6FF90E">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5、除非另外达成协议并生效，贵单位的中标通知书和本投标文件将构成合同的重要内容。</w:t>
      </w:r>
    </w:p>
    <w:p w14:paraId="4A646C3A">
      <w:pPr>
        <w:pageBreakBefore w:val="0"/>
        <w:kinsoku/>
        <w:overflowPunct/>
        <w:topLinePunct w:val="0"/>
        <w:bidi w:val="0"/>
        <w:spacing w:line="360" w:lineRule="auto"/>
        <w:ind w:left="525" w:leftChars="200" w:hanging="105" w:hangingChars="50"/>
        <w:rPr>
          <w:rFonts w:ascii="宋体" w:hAnsi="宋体"/>
          <w:color w:val="auto"/>
          <w:szCs w:val="21"/>
          <w:highlight w:val="none"/>
        </w:rPr>
      </w:pPr>
      <w:r>
        <w:rPr>
          <w:rFonts w:hint="eastAsia" w:ascii="宋体" w:hAnsi="宋体"/>
          <w:color w:val="auto"/>
          <w:szCs w:val="21"/>
          <w:highlight w:val="none"/>
        </w:rPr>
        <w:t>6、我单位理解贵单位将不受必须接受所收到的最低报价或</w:t>
      </w:r>
      <w:r>
        <w:rPr>
          <w:rFonts w:hint="eastAsia" w:ascii="宋体" w:hAnsi="宋体"/>
          <w:color w:val="auto"/>
          <w:szCs w:val="21"/>
          <w:highlight w:val="none"/>
          <w:lang w:eastAsia="zh-CN"/>
        </w:rPr>
        <w:t>其他</w:t>
      </w:r>
      <w:r>
        <w:rPr>
          <w:rFonts w:hint="eastAsia" w:ascii="宋体" w:hAnsi="宋体"/>
          <w:color w:val="auto"/>
          <w:szCs w:val="21"/>
          <w:highlight w:val="none"/>
        </w:rPr>
        <w:t>任何投标文件的约束。</w:t>
      </w:r>
      <w:bookmarkEnd w:id="35"/>
    </w:p>
    <w:p w14:paraId="6ADBB5B5">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7、如我单位按项目要求提供样品，且未在规定时间内取回样品的，视同放弃取回，同意</w:t>
      </w:r>
      <w:r>
        <w:rPr>
          <w:rFonts w:hint="eastAsia" w:ascii="宋体" w:hAnsi="宋体"/>
          <w:color w:val="auto"/>
          <w:szCs w:val="21"/>
          <w:highlight w:val="none"/>
          <w:lang w:eastAsia="zh-CN"/>
        </w:rPr>
        <w:t>深圳交易咨询集团有限公司</w:t>
      </w:r>
      <w:r>
        <w:rPr>
          <w:rFonts w:hint="eastAsia" w:ascii="宋体" w:hAnsi="宋体"/>
          <w:color w:val="auto"/>
          <w:szCs w:val="21"/>
          <w:highlight w:val="none"/>
        </w:rPr>
        <w:t>对样品进行清理。</w:t>
      </w:r>
    </w:p>
    <w:p w14:paraId="6D5546A0">
      <w:pPr>
        <w:pageBreakBefore w:val="0"/>
        <w:kinsoku/>
        <w:overflowPunct/>
        <w:topLinePunct w:val="0"/>
        <w:bidi w:val="0"/>
        <w:spacing w:line="360" w:lineRule="auto"/>
        <w:ind w:left="540" w:leftChars="257"/>
        <w:rPr>
          <w:rFonts w:hint="eastAsia"/>
          <w:color w:val="auto"/>
          <w:szCs w:val="21"/>
          <w:highlight w:val="none"/>
        </w:rPr>
      </w:pPr>
      <w:r>
        <w:rPr>
          <w:rFonts w:hint="eastAsia"/>
          <w:color w:val="auto"/>
          <w:szCs w:val="21"/>
          <w:highlight w:val="none"/>
        </w:rPr>
        <w:t>投标人：</w:t>
      </w:r>
      <w:r>
        <w:rPr>
          <w:rFonts w:hint="eastAsia"/>
          <w:color w:val="auto"/>
          <w:szCs w:val="21"/>
          <w:highlight w:val="none"/>
          <w:u w:val="single"/>
        </w:rPr>
        <w:t xml:space="preserve">       </w:t>
      </w:r>
      <w:r>
        <w:rPr>
          <w:rFonts w:hint="eastAsia"/>
          <w:color w:val="auto"/>
          <w:szCs w:val="21"/>
          <w:highlight w:val="none"/>
        </w:rPr>
        <w:t>；  单位地址：</w:t>
      </w:r>
      <w:r>
        <w:rPr>
          <w:rFonts w:hint="eastAsia"/>
          <w:color w:val="auto"/>
          <w:szCs w:val="21"/>
          <w:highlight w:val="none"/>
          <w:u w:val="single"/>
        </w:rPr>
        <w:t xml:space="preserve">                    </w:t>
      </w:r>
      <w:r>
        <w:rPr>
          <w:rFonts w:hint="eastAsia"/>
          <w:color w:val="auto"/>
          <w:szCs w:val="21"/>
          <w:highlight w:val="none"/>
        </w:rPr>
        <w:t>；</w:t>
      </w:r>
    </w:p>
    <w:p w14:paraId="0398EDB0">
      <w:pPr>
        <w:pageBreakBefore w:val="0"/>
        <w:kinsoku/>
        <w:overflowPunct/>
        <w:topLinePunct w:val="0"/>
        <w:bidi w:val="0"/>
        <w:spacing w:line="360" w:lineRule="auto"/>
        <w:ind w:left="540" w:leftChars="257"/>
        <w:rPr>
          <w:rFonts w:hint="eastAsia"/>
          <w:color w:val="auto"/>
          <w:szCs w:val="21"/>
          <w:highlight w:val="none"/>
        </w:rPr>
      </w:pPr>
      <w:r>
        <w:rPr>
          <w:rFonts w:hint="eastAsia"/>
          <w:color w:val="auto"/>
          <w:szCs w:val="21"/>
          <w:highlight w:val="none"/>
        </w:rPr>
        <w:t>法定代表人（负责人）或其授权委托代理人：</w:t>
      </w:r>
      <w:r>
        <w:rPr>
          <w:rFonts w:hint="eastAsia"/>
          <w:color w:val="auto"/>
          <w:szCs w:val="21"/>
          <w:highlight w:val="none"/>
          <w:u w:val="single"/>
        </w:rPr>
        <w:t xml:space="preserve">         </w:t>
      </w:r>
      <w:r>
        <w:rPr>
          <w:rFonts w:hint="eastAsia"/>
          <w:color w:val="auto"/>
          <w:szCs w:val="21"/>
          <w:highlight w:val="none"/>
        </w:rPr>
        <w:t>；</w:t>
      </w:r>
    </w:p>
    <w:p w14:paraId="102C3B61">
      <w:pPr>
        <w:pageBreakBefore w:val="0"/>
        <w:kinsoku/>
        <w:overflowPunct/>
        <w:topLinePunct w:val="0"/>
        <w:bidi w:val="0"/>
        <w:spacing w:line="360" w:lineRule="auto"/>
        <w:ind w:left="540" w:leftChars="257"/>
        <w:rPr>
          <w:rFonts w:hint="eastAsia"/>
          <w:color w:val="auto"/>
          <w:szCs w:val="21"/>
          <w:highlight w:val="none"/>
        </w:rPr>
      </w:pPr>
      <w:r>
        <w:rPr>
          <w:rFonts w:hint="eastAsia"/>
          <w:color w:val="auto"/>
          <w:szCs w:val="21"/>
          <w:highlight w:val="none"/>
        </w:rPr>
        <w:t>电话：</w:t>
      </w:r>
      <w:r>
        <w:rPr>
          <w:rFonts w:hint="eastAsia"/>
          <w:color w:val="auto"/>
          <w:szCs w:val="21"/>
          <w:highlight w:val="none"/>
          <w:u w:val="single"/>
        </w:rPr>
        <w:t xml:space="preserve">          </w:t>
      </w:r>
      <w:r>
        <w:rPr>
          <w:rFonts w:hint="eastAsia"/>
          <w:color w:val="auto"/>
          <w:szCs w:val="21"/>
          <w:highlight w:val="none"/>
        </w:rPr>
        <w:t xml:space="preserve">；     </w:t>
      </w:r>
    </w:p>
    <w:p w14:paraId="4980DA33">
      <w:pPr>
        <w:pageBreakBefore w:val="0"/>
        <w:kinsoku/>
        <w:overflowPunct/>
        <w:topLinePunct w:val="0"/>
        <w:bidi w:val="0"/>
        <w:spacing w:line="360" w:lineRule="auto"/>
        <w:ind w:left="540" w:leftChars="257"/>
        <w:rPr>
          <w:rFonts w:ascii="黑体" w:hAnsi="宋体" w:eastAsia="黑体"/>
          <w:color w:val="auto"/>
          <w:highlight w:val="none"/>
        </w:rPr>
      </w:pPr>
      <w:r>
        <w:rPr>
          <w:rFonts w:hint="eastAsia"/>
          <w:color w:val="auto"/>
          <w:szCs w:val="21"/>
          <w:highlight w:val="none"/>
        </w:rPr>
        <w:t>日期：</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 xml:space="preserve">日   </w:t>
      </w:r>
    </w:p>
    <w:p w14:paraId="5BD5FE91">
      <w:pPr>
        <w:pageBreakBefore w:val="0"/>
        <w:kinsoku/>
        <w:overflowPunct/>
        <w:topLinePunct w:val="0"/>
        <w:bidi w:val="0"/>
        <w:spacing w:line="360" w:lineRule="auto"/>
        <w:rPr>
          <w:rFonts w:ascii="黑体" w:hAnsi="宋体" w:eastAsia="黑体"/>
          <w:color w:val="auto"/>
          <w:highlight w:val="none"/>
        </w:rPr>
      </w:pPr>
    </w:p>
    <w:p w14:paraId="40B7C41D">
      <w:pPr>
        <w:pageBreakBefore w:val="0"/>
        <w:kinsoku/>
        <w:overflowPunct/>
        <w:topLinePunct w:val="0"/>
        <w:bidi w:val="0"/>
        <w:spacing w:line="360" w:lineRule="auto"/>
        <w:rPr>
          <w:rFonts w:hint="eastAsia" w:ascii="黑体" w:eastAsia="黑体"/>
          <w:b w:val="0"/>
          <w:color w:val="auto"/>
          <w:kern w:val="0"/>
          <w:sz w:val="24"/>
          <w:highlight w:val="none"/>
        </w:rPr>
      </w:pPr>
      <w:r>
        <w:rPr>
          <w:rFonts w:hint="eastAsia" w:ascii="黑体" w:eastAsia="黑体"/>
          <w:b w:val="0"/>
          <w:color w:val="auto"/>
          <w:kern w:val="0"/>
          <w:sz w:val="24"/>
          <w:highlight w:val="none"/>
        </w:rPr>
        <w:br w:type="page"/>
      </w:r>
    </w:p>
    <w:p w14:paraId="0CEBD29F">
      <w:pPr>
        <w:pStyle w:val="4"/>
        <w:keepNext/>
        <w:keepLines/>
        <w:pageBreakBefore w:val="0"/>
        <w:widowControl w:val="0"/>
        <w:kinsoku/>
        <w:wordWrap/>
        <w:overflowPunct/>
        <w:topLinePunct w:val="0"/>
        <w:autoSpaceDE/>
        <w:autoSpaceDN/>
        <w:bidi w:val="0"/>
        <w:adjustRightInd/>
        <w:snapToGrid/>
        <w:spacing w:line="360" w:lineRule="auto"/>
        <w:jc w:val="center"/>
        <w:textAlignment w:val="auto"/>
        <w:outlineLvl w:val="3"/>
        <w:rPr>
          <w:rFonts w:ascii="黑体" w:eastAsia="黑体"/>
          <w:b w:val="0"/>
          <w:color w:val="auto"/>
          <w:kern w:val="0"/>
          <w:sz w:val="24"/>
          <w:highlight w:val="none"/>
        </w:rPr>
      </w:pPr>
      <w:r>
        <w:rPr>
          <w:rFonts w:hint="eastAsia" w:ascii="黑体" w:eastAsia="黑体"/>
          <w:b w:val="0"/>
          <w:color w:val="auto"/>
          <w:kern w:val="0"/>
          <w:sz w:val="24"/>
          <w:highlight w:val="none"/>
        </w:rPr>
        <w:t>二、采购投标及履约承诺函</w:t>
      </w:r>
    </w:p>
    <w:p w14:paraId="24012CBF">
      <w:pPr>
        <w:pageBreakBefore w:val="0"/>
        <w:kinsoku/>
        <w:overflowPunct/>
        <w:topLinePunct w:val="0"/>
        <w:bidi w:val="0"/>
        <w:spacing w:line="360" w:lineRule="auto"/>
        <w:rPr>
          <w:rFonts w:ascii="宋体" w:hAnsi="宋体"/>
          <w:color w:val="auto"/>
          <w:sz w:val="24"/>
          <w:highlight w:val="none"/>
        </w:rPr>
      </w:pPr>
    </w:p>
    <w:p w14:paraId="536BA4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致：</w:t>
      </w:r>
      <w:r>
        <w:rPr>
          <w:rFonts w:hint="eastAsia" w:ascii="宋体" w:hAnsi="宋体"/>
          <w:color w:val="auto"/>
          <w:szCs w:val="21"/>
          <w:highlight w:val="none"/>
          <w:u w:val="single"/>
          <w:lang w:eastAsia="zh-CN"/>
        </w:rPr>
        <w:t>深圳交易咨询集团有限公司</w:t>
      </w:r>
    </w:p>
    <w:p w14:paraId="0EDCE6E2">
      <w:pPr>
        <w:keepNext w:val="0"/>
        <w:keepLines w:val="0"/>
        <w:pageBreakBefore w:val="0"/>
        <w:widowControl w:val="0"/>
        <w:kinsoku/>
        <w:wordWrap/>
        <w:overflowPunct/>
        <w:topLinePunct w:val="0"/>
        <w:autoSpaceDE/>
        <w:autoSpaceDN/>
        <w:bidi w:val="0"/>
        <w:adjustRightInd/>
        <w:snapToGrid/>
        <w:spacing w:line="360" w:lineRule="auto"/>
        <w:ind w:right="-815" w:firstLine="420" w:firstLineChars="200"/>
        <w:textAlignment w:val="auto"/>
        <w:rPr>
          <w:rFonts w:ascii="宋体" w:hAnsi="宋体"/>
          <w:color w:val="auto"/>
          <w:szCs w:val="21"/>
          <w:highlight w:val="none"/>
        </w:rPr>
      </w:pPr>
      <w:r>
        <w:rPr>
          <w:rFonts w:hint="eastAsia" w:ascii="宋体" w:hAnsi="宋体"/>
          <w:color w:val="auto"/>
          <w:szCs w:val="21"/>
          <w:highlight w:val="none"/>
        </w:rPr>
        <w:t>我单位承诺：</w:t>
      </w:r>
    </w:p>
    <w:p w14:paraId="2A2D44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1.我单位参与本项目</w:t>
      </w:r>
      <w:r>
        <w:rPr>
          <w:rFonts w:hint="eastAsia" w:ascii="宋体" w:hAnsi="宋体"/>
          <w:color w:val="auto"/>
          <w:highlight w:val="none"/>
        </w:rPr>
        <w:t>所投标（响应）的货物、工程或服务，不存在侵犯知识产权的情况。</w:t>
      </w:r>
    </w:p>
    <w:p w14:paraId="17F28C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2.我单位参与本项目</w:t>
      </w:r>
      <w:r>
        <w:rPr>
          <w:rFonts w:hint="eastAsia"/>
          <w:color w:val="auto"/>
          <w:highlight w:val="none"/>
        </w:rPr>
        <w:t>采购活动时不存在被有关部门禁止参与政府采购活动且在有效期内的情况。符合招标文件关于联合体及进口产品的相关资格要求。</w:t>
      </w:r>
    </w:p>
    <w:p w14:paraId="799167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3.我单位具备《中华人民共和国政府采购法》第二十二条第一款的条件。</w:t>
      </w:r>
    </w:p>
    <w:p w14:paraId="0E2A34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eastAsia="zh-CN"/>
        </w:rPr>
      </w:pPr>
      <w:r>
        <w:rPr>
          <w:rFonts w:hint="eastAsia" w:ascii="宋体" w:hAnsi="宋体"/>
          <w:color w:val="auto"/>
          <w:szCs w:val="21"/>
          <w:highlight w:val="none"/>
        </w:rPr>
        <w:t>4.我单位</w:t>
      </w:r>
      <w:r>
        <w:rPr>
          <w:rFonts w:hint="eastAsia"/>
          <w:color w:val="auto"/>
          <w:highlight w:val="none"/>
        </w:rPr>
        <w:t>未被列入失信被执行人、重大税收违法案件当事人名单</w:t>
      </w:r>
      <w:r>
        <w:rPr>
          <w:rFonts w:hint="eastAsia"/>
          <w:color w:val="auto"/>
          <w:highlight w:val="none"/>
          <w:lang w:eastAsia="zh-CN"/>
        </w:rPr>
        <w:t>（</w:t>
      </w:r>
      <w:r>
        <w:rPr>
          <w:rFonts w:hint="eastAsia" w:ascii="宋体" w:hAnsi="宋体" w:eastAsia="宋体" w:cs="宋体"/>
          <w:i w:val="0"/>
          <w:iCs w:val="0"/>
          <w:caps w:val="0"/>
          <w:color w:val="auto"/>
          <w:spacing w:val="0"/>
          <w:sz w:val="21"/>
          <w:szCs w:val="21"/>
          <w:highlight w:val="none"/>
          <w:shd w:val="clear" w:fill="FFFFFF"/>
          <w:vertAlign w:val="baseline"/>
        </w:rPr>
        <w:t>重大税收违法失信主体</w:t>
      </w:r>
      <w:r>
        <w:rPr>
          <w:rFonts w:hint="eastAsia"/>
          <w:color w:val="auto"/>
          <w:highlight w:val="none"/>
          <w:lang w:eastAsia="zh-CN"/>
        </w:rPr>
        <w:t>）</w:t>
      </w:r>
      <w:r>
        <w:rPr>
          <w:rFonts w:hint="eastAsia"/>
          <w:color w:val="auto"/>
          <w:highlight w:val="none"/>
        </w:rPr>
        <w:t>、政府采购严重违法失信行为记录名单</w:t>
      </w:r>
      <w:r>
        <w:rPr>
          <w:rFonts w:hint="eastAsia"/>
          <w:color w:val="auto"/>
          <w:highlight w:val="none"/>
          <w:lang w:eastAsia="zh-CN"/>
        </w:rPr>
        <w:t>。</w:t>
      </w:r>
    </w:p>
    <w:p w14:paraId="653794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eastAsia="zh-CN"/>
        </w:rPr>
      </w:pPr>
      <w:r>
        <w:rPr>
          <w:rFonts w:hint="eastAsia" w:ascii="Times New Roman" w:eastAsia="宋体"/>
          <w:color w:val="auto"/>
          <w:highlight w:val="none"/>
          <w:lang w:val="en-US" w:eastAsia="zh-CN"/>
        </w:rPr>
        <w:t>5.我单位不存在《深圳市财政局政府采购供应商信用信息管理办法》（深财规〔2023〕3号）列明的严重违法失信行为。</w:t>
      </w:r>
    </w:p>
    <w:p w14:paraId="5BC6EC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43ECE8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85AD9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87375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F853C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.我单位承诺中标后项目不转包，未经采购人同意不进行分包。</w:t>
      </w:r>
    </w:p>
    <w:p w14:paraId="45774F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hint="eastAsia" w:ascii="宋体" w:hAnsi="宋体"/>
          <w:color w:val="auto"/>
          <w:szCs w:val="21"/>
          <w:highlight w:val="none"/>
          <w:lang w:val="en-US" w:eastAsia="zh-CN"/>
        </w:rPr>
        <w:t>10</w:t>
      </w:r>
      <w:r>
        <w:rPr>
          <w:rFonts w:ascii="宋体" w:hAnsi="宋体"/>
          <w:color w:val="auto"/>
          <w:szCs w:val="21"/>
          <w:highlight w:val="none"/>
        </w:rPr>
        <w:t>.</w:t>
      </w:r>
      <w:r>
        <w:rPr>
          <w:rFonts w:hint="eastAsia" w:ascii="宋体" w:hAnsi="宋体"/>
          <w:color w:val="auto"/>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3AC85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color w:val="auto"/>
          <w:kern w:val="0"/>
          <w:szCs w:val="21"/>
          <w:highlight w:val="none"/>
        </w:rPr>
      </w:pPr>
      <w:r>
        <w:rPr>
          <w:rFonts w:hint="eastAsia" w:ascii="宋体" w:hAnsi="宋体"/>
          <w:color w:val="auto"/>
          <w:highlight w:val="none"/>
        </w:rPr>
        <w:t>1</w:t>
      </w:r>
      <w:r>
        <w:rPr>
          <w:rFonts w:hint="eastAsia" w:ascii="宋体" w:hAnsi="宋体"/>
          <w:color w:val="auto"/>
          <w:highlight w:val="none"/>
          <w:lang w:val="en-US" w:eastAsia="zh-CN"/>
        </w:rPr>
        <w:t>1</w:t>
      </w:r>
      <w:r>
        <w:rPr>
          <w:rFonts w:ascii="宋体" w:hAnsi="宋体"/>
          <w:color w:val="auto"/>
          <w:highlight w:val="none"/>
        </w:rPr>
        <w:t>.</w:t>
      </w:r>
      <w:r>
        <w:rPr>
          <w:rFonts w:hint="eastAsia" w:ascii="宋体" w:hAnsi="宋体"/>
          <w:color w:val="auto"/>
          <w:highlight w:val="none"/>
        </w:rPr>
        <w:t>我单位保证，若所投货物涉及</w:t>
      </w:r>
      <w:r>
        <w:rPr>
          <w:rFonts w:ascii="宋体" w:hAnsi="宋体"/>
          <w:color w:val="auto"/>
          <w:highlight w:val="none"/>
        </w:rPr>
        <w:t>《</w:t>
      </w:r>
      <w:r>
        <w:rPr>
          <w:rFonts w:hint="eastAsia" w:ascii="宋体" w:hAnsi="宋体"/>
          <w:color w:val="auto"/>
          <w:highlight w:val="none"/>
        </w:rPr>
        <w:t>财政部生态环境部关于印发节能产品政府采购品目清单的通知》（财库〔20</w:t>
      </w:r>
      <w:r>
        <w:rPr>
          <w:rFonts w:ascii="宋体" w:hAnsi="宋体"/>
          <w:color w:val="auto"/>
          <w:highlight w:val="none"/>
        </w:rPr>
        <w:t>19</w:t>
      </w:r>
      <w:r>
        <w:rPr>
          <w:rFonts w:hint="eastAsia" w:ascii="宋体" w:hAnsi="宋体"/>
          <w:color w:val="auto"/>
          <w:highlight w:val="none"/>
        </w:rPr>
        <w:t>〕</w:t>
      </w:r>
      <w:r>
        <w:rPr>
          <w:rFonts w:ascii="宋体" w:hAnsi="宋体"/>
          <w:color w:val="auto"/>
          <w:highlight w:val="none"/>
        </w:rPr>
        <w:t>19</w:t>
      </w:r>
      <w:r>
        <w:rPr>
          <w:rFonts w:hint="eastAsia" w:ascii="宋体" w:hAnsi="宋体"/>
          <w:color w:val="auto"/>
          <w:highlight w:val="none"/>
        </w:rPr>
        <w:t>号）列明的政府采购强制产品，则所投该产品符合节能产品的认证要求。</w:t>
      </w:r>
      <w:r>
        <w:rPr>
          <w:rFonts w:hint="eastAsia" w:ascii="宋体" w:hAnsi="宋体"/>
          <w:color w:val="auto"/>
          <w:highlight w:val="none"/>
          <w:lang w:val="en-US" w:eastAsia="zh-CN"/>
        </w:rPr>
        <w:t>若所投产品包括数据中心相关设备的，应满足</w:t>
      </w:r>
      <w:r>
        <w:rPr>
          <w:rFonts w:hint="eastAsia"/>
          <w:color w:val="auto"/>
          <w:highlight w:val="none"/>
        </w:rPr>
        <w:t>《财政部 生态环境部 工业和信息化部关于印发&lt;绿色数据中心政府采购需求标准（试行）&gt;的通知》</w:t>
      </w:r>
      <w:r>
        <w:rPr>
          <w:rFonts w:hint="eastAsia" w:eastAsia="宋体"/>
          <w:color w:val="auto"/>
          <w:highlight w:val="none"/>
          <w:lang w:eastAsia="zh-CN"/>
        </w:rPr>
        <w:t>（</w:t>
      </w:r>
      <w:r>
        <w:rPr>
          <w:rFonts w:hint="eastAsia"/>
          <w:color w:val="auto"/>
          <w:highlight w:val="none"/>
        </w:rPr>
        <w:t>财库〔2023〕7号）</w:t>
      </w:r>
      <w:r>
        <w:rPr>
          <w:rFonts w:hint="eastAsia" w:ascii="Times New Roman" w:eastAsia="宋体"/>
          <w:color w:val="auto"/>
          <w:highlight w:val="none"/>
          <w:lang w:val="en-US" w:eastAsia="zh-CN"/>
        </w:rPr>
        <w:t>要求。若所投产品涉及国家强制性标准的，所投产品应符合国家强制性标准相关要求。</w:t>
      </w:r>
    </w:p>
    <w:p w14:paraId="51A888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color w:val="auto"/>
          <w:highlight w:val="none"/>
        </w:rPr>
      </w:pPr>
      <w:r>
        <w:rPr>
          <w:rFonts w:hint="eastAsia" w:ascii="宋体" w:hAnsi="宋体" w:cs="宋体"/>
          <w:b w:val="0"/>
          <w:bCs/>
          <w:color w:val="auto"/>
          <w:kern w:val="0"/>
          <w:szCs w:val="21"/>
          <w:highlight w:val="none"/>
        </w:rPr>
        <w:t>1</w:t>
      </w:r>
      <w:r>
        <w:rPr>
          <w:rFonts w:hint="eastAsia" w:ascii="宋体" w:hAnsi="宋体" w:cs="宋体"/>
          <w:b w:val="0"/>
          <w:bCs/>
          <w:color w:val="auto"/>
          <w:kern w:val="0"/>
          <w:szCs w:val="21"/>
          <w:highlight w:val="none"/>
          <w:lang w:val="en-US" w:eastAsia="zh-CN"/>
        </w:rPr>
        <w:t>2</w:t>
      </w:r>
      <w:r>
        <w:rPr>
          <w:rFonts w:hint="eastAsia" w:ascii="宋体" w:hAnsi="宋体" w:cs="宋体"/>
          <w:b w:val="0"/>
          <w:bCs/>
          <w:color w:val="auto"/>
          <w:kern w:val="0"/>
          <w:szCs w:val="21"/>
          <w:highlight w:val="none"/>
        </w:rPr>
        <w:t>.</w:t>
      </w:r>
      <w:r>
        <w:rPr>
          <w:rFonts w:hint="eastAsia" w:ascii="宋体" w:hAnsi="宋体"/>
          <w:b w:val="0"/>
          <w:bCs/>
          <w:color w:val="auto"/>
          <w:highlight w:val="none"/>
        </w:rPr>
        <w:t>我单位已知悉并同意中标（成交）结果信息公示（公开）的内容。</w:t>
      </w:r>
    </w:p>
    <w:p w14:paraId="039D7A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color w:val="auto"/>
          <w:highlight w:val="none"/>
        </w:rPr>
      </w:pPr>
      <w:r>
        <w:rPr>
          <w:rFonts w:hint="eastAsia" w:ascii="宋体" w:hAnsi="宋体"/>
          <w:b w:val="0"/>
          <w:bCs/>
          <w:color w:val="auto"/>
          <w:highlight w:val="none"/>
        </w:rPr>
        <w:t>1</w:t>
      </w:r>
      <w:r>
        <w:rPr>
          <w:rFonts w:hint="eastAsia" w:ascii="宋体" w:hAnsi="宋体"/>
          <w:b w:val="0"/>
          <w:bCs/>
          <w:color w:val="auto"/>
          <w:highlight w:val="none"/>
          <w:lang w:val="en-US" w:eastAsia="zh-CN"/>
        </w:rPr>
        <w:t>3</w:t>
      </w:r>
      <w:r>
        <w:rPr>
          <w:rFonts w:hint="eastAsia" w:ascii="宋体" w:hAnsi="宋体"/>
          <w:b w:val="0"/>
          <w:bCs/>
          <w:color w:val="auto"/>
          <w:highlight w:val="none"/>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 w:val="0"/>
          <w:bCs/>
          <w:color w:val="auto"/>
          <w:highlight w:val="none"/>
          <w:lang w:val="en-US" w:eastAsia="zh-CN"/>
        </w:rPr>
        <w:t>若</w:t>
      </w:r>
      <w:r>
        <w:rPr>
          <w:rFonts w:hint="eastAsia" w:ascii="宋体" w:hAnsi="宋体"/>
          <w:b w:val="0"/>
          <w:bCs/>
          <w:color w:val="auto"/>
          <w:highlight w:val="none"/>
        </w:rPr>
        <w:t>存在“不同供应商的董事、股东或其他高级管理人员为同一人的”情形的，</w:t>
      </w:r>
      <w:r>
        <w:rPr>
          <w:rFonts w:hint="eastAsia" w:ascii="宋体" w:hAnsi="宋体"/>
          <w:b w:val="0"/>
          <w:bCs/>
          <w:color w:val="auto"/>
          <w:highlight w:val="none"/>
          <w:lang w:val="en-US" w:eastAsia="zh-CN"/>
        </w:rPr>
        <w:t>我单位保证</w:t>
      </w:r>
      <w:r>
        <w:rPr>
          <w:rFonts w:hint="eastAsia" w:ascii="宋体" w:hAnsi="宋体"/>
          <w:b w:val="0"/>
          <w:bCs/>
          <w:color w:val="auto"/>
          <w:highlight w:val="none"/>
        </w:rPr>
        <w:t>不存在串通投标、恶意串通或者视为串通投标的情形</w:t>
      </w:r>
      <w:r>
        <w:rPr>
          <w:rFonts w:hint="eastAsia" w:ascii="宋体" w:hAnsi="宋体"/>
          <w:b w:val="0"/>
          <w:bCs/>
          <w:color w:val="auto"/>
          <w:highlight w:val="none"/>
          <w:lang w:eastAsia="zh-CN"/>
        </w:rPr>
        <w:t>。</w:t>
      </w:r>
      <w:r>
        <w:rPr>
          <w:rFonts w:hint="eastAsia" w:ascii="宋体" w:hAnsi="宋体"/>
          <w:b w:val="0"/>
          <w:bCs/>
          <w:color w:val="0000FF"/>
          <w:lang w:eastAsia="zh-CN"/>
        </w:rPr>
        <w:t>我单位承诺与其他不同供应商的法定代表人、投标授权代表人、项目负责人（如有）不存在为同一人或在同一单位缴纳社会保险的情形。</w:t>
      </w:r>
    </w:p>
    <w:p w14:paraId="66BABEC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bCs w:val="0"/>
          <w:color w:val="auto"/>
          <w:sz w:val="21"/>
          <w:highlight w:val="none"/>
          <w:lang w:val="en-US" w:eastAsia="zh-CN"/>
        </w:rPr>
      </w:pPr>
      <w:r>
        <w:rPr>
          <w:rFonts w:hint="eastAsia" w:ascii="宋体" w:hAnsi="宋体"/>
          <w:b/>
          <w:bCs w:val="0"/>
          <w:color w:val="auto"/>
          <w:sz w:val="21"/>
          <w:highlight w:val="none"/>
          <w:lang w:val="en-US" w:eastAsia="zh-CN"/>
        </w:rPr>
        <w:t>14.我单位清楚，如存在违反投标承诺行为情节严重的，将根据《深圳市财政局关于印发&lt;深圳市财政局政府采购供应商信用信息管理办法&gt;的通知》，依法被列入失信信息。</w:t>
      </w:r>
    </w:p>
    <w:p w14:paraId="085109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highlight w:val="none"/>
          <w:lang w:val="en-US"/>
        </w:rPr>
      </w:pPr>
      <w:r>
        <w:rPr>
          <w:rFonts w:hint="eastAsia" w:ascii="宋体" w:hAnsi="宋体"/>
          <w:b w:val="0"/>
          <w:bCs/>
          <w:color w:val="auto"/>
          <w:sz w:val="21"/>
          <w:highlight w:val="none"/>
          <w:lang w:val="en-US"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2CAB92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以上承诺，如有违反，愿依照国家相关法律法规处理，并承担由此给采购人带来的损失。</w:t>
      </w:r>
    </w:p>
    <w:p w14:paraId="6C29B3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p>
    <w:p w14:paraId="47D6EE1F">
      <w:pPr>
        <w:keepNext w:val="0"/>
        <w:keepLines w:val="0"/>
        <w:pageBreakBefore w:val="0"/>
        <w:widowControl w:val="0"/>
        <w:kinsoku/>
        <w:wordWrap/>
        <w:overflowPunct/>
        <w:topLinePunct w:val="0"/>
        <w:autoSpaceDE/>
        <w:autoSpaceDN/>
        <w:bidi w:val="0"/>
        <w:adjustRightInd/>
        <w:snapToGrid/>
        <w:spacing w:before="60" w:beforeLines="25" w:after="60" w:afterLines="25" w:line="360" w:lineRule="auto"/>
        <w:ind w:firstLine="5460" w:firstLineChars="2600"/>
        <w:textAlignment w:val="auto"/>
        <w:rPr>
          <w:rFonts w:ascii="宋体" w:hAnsi="宋体"/>
          <w:color w:val="auto"/>
          <w:szCs w:val="21"/>
          <w:highlight w:val="none"/>
        </w:rPr>
      </w:pPr>
      <w:r>
        <w:rPr>
          <w:rFonts w:hint="eastAsia" w:ascii="宋体" w:hAnsi="宋体"/>
          <w:color w:val="auto"/>
          <w:szCs w:val="21"/>
          <w:highlight w:val="none"/>
        </w:rPr>
        <w:t xml:space="preserve">                                    </w:t>
      </w:r>
    </w:p>
    <w:p w14:paraId="4FFD9EEF">
      <w:pPr>
        <w:keepNext w:val="0"/>
        <w:keepLines w:val="0"/>
        <w:pageBreakBefore w:val="0"/>
        <w:widowControl w:val="0"/>
        <w:kinsoku/>
        <w:wordWrap/>
        <w:overflowPunct/>
        <w:topLinePunct w:val="0"/>
        <w:autoSpaceDE/>
        <w:autoSpaceDN/>
        <w:bidi w:val="0"/>
        <w:adjustRightInd/>
        <w:snapToGrid/>
        <w:spacing w:before="60" w:beforeLines="25" w:after="60" w:afterLines="25" w:line="360" w:lineRule="auto"/>
        <w:ind w:firstLine="5460" w:firstLineChars="2600"/>
        <w:textAlignment w:val="auto"/>
        <w:rPr>
          <w:color w:val="auto"/>
          <w:highlight w:val="none"/>
        </w:rPr>
      </w:pPr>
      <w:r>
        <w:rPr>
          <w:rFonts w:hint="eastAsia"/>
          <w:color w:val="auto"/>
          <w:szCs w:val="21"/>
          <w:highlight w:val="none"/>
        </w:rPr>
        <w:t>投标人：</w:t>
      </w:r>
      <w:r>
        <w:rPr>
          <w:rFonts w:hint="eastAsia"/>
          <w:color w:val="auto"/>
          <w:szCs w:val="21"/>
          <w:highlight w:val="none"/>
          <w:u w:val="single"/>
        </w:rPr>
        <w:t xml:space="preserve">              </w:t>
      </w:r>
    </w:p>
    <w:p w14:paraId="411330C8">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ascii="宋体" w:hAnsi="宋体"/>
          <w:color w:val="auto"/>
          <w:szCs w:val="21"/>
          <w:highlight w:val="none"/>
        </w:rPr>
      </w:pP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5F13445">
      <w:pPr>
        <w:pageBreakBefore w:val="0"/>
        <w:kinsoku/>
        <w:overflowPunct/>
        <w:topLinePunct w:val="0"/>
        <w:bidi w:val="0"/>
        <w:spacing w:line="360" w:lineRule="auto"/>
        <w:rPr>
          <w:color w:val="auto"/>
          <w:highlight w:val="none"/>
        </w:rPr>
      </w:pPr>
    </w:p>
    <w:p w14:paraId="085DF7DC">
      <w:pPr>
        <w:pageBreakBefore w:val="0"/>
        <w:kinsoku/>
        <w:overflowPunct/>
        <w:topLinePunct w:val="0"/>
        <w:bidi w:val="0"/>
        <w:spacing w:line="360" w:lineRule="auto"/>
        <w:rPr>
          <w:color w:val="auto"/>
          <w:highlight w:val="none"/>
        </w:rPr>
      </w:pPr>
    </w:p>
    <w:p w14:paraId="1F880098">
      <w:pPr>
        <w:pageBreakBefore w:val="0"/>
        <w:kinsoku/>
        <w:overflowPunct/>
        <w:topLinePunct w:val="0"/>
        <w:bidi w:val="0"/>
        <w:spacing w:line="360" w:lineRule="auto"/>
        <w:rPr>
          <w:rFonts w:hint="eastAsia" w:ascii="黑体" w:eastAsia="黑体"/>
          <w:b w:val="0"/>
          <w:color w:val="auto"/>
          <w:kern w:val="0"/>
          <w:sz w:val="24"/>
          <w:highlight w:val="none"/>
        </w:rPr>
      </w:pPr>
      <w:r>
        <w:rPr>
          <w:rFonts w:hint="eastAsia" w:ascii="黑体" w:eastAsia="黑体"/>
          <w:b w:val="0"/>
          <w:color w:val="auto"/>
          <w:kern w:val="0"/>
          <w:sz w:val="24"/>
          <w:highlight w:val="none"/>
        </w:rPr>
        <w:br w:type="page"/>
      </w:r>
    </w:p>
    <w:p w14:paraId="3BB8C89A">
      <w:pPr>
        <w:pStyle w:val="4"/>
        <w:keepNext/>
        <w:keepLines/>
        <w:pageBreakBefore w:val="0"/>
        <w:widowControl w:val="0"/>
        <w:kinsoku/>
        <w:wordWrap/>
        <w:overflowPunct/>
        <w:topLinePunct w:val="0"/>
        <w:autoSpaceDE/>
        <w:autoSpaceDN/>
        <w:bidi w:val="0"/>
        <w:adjustRightInd/>
        <w:snapToGrid/>
        <w:spacing w:line="360" w:lineRule="auto"/>
        <w:jc w:val="center"/>
        <w:textAlignment w:val="auto"/>
        <w:outlineLvl w:val="3"/>
        <w:rPr>
          <w:rFonts w:ascii="黑体" w:eastAsia="黑体"/>
          <w:b w:val="0"/>
          <w:color w:val="auto"/>
          <w:kern w:val="0"/>
          <w:sz w:val="24"/>
          <w:highlight w:val="none"/>
        </w:rPr>
      </w:pPr>
      <w:r>
        <w:rPr>
          <w:rFonts w:hint="eastAsia" w:ascii="黑体" w:eastAsia="黑体"/>
          <w:b w:val="0"/>
          <w:color w:val="auto"/>
          <w:kern w:val="0"/>
          <w:sz w:val="24"/>
          <w:highlight w:val="none"/>
        </w:rPr>
        <w:t>三、投标人</w:t>
      </w:r>
      <w:r>
        <w:rPr>
          <w:rFonts w:hint="eastAsia" w:ascii="黑体" w:eastAsia="黑体" w:cs="Times New Roman"/>
          <w:b w:val="0"/>
          <w:color w:val="auto"/>
          <w:kern w:val="0"/>
          <w:sz w:val="24"/>
          <w:highlight w:val="none"/>
        </w:rPr>
        <w:t>情况</w:t>
      </w:r>
      <w:r>
        <w:rPr>
          <w:rFonts w:hint="eastAsia" w:ascii="黑体" w:eastAsia="黑体"/>
          <w:b w:val="0"/>
          <w:color w:val="auto"/>
          <w:kern w:val="0"/>
          <w:sz w:val="24"/>
          <w:highlight w:val="none"/>
        </w:rPr>
        <w:t>及资格证明文件</w:t>
      </w:r>
    </w:p>
    <w:p w14:paraId="1789A747">
      <w:pPr>
        <w:pageBreakBefore w:val="0"/>
        <w:kinsoku/>
        <w:overflowPunct/>
        <w:topLinePunct w:val="0"/>
        <w:bidi w:val="0"/>
        <w:spacing w:line="360" w:lineRule="auto"/>
        <w:outlineLvl w:val="3"/>
        <w:rPr>
          <w:rFonts w:ascii="黑体" w:hAnsi="宋体" w:eastAsia="黑体"/>
          <w:bCs/>
          <w:color w:val="auto"/>
          <w:kern w:val="0"/>
          <w:sz w:val="24"/>
          <w:szCs w:val="32"/>
          <w:highlight w:val="none"/>
        </w:rPr>
      </w:pPr>
      <w:r>
        <w:rPr>
          <w:rFonts w:hint="eastAsia" w:ascii="黑体" w:hAnsi="宋体" w:eastAsia="黑体"/>
          <w:bCs/>
          <w:color w:val="auto"/>
          <w:kern w:val="0"/>
          <w:sz w:val="24"/>
          <w:szCs w:val="32"/>
          <w:highlight w:val="none"/>
        </w:rPr>
        <w:t>（一）投标人资格证明文件</w:t>
      </w:r>
    </w:p>
    <w:p w14:paraId="501666F2">
      <w:pPr>
        <w:pageBreakBefore w:val="0"/>
        <w:kinsoku/>
        <w:overflowPunct/>
        <w:topLinePunct w:val="0"/>
        <w:bidi w:val="0"/>
        <w:spacing w:before="120" w:beforeLines="50" w:line="360" w:lineRule="auto"/>
        <w:ind w:firstLine="422" w:firstLineChars="200"/>
        <w:rPr>
          <w:b/>
          <w:bCs/>
          <w:color w:val="FF0000"/>
          <w:highlight w:val="none"/>
        </w:rPr>
      </w:pPr>
      <w:r>
        <w:rPr>
          <w:rFonts w:hint="eastAsia"/>
          <w:b/>
          <w:bCs/>
          <w:color w:val="FF0000"/>
          <w:highlight w:val="none"/>
        </w:rPr>
        <w:t>（特别提示：投标人须按本招标文件第一册第一章招标公告 “</w:t>
      </w:r>
      <w:r>
        <w:rPr>
          <w:rFonts w:hint="eastAsia"/>
          <w:b/>
          <w:bCs/>
          <w:color w:val="FF0000"/>
          <w:highlight w:val="none"/>
          <w:lang w:eastAsia="zh-CN"/>
        </w:rPr>
        <w:t>投标人的资格要求</w:t>
      </w:r>
      <w:r>
        <w:rPr>
          <w:rFonts w:hint="eastAsia"/>
          <w:b/>
          <w:bCs/>
          <w:color w:val="FF0000"/>
          <w:highlight w:val="none"/>
        </w:rPr>
        <w:t>”（即投标人资格要求）提供相关的资格证明资料，未提供或提供不完整、不符合要求的，将作投标无效处理，其中要求提供《采购投标及履约承诺函》且已在“二、采购投标及履约承诺函”章节中提供了，此处可不重复提供。）</w:t>
      </w:r>
    </w:p>
    <w:p w14:paraId="2F748CE7">
      <w:pPr>
        <w:pageBreakBefore w:val="0"/>
        <w:kinsoku/>
        <w:overflowPunct/>
        <w:topLinePunct w:val="0"/>
        <w:bidi w:val="0"/>
        <w:spacing w:line="360" w:lineRule="auto"/>
        <w:ind w:firstLine="0" w:firstLineChars="0"/>
        <w:outlineLvl w:val="9"/>
        <w:rPr>
          <w:color w:val="auto"/>
          <w:highlight w:val="none"/>
        </w:rPr>
      </w:pPr>
    </w:p>
    <w:p w14:paraId="47F31E1F">
      <w:pPr>
        <w:pageBreakBefore w:val="0"/>
        <w:kinsoku/>
        <w:overflowPunct/>
        <w:topLinePunct w:val="0"/>
        <w:bidi w:val="0"/>
        <w:spacing w:line="360" w:lineRule="auto"/>
        <w:rPr>
          <w:rFonts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4"/>
          <w:highlight w:val="none"/>
        </w:rPr>
        <w:t>1、</w:t>
      </w:r>
      <w:r>
        <w:rPr>
          <w:rFonts w:hint="eastAsia" w:cs="Times New Roman" w:asciiTheme="minorEastAsia" w:hAnsiTheme="minorEastAsia" w:eastAsiaTheme="minorEastAsia"/>
          <w:color w:val="0000FF"/>
          <w:szCs w:val="24"/>
          <w:highlight w:val="none"/>
        </w:rPr>
        <w:t>具有独立承担民事责任的能力（提供营业执照或事业单位法人证书等证明资料扫描件，原件备查，分支机构参与投标的，须同时提供总公司授权文件且授权书载明其民事责任由总公司承担）</w:t>
      </w:r>
    </w:p>
    <w:p w14:paraId="775A0C68">
      <w:pPr>
        <w:pageBreakBefore w:val="0"/>
        <w:kinsoku/>
        <w:overflowPunct/>
        <w:topLinePunct w:val="0"/>
        <w:bidi w:val="0"/>
        <w:spacing w:line="360" w:lineRule="auto"/>
        <w:rPr>
          <w:rFonts w:cs="Times New Roman" w:asciiTheme="minorEastAsia" w:hAnsiTheme="minorEastAsia" w:eastAsiaTheme="minorEastAsia"/>
          <w:color w:val="auto"/>
          <w:szCs w:val="20"/>
          <w:highlight w:val="none"/>
        </w:rPr>
      </w:pPr>
    </w:p>
    <w:p w14:paraId="17BA42E1">
      <w:pPr>
        <w:pageBreakBefore w:val="0"/>
        <w:kinsoku/>
        <w:overflowPunct/>
        <w:topLinePunct w:val="0"/>
        <w:bidi w:val="0"/>
        <w:spacing w:line="360" w:lineRule="auto"/>
        <w:rPr>
          <w:rFonts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0"/>
          <w:highlight w:val="none"/>
        </w:rPr>
        <w:t>2、“投标邀请书”中“</w:t>
      </w:r>
      <w:r>
        <w:rPr>
          <w:rFonts w:hint="eastAsia" w:ascii="宋体" w:hAnsi="宋体" w:eastAsia="宋体" w:cs="Times New Roman"/>
          <w:color w:val="auto"/>
          <w:szCs w:val="21"/>
          <w:highlight w:val="none"/>
        </w:rPr>
        <w:t>投标人资质条件</w:t>
      </w:r>
      <w:r>
        <w:rPr>
          <w:rFonts w:hint="eastAsia" w:cs="Times New Roman" w:asciiTheme="minorEastAsia" w:hAnsiTheme="minorEastAsia" w:eastAsiaTheme="minorEastAsia"/>
          <w:color w:val="auto"/>
          <w:szCs w:val="20"/>
          <w:highlight w:val="none"/>
        </w:rPr>
        <w:t>”</w:t>
      </w:r>
      <w:r>
        <w:rPr>
          <w:rFonts w:hint="eastAsia" w:cs="Times New Roman" w:asciiTheme="minorEastAsia" w:hAnsiTheme="minorEastAsia" w:eastAsiaTheme="minorEastAsia"/>
          <w:color w:val="auto"/>
          <w:szCs w:val="21"/>
          <w:highlight w:val="none"/>
        </w:rPr>
        <w:t>要求的其他资质证明文件</w:t>
      </w:r>
    </w:p>
    <w:p w14:paraId="3643689C">
      <w:pPr>
        <w:pageBreakBefore w:val="0"/>
        <w:kinsoku/>
        <w:overflowPunct/>
        <w:topLinePunct w:val="0"/>
        <w:bidi w:val="0"/>
        <w:spacing w:line="360" w:lineRule="auto"/>
        <w:rPr>
          <w:rFonts w:cs="Times New Roman" w:asciiTheme="minorEastAsia" w:hAnsiTheme="minorEastAsia" w:eastAsiaTheme="minorEastAsia"/>
          <w:color w:val="auto"/>
          <w:szCs w:val="21"/>
          <w:highlight w:val="none"/>
        </w:rPr>
      </w:pPr>
    </w:p>
    <w:p w14:paraId="79F47461">
      <w:pPr>
        <w:pageBreakBefore w:val="0"/>
        <w:kinsoku/>
        <w:overflowPunct/>
        <w:topLinePunct w:val="0"/>
        <w:bidi w:val="0"/>
        <w:spacing w:line="360" w:lineRule="auto"/>
        <w:rPr>
          <w:rFonts w:cs="Times New Roman" w:asciiTheme="minorEastAsia" w:hAnsiTheme="minorEastAsia" w:eastAsiaTheme="minorEastAsia"/>
          <w:color w:val="auto"/>
          <w:szCs w:val="24"/>
          <w:highlight w:val="none"/>
        </w:rPr>
      </w:pPr>
      <w:r>
        <w:rPr>
          <w:rFonts w:hint="eastAsia" w:cs="Times New Roman" w:asciiTheme="minorEastAsia" w:hAnsiTheme="minorEastAsia" w:eastAsiaTheme="minorEastAsia"/>
          <w:color w:val="auto"/>
          <w:szCs w:val="21"/>
          <w:highlight w:val="none"/>
        </w:rPr>
        <w:t>3、其它招标文件要求的资格证明文件</w:t>
      </w:r>
    </w:p>
    <w:p w14:paraId="5269B70C">
      <w:pPr>
        <w:pageBreakBefore w:val="0"/>
        <w:kinsoku/>
        <w:overflowPunct/>
        <w:topLinePunct w:val="0"/>
        <w:bidi w:val="0"/>
        <w:spacing w:line="360" w:lineRule="auto"/>
        <w:rPr>
          <w:rFonts w:cs="Times New Roman" w:asciiTheme="minorEastAsia" w:hAnsiTheme="minorEastAsia" w:eastAsiaTheme="minorEastAsia"/>
          <w:color w:val="auto"/>
          <w:szCs w:val="21"/>
          <w:highlight w:val="none"/>
        </w:rPr>
      </w:pPr>
    </w:p>
    <w:p w14:paraId="010A0BF2">
      <w:pPr>
        <w:spacing w:line="440" w:lineRule="exact"/>
        <w:rPr>
          <w:rFonts w:hint="eastAsia" w:ascii="宋体" w:hAnsi="宋体"/>
          <w:highlight w:val="none"/>
        </w:rPr>
      </w:pPr>
      <w:r>
        <w:rPr>
          <w:rFonts w:hint="eastAsia" w:cs="Times New Roman" w:asciiTheme="minorEastAsia" w:hAnsiTheme="minorEastAsia" w:eastAsiaTheme="minorEastAsia"/>
          <w:color w:val="auto"/>
          <w:szCs w:val="21"/>
          <w:highlight w:val="none"/>
        </w:rPr>
        <w:t>4、</w:t>
      </w:r>
      <w:r>
        <w:rPr>
          <w:rFonts w:hint="eastAsia" w:ascii="宋体" w:hAnsi="宋体"/>
          <w:b/>
          <w:bCs/>
          <w:highlight w:val="none"/>
        </w:rPr>
        <w:t>投标时提供主要经营负责人、项目投标授权代表人、项目负责人、主要技术人员近三个月（含开标当月）中的任意一个月的社会保险证明。</w:t>
      </w:r>
    </w:p>
    <w:p w14:paraId="1F69CA54">
      <w:pPr>
        <w:spacing w:line="440" w:lineRule="exact"/>
        <w:rPr>
          <w:rFonts w:hint="eastAsia" w:ascii="宋体" w:hAnsi="宋体"/>
          <w:highlight w:val="none"/>
        </w:rPr>
      </w:pPr>
      <w:r>
        <w:rPr>
          <w:rFonts w:hint="eastAsia" w:ascii="宋体" w:hAnsi="宋体"/>
          <w:highlight w:val="none"/>
        </w:rPr>
        <w:t>注：</w:t>
      </w:r>
    </w:p>
    <w:p w14:paraId="5E2E85A9">
      <w:pPr>
        <w:spacing w:line="440" w:lineRule="exact"/>
        <w:rPr>
          <w:rFonts w:hint="eastAsia" w:ascii="宋体" w:hAnsi="宋体"/>
          <w:highlight w:val="none"/>
        </w:rPr>
      </w:pPr>
      <w:r>
        <w:rPr>
          <w:rFonts w:hint="eastAsia" w:ascii="宋体" w:hAnsi="宋体"/>
          <w:highlight w:val="none"/>
          <w:lang w:val="en-US" w:eastAsia="zh-CN"/>
        </w:rPr>
        <w:t>①</w:t>
      </w:r>
      <w:r>
        <w:rPr>
          <w:rFonts w:hint="eastAsia" w:ascii="宋体" w:hAnsi="宋体"/>
          <w:highlight w:val="none"/>
        </w:rPr>
        <w:t>投标人应如实提供上述人员的社会保险证明，如上述人员的社会保险未由投标人缴纳，亦须提供相应单位为其缴纳的社会保险证明。</w:t>
      </w:r>
    </w:p>
    <w:p w14:paraId="470ACA68">
      <w:pPr>
        <w:spacing w:line="440" w:lineRule="exact"/>
        <w:rPr>
          <w:rFonts w:hint="eastAsia" w:ascii="宋体" w:hAnsi="宋体"/>
          <w:highlight w:val="none"/>
        </w:rPr>
      </w:pPr>
      <w:r>
        <w:rPr>
          <w:rFonts w:hint="eastAsia" w:ascii="宋体" w:hAnsi="宋体"/>
          <w:highlight w:val="none"/>
          <w:lang w:val="en-US" w:eastAsia="zh-CN"/>
        </w:rPr>
        <w:t>②</w:t>
      </w:r>
      <w:r>
        <w:rPr>
          <w:rFonts w:hint="eastAsia" w:ascii="宋体" w:hAnsi="宋体"/>
          <w:highlight w:val="none"/>
        </w:rPr>
        <w:t>投标人为新成立企业且成立时间不足一个月可提供加盖投标人公章的情况说明或者证明材料亦视为符合。</w:t>
      </w:r>
    </w:p>
    <w:p w14:paraId="12DDDF4E">
      <w:pPr>
        <w:spacing w:line="440" w:lineRule="exact"/>
        <w:rPr>
          <w:rFonts w:hint="eastAsia" w:ascii="宋体" w:hAnsi="宋体"/>
          <w:highlight w:val="none"/>
        </w:rPr>
      </w:pPr>
      <w:r>
        <w:rPr>
          <w:rFonts w:hint="eastAsia" w:ascii="宋体" w:hAnsi="宋体"/>
          <w:highlight w:val="none"/>
          <w:lang w:val="en-US" w:eastAsia="zh-CN"/>
        </w:rPr>
        <w:t>③</w:t>
      </w:r>
      <w:r>
        <w:rPr>
          <w:rFonts w:hint="eastAsia" w:ascii="宋体" w:hAnsi="宋体"/>
          <w:highlight w:val="none"/>
        </w:rPr>
        <w:t>若为退休人员，提供退休证明。</w:t>
      </w:r>
    </w:p>
    <w:p w14:paraId="4455E9B5">
      <w:pPr>
        <w:spacing w:line="440" w:lineRule="exact"/>
        <w:rPr>
          <w:rFonts w:hint="eastAsia" w:ascii="宋体" w:hAnsi="宋体"/>
          <w:highlight w:val="none"/>
        </w:rPr>
      </w:pPr>
      <w:r>
        <w:rPr>
          <w:rFonts w:hint="eastAsia" w:ascii="宋体" w:hAnsi="宋体"/>
          <w:highlight w:val="none"/>
          <w:lang w:val="en-US" w:eastAsia="zh-CN"/>
        </w:rPr>
        <w:t>④</w:t>
      </w:r>
      <w:r>
        <w:rPr>
          <w:rFonts w:hint="eastAsia" w:ascii="宋体" w:hAnsi="宋体"/>
          <w:highlight w:val="none"/>
        </w:rPr>
        <w:t>如依法不需要缴纳社会保险的，应提供相应文件证明。</w:t>
      </w:r>
    </w:p>
    <w:p w14:paraId="5FBF4E01">
      <w:pPr>
        <w:spacing w:line="440" w:lineRule="exact"/>
        <w:rPr>
          <w:rFonts w:hint="eastAsia" w:ascii="宋体" w:hAnsi="宋体"/>
          <w:highlight w:val="none"/>
        </w:rPr>
      </w:pPr>
      <w:r>
        <w:rPr>
          <w:rFonts w:hint="eastAsia" w:ascii="宋体" w:hAnsi="宋体"/>
          <w:highlight w:val="none"/>
          <w:lang w:val="en-US" w:eastAsia="zh-CN"/>
        </w:rPr>
        <w:t>⑤</w:t>
      </w:r>
      <w:r>
        <w:rPr>
          <w:rFonts w:hint="eastAsia" w:ascii="宋体" w:hAnsi="宋体"/>
          <w:highlight w:val="none"/>
        </w:rPr>
        <w:t>若因为社保部门或税务部门原因无法提供的，需提供劳动合同及社保部门或税务部门官方通知证明（或官网公告截图）。</w:t>
      </w:r>
    </w:p>
    <w:p w14:paraId="69C121F1">
      <w:pPr>
        <w:spacing w:line="440" w:lineRule="exact"/>
        <w:rPr>
          <w:rFonts w:hint="eastAsia" w:ascii="宋体" w:hAnsi="宋体"/>
          <w:highlight w:val="none"/>
        </w:rPr>
      </w:pPr>
      <w:r>
        <w:rPr>
          <w:rFonts w:hint="eastAsia" w:ascii="宋体" w:hAnsi="宋体"/>
          <w:highlight w:val="none"/>
          <w:lang w:val="en-US" w:eastAsia="zh-CN"/>
        </w:rPr>
        <w:t>⑥</w:t>
      </w:r>
      <w:r>
        <w:rPr>
          <w:rFonts w:hint="eastAsia" w:ascii="宋体" w:hAnsi="宋体"/>
          <w:highlight w:val="none"/>
        </w:rPr>
        <w:t>如本项目未安排项目投标授权代表人、项目负责人、主要技术人员的，无需提供投标授权代表人、项目负责人、主要技术人员的社保。</w:t>
      </w:r>
    </w:p>
    <w:p w14:paraId="53A4C206">
      <w:pPr>
        <w:spacing w:line="440" w:lineRule="exact"/>
        <w:rPr>
          <w:rFonts w:hint="eastAsia" w:asciiTheme="minorEastAsia" w:hAnsiTheme="minorEastAsia" w:eastAsiaTheme="minorEastAsia"/>
          <w:szCs w:val="21"/>
          <w:highlight w:val="none"/>
        </w:rPr>
      </w:pPr>
      <w:r>
        <w:rPr>
          <w:rFonts w:hint="eastAsia" w:ascii="宋体" w:hAnsi="宋体"/>
          <w:highlight w:val="none"/>
          <w:lang w:val="en-US" w:eastAsia="zh-CN"/>
        </w:rPr>
        <w:t>⑦</w:t>
      </w:r>
      <w:r>
        <w:rPr>
          <w:rFonts w:hint="eastAsia" w:ascii="宋体" w:hAnsi="宋体"/>
          <w:highlight w:val="none"/>
        </w:rPr>
        <w:t>如是联合体投标的，需提供各方的。</w:t>
      </w:r>
    </w:p>
    <w:p w14:paraId="13C8B5E7">
      <w:pPr>
        <w:pageBreakBefore w:val="0"/>
        <w:kinsoku/>
        <w:overflowPunct/>
        <w:topLinePunct w:val="0"/>
        <w:bidi w:val="0"/>
        <w:spacing w:line="360" w:lineRule="auto"/>
        <w:rPr>
          <w:rFonts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lang w:val="en-US" w:eastAsia="zh-CN"/>
        </w:rPr>
        <w:t>5、</w:t>
      </w:r>
      <w:r>
        <w:rPr>
          <w:rFonts w:hint="eastAsia" w:cs="Times New Roman" w:asciiTheme="minorEastAsia" w:hAnsiTheme="minorEastAsia" w:eastAsiaTheme="minorEastAsia"/>
          <w:color w:val="auto"/>
          <w:szCs w:val="21"/>
          <w:highlight w:val="none"/>
        </w:rPr>
        <w:t>投标人股东关系构成表</w:t>
      </w:r>
    </w:p>
    <w:tbl>
      <w:tblPr>
        <w:tblStyle w:val="44"/>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8"/>
        <w:gridCol w:w="6289"/>
      </w:tblGrid>
      <w:tr w14:paraId="44842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2895E">
            <w:pPr>
              <w:pageBreakBefore w:val="0"/>
              <w:kinsoku/>
              <w:overflowPunct/>
              <w:topLinePunct w:val="0"/>
              <w:autoSpaceDE w:val="0"/>
              <w:autoSpaceDN w:val="0"/>
              <w:bidi w:val="0"/>
              <w:adjustRightInd w:val="0"/>
              <w:snapToGrid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投标人名称</w:t>
            </w:r>
          </w:p>
        </w:tc>
        <w:tc>
          <w:tcPr>
            <w:tcW w:w="3687" w:type="pct"/>
            <w:tcBorders>
              <w:top w:val="single" w:color="000000" w:sz="4" w:space="0"/>
              <w:left w:val="single" w:color="000000" w:sz="4" w:space="0"/>
              <w:bottom w:val="single" w:color="000000" w:sz="4" w:space="0"/>
              <w:right w:val="single" w:color="000000" w:sz="4" w:space="0"/>
            </w:tcBorders>
            <w:vAlign w:val="center"/>
          </w:tcPr>
          <w:p w14:paraId="6D031D20">
            <w:pPr>
              <w:pageBreakBefore w:val="0"/>
              <w:kinsoku/>
              <w:overflowPunct/>
              <w:topLinePunct w:val="0"/>
              <w:autoSpaceDE w:val="0"/>
              <w:autoSpaceDN w:val="0"/>
              <w:bidi w:val="0"/>
              <w:adjustRightInd w:val="0"/>
              <w:snapToGrid w:val="0"/>
              <w:spacing w:line="360" w:lineRule="auto"/>
              <w:jc w:val="left"/>
              <w:rPr>
                <w:rFonts w:ascii="宋体" w:hAnsi="宋体" w:eastAsia="宋体" w:cs="Segoe UI Symbol"/>
                <w:color w:val="auto"/>
                <w:kern w:val="0"/>
                <w:szCs w:val="21"/>
                <w:highlight w:val="none"/>
              </w:rPr>
            </w:pPr>
          </w:p>
        </w:tc>
      </w:tr>
      <w:tr w14:paraId="21C34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6DC7E">
            <w:pPr>
              <w:pageBreakBefore w:val="0"/>
              <w:kinsoku/>
              <w:overflowPunct/>
              <w:topLinePunct w:val="0"/>
              <w:autoSpaceDE w:val="0"/>
              <w:autoSpaceDN w:val="0"/>
              <w:bidi w:val="0"/>
              <w:adjustRightInd w:val="0"/>
              <w:snapToGrid w:val="0"/>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本单位负责人（法定代表人）姓名</w:t>
            </w:r>
          </w:p>
        </w:tc>
        <w:tc>
          <w:tcPr>
            <w:tcW w:w="3687" w:type="pct"/>
            <w:tcBorders>
              <w:top w:val="single" w:color="000000" w:sz="4" w:space="0"/>
              <w:left w:val="single" w:color="000000" w:sz="4" w:space="0"/>
              <w:bottom w:val="single" w:color="000000" w:sz="4" w:space="0"/>
              <w:right w:val="single" w:color="000000" w:sz="4" w:space="0"/>
            </w:tcBorders>
            <w:vAlign w:val="center"/>
          </w:tcPr>
          <w:p w14:paraId="7CA61BBE">
            <w:pPr>
              <w:pageBreakBefore w:val="0"/>
              <w:kinsoku/>
              <w:overflowPunct/>
              <w:topLinePunct w:val="0"/>
              <w:autoSpaceDE w:val="0"/>
              <w:autoSpaceDN w:val="0"/>
              <w:bidi w:val="0"/>
              <w:adjustRightInd w:val="0"/>
              <w:snapToGrid w:val="0"/>
              <w:spacing w:line="360" w:lineRule="auto"/>
              <w:jc w:val="left"/>
              <w:rPr>
                <w:rFonts w:ascii="宋体" w:hAnsi="宋体" w:eastAsia="宋体" w:cs="Segoe UI Symbol"/>
                <w:color w:val="auto"/>
                <w:kern w:val="0"/>
                <w:szCs w:val="21"/>
                <w:highlight w:val="none"/>
              </w:rPr>
            </w:pPr>
          </w:p>
        </w:tc>
      </w:tr>
      <w:tr w14:paraId="2E9FD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7" w:hRule="atLeast"/>
          <w:jc w:val="center"/>
        </w:trPr>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3C191">
            <w:pPr>
              <w:pageBreakBefore w:val="0"/>
              <w:kinsoku/>
              <w:overflowPunct/>
              <w:topLinePunct w:val="0"/>
              <w:autoSpaceDE w:val="0"/>
              <w:autoSpaceDN w:val="0"/>
              <w:bidi w:val="0"/>
              <w:adjustRightInd w:val="0"/>
              <w:snapToGrid w:val="0"/>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是否存在本单位的控股股东</w:t>
            </w:r>
          </w:p>
        </w:tc>
        <w:tc>
          <w:tcPr>
            <w:tcW w:w="3687" w:type="pct"/>
            <w:tcBorders>
              <w:top w:val="single" w:color="000000" w:sz="4" w:space="0"/>
              <w:left w:val="single" w:color="000000" w:sz="4" w:space="0"/>
              <w:bottom w:val="single" w:color="000000" w:sz="4" w:space="0"/>
              <w:right w:val="single" w:color="000000" w:sz="4" w:space="0"/>
            </w:tcBorders>
            <w:vAlign w:val="center"/>
          </w:tcPr>
          <w:p w14:paraId="5ACC824A">
            <w:pPr>
              <w:pageBreakBefore w:val="0"/>
              <w:kinsoku/>
              <w:overflowPunct/>
              <w:topLinePunct w:val="0"/>
              <w:autoSpaceDE w:val="0"/>
              <w:autoSpaceDN w:val="0"/>
              <w:bidi w:val="0"/>
              <w:adjustRightInd w:val="0"/>
              <w:snapToGrid w:val="0"/>
              <w:spacing w:line="360" w:lineRule="auto"/>
              <w:jc w:val="left"/>
              <w:rPr>
                <w:rFonts w:ascii="宋体" w:hAnsi="宋体" w:eastAsia="宋体" w:cs="Segoe UI Symbol"/>
                <w:color w:val="auto"/>
                <w:kern w:val="0"/>
                <w:szCs w:val="21"/>
                <w:highlight w:val="none"/>
                <w:u w:val="single"/>
              </w:rPr>
            </w:pPr>
            <w:r>
              <w:rPr>
                <w:rFonts w:hint="eastAsia" w:ascii="宋体" w:hAnsi="宋体" w:eastAsia="宋体" w:cs="Segoe UI Symbol"/>
                <w:color w:val="auto"/>
                <w:kern w:val="0"/>
                <w:szCs w:val="21"/>
                <w:highlight w:val="none"/>
              </w:rPr>
              <w:t>□是，其控股股东为：</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，股份占比：</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w:t>
            </w:r>
          </w:p>
          <w:p w14:paraId="4CE102DE">
            <w:pPr>
              <w:pageBreakBefore w:val="0"/>
              <w:kinsoku/>
              <w:overflowPunct/>
              <w:topLinePunct w:val="0"/>
              <w:autoSpaceDE w:val="0"/>
              <w:autoSpaceDN w:val="0"/>
              <w:bidi w:val="0"/>
              <w:adjustRightInd w:val="0"/>
              <w:snapToGrid w:val="0"/>
              <w:spacing w:line="360" w:lineRule="auto"/>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其他主要股东及其股份占比：</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w:t>
            </w:r>
          </w:p>
          <w:p w14:paraId="16824C12">
            <w:pPr>
              <w:pageBreakBefore w:val="0"/>
              <w:kinsoku/>
              <w:overflowPunct/>
              <w:topLinePunct w:val="0"/>
              <w:autoSpaceDE w:val="0"/>
              <w:autoSpaceDN w:val="0"/>
              <w:bidi w:val="0"/>
              <w:adjustRightInd w:val="0"/>
              <w:snapToGrid w:val="0"/>
              <w:spacing w:line="360" w:lineRule="auto"/>
              <w:jc w:val="left"/>
              <w:rPr>
                <w:rFonts w:ascii="宋体" w:hAnsi="宋体" w:eastAsia="宋体" w:cs="Times New Roman"/>
                <w:b/>
                <w:bCs/>
                <w:color w:val="auto"/>
                <w:szCs w:val="21"/>
                <w:highlight w:val="none"/>
              </w:rPr>
            </w:pPr>
            <w:r>
              <w:rPr>
                <w:rFonts w:hint="eastAsia" w:ascii="宋体" w:hAnsi="宋体" w:eastAsia="宋体" w:cs="Segoe UI Symbol"/>
                <w:color w:val="auto"/>
                <w:kern w:val="0"/>
                <w:szCs w:val="21"/>
                <w:highlight w:val="none"/>
              </w:rPr>
              <w:t>□否</w:t>
            </w:r>
          </w:p>
        </w:tc>
      </w:tr>
      <w:tr w14:paraId="2B21A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FC588">
            <w:pPr>
              <w:pageBreakBefore w:val="0"/>
              <w:kinsoku/>
              <w:overflowPunct/>
              <w:topLinePunct w:val="0"/>
              <w:autoSpaceDE w:val="0"/>
              <w:autoSpaceDN w:val="0"/>
              <w:bidi w:val="0"/>
              <w:adjustRightInd w:val="0"/>
              <w:snapToGrid w:val="0"/>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是否存在“与本单位存在管理关系的单位”</w:t>
            </w:r>
          </w:p>
        </w:tc>
        <w:tc>
          <w:tcPr>
            <w:tcW w:w="3687" w:type="pct"/>
            <w:tcBorders>
              <w:top w:val="single" w:color="000000" w:sz="4" w:space="0"/>
              <w:left w:val="single" w:color="000000" w:sz="4" w:space="0"/>
              <w:bottom w:val="single" w:color="000000" w:sz="4" w:space="0"/>
              <w:right w:val="single" w:color="000000" w:sz="4" w:space="0"/>
            </w:tcBorders>
            <w:vAlign w:val="center"/>
          </w:tcPr>
          <w:p w14:paraId="0CEF7597">
            <w:pPr>
              <w:pageBreakBefore w:val="0"/>
              <w:kinsoku/>
              <w:overflowPunct/>
              <w:topLinePunct w:val="0"/>
              <w:autoSpaceDE w:val="0"/>
              <w:autoSpaceDN w:val="0"/>
              <w:bidi w:val="0"/>
              <w:adjustRightInd w:val="0"/>
              <w:snapToGrid w:val="0"/>
              <w:spacing w:line="360" w:lineRule="auto"/>
              <w:jc w:val="left"/>
              <w:rPr>
                <w:rFonts w:ascii="宋体" w:hAnsi="宋体" w:eastAsia="宋体" w:cs="Segoe UI Symbol"/>
                <w:color w:val="auto"/>
                <w:kern w:val="0"/>
                <w:szCs w:val="21"/>
                <w:highlight w:val="none"/>
                <w:u w:val="single"/>
              </w:rPr>
            </w:pPr>
            <w:r>
              <w:rPr>
                <w:rFonts w:hint="eastAsia" w:ascii="宋体" w:hAnsi="宋体" w:eastAsia="宋体" w:cs="Segoe UI Symbol"/>
                <w:color w:val="auto"/>
                <w:kern w:val="0"/>
                <w:szCs w:val="21"/>
                <w:highlight w:val="none"/>
              </w:rPr>
              <w:t>□是，该单位为：</w:t>
            </w:r>
            <w:r>
              <w:rPr>
                <w:rFonts w:hint="eastAsia" w:ascii="宋体" w:hAnsi="宋体" w:eastAsia="宋体" w:cs="Segoe UI Symbol"/>
                <w:color w:val="auto"/>
                <w:kern w:val="0"/>
                <w:szCs w:val="21"/>
                <w:highlight w:val="none"/>
                <w:u w:val="single"/>
              </w:rPr>
              <w:t xml:space="preserve">                                          </w:t>
            </w:r>
          </w:p>
          <w:p w14:paraId="00D87E3B">
            <w:pPr>
              <w:pageBreakBefore w:val="0"/>
              <w:kinsoku/>
              <w:overflowPunct/>
              <w:topLinePunct w:val="0"/>
              <w:autoSpaceDE w:val="0"/>
              <w:autoSpaceDN w:val="0"/>
              <w:bidi w:val="0"/>
              <w:adjustRightInd w:val="0"/>
              <w:snapToGrid w:val="0"/>
              <w:spacing w:line="360" w:lineRule="auto"/>
              <w:jc w:val="left"/>
              <w:rPr>
                <w:rFonts w:ascii="宋体" w:hAnsi="宋体" w:eastAsia="宋体" w:cs="Times New Roman"/>
                <w:b/>
                <w:bCs/>
                <w:color w:val="auto"/>
                <w:szCs w:val="21"/>
                <w:highlight w:val="none"/>
              </w:rPr>
            </w:pPr>
            <w:r>
              <w:rPr>
                <w:rFonts w:hint="eastAsia" w:ascii="宋体" w:hAnsi="宋体" w:eastAsia="宋体" w:cs="Segoe UI Symbol"/>
                <w:color w:val="auto"/>
                <w:kern w:val="0"/>
                <w:szCs w:val="21"/>
                <w:highlight w:val="none"/>
              </w:rPr>
              <w:t>□否</w:t>
            </w:r>
          </w:p>
        </w:tc>
      </w:tr>
    </w:tbl>
    <w:p w14:paraId="386EF4AB">
      <w:pPr>
        <w:pageBreakBefore w:val="0"/>
        <w:kinsoku/>
        <w:overflowPunct/>
        <w:topLinePunct w:val="0"/>
        <w:autoSpaceDE w:val="0"/>
        <w:autoSpaceDN w:val="0"/>
        <w:bidi w:val="0"/>
        <w:adjustRightInd w:val="0"/>
        <w:snapToGrid w:val="0"/>
        <w:spacing w:line="360"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注：</w:t>
      </w:r>
    </w:p>
    <w:p w14:paraId="1748A412">
      <w:pPr>
        <w:pageBreakBefore w:val="0"/>
        <w:kinsoku/>
        <w:overflowPunct/>
        <w:topLinePunct w:val="0"/>
        <w:autoSpaceDE w:val="0"/>
        <w:autoSpaceDN w:val="0"/>
        <w:bidi w:val="0"/>
        <w:adjustRightInd w:val="0"/>
        <w:snapToGrid w:val="0"/>
        <w:spacing w:line="360" w:lineRule="auto"/>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r>
        <w:rPr>
          <w:rFonts w:ascii="宋体" w:hAnsi="宋体" w:eastAsia="宋体" w:cs="Times New Roman"/>
          <w:bCs/>
          <w:color w:val="auto"/>
          <w:szCs w:val="21"/>
          <w:highlight w:val="none"/>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14:paraId="34484CD7">
      <w:pPr>
        <w:pageBreakBefore w:val="0"/>
        <w:kinsoku/>
        <w:overflowPunct/>
        <w:topLinePunct w:val="0"/>
        <w:autoSpaceDE w:val="0"/>
        <w:autoSpaceDN w:val="0"/>
        <w:bidi w:val="0"/>
        <w:adjustRightInd w:val="0"/>
        <w:snapToGrid w:val="0"/>
        <w:spacing w:line="360" w:lineRule="auto"/>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2、投标人需如实填写上述信息，如查实上述信息与实际不符，视为提供虚假证明材料骗取中标，投标人应承担相应法律后果。</w:t>
      </w:r>
    </w:p>
    <w:p w14:paraId="2B7066B6">
      <w:pPr>
        <w:pageBreakBefore w:val="0"/>
        <w:kinsoku/>
        <w:overflowPunct/>
        <w:topLinePunct w:val="0"/>
        <w:bidi w:val="0"/>
        <w:spacing w:line="360" w:lineRule="auto"/>
        <w:rPr>
          <w:rFonts w:cs="Times New Roman" w:asciiTheme="minorEastAsia" w:hAnsiTheme="minorEastAsia" w:eastAsiaTheme="minorEastAsia"/>
          <w:color w:val="auto"/>
          <w:szCs w:val="20"/>
          <w:highlight w:val="none"/>
        </w:rPr>
      </w:pPr>
    </w:p>
    <w:p w14:paraId="4228786D">
      <w:pPr>
        <w:pageBreakBefore w:val="0"/>
        <w:kinsoku/>
        <w:overflowPunct/>
        <w:topLinePunct w:val="0"/>
        <w:bidi w:val="0"/>
        <w:spacing w:line="360" w:lineRule="auto"/>
        <w:rPr>
          <w:rFonts w:hint="eastAsia" w:ascii="黑体" w:hAnsi="宋体" w:eastAsia="黑体"/>
          <w:bCs/>
          <w:color w:val="auto"/>
          <w:kern w:val="0"/>
          <w:sz w:val="24"/>
          <w:szCs w:val="32"/>
          <w:highlight w:val="none"/>
        </w:rPr>
      </w:pPr>
      <w:r>
        <w:rPr>
          <w:rFonts w:hint="eastAsia" w:cs="Times New Roman" w:asciiTheme="minorEastAsia" w:hAnsiTheme="minorEastAsia" w:eastAsiaTheme="minorEastAsia"/>
          <w:b/>
          <w:color w:val="auto"/>
          <w:szCs w:val="20"/>
          <w:highlight w:val="none"/>
        </w:rPr>
        <w:t>备注：</w:t>
      </w:r>
      <w:r>
        <w:rPr>
          <w:rFonts w:hint="eastAsia" w:cs="Times New Roman" w:asciiTheme="minorEastAsia" w:hAnsiTheme="minorEastAsia" w:eastAsiaTheme="minorEastAsia"/>
          <w:color w:val="auto"/>
          <w:szCs w:val="20"/>
          <w:highlight w:val="none"/>
        </w:rPr>
        <w:t>以上资质证明材料必须在投标文件中如实提供，一旦发现虚报、造假等违规行为，立即取消其投标资格并追究其相应法律责任。</w:t>
      </w:r>
      <w:r>
        <w:rPr>
          <w:rFonts w:hint="eastAsia" w:ascii="黑体" w:hAnsi="宋体" w:eastAsia="黑体"/>
          <w:bCs/>
          <w:color w:val="auto"/>
          <w:kern w:val="0"/>
          <w:sz w:val="24"/>
          <w:szCs w:val="32"/>
          <w:highlight w:val="none"/>
        </w:rPr>
        <w:br w:type="page"/>
      </w:r>
    </w:p>
    <w:p w14:paraId="56211473">
      <w:pPr>
        <w:pageBreakBefore w:val="0"/>
        <w:kinsoku/>
        <w:overflowPunct/>
        <w:topLinePunct w:val="0"/>
        <w:bidi w:val="0"/>
        <w:spacing w:line="360" w:lineRule="auto"/>
        <w:outlineLvl w:val="3"/>
        <w:rPr>
          <w:rFonts w:ascii="黑体" w:hAnsi="宋体" w:eastAsia="黑体"/>
          <w:bCs/>
          <w:color w:val="auto"/>
          <w:kern w:val="0"/>
          <w:sz w:val="24"/>
          <w:szCs w:val="32"/>
          <w:highlight w:val="none"/>
        </w:rPr>
      </w:pPr>
      <w:r>
        <w:rPr>
          <w:rFonts w:hint="eastAsia" w:ascii="黑体" w:hAnsi="宋体" w:eastAsia="黑体"/>
          <w:bCs/>
          <w:color w:val="auto"/>
          <w:kern w:val="0"/>
          <w:sz w:val="24"/>
          <w:szCs w:val="32"/>
          <w:highlight w:val="none"/>
        </w:rPr>
        <w:t>（二）中小企业声明函、残疾人福利性单位声明函及监狱企业声明函</w:t>
      </w:r>
    </w:p>
    <w:p w14:paraId="023E3422">
      <w:pPr>
        <w:pageBreakBefore w:val="0"/>
        <w:kinsoku/>
        <w:overflowPunct/>
        <w:topLinePunct w:val="0"/>
        <w:bidi w:val="0"/>
        <w:spacing w:line="360" w:lineRule="auto"/>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填写指引：</w:t>
      </w:r>
    </w:p>
    <w:p w14:paraId="38B8243A">
      <w:pPr>
        <w:pageBreakBefore w:val="0"/>
        <w:kinsoku/>
        <w:overflowPunct/>
        <w:topLinePunct w:val="0"/>
        <w:bidi w:val="0"/>
        <w:spacing w:line="360" w:lineRule="auto"/>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2C362B2D">
      <w:pPr>
        <w:pageBreakBefore w:val="0"/>
        <w:kinsoku/>
        <w:overflowPunct/>
        <w:topLinePunct w:val="0"/>
        <w:bidi w:val="0"/>
        <w:spacing w:line="360" w:lineRule="auto"/>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2、该部分内容填写需要参考的相关文件：</w:t>
      </w:r>
    </w:p>
    <w:p w14:paraId="5202D5DA">
      <w:pPr>
        <w:pageBreakBefore w:val="0"/>
        <w:kinsoku/>
        <w:overflowPunct/>
        <w:topLinePunct w:val="0"/>
        <w:bidi w:val="0"/>
        <w:spacing w:line="360" w:lineRule="auto"/>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(1)财政部《政府采购促进中小企业发展管理办法》（财库〔2020〕46号）</w:t>
      </w:r>
    </w:p>
    <w:p w14:paraId="505B7816">
      <w:pPr>
        <w:pageBreakBefore w:val="0"/>
        <w:kinsoku/>
        <w:overflowPunct/>
        <w:topLinePunct w:val="0"/>
        <w:bidi w:val="0"/>
        <w:spacing w:line="360" w:lineRule="auto"/>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(2)</w:t>
      </w:r>
      <w:bookmarkStart w:id="37" w:name="_Hlk71925120"/>
      <w:r>
        <w:rPr>
          <w:rFonts w:hint="eastAsia" w:ascii="黑体" w:hAnsi="黑体" w:eastAsia="黑体" w:cs="黑体"/>
          <w:color w:val="auto"/>
          <w:highlight w:val="none"/>
        </w:rPr>
        <w:t>《工业和信息化部、国家统计局、国家发展和改革委员会、财政部关于印发中小企业划型标准规定的通知》（工信部联企业〔2011〕300 号</w:t>
      </w:r>
      <w:bookmarkEnd w:id="37"/>
      <w:r>
        <w:rPr>
          <w:rFonts w:hint="eastAsia" w:ascii="黑体" w:hAnsi="黑体" w:eastAsia="黑体" w:cs="黑体"/>
          <w:color w:val="auto"/>
          <w:highlight w:val="none"/>
        </w:rPr>
        <w:t>，以下简称300号文）</w:t>
      </w:r>
    </w:p>
    <w:p w14:paraId="41C4B660">
      <w:pPr>
        <w:pageBreakBefore w:val="0"/>
        <w:kinsoku/>
        <w:overflowPunct/>
        <w:topLinePunct w:val="0"/>
        <w:bidi w:val="0"/>
        <w:spacing w:line="360" w:lineRule="auto"/>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(3)《统计上大中小微型企业划分办法(2017)》（国统字〔2017〕213 号）</w:t>
      </w:r>
    </w:p>
    <w:p w14:paraId="08116DF7">
      <w:pPr>
        <w:pageBreakBefore w:val="0"/>
        <w:kinsoku/>
        <w:overflowPunct/>
        <w:topLinePunct w:val="0"/>
        <w:bidi w:val="0"/>
        <w:spacing w:line="360" w:lineRule="auto"/>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(4)《关于促进残疾人就业政府采购政策的通知》（财库〔2017〕141号）</w:t>
      </w:r>
    </w:p>
    <w:p w14:paraId="58379EC5">
      <w:pPr>
        <w:pageBreakBefore w:val="0"/>
        <w:kinsoku/>
        <w:overflowPunct/>
        <w:topLinePunct w:val="0"/>
        <w:bidi w:val="0"/>
        <w:spacing w:line="360" w:lineRule="auto"/>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(5)《关于政府采购支持监狱企业发展有关问题的通知》（财库〔2014〕68号）</w:t>
      </w:r>
    </w:p>
    <w:p w14:paraId="795C632A">
      <w:pPr>
        <w:pageBreakBefore w:val="0"/>
        <w:kinsoku/>
        <w:overflowPunct/>
        <w:topLinePunct w:val="0"/>
        <w:bidi w:val="0"/>
        <w:spacing w:line="360" w:lineRule="auto"/>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3、请依照提供的格式和内容填写声明函，不要随意变更格式；声明函不需要盖章或签字；满足多项优惠政策的投标人，不重复享受多项价格扣除政策。</w:t>
      </w:r>
    </w:p>
    <w:p w14:paraId="1E3BE7BC">
      <w:pPr>
        <w:pageBreakBefore w:val="0"/>
        <w:kinsoku/>
        <w:overflowPunct/>
        <w:topLinePunct w:val="0"/>
        <w:bidi w:val="0"/>
        <w:spacing w:line="360" w:lineRule="auto"/>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4、声明函具体填写要求：</w:t>
      </w:r>
    </w:p>
    <w:p w14:paraId="5E7DD7DD">
      <w:pPr>
        <w:pageBreakBefore w:val="0"/>
        <w:kinsoku/>
        <w:overflowPunct/>
        <w:topLinePunct w:val="0"/>
        <w:bidi w:val="0"/>
        <w:spacing w:line="360" w:lineRule="auto"/>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（1）声明是中小企业须填写《中小企业声明函》的以下内容：</w:t>
      </w:r>
    </w:p>
    <w:p w14:paraId="2705D080">
      <w:pPr>
        <w:pageBreakBefore w:val="0"/>
        <w:kinsoku/>
        <w:overflowPunct/>
        <w:topLinePunct w:val="0"/>
        <w:bidi w:val="0"/>
        <w:spacing w:line="360" w:lineRule="auto"/>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第一处，在“单位名称”下划线处如实填写采购人名称（</w:t>
      </w:r>
      <w:r>
        <w:rPr>
          <w:rFonts w:hint="eastAsia" w:ascii="黑体" w:hAnsi="黑体" w:eastAsia="黑体" w:cs="黑体"/>
          <w:color w:val="auto"/>
          <w:highlight w:val="none"/>
          <w:lang w:eastAsia="zh-CN"/>
        </w:rPr>
        <w:t>深圳交易咨询集团有限公司</w:t>
      </w:r>
      <w:r>
        <w:rPr>
          <w:rFonts w:hint="eastAsia" w:ascii="黑体" w:hAnsi="黑体" w:eastAsia="黑体" w:cs="黑体"/>
          <w:color w:val="auto"/>
          <w:highlight w:val="none"/>
        </w:rPr>
        <w:t>不是本项目的采购人，而是组织实施机构）；</w:t>
      </w:r>
    </w:p>
    <w:p w14:paraId="46BAFB27">
      <w:pPr>
        <w:pageBreakBefore w:val="0"/>
        <w:kinsoku/>
        <w:overflowPunct/>
        <w:topLinePunct w:val="0"/>
        <w:bidi w:val="0"/>
        <w:spacing w:line="360" w:lineRule="auto"/>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第二处，在“项目名称”下划线处如实填写采购项目名称；</w:t>
      </w:r>
    </w:p>
    <w:p w14:paraId="3400924B">
      <w:pPr>
        <w:pageBreakBefore w:val="0"/>
        <w:kinsoku/>
        <w:overflowPunct/>
        <w:topLinePunct w:val="0"/>
        <w:bidi w:val="0"/>
        <w:spacing w:line="360" w:lineRule="auto"/>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第三处，在“标的名称”下划线处填写所采购服务（标的）的具体名称（以招标文件第一册第三章用户需求书“服务需求明细”的“服务需求名称”一栏为准）；如果涉及多项服务（标的）为同一企业制造，“标的名称”下划线处可以如实填写多项服务；</w:t>
      </w:r>
    </w:p>
    <w:p w14:paraId="3CCE6EC3">
      <w:pPr>
        <w:pageBreakBefore w:val="0"/>
        <w:kinsoku/>
        <w:overflowPunct/>
        <w:topLinePunct w:val="0"/>
        <w:bidi w:val="0"/>
        <w:spacing w:line="360" w:lineRule="auto"/>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第四处，在“招标文件中明确的所属行业”下划线处填写采购标的对应的中小企业划分标准所属行业（所属行业可在招标文件第一册第二章“对通用条款的补充内容及其他关键信息”章节查看）；</w:t>
      </w:r>
    </w:p>
    <w:p w14:paraId="7E07D2A5">
      <w:pPr>
        <w:pageBreakBefore w:val="0"/>
        <w:kinsoku/>
        <w:overflowPunct/>
        <w:topLinePunct w:val="0"/>
        <w:bidi w:val="0"/>
        <w:spacing w:line="360" w:lineRule="auto"/>
        <w:ind w:firstLine="420" w:firstLineChars="200"/>
        <w:outlineLvl w:val="9"/>
        <w:rPr>
          <w:rFonts w:hint="eastAsia" w:ascii="黑体" w:hAnsi="黑体" w:eastAsia="黑体" w:cs="黑体"/>
          <w:color w:val="auto"/>
          <w:highlight w:val="none"/>
          <w:lang w:eastAsia="zh-CN"/>
        </w:rPr>
      </w:pPr>
      <w:r>
        <w:rPr>
          <w:rFonts w:hint="eastAsia" w:ascii="黑体" w:hAnsi="黑体" w:eastAsia="黑体" w:cs="黑体"/>
          <w:color w:val="auto"/>
          <w:highlight w:val="none"/>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w:t>
      </w:r>
      <w:r>
        <w:rPr>
          <w:rFonts w:hint="eastAsia" w:ascii="黑体" w:hAnsi="黑体" w:eastAsia="黑体" w:cs="黑体"/>
          <w:color w:val="auto"/>
          <w:highlight w:val="none"/>
          <w:lang w:val="en-US" w:eastAsia="zh-CN"/>
        </w:rPr>
        <w:t>供应商</w:t>
      </w:r>
      <w:r>
        <w:rPr>
          <w:rFonts w:hint="eastAsia" w:ascii="黑体" w:hAnsi="黑体" w:eastAsia="黑体" w:cs="黑体"/>
          <w:color w:val="auto"/>
          <w:highlight w:val="none"/>
        </w:rPr>
        <w:t>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w:t>
      </w:r>
      <w:r>
        <w:rPr>
          <w:rFonts w:hint="eastAsia" w:ascii="黑体" w:hAnsi="黑体" w:eastAsia="黑体" w:cs="黑体"/>
          <w:color w:val="auto"/>
          <w:highlight w:val="none"/>
          <w:lang w:eastAsia="zh-CN"/>
        </w:rPr>
        <w:t>。</w:t>
      </w:r>
    </w:p>
    <w:p w14:paraId="659055AF">
      <w:pPr>
        <w:pageBreakBefore w:val="0"/>
        <w:kinsoku/>
        <w:overflowPunct/>
        <w:topLinePunct w:val="0"/>
        <w:bidi w:val="0"/>
        <w:spacing w:line="360" w:lineRule="auto"/>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（2）声明是残疾人福利性单位须填写《残疾人福利性单位声明函》的相关内容，具体参照以上《中小企业声明函》填写要求执行。</w:t>
      </w:r>
    </w:p>
    <w:p w14:paraId="53424B41">
      <w:pPr>
        <w:pageBreakBefore w:val="0"/>
        <w:kinsoku/>
        <w:overflowPunct/>
        <w:topLinePunct w:val="0"/>
        <w:bidi w:val="0"/>
        <w:spacing w:line="360" w:lineRule="auto"/>
        <w:ind w:firstLine="420" w:firstLineChars="200"/>
        <w:outlineLvl w:val="9"/>
        <w:rPr>
          <w:rFonts w:hint="eastAsia" w:ascii="黑体" w:hAnsi="黑体" w:eastAsia="黑体" w:cs="黑体"/>
          <w:color w:val="auto"/>
          <w:highlight w:val="none"/>
        </w:rPr>
      </w:pPr>
      <w:r>
        <w:rPr>
          <w:rFonts w:hint="eastAsia" w:ascii="黑体" w:hAnsi="黑体" w:eastAsia="黑体" w:cs="黑体"/>
          <w:color w:val="auto"/>
          <w:highlight w:val="none"/>
        </w:rPr>
        <w:t>（3）声明是监狱企业须填写《监狱企业声明函》的三项内容（填写位置的字体已加粗），具体参照以上《中小企业声明函》填写要求执行。</w:t>
      </w:r>
    </w:p>
    <w:p w14:paraId="476943D8">
      <w:pPr>
        <w:pageBreakBefore w:val="0"/>
        <w:kinsoku/>
        <w:overflowPunct/>
        <w:topLinePunct w:val="0"/>
        <w:bidi w:val="0"/>
        <w:spacing w:line="360" w:lineRule="auto"/>
        <w:ind w:firstLine="420" w:firstLineChars="200"/>
        <w:rPr>
          <w:rFonts w:hint="eastAsia" w:ascii="黑体" w:hAnsi="黑体" w:eastAsia="黑体" w:cs="黑体"/>
          <w:color w:val="auto"/>
          <w:highlight w:val="none"/>
        </w:rPr>
      </w:pPr>
      <w:r>
        <w:rPr>
          <w:rFonts w:hint="eastAsia" w:ascii="黑体" w:hAnsi="黑体" w:eastAsia="黑体" w:cs="黑体"/>
          <w:color w:val="auto"/>
          <w:highlight w:val="none"/>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218C465C">
      <w:pPr>
        <w:pageBreakBefore w:val="0"/>
        <w:kinsoku/>
        <w:overflowPunct/>
        <w:topLinePunct w:val="0"/>
        <w:bidi w:val="0"/>
        <w:spacing w:line="360" w:lineRule="auto"/>
        <w:ind w:firstLine="420" w:firstLineChars="200"/>
        <w:rPr>
          <w:color w:val="auto"/>
          <w:highlight w:val="none"/>
        </w:rPr>
      </w:pPr>
    </w:p>
    <w:p w14:paraId="3ABEFA3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b/>
          <w:color w:val="auto"/>
          <w:sz w:val="24"/>
          <w:highlight w:val="none"/>
        </w:rPr>
      </w:pPr>
      <w:r>
        <w:rPr>
          <w:rFonts w:hint="eastAsia"/>
          <w:b/>
          <w:color w:val="auto"/>
          <w:sz w:val="24"/>
          <w:highlight w:val="none"/>
        </w:rPr>
        <w:t>1、</w:t>
      </w:r>
      <w:r>
        <w:rPr>
          <w:b/>
          <w:color w:val="auto"/>
          <w:sz w:val="24"/>
          <w:highlight w:val="none"/>
        </w:rPr>
        <w:t>中小企业声明函（</w:t>
      </w:r>
      <w:r>
        <w:rPr>
          <w:rFonts w:hint="eastAsia"/>
          <w:b/>
          <w:color w:val="auto"/>
          <w:sz w:val="24"/>
          <w:highlight w:val="none"/>
        </w:rPr>
        <w:t>服务</w:t>
      </w:r>
      <w:r>
        <w:rPr>
          <w:b/>
          <w:color w:val="auto"/>
          <w:sz w:val="24"/>
          <w:highlight w:val="none"/>
        </w:rPr>
        <w:t>）</w:t>
      </w:r>
    </w:p>
    <w:p w14:paraId="529A67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b/>
          <w:bCs/>
          <w:i/>
          <w:iCs/>
          <w:color w:val="auto"/>
          <w:sz w:val="21"/>
          <w:szCs w:val="21"/>
          <w:highlight w:val="none"/>
          <w:u w:val="single"/>
        </w:rPr>
        <w:t>（单位名称）</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b/>
          <w:bCs/>
          <w:i/>
          <w:iCs/>
          <w:color w:val="auto"/>
          <w:sz w:val="21"/>
          <w:szCs w:val="21"/>
          <w:highlight w:val="none"/>
          <w:u w:val="single"/>
        </w:rPr>
        <w:t>（项目名称）</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采购活动，服务全部由符合政策要求的中小企业承接。相关企业（含联合体中的中小企业、签订分包意向协议的中小企业）的具体情况如下：</w:t>
      </w:r>
    </w:p>
    <w:p w14:paraId="58F8FC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b/>
          <w:bCs/>
          <w:i/>
          <w:iCs/>
          <w:color w:val="auto"/>
          <w:sz w:val="21"/>
          <w:szCs w:val="21"/>
          <w:highlight w:val="none"/>
          <w:u w:val="single"/>
        </w:rPr>
        <w:t>（标的名称）</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b/>
          <w:bCs/>
          <w:i/>
          <w:iCs/>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，属于</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b/>
          <w:bCs/>
          <w:i/>
          <w:iCs/>
          <w:color w:val="auto"/>
          <w:sz w:val="21"/>
          <w:szCs w:val="21"/>
          <w:highlight w:val="none"/>
          <w:u w:val="single"/>
        </w:rPr>
        <w:t>（采购文件中明确的所属行业）</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行业</w:t>
      </w:r>
      <w:r>
        <w:rPr>
          <w:rFonts w:hint="eastAsia" w:asciiTheme="minorEastAsia" w:hAnsiTheme="minorEastAsia" w:eastAsiaTheme="minorEastAsia" w:cstheme="minorEastAsia"/>
          <w:color w:val="auto"/>
          <w:kern w:val="2"/>
          <w:sz w:val="21"/>
          <w:szCs w:val="21"/>
          <w:highlight w:val="none"/>
          <w:lang w:val="en-US" w:eastAsia="zh-CN" w:bidi="ar-SA"/>
        </w:rPr>
        <w:t>；承接企业为</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b/>
          <w:bCs/>
          <w:i/>
          <w:iCs/>
          <w:color w:val="auto"/>
          <w:sz w:val="21"/>
          <w:szCs w:val="21"/>
          <w:highlight w:val="none"/>
          <w:u w:val="single"/>
        </w:rPr>
        <w:t>（企业名称</w:t>
      </w:r>
      <w:r>
        <w:rPr>
          <w:rFonts w:hint="eastAsia" w:asciiTheme="minorEastAsia" w:hAnsiTheme="minorEastAsia" w:eastAsiaTheme="minorEastAsia" w:cstheme="minorEastAsia"/>
          <w:b/>
          <w:bCs/>
          <w:i/>
          <w:iCs/>
          <w:color w:val="auto"/>
          <w:sz w:val="21"/>
          <w:szCs w:val="21"/>
          <w:highlight w:val="none"/>
          <w:u w:val="single"/>
          <w:lang w:eastAsia="zh-CN"/>
        </w:rPr>
        <w:t>，要求</w:t>
      </w:r>
      <w:r>
        <w:rPr>
          <w:rFonts w:hint="eastAsia" w:asciiTheme="minorEastAsia" w:hAnsiTheme="minorEastAsia" w:eastAsiaTheme="minorEastAsia" w:cstheme="minorEastAsia"/>
          <w:b/>
          <w:bCs/>
          <w:i/>
          <w:iCs/>
          <w:color w:val="auto"/>
          <w:sz w:val="21"/>
          <w:szCs w:val="21"/>
          <w:highlight w:val="none"/>
          <w:u w:val="single"/>
          <w:lang w:val="en-US" w:eastAsia="zh-CN"/>
        </w:rPr>
        <w:t>承接企业本身</w:t>
      </w:r>
      <w:r>
        <w:rPr>
          <w:rFonts w:hint="eastAsia" w:asciiTheme="minorEastAsia" w:hAnsiTheme="minorEastAsia" w:eastAsiaTheme="minorEastAsia" w:cstheme="minorEastAsia"/>
          <w:b/>
          <w:bCs/>
          <w:i/>
          <w:iCs/>
          <w:color w:val="auto"/>
          <w:sz w:val="21"/>
          <w:szCs w:val="21"/>
          <w:highlight w:val="none"/>
          <w:u w:val="single"/>
          <w:lang w:eastAsia="zh-CN"/>
        </w:rPr>
        <w:t>所属行业应当与招标文件要求的行业相一致</w:t>
      </w:r>
      <w:r>
        <w:rPr>
          <w:rFonts w:hint="eastAsia" w:asciiTheme="minorEastAsia" w:hAnsiTheme="minorEastAsia" w:eastAsiaTheme="minorEastAsia" w:cstheme="minorEastAsia"/>
          <w:b/>
          <w:bCs/>
          <w:i/>
          <w:iCs/>
          <w:color w:val="auto"/>
          <w:sz w:val="21"/>
          <w:szCs w:val="21"/>
          <w:highlight w:val="none"/>
          <w:u w:val="single"/>
        </w:rPr>
        <w:t>）</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，从业人员</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人，营业收入为</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万元，资产总额为</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万元，属于</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b/>
          <w:bCs/>
          <w:i/>
          <w:iCs/>
          <w:color w:val="auto"/>
          <w:sz w:val="21"/>
          <w:szCs w:val="21"/>
          <w:highlight w:val="none"/>
          <w:u w:val="single"/>
        </w:rPr>
        <w:t>（中型企业、小型企业、微型企业）</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w:t>
      </w:r>
    </w:p>
    <w:p w14:paraId="35DD9B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b/>
          <w:bCs/>
          <w:i/>
          <w:iCs/>
          <w:color w:val="auto"/>
          <w:sz w:val="21"/>
          <w:szCs w:val="21"/>
          <w:highlight w:val="none"/>
          <w:u w:val="single"/>
        </w:rPr>
        <w:t>（标的名称）</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b/>
          <w:bCs/>
          <w:i/>
          <w:iCs/>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，属于</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b/>
          <w:bCs/>
          <w:i/>
          <w:iCs/>
          <w:color w:val="auto"/>
          <w:sz w:val="21"/>
          <w:szCs w:val="21"/>
          <w:highlight w:val="none"/>
          <w:u w:val="single"/>
        </w:rPr>
        <w:t>（采购文件中明确的所属行业）</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行业</w:t>
      </w:r>
      <w:r>
        <w:rPr>
          <w:rFonts w:hint="eastAsia" w:asciiTheme="minorEastAsia" w:hAnsiTheme="minorEastAsia" w:eastAsiaTheme="minorEastAsia" w:cstheme="minorEastAsia"/>
          <w:color w:val="auto"/>
          <w:kern w:val="2"/>
          <w:sz w:val="21"/>
          <w:szCs w:val="21"/>
          <w:highlight w:val="none"/>
          <w:lang w:val="en-US" w:eastAsia="zh-CN" w:bidi="ar-SA"/>
        </w:rPr>
        <w:t>；承接企业为</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b/>
          <w:bCs/>
          <w:i/>
          <w:iCs/>
          <w:color w:val="auto"/>
          <w:sz w:val="21"/>
          <w:szCs w:val="21"/>
          <w:highlight w:val="none"/>
          <w:u w:val="single"/>
        </w:rPr>
        <w:t>（企业名称</w:t>
      </w:r>
      <w:r>
        <w:rPr>
          <w:rFonts w:hint="eastAsia" w:asciiTheme="minorEastAsia" w:hAnsiTheme="minorEastAsia" w:eastAsiaTheme="minorEastAsia" w:cstheme="minorEastAsia"/>
          <w:b/>
          <w:bCs/>
          <w:i/>
          <w:iCs/>
          <w:color w:val="auto"/>
          <w:sz w:val="21"/>
          <w:szCs w:val="21"/>
          <w:highlight w:val="none"/>
          <w:u w:val="single"/>
          <w:lang w:eastAsia="zh-CN"/>
        </w:rPr>
        <w:t>，要求</w:t>
      </w:r>
      <w:r>
        <w:rPr>
          <w:rFonts w:hint="eastAsia" w:asciiTheme="minorEastAsia" w:hAnsiTheme="minorEastAsia" w:eastAsiaTheme="minorEastAsia" w:cstheme="minorEastAsia"/>
          <w:b/>
          <w:bCs/>
          <w:i/>
          <w:iCs/>
          <w:color w:val="auto"/>
          <w:sz w:val="21"/>
          <w:szCs w:val="21"/>
          <w:highlight w:val="none"/>
          <w:u w:val="single"/>
          <w:lang w:val="en-US" w:eastAsia="zh-CN"/>
        </w:rPr>
        <w:t>承接企业本身</w:t>
      </w:r>
      <w:r>
        <w:rPr>
          <w:rFonts w:hint="eastAsia" w:asciiTheme="minorEastAsia" w:hAnsiTheme="minorEastAsia" w:eastAsiaTheme="minorEastAsia" w:cstheme="minorEastAsia"/>
          <w:b/>
          <w:bCs/>
          <w:i/>
          <w:iCs/>
          <w:color w:val="auto"/>
          <w:sz w:val="21"/>
          <w:szCs w:val="21"/>
          <w:highlight w:val="none"/>
          <w:u w:val="single"/>
          <w:lang w:eastAsia="zh-CN"/>
        </w:rPr>
        <w:t>所属行业应当与招标文件要求的行业相一致</w:t>
      </w:r>
      <w:r>
        <w:rPr>
          <w:rFonts w:hint="eastAsia" w:asciiTheme="minorEastAsia" w:hAnsiTheme="minorEastAsia" w:eastAsiaTheme="minorEastAsia" w:cstheme="minorEastAsia"/>
          <w:b/>
          <w:bCs/>
          <w:i/>
          <w:iCs/>
          <w:color w:val="auto"/>
          <w:sz w:val="21"/>
          <w:szCs w:val="21"/>
          <w:highlight w:val="none"/>
          <w:u w:val="single"/>
        </w:rPr>
        <w:t>）</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，从业人员</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人，营业收入为</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万元，资产总额为</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万元，属于</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b/>
          <w:bCs/>
          <w:i/>
          <w:iCs/>
          <w:color w:val="auto"/>
          <w:sz w:val="21"/>
          <w:szCs w:val="21"/>
          <w:highlight w:val="none"/>
          <w:u w:val="single"/>
        </w:rPr>
        <w:t>（中型企业、小型企业、微型企业）</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w:t>
      </w:r>
    </w:p>
    <w:p w14:paraId="2EBD34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w:t>
      </w:r>
    </w:p>
    <w:p w14:paraId="6A5B06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以上企业，不属于大企业的分支机构，不存在控股股东为大企业的情形，也不存在与大企业的负责人为同一人的情形。</w:t>
      </w:r>
    </w:p>
    <w:p w14:paraId="5B4961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本企业对上述声明内容的真实性负责。如有虚假，将依法承担相应责任。</w:t>
      </w:r>
    </w:p>
    <w:p w14:paraId="4DA583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bookmarkStart w:id="38" w:name="_Hlk73562275"/>
      <w:r>
        <w:rPr>
          <w:rFonts w:hint="eastAsia" w:asciiTheme="minorEastAsia" w:hAnsiTheme="minorEastAsia" w:eastAsiaTheme="minorEastAsia" w:cstheme="minorEastAsia"/>
          <w:color w:val="auto"/>
          <w:kern w:val="2"/>
          <w:sz w:val="21"/>
          <w:szCs w:val="21"/>
          <w:highlight w:val="none"/>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8"/>
    </w:p>
    <w:p w14:paraId="2777A705">
      <w:pPr>
        <w:pageBreakBefore w:val="0"/>
        <w:kinsoku/>
        <w:overflowPunct/>
        <w:topLinePunct w:val="0"/>
        <w:bidi w:val="0"/>
        <w:spacing w:line="360" w:lineRule="auto"/>
        <w:ind w:firstLine="420" w:firstLineChars="200"/>
        <w:rPr>
          <w:color w:val="auto"/>
          <w:highlight w:val="none"/>
        </w:rPr>
      </w:pPr>
    </w:p>
    <w:p w14:paraId="25B31E7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b/>
          <w:color w:val="auto"/>
          <w:sz w:val="24"/>
          <w:highlight w:val="none"/>
        </w:rPr>
      </w:pPr>
      <w:r>
        <w:rPr>
          <w:rFonts w:hint="eastAsia"/>
          <w:b/>
          <w:color w:val="auto"/>
          <w:sz w:val="24"/>
          <w:highlight w:val="none"/>
        </w:rPr>
        <w:t>2、残疾人福利性单位声明函</w:t>
      </w:r>
      <w:r>
        <w:rPr>
          <w:rFonts w:hint="eastAsia"/>
          <w:b/>
          <w:color w:val="auto"/>
          <w:sz w:val="24"/>
          <w:highlight w:val="none"/>
          <w:lang w:eastAsia="zh-CN"/>
        </w:rPr>
        <w:t>（</w:t>
      </w:r>
      <w:r>
        <w:rPr>
          <w:rFonts w:hint="eastAsia"/>
          <w:b/>
          <w:color w:val="auto"/>
          <w:sz w:val="24"/>
          <w:highlight w:val="none"/>
          <w:lang w:val="en-US" w:eastAsia="zh-CN"/>
        </w:rPr>
        <w:t>服务</w:t>
      </w:r>
      <w:r>
        <w:rPr>
          <w:rFonts w:hint="eastAsia"/>
          <w:b/>
          <w:color w:val="auto"/>
          <w:sz w:val="24"/>
          <w:highlight w:val="none"/>
        </w:rPr>
        <w:t>类）</w:t>
      </w:r>
    </w:p>
    <w:p w14:paraId="442C1B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b/>
          <w:bCs/>
          <w:i/>
          <w:iCs/>
          <w:color w:val="auto"/>
          <w:sz w:val="21"/>
          <w:szCs w:val="21"/>
          <w:highlight w:val="none"/>
          <w:u w:val="single"/>
        </w:rPr>
        <w:t>（单位名称）</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单位的</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b/>
          <w:bCs/>
          <w:i/>
          <w:iCs/>
          <w:color w:val="auto"/>
          <w:sz w:val="21"/>
          <w:szCs w:val="21"/>
          <w:highlight w:val="none"/>
          <w:u w:val="single"/>
        </w:rPr>
        <w:t>（项目名称）</w:t>
      </w:r>
      <w:r>
        <w:rPr>
          <w:rFonts w:hint="eastAsia" w:asciiTheme="minorEastAsia" w:hAnsiTheme="minorEastAsia" w:eastAsiaTheme="minorEastAsia" w:cstheme="minorEastAsia"/>
          <w:b/>
          <w:bCs/>
          <w:i/>
          <w:i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项目采购活动由本单位提供服务。</w:t>
      </w:r>
    </w:p>
    <w:p w14:paraId="2D9B64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本单位对上述声明的真实性负责。如有虚假，将依法承担相应责任。</w:t>
      </w:r>
    </w:p>
    <w:p w14:paraId="701686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14:paraId="0E526F50">
      <w:pPr>
        <w:pageBreakBefore w:val="0"/>
        <w:kinsoku/>
        <w:overflowPunct/>
        <w:topLinePunct w:val="0"/>
        <w:bidi w:val="0"/>
        <w:spacing w:line="360" w:lineRule="auto"/>
        <w:ind w:firstLine="420" w:firstLineChars="200"/>
        <w:rPr>
          <w:rFonts w:ascii="宋体" w:hAnsi="宋体"/>
          <w:color w:val="auto"/>
          <w:szCs w:val="21"/>
          <w:highlight w:val="none"/>
        </w:rPr>
      </w:pPr>
    </w:p>
    <w:p w14:paraId="03757863">
      <w:pPr>
        <w:pageBreakBefore w:val="0"/>
        <w:kinsoku/>
        <w:overflowPunct/>
        <w:topLinePunct w:val="0"/>
        <w:bidi w:val="0"/>
        <w:spacing w:line="360" w:lineRule="auto"/>
        <w:ind w:firstLine="420" w:firstLineChars="200"/>
        <w:rPr>
          <w:rFonts w:ascii="宋体" w:hAnsi="宋体"/>
          <w:color w:val="auto"/>
          <w:szCs w:val="21"/>
          <w:highlight w:val="none"/>
        </w:rPr>
      </w:pPr>
    </w:p>
    <w:p w14:paraId="00E89A21">
      <w:pPr>
        <w:pageBreakBefore w:val="0"/>
        <w:kinsoku/>
        <w:overflowPunct/>
        <w:topLinePunct w:val="0"/>
        <w:bidi w:val="0"/>
        <w:spacing w:line="360" w:lineRule="auto"/>
        <w:ind w:firstLine="420" w:firstLineChars="200"/>
        <w:rPr>
          <w:rFonts w:ascii="宋体" w:hAnsi="宋体"/>
          <w:color w:val="auto"/>
          <w:szCs w:val="21"/>
          <w:highlight w:val="none"/>
        </w:rPr>
      </w:pPr>
    </w:p>
    <w:p w14:paraId="0D36874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b/>
          <w:color w:val="auto"/>
          <w:sz w:val="24"/>
          <w:highlight w:val="none"/>
        </w:rPr>
      </w:pPr>
      <w:r>
        <w:rPr>
          <w:rFonts w:hint="eastAsia"/>
          <w:b/>
          <w:color w:val="auto"/>
          <w:sz w:val="24"/>
          <w:highlight w:val="none"/>
        </w:rPr>
        <w:t>3、监狱企业声明函【服务类，监狱企业如需享受优惠政策，还须另行提供省级以上监狱管理局、戒毒管理局（含新疆生产建设兵团）出具的监狱企业证明文件】</w:t>
      </w:r>
    </w:p>
    <w:p w14:paraId="603CE1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本投标人郑重声明，根据《财政部司法部关于政府采购支持监狱企业发展有关问题的通知》（财库〔</w:t>
      </w:r>
      <w:r>
        <w:rPr>
          <w:rFonts w:ascii="宋体" w:hAnsi="宋体"/>
          <w:color w:val="auto"/>
          <w:szCs w:val="21"/>
          <w:highlight w:val="none"/>
        </w:rPr>
        <w:t>2014</w:t>
      </w:r>
      <w:r>
        <w:rPr>
          <w:rFonts w:hint="eastAsia" w:ascii="宋体" w:hAnsi="宋体"/>
          <w:color w:val="auto"/>
          <w:szCs w:val="21"/>
          <w:highlight w:val="none"/>
        </w:rPr>
        <w:t>〕</w:t>
      </w:r>
      <w:r>
        <w:rPr>
          <w:rFonts w:ascii="宋体" w:hAnsi="宋体"/>
          <w:color w:val="auto"/>
          <w:szCs w:val="21"/>
          <w:highlight w:val="none"/>
        </w:rPr>
        <w:t>68</w:t>
      </w:r>
      <w:r>
        <w:rPr>
          <w:rFonts w:hint="eastAsia" w:ascii="宋体" w:hAnsi="宋体"/>
          <w:color w:val="auto"/>
          <w:szCs w:val="21"/>
          <w:highlight w:val="none"/>
        </w:rPr>
        <w:t>号）的规定，本投标人</w:t>
      </w:r>
      <w:r>
        <w:rPr>
          <w:rFonts w:ascii="宋体" w:hAnsi="宋体" w:cstheme="minorBidi"/>
          <w:color w:val="auto"/>
          <w:szCs w:val="21"/>
          <w:highlight w:val="none"/>
        </w:rPr>
        <w:t>参加</w:t>
      </w:r>
      <w:r>
        <w:rPr>
          <w:rFonts w:ascii="宋体" w:hAnsi="宋体"/>
          <w:b/>
          <w:bCs/>
          <w:color w:val="auto"/>
          <w:szCs w:val="21"/>
          <w:highlight w:val="none"/>
          <w:u w:val="single"/>
        </w:rPr>
        <w:t>（</w:t>
      </w:r>
      <w:r>
        <w:rPr>
          <w:rFonts w:hint="eastAsia" w:ascii="宋体" w:hAnsi="宋体"/>
          <w:b/>
          <w:bCs/>
          <w:color w:val="auto"/>
          <w:szCs w:val="21"/>
          <w:highlight w:val="none"/>
          <w:u w:val="single"/>
        </w:rPr>
        <w:t>采购人</w:t>
      </w:r>
      <w:r>
        <w:rPr>
          <w:rFonts w:ascii="宋体" w:hAnsi="宋体"/>
          <w:b/>
          <w:bCs/>
          <w:color w:val="auto"/>
          <w:szCs w:val="21"/>
          <w:highlight w:val="none"/>
          <w:u w:val="single"/>
        </w:rPr>
        <w:t>名称）</w:t>
      </w:r>
      <w:r>
        <w:rPr>
          <w:rFonts w:ascii="宋体" w:hAnsi="宋体"/>
          <w:color w:val="auto"/>
          <w:szCs w:val="21"/>
          <w:highlight w:val="none"/>
        </w:rPr>
        <w:t>的</w:t>
      </w:r>
      <w:r>
        <w:rPr>
          <w:rFonts w:ascii="宋体" w:hAnsi="宋体"/>
          <w:b/>
          <w:bCs/>
          <w:color w:val="auto"/>
          <w:szCs w:val="21"/>
          <w:highlight w:val="none"/>
          <w:u w:val="single"/>
        </w:rPr>
        <w:t>（项目名称）</w:t>
      </w:r>
      <w:r>
        <w:rPr>
          <w:rFonts w:ascii="宋体" w:hAnsi="宋体"/>
          <w:color w:val="auto"/>
          <w:szCs w:val="21"/>
          <w:highlight w:val="none"/>
        </w:rPr>
        <w:t>采购活动，</w:t>
      </w:r>
      <w:r>
        <w:rPr>
          <w:rFonts w:hint="eastAsia" w:ascii="宋体" w:hAnsi="宋体"/>
          <w:color w:val="auto"/>
          <w:szCs w:val="21"/>
          <w:highlight w:val="none"/>
        </w:rPr>
        <w:t>服务</w:t>
      </w:r>
      <w:r>
        <w:rPr>
          <w:rFonts w:ascii="宋体" w:hAnsi="宋体"/>
          <w:color w:val="auto"/>
          <w:szCs w:val="21"/>
          <w:highlight w:val="none"/>
        </w:rPr>
        <w:t>全部由符合政策要求的</w:t>
      </w:r>
      <w:r>
        <w:rPr>
          <w:rFonts w:hint="eastAsia" w:ascii="宋体" w:hAnsi="宋体"/>
          <w:color w:val="auto"/>
          <w:szCs w:val="21"/>
          <w:highlight w:val="none"/>
        </w:rPr>
        <w:t>监狱企业承接</w:t>
      </w:r>
      <w:r>
        <w:rPr>
          <w:rFonts w:ascii="宋体" w:hAnsi="宋体"/>
          <w:color w:val="auto"/>
          <w:szCs w:val="21"/>
          <w:highlight w:val="none"/>
        </w:rPr>
        <w:t>。相关</w:t>
      </w:r>
      <w:r>
        <w:rPr>
          <w:rFonts w:hint="eastAsia" w:ascii="宋体" w:hAnsi="宋体"/>
          <w:color w:val="auto"/>
          <w:szCs w:val="21"/>
          <w:highlight w:val="none"/>
        </w:rPr>
        <w:t>监狱企业</w:t>
      </w:r>
      <w:r>
        <w:rPr>
          <w:rFonts w:ascii="宋体" w:hAnsi="宋体"/>
          <w:color w:val="auto"/>
          <w:szCs w:val="21"/>
          <w:highlight w:val="none"/>
        </w:rPr>
        <w:t>的具体情况如下：</w:t>
      </w:r>
    </w:p>
    <w:p w14:paraId="384AF5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w:t>
      </w:r>
      <w:r>
        <w:rPr>
          <w:rFonts w:ascii="宋体" w:hAnsi="宋体"/>
          <w:b/>
          <w:bCs/>
          <w:color w:val="auto"/>
          <w:szCs w:val="21"/>
          <w:highlight w:val="none"/>
          <w:u w:val="single"/>
        </w:rPr>
        <w:t xml:space="preserve"> </w:t>
      </w:r>
      <w:r>
        <w:rPr>
          <w:rFonts w:ascii="宋体" w:hAnsi="宋体"/>
          <w:b/>
          <w:bCs/>
          <w:i/>
          <w:iCs/>
          <w:color w:val="auto"/>
          <w:szCs w:val="21"/>
          <w:highlight w:val="none"/>
          <w:u w:val="single"/>
        </w:rPr>
        <w:t>（标的名称</w:t>
      </w:r>
      <w:r>
        <w:rPr>
          <w:rFonts w:ascii="宋体" w:hAnsi="宋体"/>
          <w:b/>
          <w:bCs/>
          <w:color w:val="auto"/>
          <w:szCs w:val="21"/>
          <w:highlight w:val="none"/>
          <w:u w:val="single"/>
        </w:rPr>
        <w:t>）</w:t>
      </w:r>
      <w:r>
        <w:rPr>
          <w:rFonts w:ascii="宋体" w:hAnsi="宋体"/>
          <w:color w:val="auto"/>
          <w:szCs w:val="21"/>
          <w:highlight w:val="none"/>
        </w:rPr>
        <w:t xml:space="preserve"> </w:t>
      </w:r>
      <w:r>
        <w:rPr>
          <w:rFonts w:hint="eastAsia" w:ascii="宋体" w:hAnsi="宋体"/>
          <w:color w:val="auto"/>
          <w:szCs w:val="21"/>
          <w:highlight w:val="none"/>
        </w:rPr>
        <w:t>，承接单位</w:t>
      </w:r>
      <w:r>
        <w:rPr>
          <w:rFonts w:ascii="宋体" w:hAnsi="宋体"/>
          <w:color w:val="auto"/>
          <w:szCs w:val="21"/>
          <w:highlight w:val="none"/>
        </w:rPr>
        <w:t>为</w:t>
      </w:r>
      <w:r>
        <w:rPr>
          <w:rFonts w:ascii="宋体" w:hAnsi="宋体"/>
          <w:b/>
          <w:bCs/>
          <w:i/>
          <w:iCs/>
          <w:color w:val="auto"/>
          <w:szCs w:val="21"/>
          <w:highlight w:val="none"/>
          <w:u w:val="single"/>
        </w:rPr>
        <w:t>（</w:t>
      </w:r>
      <w:r>
        <w:rPr>
          <w:rFonts w:hint="eastAsia" w:ascii="宋体" w:hAnsi="宋体"/>
          <w:b/>
          <w:bCs/>
          <w:i/>
          <w:iCs/>
          <w:color w:val="auto"/>
          <w:szCs w:val="21"/>
          <w:highlight w:val="none"/>
          <w:u w:val="single"/>
        </w:rPr>
        <w:t>企业</w:t>
      </w:r>
      <w:r>
        <w:rPr>
          <w:rFonts w:ascii="宋体" w:hAnsi="宋体"/>
          <w:b/>
          <w:bCs/>
          <w:i/>
          <w:iCs/>
          <w:color w:val="auto"/>
          <w:szCs w:val="21"/>
          <w:highlight w:val="none"/>
          <w:u w:val="single"/>
        </w:rPr>
        <w:t>名称）</w:t>
      </w:r>
      <w:r>
        <w:rPr>
          <w:rFonts w:ascii="宋体" w:hAnsi="宋体"/>
          <w:color w:val="auto"/>
          <w:szCs w:val="21"/>
          <w:highlight w:val="none"/>
        </w:rPr>
        <w:t>，属于</w:t>
      </w:r>
      <w:r>
        <w:rPr>
          <w:rFonts w:hint="eastAsia" w:ascii="宋体" w:hAnsi="宋体"/>
          <w:b/>
          <w:bCs/>
          <w:i/>
          <w:iCs/>
          <w:color w:val="auto"/>
          <w:szCs w:val="21"/>
          <w:highlight w:val="none"/>
          <w:u w:val="single"/>
        </w:rPr>
        <w:t>监狱企业</w:t>
      </w:r>
      <w:r>
        <w:rPr>
          <w:rFonts w:ascii="宋体" w:hAnsi="宋体"/>
          <w:color w:val="auto"/>
          <w:szCs w:val="21"/>
          <w:highlight w:val="none"/>
        </w:rPr>
        <w:t>；</w:t>
      </w:r>
    </w:p>
    <w:p w14:paraId="4F86CF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ascii="宋体" w:hAnsi="宋体"/>
          <w:b/>
          <w:bCs/>
          <w:color w:val="auto"/>
          <w:szCs w:val="21"/>
          <w:highlight w:val="none"/>
          <w:u w:val="single"/>
        </w:rPr>
        <w:t xml:space="preserve"> </w:t>
      </w:r>
      <w:r>
        <w:rPr>
          <w:rFonts w:ascii="宋体" w:hAnsi="宋体"/>
          <w:b/>
          <w:bCs/>
          <w:i/>
          <w:iCs/>
          <w:color w:val="auto"/>
          <w:szCs w:val="21"/>
          <w:highlight w:val="none"/>
          <w:u w:val="single"/>
        </w:rPr>
        <w:t>（标的名称）</w:t>
      </w:r>
      <w:r>
        <w:rPr>
          <w:rFonts w:ascii="宋体" w:hAnsi="宋体"/>
          <w:i/>
          <w:iCs/>
          <w:color w:val="auto"/>
          <w:szCs w:val="21"/>
          <w:highlight w:val="none"/>
        </w:rPr>
        <w:t xml:space="preserve"> </w:t>
      </w:r>
      <w:r>
        <w:rPr>
          <w:rFonts w:hint="eastAsia" w:ascii="宋体" w:hAnsi="宋体"/>
          <w:color w:val="auto"/>
          <w:szCs w:val="21"/>
          <w:highlight w:val="none"/>
        </w:rPr>
        <w:t>，承接单位</w:t>
      </w:r>
      <w:r>
        <w:rPr>
          <w:rFonts w:ascii="宋体" w:hAnsi="宋体"/>
          <w:color w:val="auto"/>
          <w:szCs w:val="21"/>
          <w:highlight w:val="none"/>
        </w:rPr>
        <w:t>为</w:t>
      </w:r>
      <w:r>
        <w:rPr>
          <w:rFonts w:ascii="宋体" w:hAnsi="宋体"/>
          <w:b/>
          <w:bCs/>
          <w:i/>
          <w:iCs/>
          <w:color w:val="auto"/>
          <w:szCs w:val="21"/>
          <w:highlight w:val="none"/>
          <w:u w:val="single"/>
        </w:rPr>
        <w:t>（</w:t>
      </w:r>
      <w:r>
        <w:rPr>
          <w:rFonts w:hint="eastAsia" w:ascii="宋体" w:hAnsi="宋体"/>
          <w:b/>
          <w:bCs/>
          <w:i/>
          <w:iCs/>
          <w:color w:val="auto"/>
          <w:szCs w:val="21"/>
          <w:highlight w:val="none"/>
          <w:u w:val="single"/>
        </w:rPr>
        <w:t>企业</w:t>
      </w:r>
      <w:r>
        <w:rPr>
          <w:rFonts w:ascii="宋体" w:hAnsi="宋体"/>
          <w:b/>
          <w:bCs/>
          <w:i/>
          <w:iCs/>
          <w:color w:val="auto"/>
          <w:szCs w:val="21"/>
          <w:highlight w:val="none"/>
          <w:u w:val="single"/>
        </w:rPr>
        <w:t>名称）</w:t>
      </w:r>
      <w:r>
        <w:rPr>
          <w:rFonts w:ascii="宋体" w:hAnsi="宋体"/>
          <w:color w:val="auto"/>
          <w:szCs w:val="21"/>
          <w:highlight w:val="none"/>
        </w:rPr>
        <w:t>，属于</w:t>
      </w:r>
      <w:r>
        <w:rPr>
          <w:rFonts w:hint="eastAsia" w:ascii="宋体" w:hAnsi="宋体"/>
          <w:b/>
          <w:bCs/>
          <w:i/>
          <w:iCs/>
          <w:color w:val="auto"/>
          <w:szCs w:val="21"/>
          <w:highlight w:val="none"/>
          <w:u w:val="single"/>
        </w:rPr>
        <w:t>监狱企业</w:t>
      </w:r>
      <w:r>
        <w:rPr>
          <w:rFonts w:hint="eastAsia" w:ascii="宋体" w:hAnsi="宋体"/>
          <w:color w:val="auto"/>
          <w:szCs w:val="21"/>
          <w:highlight w:val="none"/>
        </w:rPr>
        <w:t>。</w:t>
      </w:r>
    </w:p>
    <w:p w14:paraId="000B32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 xml:space="preserve">…… </w:t>
      </w:r>
    </w:p>
    <w:p w14:paraId="7ED1F9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ascii="宋体" w:hAnsi="宋体" w:cstheme="minorBidi"/>
          <w:color w:val="auto"/>
          <w:szCs w:val="21"/>
          <w:highlight w:val="none"/>
        </w:rPr>
        <w:t>本</w:t>
      </w:r>
      <w:r>
        <w:rPr>
          <w:rFonts w:hint="eastAsia" w:ascii="宋体" w:hAnsi="宋体" w:cstheme="minorBidi"/>
          <w:color w:val="auto"/>
          <w:szCs w:val="21"/>
          <w:highlight w:val="none"/>
        </w:rPr>
        <w:t>投标人</w:t>
      </w:r>
      <w:r>
        <w:rPr>
          <w:rFonts w:ascii="宋体" w:hAnsi="宋体"/>
          <w:color w:val="auto"/>
          <w:szCs w:val="21"/>
          <w:highlight w:val="none"/>
        </w:rPr>
        <w:t>对上述声明内容的真实性负责。如有虚假，将依法承担相应责任。</w:t>
      </w:r>
    </w:p>
    <w:p w14:paraId="544E63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附：省级以上监狱管理局、戒毒管理局（含新疆生产建设兵团）出具的监狱企业证明文件。</w:t>
      </w:r>
    </w:p>
    <w:p w14:paraId="38630CC9">
      <w:pPr>
        <w:pageBreakBefore w:val="0"/>
        <w:kinsoku/>
        <w:overflowPunct/>
        <w:topLinePunct w:val="0"/>
        <w:bidi w:val="0"/>
        <w:spacing w:line="360" w:lineRule="auto"/>
        <w:rPr>
          <w:rFonts w:hint="eastAsia" w:ascii="黑体" w:eastAsia="黑体"/>
          <w:b w:val="0"/>
          <w:color w:val="auto"/>
          <w:sz w:val="24"/>
          <w:szCs w:val="24"/>
          <w:highlight w:val="none"/>
        </w:rPr>
      </w:pPr>
      <w:r>
        <w:rPr>
          <w:rFonts w:hint="eastAsia" w:ascii="黑体" w:eastAsia="黑体"/>
          <w:b w:val="0"/>
          <w:color w:val="auto"/>
          <w:sz w:val="24"/>
          <w:szCs w:val="24"/>
          <w:highlight w:val="none"/>
        </w:rPr>
        <w:br w:type="page"/>
      </w:r>
    </w:p>
    <w:p w14:paraId="3857B5C4">
      <w:pPr>
        <w:pStyle w:val="4"/>
        <w:keepNext/>
        <w:keepLines/>
        <w:pageBreakBefore w:val="0"/>
        <w:widowControl w:val="0"/>
        <w:kinsoku/>
        <w:wordWrap/>
        <w:overflowPunct/>
        <w:topLinePunct w:val="0"/>
        <w:autoSpaceDE/>
        <w:autoSpaceDN/>
        <w:bidi w:val="0"/>
        <w:adjustRightInd/>
        <w:snapToGrid/>
        <w:spacing w:line="360" w:lineRule="auto"/>
        <w:jc w:val="center"/>
        <w:textAlignment w:val="auto"/>
        <w:outlineLvl w:val="3"/>
        <w:rPr>
          <w:rFonts w:ascii="黑体" w:eastAsia="黑体"/>
          <w:b w:val="0"/>
          <w:color w:val="0000FF"/>
          <w:sz w:val="24"/>
          <w:szCs w:val="24"/>
          <w:highlight w:val="none"/>
        </w:rPr>
      </w:pPr>
      <w:r>
        <w:rPr>
          <w:rFonts w:hint="eastAsia" w:ascii="黑体" w:eastAsia="黑体"/>
          <w:b w:val="0"/>
          <w:color w:val="0000FF"/>
          <w:sz w:val="24"/>
          <w:szCs w:val="24"/>
          <w:highlight w:val="none"/>
        </w:rPr>
        <w:t>四、项目详细报价</w:t>
      </w:r>
    </w:p>
    <w:p w14:paraId="4FCAE469">
      <w:pPr>
        <w:pStyle w:val="36"/>
        <w:pageBreakBefore w:val="0"/>
        <w:kinsoku/>
        <w:overflowPunct/>
        <w:topLinePunct w:val="0"/>
        <w:bidi w:val="0"/>
        <w:spacing w:line="360" w:lineRule="auto"/>
        <w:jc w:val="center"/>
        <w:rPr>
          <w:color w:val="0000FF"/>
          <w:highlight w:val="none"/>
        </w:rPr>
      </w:pPr>
      <w:r>
        <w:rPr>
          <w:rFonts w:hint="eastAsia"/>
          <w:b/>
          <w:bCs/>
          <w:color w:val="0000FF"/>
          <w:highlight w:val="none"/>
        </w:rPr>
        <w:t>（</w:t>
      </w:r>
      <w:r>
        <w:rPr>
          <w:rFonts w:hint="eastAsia"/>
          <w:b/>
          <w:bCs/>
          <w:color w:val="0000FF"/>
          <w:highlight w:val="none"/>
          <w:lang w:val="en-US" w:eastAsia="zh-CN"/>
        </w:rPr>
        <w:t>一</w:t>
      </w:r>
      <w:r>
        <w:rPr>
          <w:rFonts w:hint="eastAsia"/>
          <w:b/>
          <w:bCs/>
          <w:color w:val="0000FF"/>
          <w:highlight w:val="none"/>
        </w:rPr>
        <w:t>）</w:t>
      </w:r>
      <w:r>
        <w:rPr>
          <w:rFonts w:hint="eastAsia"/>
          <w:b/>
          <w:color w:val="0000FF"/>
          <w:highlight w:val="none"/>
          <w:lang w:val="en-US" w:eastAsia="zh-CN"/>
        </w:rPr>
        <w:t>开标一览</w:t>
      </w:r>
      <w:r>
        <w:rPr>
          <w:rFonts w:hint="eastAsia"/>
          <w:b/>
          <w:color w:val="0000FF"/>
          <w:highlight w:val="none"/>
        </w:rPr>
        <w:t>表</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2"/>
        <w:gridCol w:w="2903"/>
        <w:gridCol w:w="218"/>
        <w:gridCol w:w="3113"/>
      </w:tblGrid>
      <w:tr w14:paraId="5613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3046" w:type="pct"/>
            <w:gridSpan w:val="2"/>
            <w:tcBorders>
              <w:top w:val="nil"/>
              <w:left w:val="nil"/>
              <w:bottom w:val="single" w:color="auto" w:sz="4" w:space="0"/>
              <w:right w:val="nil"/>
            </w:tcBorders>
            <w:vAlign w:val="center"/>
          </w:tcPr>
          <w:p w14:paraId="5D1059B0">
            <w:pPr>
              <w:pStyle w:val="23"/>
              <w:rPr>
                <w:rFonts w:hint="eastAsia" w:hAnsi="宋体" w:eastAsia="宋体" w:cs="宋体"/>
                <w:color w:val="0000FF"/>
                <w:szCs w:val="21"/>
                <w:highlight w:val="none"/>
                <w:lang w:eastAsia="zh-CN"/>
              </w:rPr>
            </w:pPr>
            <w:r>
              <w:rPr>
                <w:rFonts w:hint="eastAsia" w:hAnsi="宋体" w:cs="宋体"/>
                <w:color w:val="0000FF"/>
                <w:szCs w:val="21"/>
                <w:highlight w:val="none"/>
              </w:rPr>
              <w:t>项目名称：</w:t>
            </w:r>
            <w:r>
              <w:rPr>
                <w:rFonts w:hint="eastAsia" w:hAnsi="宋体" w:cs="宋体"/>
                <w:color w:val="0000FF"/>
                <w:szCs w:val="21"/>
                <w:highlight w:val="none"/>
                <w:lang w:eastAsia="zh-CN"/>
              </w:rPr>
              <w:t>辅具维修服务（A包）</w:t>
            </w:r>
          </w:p>
        </w:tc>
        <w:tc>
          <w:tcPr>
            <w:tcW w:w="1953" w:type="pct"/>
            <w:gridSpan w:val="2"/>
            <w:tcBorders>
              <w:top w:val="nil"/>
              <w:left w:val="nil"/>
              <w:bottom w:val="single" w:color="auto" w:sz="4" w:space="0"/>
              <w:right w:val="nil"/>
            </w:tcBorders>
            <w:vAlign w:val="center"/>
          </w:tcPr>
          <w:p w14:paraId="5B260FEA">
            <w:pPr>
              <w:pStyle w:val="23"/>
              <w:jc w:val="both"/>
              <w:rPr>
                <w:rFonts w:hint="eastAsia" w:hAnsi="宋体" w:eastAsia="宋体" w:cs="宋体"/>
                <w:color w:val="0000FF"/>
                <w:szCs w:val="21"/>
                <w:highlight w:val="none"/>
                <w:lang w:eastAsia="zh-CN"/>
              </w:rPr>
            </w:pPr>
            <w:r>
              <w:rPr>
                <w:rFonts w:hint="eastAsia" w:hAnsi="宋体" w:cs="宋体"/>
                <w:color w:val="0000FF"/>
                <w:szCs w:val="21"/>
                <w:highlight w:val="none"/>
              </w:rPr>
              <w:t>项目编号：</w:t>
            </w:r>
          </w:p>
        </w:tc>
      </w:tr>
      <w:tr w14:paraId="7E98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344" w:type="pct"/>
            <w:tcBorders>
              <w:top w:val="single" w:color="auto" w:sz="4" w:space="0"/>
            </w:tcBorders>
            <w:vAlign w:val="center"/>
          </w:tcPr>
          <w:p w14:paraId="32AC29A5">
            <w:pPr>
              <w:pStyle w:val="23"/>
              <w:jc w:val="center"/>
              <w:rPr>
                <w:rFonts w:hAnsi="宋体" w:cs="宋体"/>
                <w:color w:val="0000FF"/>
                <w:szCs w:val="21"/>
                <w:highlight w:val="none"/>
              </w:rPr>
            </w:pPr>
            <w:r>
              <w:rPr>
                <w:rFonts w:hint="eastAsia" w:hAnsi="宋体" w:cs="宋体"/>
                <w:color w:val="0000FF"/>
                <w:szCs w:val="21"/>
                <w:highlight w:val="none"/>
              </w:rPr>
              <w:t>投标人</w:t>
            </w:r>
          </w:p>
        </w:tc>
        <w:tc>
          <w:tcPr>
            <w:tcW w:w="1830" w:type="pct"/>
            <w:gridSpan w:val="2"/>
            <w:tcBorders>
              <w:top w:val="single" w:color="auto" w:sz="4" w:space="0"/>
            </w:tcBorders>
            <w:vAlign w:val="center"/>
          </w:tcPr>
          <w:p w14:paraId="392A8DF8">
            <w:pPr>
              <w:pStyle w:val="23"/>
              <w:jc w:val="center"/>
              <w:rPr>
                <w:rFonts w:hAnsi="宋体" w:cs="宋体"/>
                <w:color w:val="0000FF"/>
                <w:szCs w:val="21"/>
                <w:highlight w:val="none"/>
              </w:rPr>
            </w:pPr>
            <w:r>
              <w:rPr>
                <w:rFonts w:hint="eastAsia" w:hAnsi="宋体" w:cs="宋体"/>
                <w:color w:val="0000FF"/>
                <w:szCs w:val="21"/>
                <w:highlight w:val="none"/>
              </w:rPr>
              <w:t>投标报价</w:t>
            </w:r>
          </w:p>
        </w:tc>
        <w:tc>
          <w:tcPr>
            <w:tcW w:w="1824" w:type="pct"/>
            <w:tcBorders>
              <w:top w:val="single" w:color="auto" w:sz="4" w:space="0"/>
            </w:tcBorders>
            <w:vAlign w:val="center"/>
          </w:tcPr>
          <w:p w14:paraId="50437EE3">
            <w:pPr>
              <w:pStyle w:val="23"/>
              <w:jc w:val="center"/>
              <w:rPr>
                <w:rFonts w:hAnsi="宋体" w:cs="宋体"/>
                <w:color w:val="0000FF"/>
                <w:szCs w:val="21"/>
                <w:highlight w:val="none"/>
              </w:rPr>
            </w:pPr>
            <w:r>
              <w:rPr>
                <w:rFonts w:hint="eastAsia" w:hAnsi="宋体" w:cs="宋体"/>
                <w:color w:val="0000FF"/>
                <w:szCs w:val="21"/>
                <w:highlight w:val="none"/>
              </w:rPr>
              <w:t>备注</w:t>
            </w:r>
          </w:p>
        </w:tc>
      </w:tr>
      <w:tr w14:paraId="6768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jc w:val="center"/>
        </w:trPr>
        <w:tc>
          <w:tcPr>
            <w:tcW w:w="1344" w:type="pct"/>
            <w:vAlign w:val="center"/>
          </w:tcPr>
          <w:p w14:paraId="57D6E3FC">
            <w:pPr>
              <w:autoSpaceDE w:val="0"/>
              <w:autoSpaceDN w:val="0"/>
              <w:spacing w:line="320" w:lineRule="atLeast"/>
              <w:jc w:val="center"/>
              <w:textAlignment w:val="bottom"/>
              <w:rPr>
                <w:rFonts w:ascii="宋体" w:hAnsi="宋体" w:cs="宋体"/>
                <w:color w:val="0000FF"/>
                <w:szCs w:val="21"/>
                <w:highlight w:val="none"/>
              </w:rPr>
            </w:pPr>
          </w:p>
        </w:tc>
        <w:tc>
          <w:tcPr>
            <w:tcW w:w="1830" w:type="pct"/>
            <w:gridSpan w:val="2"/>
            <w:vAlign w:val="center"/>
          </w:tcPr>
          <w:p w14:paraId="79A81422">
            <w:pPr>
              <w:pStyle w:val="23"/>
              <w:rPr>
                <w:rFonts w:hAnsi="宋体" w:cs="宋体"/>
                <w:color w:val="0000FF"/>
                <w:szCs w:val="21"/>
                <w:highlight w:val="none"/>
              </w:rPr>
            </w:pPr>
          </w:p>
        </w:tc>
        <w:tc>
          <w:tcPr>
            <w:tcW w:w="1824" w:type="pct"/>
            <w:vAlign w:val="center"/>
          </w:tcPr>
          <w:p w14:paraId="3EF885C5">
            <w:pPr>
              <w:pStyle w:val="23"/>
              <w:jc w:val="center"/>
              <w:rPr>
                <w:rFonts w:hAnsi="宋体" w:cs="宋体"/>
                <w:color w:val="0000FF"/>
                <w:szCs w:val="21"/>
                <w:highlight w:val="none"/>
              </w:rPr>
            </w:pPr>
            <w:r>
              <w:rPr>
                <w:rFonts w:hint="eastAsia" w:hAnsi="宋体" w:cs="宋体"/>
                <w:color w:val="0000FF"/>
                <w:szCs w:val="21"/>
                <w:highlight w:val="none"/>
                <w:lang w:val="en-US" w:eastAsia="zh-CN"/>
              </w:rPr>
              <w:t>满足招标文件要求：</w:t>
            </w:r>
            <w:r>
              <w:rPr>
                <w:rFonts w:hint="eastAsia" w:hAnsi="宋体" w:cs="宋体"/>
                <w:color w:val="0000FF"/>
                <w:szCs w:val="21"/>
                <w:highlight w:val="none"/>
                <w:lang w:eastAsia="zh-CN"/>
              </w:rPr>
              <w:t>本项目</w:t>
            </w:r>
            <w:r>
              <w:rPr>
                <w:rFonts w:hint="eastAsia" w:ascii="宋体" w:hAnsi="宋体"/>
                <w:bCs/>
                <w:color w:val="0000FF"/>
                <w:szCs w:val="21"/>
                <w:highlight w:val="none"/>
                <w:lang w:val="en-US" w:eastAsia="zh-CN"/>
              </w:rPr>
              <w:t>按</w:t>
            </w:r>
            <w:r>
              <w:rPr>
                <w:rFonts w:hint="eastAsia" w:hAnsi="宋体"/>
                <w:bCs/>
                <w:color w:val="0000FF"/>
                <w:szCs w:val="21"/>
                <w:highlight w:val="none"/>
                <w:lang w:val="en-US" w:eastAsia="zh-CN"/>
              </w:rPr>
              <w:t>实际发生量</w:t>
            </w:r>
            <w:r>
              <w:rPr>
                <w:rFonts w:hint="eastAsia" w:ascii="宋体" w:hAnsi="宋体"/>
                <w:bCs/>
                <w:color w:val="0000FF"/>
                <w:szCs w:val="21"/>
                <w:highlight w:val="none"/>
                <w:lang w:val="en-US" w:eastAsia="zh-CN"/>
              </w:rPr>
              <w:t>结算，</w:t>
            </w:r>
            <w:r>
              <w:rPr>
                <w:rFonts w:hint="eastAsia" w:hAnsi="宋体" w:cs="宋体"/>
                <w:color w:val="0000FF"/>
                <w:szCs w:val="21"/>
                <w:highlight w:val="none"/>
                <w:lang w:eastAsia="zh-CN"/>
              </w:rPr>
              <w:t>年度总支付上限为</w:t>
            </w:r>
            <w:r>
              <w:rPr>
                <w:rFonts w:hint="eastAsia" w:hAnsi="宋体" w:cs="宋体"/>
                <w:color w:val="0000FF"/>
                <w:szCs w:val="21"/>
                <w:highlight w:val="none"/>
                <w:lang w:val="en-US" w:eastAsia="zh-CN"/>
              </w:rPr>
              <w:t>20</w:t>
            </w:r>
            <w:r>
              <w:rPr>
                <w:rFonts w:hint="eastAsia" w:hAnsi="宋体" w:cs="宋体"/>
                <w:color w:val="0000FF"/>
                <w:szCs w:val="21"/>
                <w:highlight w:val="none"/>
                <w:lang w:eastAsia="zh-CN"/>
              </w:rPr>
              <w:t>万元，一旦总额达到</w:t>
            </w:r>
            <w:r>
              <w:rPr>
                <w:rFonts w:hint="eastAsia" w:hAnsi="宋体" w:cs="宋体"/>
                <w:color w:val="0000FF"/>
                <w:szCs w:val="21"/>
                <w:highlight w:val="none"/>
                <w:lang w:val="en-US" w:eastAsia="zh-CN"/>
              </w:rPr>
              <w:t>20</w:t>
            </w:r>
            <w:r>
              <w:rPr>
                <w:rFonts w:hint="eastAsia" w:hAnsi="宋体" w:cs="宋体"/>
                <w:color w:val="0000FF"/>
                <w:szCs w:val="21"/>
                <w:highlight w:val="none"/>
                <w:lang w:eastAsia="zh-CN"/>
              </w:rPr>
              <w:t>万元，则服务合同即行终止。</w:t>
            </w:r>
          </w:p>
        </w:tc>
      </w:tr>
    </w:tbl>
    <w:p w14:paraId="242532BA">
      <w:pPr>
        <w:spacing w:line="440" w:lineRule="exact"/>
        <w:rPr>
          <w:rFonts w:ascii="宋体" w:hAnsi="宋体"/>
          <w:color w:val="0000FF"/>
          <w:szCs w:val="21"/>
          <w:highlight w:val="none"/>
        </w:rPr>
      </w:pPr>
      <w:r>
        <w:rPr>
          <w:rFonts w:hint="eastAsia" w:ascii="宋体" w:hAnsi="宋体"/>
          <w:color w:val="0000FF"/>
          <w:szCs w:val="21"/>
          <w:highlight w:val="none"/>
        </w:rPr>
        <w:t>注：投标</w:t>
      </w:r>
      <w:r>
        <w:rPr>
          <w:rFonts w:hint="eastAsia" w:ascii="宋体" w:hAnsi="宋体"/>
          <w:color w:val="0000FF"/>
          <w:szCs w:val="21"/>
          <w:highlight w:val="none"/>
          <w:lang w:val="en-US" w:eastAsia="zh-CN"/>
        </w:rPr>
        <w:t>报价须填报</w:t>
      </w:r>
      <w:r>
        <w:rPr>
          <w:rFonts w:hint="eastAsia" w:ascii="宋体" w:hAnsi="宋体"/>
          <w:color w:val="0000FF"/>
          <w:szCs w:val="21"/>
          <w:highlight w:val="none"/>
        </w:rPr>
        <w:t>《深圳市残疾人辅助器具（矫形器和假肢）维修零部件价格表》中打“√”项的单价报价合计。</w:t>
      </w:r>
    </w:p>
    <w:p w14:paraId="7791A25A">
      <w:pPr>
        <w:spacing w:line="440" w:lineRule="exact"/>
        <w:rPr>
          <w:rFonts w:ascii="宋体" w:hAnsi="宋体" w:cs="Times New Roman"/>
          <w:b/>
          <w:bCs w:val="0"/>
          <w:color w:val="0000FF"/>
          <w:szCs w:val="21"/>
          <w:highlight w:val="none"/>
        </w:rPr>
      </w:pPr>
      <w:r>
        <w:rPr>
          <w:rFonts w:hint="eastAsia" w:ascii="宋体" w:hAnsi="宋体" w:cs="Times New Roman"/>
          <w:b/>
          <w:bCs w:val="0"/>
          <w:color w:val="0000FF"/>
          <w:szCs w:val="21"/>
          <w:highlight w:val="none"/>
        </w:rPr>
        <w:t>投标单位公章：</w:t>
      </w:r>
    </w:p>
    <w:p w14:paraId="31312EBC">
      <w:pPr>
        <w:jc w:val="center"/>
        <w:rPr>
          <w:rFonts w:hint="eastAsia" w:ascii="微软雅黑" w:hAnsi="微软雅黑" w:eastAsia="微软雅黑" w:cs="微软雅黑"/>
          <w:b/>
          <w:color w:val="0000FF"/>
          <w:sz w:val="30"/>
          <w:szCs w:val="30"/>
          <w:highlight w:val="none"/>
        </w:rPr>
      </w:pPr>
    </w:p>
    <w:p w14:paraId="428B46D3">
      <w:pPr>
        <w:pStyle w:val="36"/>
        <w:pageBreakBefore w:val="0"/>
        <w:kinsoku/>
        <w:overflowPunct/>
        <w:topLinePunct w:val="0"/>
        <w:bidi w:val="0"/>
        <w:spacing w:line="360" w:lineRule="auto"/>
        <w:jc w:val="center"/>
        <w:rPr>
          <w:color w:val="0000FF"/>
          <w:highlight w:val="none"/>
        </w:rPr>
      </w:pPr>
      <w:r>
        <w:rPr>
          <w:rFonts w:hint="eastAsia"/>
          <w:b/>
          <w:bCs/>
          <w:color w:val="0000FF"/>
          <w:highlight w:val="none"/>
        </w:rPr>
        <w:t>（</w:t>
      </w:r>
      <w:r>
        <w:rPr>
          <w:rFonts w:hint="eastAsia"/>
          <w:b/>
          <w:bCs/>
          <w:color w:val="0000FF"/>
          <w:highlight w:val="none"/>
          <w:lang w:val="en-US" w:eastAsia="zh-CN"/>
        </w:rPr>
        <w:t>二</w:t>
      </w:r>
      <w:r>
        <w:rPr>
          <w:rFonts w:hint="eastAsia"/>
          <w:b/>
          <w:bCs/>
          <w:color w:val="0000FF"/>
          <w:highlight w:val="none"/>
        </w:rPr>
        <w:t>）</w:t>
      </w:r>
      <w:r>
        <w:rPr>
          <w:rFonts w:hint="eastAsia"/>
          <w:b/>
          <w:color w:val="0000FF"/>
          <w:highlight w:val="none"/>
        </w:rPr>
        <w:t>分项报价表</w:t>
      </w:r>
    </w:p>
    <w:p w14:paraId="5DD87F95">
      <w:pPr>
        <w:jc w:val="center"/>
        <w:rPr>
          <w:rFonts w:hint="eastAsia" w:ascii="宋体" w:hAnsi="宋体" w:eastAsia="宋体" w:cs="宋体"/>
          <w:b w:val="0"/>
          <w:bCs w:val="0"/>
          <w:color w:val="0000FF"/>
          <w:sz w:val="21"/>
          <w:szCs w:val="21"/>
          <w:highlight w:val="none"/>
        </w:rPr>
      </w:pPr>
      <w:r>
        <w:rPr>
          <w:rFonts w:hint="eastAsia" w:ascii="宋体" w:hAnsi="宋体" w:eastAsia="宋体" w:cs="宋体"/>
          <w:b w:val="0"/>
          <w:bCs w:val="0"/>
          <w:color w:val="0000FF"/>
          <w:sz w:val="21"/>
          <w:szCs w:val="21"/>
          <w:highlight w:val="none"/>
        </w:rPr>
        <w:t>《深圳市残疾人辅助器具（</w:t>
      </w:r>
      <w:r>
        <w:rPr>
          <w:rFonts w:hint="eastAsia" w:ascii="宋体" w:hAnsi="宋体" w:eastAsia="宋体" w:cs="宋体"/>
          <w:b w:val="0"/>
          <w:bCs w:val="0"/>
          <w:color w:val="0000FF"/>
          <w:kern w:val="2"/>
          <w:sz w:val="21"/>
          <w:szCs w:val="21"/>
          <w:highlight w:val="none"/>
          <w:lang w:bidi="ar"/>
        </w:rPr>
        <w:t>矫形器和假肢</w:t>
      </w:r>
      <w:r>
        <w:rPr>
          <w:rFonts w:hint="eastAsia" w:ascii="宋体" w:hAnsi="宋体" w:eastAsia="宋体" w:cs="宋体"/>
          <w:b w:val="0"/>
          <w:bCs w:val="0"/>
          <w:color w:val="0000FF"/>
          <w:sz w:val="21"/>
          <w:szCs w:val="21"/>
          <w:highlight w:val="none"/>
        </w:rPr>
        <w:t>）维修零部件</w:t>
      </w:r>
      <w:r>
        <w:rPr>
          <w:rFonts w:hint="eastAsia" w:ascii="宋体" w:hAnsi="宋体" w:eastAsia="宋体" w:cs="宋体"/>
          <w:b w:val="0"/>
          <w:bCs w:val="0"/>
          <w:color w:val="0000FF"/>
          <w:sz w:val="21"/>
          <w:szCs w:val="21"/>
          <w:highlight w:val="none"/>
          <w:lang w:eastAsia="zh-CN"/>
        </w:rPr>
        <w:t>价格表</w:t>
      </w:r>
      <w:r>
        <w:rPr>
          <w:rFonts w:hint="eastAsia" w:ascii="宋体" w:hAnsi="宋体" w:eastAsia="宋体" w:cs="宋体"/>
          <w:b w:val="0"/>
          <w:bCs w:val="0"/>
          <w:color w:val="0000FF"/>
          <w:sz w:val="21"/>
          <w:szCs w:val="21"/>
          <w:highlight w:val="none"/>
        </w:rPr>
        <w:t>》</w:t>
      </w:r>
    </w:p>
    <w:p w14:paraId="547D5848">
      <w:pPr>
        <w:spacing w:line="440" w:lineRule="exact"/>
        <w:rPr>
          <w:rFonts w:ascii="宋体" w:hAnsi="宋体" w:cs="Times New Roman"/>
          <w:bCs/>
          <w:color w:val="0000FF"/>
          <w:szCs w:val="21"/>
          <w:highlight w:val="none"/>
        </w:rPr>
      </w:pPr>
      <w:r>
        <w:rPr>
          <w:rFonts w:hint="eastAsia" w:ascii="宋体" w:hAnsi="宋体" w:cs="Times New Roman"/>
          <w:bCs/>
          <w:color w:val="0000FF"/>
          <w:szCs w:val="21"/>
          <w:highlight w:val="none"/>
        </w:rPr>
        <w:t>投标方名称：</w:t>
      </w:r>
    </w:p>
    <w:p w14:paraId="1D80C427">
      <w:pPr>
        <w:spacing w:line="440" w:lineRule="exact"/>
        <w:rPr>
          <w:rFonts w:ascii="宋体" w:hAnsi="宋体" w:cs="Times New Roman"/>
          <w:bCs/>
          <w:color w:val="0000FF"/>
          <w:szCs w:val="21"/>
          <w:highlight w:val="none"/>
        </w:rPr>
      </w:pPr>
      <w:r>
        <w:rPr>
          <w:rFonts w:hint="eastAsia" w:ascii="宋体" w:hAnsi="宋体" w:cs="Times New Roman"/>
          <w:bCs/>
          <w:color w:val="0000FF"/>
          <w:szCs w:val="21"/>
          <w:highlight w:val="none"/>
        </w:rPr>
        <w:t xml:space="preserve">项目编号： </w:t>
      </w:r>
    </w:p>
    <w:p w14:paraId="592BE1AC">
      <w:pPr>
        <w:spacing w:line="440" w:lineRule="exact"/>
        <w:rPr>
          <w:rFonts w:ascii="宋体" w:hAnsi="宋体" w:cs="Times New Roman"/>
          <w:bCs/>
          <w:color w:val="0000FF"/>
          <w:szCs w:val="21"/>
          <w:highlight w:val="none"/>
        </w:rPr>
      </w:pPr>
      <w:r>
        <w:rPr>
          <w:rFonts w:hint="eastAsia" w:ascii="宋体" w:hAnsi="宋体" w:cs="Times New Roman"/>
          <w:bCs/>
          <w:color w:val="0000FF"/>
          <w:szCs w:val="21"/>
          <w:highlight w:val="none"/>
        </w:rPr>
        <w:t>投标项目：                                          货币单位：人民币元</w:t>
      </w:r>
    </w:p>
    <w:tbl>
      <w:tblPr>
        <w:tblStyle w:val="4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9"/>
        <w:gridCol w:w="996"/>
        <w:gridCol w:w="1281"/>
        <w:gridCol w:w="2121"/>
        <w:gridCol w:w="570"/>
        <w:gridCol w:w="1211"/>
        <w:gridCol w:w="1211"/>
        <w:gridCol w:w="570"/>
      </w:tblGrid>
      <w:tr w14:paraId="4AE94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D2813AD">
            <w:pPr>
              <w:keepNext w:val="0"/>
              <w:keepLines w:val="0"/>
              <w:widowControl/>
              <w:suppressLineNumbers w:val="0"/>
              <w:jc w:val="center"/>
              <w:textAlignment w:val="center"/>
              <w:rPr>
                <w:rFonts w:hint="eastAsia" w:ascii="宋体" w:hAnsi="宋体" w:eastAsia="宋体" w:cs="宋体"/>
                <w:b/>
                <w:bCs/>
                <w:i w:val="0"/>
                <w:iCs w:val="0"/>
                <w:color w:val="0000FF"/>
                <w:sz w:val="21"/>
                <w:szCs w:val="21"/>
                <w:highlight w:val="none"/>
                <w:u w:val="none"/>
              </w:rPr>
            </w:pPr>
            <w:r>
              <w:rPr>
                <w:rFonts w:hint="eastAsia" w:ascii="宋体" w:hAnsi="宋体" w:eastAsia="宋体" w:cs="宋体"/>
                <w:b/>
                <w:bCs/>
                <w:i w:val="0"/>
                <w:iCs w:val="0"/>
                <w:color w:val="0000FF"/>
                <w:kern w:val="0"/>
                <w:sz w:val="21"/>
                <w:szCs w:val="21"/>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5AC959">
            <w:pPr>
              <w:keepNext w:val="0"/>
              <w:keepLines w:val="0"/>
              <w:widowControl/>
              <w:suppressLineNumbers w:val="0"/>
              <w:jc w:val="center"/>
              <w:textAlignment w:val="center"/>
              <w:rPr>
                <w:rFonts w:hint="eastAsia" w:ascii="宋体" w:hAnsi="宋体" w:eastAsia="宋体" w:cs="宋体"/>
                <w:b/>
                <w:bCs/>
                <w:i w:val="0"/>
                <w:iCs w:val="0"/>
                <w:color w:val="0000FF"/>
                <w:sz w:val="21"/>
                <w:szCs w:val="21"/>
                <w:highlight w:val="none"/>
                <w:u w:val="none"/>
              </w:rPr>
            </w:pPr>
            <w:r>
              <w:rPr>
                <w:rFonts w:hint="eastAsia" w:ascii="宋体" w:hAnsi="宋体" w:eastAsia="宋体" w:cs="宋体"/>
                <w:b/>
                <w:bCs/>
                <w:i w:val="0"/>
                <w:iCs w:val="0"/>
                <w:color w:val="0000FF"/>
                <w:kern w:val="0"/>
                <w:sz w:val="21"/>
                <w:szCs w:val="21"/>
                <w:highlight w:val="none"/>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B89A5D">
            <w:pPr>
              <w:keepNext w:val="0"/>
              <w:keepLines w:val="0"/>
              <w:widowControl/>
              <w:suppressLineNumbers w:val="0"/>
              <w:jc w:val="center"/>
              <w:textAlignment w:val="center"/>
              <w:rPr>
                <w:rFonts w:hint="eastAsia" w:ascii="宋体" w:hAnsi="宋体" w:eastAsia="宋体" w:cs="宋体"/>
                <w:b/>
                <w:bCs/>
                <w:i w:val="0"/>
                <w:iCs w:val="0"/>
                <w:color w:val="0000FF"/>
                <w:sz w:val="21"/>
                <w:szCs w:val="21"/>
                <w:highlight w:val="none"/>
                <w:u w:val="none"/>
              </w:rPr>
            </w:pPr>
            <w:r>
              <w:rPr>
                <w:rFonts w:hint="eastAsia" w:ascii="宋体" w:hAnsi="宋体" w:eastAsia="宋体" w:cs="宋体"/>
                <w:b/>
                <w:bCs/>
                <w:i w:val="0"/>
                <w:iCs w:val="0"/>
                <w:color w:val="0000FF"/>
                <w:kern w:val="0"/>
                <w:sz w:val="21"/>
                <w:szCs w:val="21"/>
                <w:highlight w:val="none"/>
                <w:u w:val="none"/>
                <w:lang w:val="en-US" w:eastAsia="zh-CN" w:bidi="ar"/>
              </w:rPr>
              <w:t>类别</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48AE9D">
            <w:pPr>
              <w:keepNext w:val="0"/>
              <w:keepLines w:val="0"/>
              <w:widowControl/>
              <w:suppressLineNumbers w:val="0"/>
              <w:jc w:val="center"/>
              <w:textAlignment w:val="center"/>
              <w:rPr>
                <w:rFonts w:hint="eastAsia" w:ascii="宋体" w:hAnsi="宋体" w:eastAsia="宋体" w:cs="宋体"/>
                <w:b/>
                <w:bCs/>
                <w:i w:val="0"/>
                <w:iCs w:val="0"/>
                <w:color w:val="0000FF"/>
                <w:sz w:val="21"/>
                <w:szCs w:val="21"/>
                <w:highlight w:val="none"/>
                <w:u w:val="none"/>
              </w:rPr>
            </w:pPr>
            <w:r>
              <w:rPr>
                <w:rFonts w:hint="eastAsia" w:ascii="宋体" w:hAnsi="宋体" w:eastAsia="宋体" w:cs="宋体"/>
                <w:b/>
                <w:bCs/>
                <w:i w:val="0"/>
                <w:iCs w:val="0"/>
                <w:color w:val="0000FF"/>
                <w:kern w:val="0"/>
                <w:sz w:val="21"/>
                <w:szCs w:val="21"/>
                <w:highlight w:val="none"/>
                <w:u w:val="none"/>
                <w:lang w:val="en-US" w:eastAsia="zh-CN" w:bidi="ar"/>
              </w:rPr>
              <w:t>维修更换零部件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1A9227">
            <w:pPr>
              <w:keepNext w:val="0"/>
              <w:keepLines w:val="0"/>
              <w:widowControl/>
              <w:suppressLineNumbers w:val="0"/>
              <w:jc w:val="center"/>
              <w:textAlignment w:val="center"/>
              <w:rPr>
                <w:rFonts w:hint="eastAsia" w:ascii="宋体" w:hAnsi="宋体" w:eastAsia="宋体" w:cs="宋体"/>
                <w:b/>
                <w:bCs/>
                <w:i w:val="0"/>
                <w:iCs w:val="0"/>
                <w:color w:val="0000FF"/>
                <w:sz w:val="21"/>
                <w:szCs w:val="21"/>
                <w:highlight w:val="none"/>
                <w:u w:val="none"/>
              </w:rPr>
            </w:pPr>
            <w:r>
              <w:rPr>
                <w:rFonts w:hint="eastAsia" w:ascii="宋体" w:hAnsi="宋体" w:eastAsia="宋体" w:cs="宋体"/>
                <w:b/>
                <w:bCs/>
                <w:i w:val="0"/>
                <w:iCs w:val="0"/>
                <w:color w:val="0000FF"/>
                <w:kern w:val="0"/>
                <w:sz w:val="21"/>
                <w:szCs w:val="21"/>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F97DA2">
            <w:pPr>
              <w:keepNext w:val="0"/>
              <w:keepLines w:val="0"/>
              <w:widowControl/>
              <w:suppressLineNumbers w:val="0"/>
              <w:jc w:val="center"/>
              <w:textAlignment w:val="center"/>
              <w:rPr>
                <w:rFonts w:hint="default" w:ascii="宋体" w:hAnsi="宋体" w:eastAsia="宋体" w:cs="宋体"/>
                <w:b/>
                <w:bCs/>
                <w:i w:val="0"/>
                <w:iCs w:val="0"/>
                <w:color w:val="0000FF"/>
                <w:kern w:val="0"/>
                <w:sz w:val="21"/>
                <w:szCs w:val="21"/>
                <w:highlight w:val="none"/>
                <w:u w:val="none"/>
                <w:lang w:val="en-US" w:eastAsia="zh-CN" w:bidi="ar"/>
              </w:rPr>
            </w:pPr>
            <w:r>
              <w:rPr>
                <w:rFonts w:hint="eastAsia" w:ascii="宋体" w:hAnsi="宋体" w:cs="宋体"/>
                <w:b/>
                <w:bCs/>
                <w:i w:val="0"/>
                <w:iCs w:val="0"/>
                <w:color w:val="0000FF"/>
                <w:kern w:val="0"/>
                <w:sz w:val="21"/>
                <w:szCs w:val="21"/>
                <w:highlight w:val="none"/>
                <w:u w:val="none"/>
                <w:lang w:val="en-US" w:eastAsia="zh-CN" w:bidi="ar"/>
              </w:rPr>
              <w:t>单价限价</w:t>
            </w:r>
            <w:r>
              <w:rPr>
                <w:rFonts w:hint="eastAsia" w:ascii="宋体" w:hAnsi="宋体" w:eastAsia="宋体" w:cs="宋体"/>
                <w:b/>
                <w:bCs/>
                <w:i w:val="0"/>
                <w:iCs w:val="0"/>
                <w:color w:val="0000FF"/>
                <w:kern w:val="0"/>
                <w:sz w:val="21"/>
                <w:szCs w:val="21"/>
                <w:highlight w:val="none"/>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1D915E">
            <w:pPr>
              <w:keepNext w:val="0"/>
              <w:keepLines w:val="0"/>
              <w:widowControl/>
              <w:suppressLineNumbers w:val="0"/>
              <w:jc w:val="center"/>
              <w:textAlignment w:val="center"/>
              <w:rPr>
                <w:rFonts w:hint="eastAsia" w:ascii="宋体" w:hAnsi="宋体" w:eastAsia="宋体" w:cs="宋体"/>
                <w:b/>
                <w:bCs/>
                <w:i w:val="0"/>
                <w:iCs w:val="0"/>
                <w:color w:val="0000FF"/>
                <w:sz w:val="21"/>
                <w:szCs w:val="21"/>
                <w:highlight w:val="none"/>
                <w:u w:val="none"/>
              </w:rPr>
            </w:pPr>
            <w:r>
              <w:rPr>
                <w:rFonts w:hint="eastAsia" w:ascii="宋体" w:hAnsi="宋体" w:eastAsia="宋体" w:cs="宋体"/>
                <w:b/>
                <w:bCs/>
                <w:i w:val="0"/>
                <w:iCs w:val="0"/>
                <w:color w:val="0000FF"/>
                <w:kern w:val="0"/>
                <w:sz w:val="21"/>
                <w:szCs w:val="21"/>
                <w:highlight w:val="none"/>
                <w:u w:val="none"/>
                <w:lang w:val="en-US" w:eastAsia="zh-CN" w:bidi="ar"/>
              </w:rPr>
              <w:t>单价</w:t>
            </w:r>
            <w:r>
              <w:rPr>
                <w:rFonts w:hint="eastAsia" w:ascii="宋体" w:hAnsi="宋体" w:cs="宋体"/>
                <w:b/>
                <w:bCs/>
                <w:i w:val="0"/>
                <w:iCs w:val="0"/>
                <w:color w:val="0000FF"/>
                <w:kern w:val="0"/>
                <w:sz w:val="21"/>
                <w:szCs w:val="21"/>
                <w:highlight w:val="none"/>
                <w:u w:val="none"/>
                <w:lang w:val="en-US" w:eastAsia="zh-CN" w:bidi="ar"/>
              </w:rPr>
              <w:t>报价</w:t>
            </w:r>
            <w:r>
              <w:rPr>
                <w:rFonts w:hint="eastAsia" w:ascii="宋体" w:hAnsi="宋体" w:eastAsia="宋体" w:cs="宋体"/>
                <w:b/>
                <w:bCs/>
                <w:i w:val="0"/>
                <w:iCs w:val="0"/>
                <w:color w:val="0000FF"/>
                <w:kern w:val="0"/>
                <w:sz w:val="21"/>
                <w:szCs w:val="21"/>
                <w:highlight w:val="none"/>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9BBA75">
            <w:pPr>
              <w:keepNext w:val="0"/>
              <w:keepLines w:val="0"/>
              <w:widowControl/>
              <w:suppressLineNumbers w:val="0"/>
              <w:jc w:val="center"/>
              <w:textAlignment w:val="center"/>
              <w:rPr>
                <w:rFonts w:hint="default" w:ascii="宋体" w:hAnsi="宋体" w:eastAsia="宋体" w:cs="宋体"/>
                <w:b/>
                <w:bCs/>
                <w:i w:val="0"/>
                <w:iCs w:val="0"/>
                <w:color w:val="0000FF"/>
                <w:kern w:val="0"/>
                <w:sz w:val="21"/>
                <w:szCs w:val="21"/>
                <w:highlight w:val="none"/>
                <w:u w:val="none"/>
                <w:lang w:val="en-US" w:eastAsia="zh-CN" w:bidi="ar"/>
              </w:rPr>
            </w:pPr>
            <w:r>
              <w:rPr>
                <w:rFonts w:hint="eastAsia" w:ascii="宋体" w:hAnsi="宋体" w:cs="宋体"/>
                <w:b/>
                <w:bCs/>
                <w:i w:val="0"/>
                <w:iCs w:val="0"/>
                <w:color w:val="0000FF"/>
                <w:kern w:val="0"/>
                <w:sz w:val="21"/>
                <w:szCs w:val="21"/>
                <w:highlight w:val="none"/>
                <w:u w:val="none"/>
                <w:lang w:val="en-US" w:eastAsia="zh-CN" w:bidi="ar"/>
              </w:rPr>
              <w:t>备注</w:t>
            </w:r>
          </w:p>
        </w:tc>
      </w:tr>
      <w:tr w14:paraId="47555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2663236">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36B675">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假肢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035EBC">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下肢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BDA8A9">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大腿包装袜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EE1AFB">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2992C0">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97995B">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93F350">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r>
              <w:rPr>
                <w:rFonts w:hint="default" w:ascii="Arial" w:hAnsi="Arial" w:eastAsia="宋体" w:cs="Arial"/>
                <w:i w:val="0"/>
                <w:iCs w:val="0"/>
                <w:color w:val="0000FF"/>
                <w:sz w:val="21"/>
                <w:szCs w:val="21"/>
                <w:highlight w:val="none"/>
                <w:u w:val="none"/>
              </w:rPr>
              <w:t>√</w:t>
            </w:r>
          </w:p>
        </w:tc>
      </w:tr>
      <w:tr w14:paraId="7A2DB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5A4AF3B">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4249EE">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假肢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B95511">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下肢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320806">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三爪连接器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3333CF">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24A58F">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650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E0EFF0">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7A77D5">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r>
              <w:rPr>
                <w:rFonts w:hint="default" w:ascii="Arial" w:hAnsi="Arial" w:eastAsia="宋体" w:cs="Arial"/>
                <w:i w:val="0"/>
                <w:iCs w:val="0"/>
                <w:color w:val="0000FF"/>
                <w:sz w:val="21"/>
                <w:szCs w:val="21"/>
                <w:highlight w:val="none"/>
                <w:u w:val="none"/>
              </w:rPr>
              <w:t>√</w:t>
            </w:r>
          </w:p>
        </w:tc>
      </w:tr>
      <w:tr w14:paraId="2B0AC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DF9FB0C">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A9B99F">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假肢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EBE5E7">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下肢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ED825C">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动踝脚板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DB475B">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E64AE2">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600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1EB809">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FA3AFF">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r>
              <w:rPr>
                <w:rFonts w:hint="default" w:ascii="Arial" w:hAnsi="Arial" w:eastAsia="宋体" w:cs="Arial"/>
                <w:i w:val="0"/>
                <w:iCs w:val="0"/>
                <w:color w:val="0000FF"/>
                <w:sz w:val="21"/>
                <w:szCs w:val="21"/>
                <w:highlight w:val="none"/>
                <w:u w:val="none"/>
              </w:rPr>
              <w:t>√</w:t>
            </w:r>
          </w:p>
        </w:tc>
      </w:tr>
      <w:tr w14:paraId="36057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E2157AB">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E66B5C">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假肢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D8B781">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上肢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589D94">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硅胶手皮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F71B93">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E81A53">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2500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5160CB">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7C6EF3">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r>
              <w:rPr>
                <w:rFonts w:hint="default" w:ascii="Arial" w:hAnsi="Arial" w:eastAsia="宋体" w:cs="Arial"/>
                <w:i w:val="0"/>
                <w:iCs w:val="0"/>
                <w:color w:val="0000FF"/>
                <w:sz w:val="21"/>
                <w:szCs w:val="21"/>
                <w:highlight w:val="none"/>
                <w:u w:val="none"/>
              </w:rPr>
              <w:t>√</w:t>
            </w:r>
          </w:p>
        </w:tc>
      </w:tr>
      <w:tr w14:paraId="34A00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38AC5D1">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BE9DFC">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假肢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474198">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下肢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6F39A1">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踝关节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CF801B">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9BF8DC">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1200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70AF7E">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7CCCE0">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r>
              <w:rPr>
                <w:rFonts w:hint="default" w:ascii="Arial" w:hAnsi="Arial" w:eastAsia="宋体" w:cs="Arial"/>
                <w:i w:val="0"/>
                <w:iCs w:val="0"/>
                <w:color w:val="0000FF"/>
                <w:sz w:val="21"/>
                <w:szCs w:val="21"/>
                <w:highlight w:val="none"/>
                <w:u w:val="none"/>
              </w:rPr>
              <w:t>√</w:t>
            </w:r>
          </w:p>
        </w:tc>
      </w:tr>
      <w:tr w14:paraId="32E7E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1FE04F6">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7087E9">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假肢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954D72">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下肢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546C48">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缓冲垫</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10B564">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6743A7">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2321E8">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7E7BD5">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r>
              <w:rPr>
                <w:rFonts w:hint="default" w:ascii="Arial" w:hAnsi="Arial" w:eastAsia="宋体" w:cs="Arial"/>
                <w:i w:val="0"/>
                <w:iCs w:val="0"/>
                <w:color w:val="0000FF"/>
                <w:sz w:val="21"/>
                <w:szCs w:val="21"/>
                <w:highlight w:val="none"/>
                <w:u w:val="none"/>
              </w:rPr>
              <w:t>√</w:t>
            </w:r>
          </w:p>
        </w:tc>
      </w:tr>
      <w:tr w14:paraId="3B3F5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9652372">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2C3A82">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假肢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38A21B">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下肢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1C59D1">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脚皮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B68C93">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7C40BE">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2800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42BDC7">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0F0055">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r>
              <w:rPr>
                <w:rFonts w:hint="default" w:ascii="Arial" w:hAnsi="Arial" w:eastAsia="宋体" w:cs="Arial"/>
                <w:i w:val="0"/>
                <w:iCs w:val="0"/>
                <w:color w:val="0000FF"/>
                <w:sz w:val="21"/>
                <w:szCs w:val="21"/>
                <w:highlight w:val="none"/>
                <w:u w:val="none"/>
              </w:rPr>
              <w:t>√</w:t>
            </w:r>
          </w:p>
        </w:tc>
      </w:tr>
      <w:tr w14:paraId="5154D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D39F6C3">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76B0CF">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假肢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6ADC87">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下肢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3FFFCE">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静踝脚板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9B924C">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F9A633">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500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99D4A1">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24C828">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r>
              <w:rPr>
                <w:rFonts w:hint="default" w:ascii="Arial" w:hAnsi="Arial" w:eastAsia="宋体" w:cs="Arial"/>
                <w:i w:val="0"/>
                <w:iCs w:val="0"/>
                <w:color w:val="0000FF"/>
                <w:sz w:val="21"/>
                <w:szCs w:val="21"/>
                <w:highlight w:val="none"/>
                <w:u w:val="none"/>
              </w:rPr>
              <w:t>√</w:t>
            </w:r>
          </w:p>
        </w:tc>
      </w:tr>
      <w:tr w14:paraId="6068D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66B211F">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41BCD8">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假肢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12E358">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下肢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25D341">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可调节连接盘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C793D5">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D2E8B8">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500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350C21">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8A95A3">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r>
              <w:rPr>
                <w:rFonts w:hint="default" w:ascii="Arial" w:hAnsi="Arial" w:eastAsia="宋体" w:cs="Arial"/>
                <w:i w:val="0"/>
                <w:iCs w:val="0"/>
                <w:color w:val="0000FF"/>
                <w:sz w:val="21"/>
                <w:szCs w:val="21"/>
                <w:highlight w:val="none"/>
                <w:u w:val="none"/>
              </w:rPr>
              <w:t>√</w:t>
            </w:r>
          </w:p>
        </w:tc>
      </w:tr>
      <w:tr w14:paraId="4A354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1261237">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1BDA61">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假肢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2082DC">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下肢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610499">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髋大腿假肢接受腔</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E41010">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52CF7E">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6000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F8D460">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F55A43">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r>
              <w:rPr>
                <w:rFonts w:hint="default" w:ascii="Arial" w:hAnsi="Arial" w:eastAsia="宋体" w:cs="Arial"/>
                <w:i w:val="0"/>
                <w:iCs w:val="0"/>
                <w:color w:val="0000FF"/>
                <w:sz w:val="21"/>
                <w:szCs w:val="21"/>
                <w:highlight w:val="none"/>
                <w:u w:val="none"/>
              </w:rPr>
              <w:t>√</w:t>
            </w:r>
          </w:p>
        </w:tc>
      </w:tr>
      <w:tr w14:paraId="2DCBE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F29E9A7">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DED3B7">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假肢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E38EEB">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上肢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D1B971">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上肢美观手接受腔</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111A3D">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60A657">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2500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913AF0">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39F85D">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r>
              <w:rPr>
                <w:rFonts w:hint="default" w:ascii="Arial" w:hAnsi="Arial" w:eastAsia="宋体" w:cs="Arial"/>
                <w:i w:val="0"/>
                <w:iCs w:val="0"/>
                <w:color w:val="0000FF"/>
                <w:sz w:val="21"/>
                <w:szCs w:val="21"/>
                <w:highlight w:val="none"/>
                <w:u w:val="none"/>
              </w:rPr>
              <w:t>√</w:t>
            </w:r>
          </w:p>
        </w:tc>
      </w:tr>
      <w:tr w14:paraId="2DE68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0916D23">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6525BC">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假肢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18652E">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上肢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A8E967">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肘关节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C43814">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CE7BB6">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2960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C823F5">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AA9123">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r>
              <w:rPr>
                <w:rFonts w:hint="default" w:ascii="Arial" w:hAnsi="Arial" w:eastAsia="宋体" w:cs="Arial"/>
                <w:i w:val="0"/>
                <w:iCs w:val="0"/>
                <w:color w:val="0000FF"/>
                <w:sz w:val="21"/>
                <w:szCs w:val="21"/>
                <w:highlight w:val="none"/>
                <w:u w:val="none"/>
              </w:rPr>
              <w:t>√</w:t>
            </w:r>
          </w:p>
        </w:tc>
      </w:tr>
      <w:tr w14:paraId="1B361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ECD383F">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3E02A5">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假肢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B1DDAD">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上肢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0A3E9B">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上肢假肢外包装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4034CC">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73FE91">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500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16E80B">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E9A3DE">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r>
              <w:rPr>
                <w:rFonts w:hint="default" w:ascii="Arial" w:hAnsi="Arial" w:eastAsia="宋体" w:cs="Arial"/>
                <w:i w:val="0"/>
                <w:iCs w:val="0"/>
                <w:color w:val="0000FF"/>
                <w:sz w:val="21"/>
                <w:szCs w:val="21"/>
                <w:highlight w:val="none"/>
                <w:u w:val="none"/>
              </w:rPr>
              <w:t>√</w:t>
            </w:r>
          </w:p>
        </w:tc>
      </w:tr>
      <w:tr w14:paraId="446EE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1224950">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92CFEB">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假肢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7D4374">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下肢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4F63FE">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小腿包装袜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2F9680">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584DAC">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F6BD4F">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ED6551">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r>
              <w:rPr>
                <w:rFonts w:hint="default" w:ascii="Arial" w:hAnsi="Arial" w:eastAsia="宋体" w:cs="Arial"/>
                <w:i w:val="0"/>
                <w:iCs w:val="0"/>
                <w:color w:val="0000FF"/>
                <w:sz w:val="21"/>
                <w:szCs w:val="21"/>
                <w:highlight w:val="none"/>
                <w:u w:val="none"/>
              </w:rPr>
              <w:t>√</w:t>
            </w:r>
          </w:p>
        </w:tc>
      </w:tr>
      <w:tr w14:paraId="62153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758A29D">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B8457D">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假肢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99B539">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下肢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AAD05D">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小腿假肢接受腔</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983E98">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232E54">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4000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2D17F9">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A7735A">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r>
              <w:rPr>
                <w:rFonts w:hint="default" w:ascii="Arial" w:hAnsi="Arial" w:eastAsia="宋体" w:cs="Arial"/>
                <w:i w:val="0"/>
                <w:iCs w:val="0"/>
                <w:color w:val="0000FF"/>
                <w:sz w:val="21"/>
                <w:szCs w:val="21"/>
                <w:highlight w:val="none"/>
                <w:u w:val="none"/>
              </w:rPr>
              <w:t>√</w:t>
            </w:r>
          </w:p>
        </w:tc>
      </w:tr>
      <w:tr w14:paraId="3CB92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65049AB">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8AEF5B">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假肢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C7364D">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下肢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DC566E">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小腿假肢外包装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6585B6">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13D610">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1000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EA19D8">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016275">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r>
              <w:rPr>
                <w:rFonts w:hint="default" w:ascii="Arial" w:hAnsi="Arial" w:eastAsia="宋体" w:cs="Arial"/>
                <w:i w:val="0"/>
                <w:iCs w:val="0"/>
                <w:color w:val="0000FF"/>
                <w:sz w:val="21"/>
                <w:szCs w:val="21"/>
                <w:highlight w:val="none"/>
                <w:u w:val="none"/>
              </w:rPr>
              <w:t>√</w:t>
            </w:r>
          </w:p>
        </w:tc>
      </w:tr>
      <w:tr w14:paraId="6EC52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75F67E2">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CF24CA">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假肢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FCC481">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下肢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51D180">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四爪连接器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2F410F">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B4AE42">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650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D26A97">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CB4456">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r>
              <w:rPr>
                <w:rFonts w:hint="default" w:ascii="Arial" w:hAnsi="Arial" w:eastAsia="宋体" w:cs="Arial"/>
                <w:i w:val="0"/>
                <w:iCs w:val="0"/>
                <w:color w:val="0000FF"/>
                <w:sz w:val="21"/>
                <w:szCs w:val="21"/>
                <w:highlight w:val="none"/>
                <w:u w:val="none"/>
              </w:rPr>
              <w:t>√</w:t>
            </w:r>
          </w:p>
        </w:tc>
      </w:tr>
      <w:tr w14:paraId="7A356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9E29D28">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8994FA">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假肢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894FBC">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下肢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44EC4E">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一体化连接管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5D5EF3">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6D4D81">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800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851E02">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4AD5C5">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r>
              <w:rPr>
                <w:rFonts w:hint="default" w:ascii="Arial" w:hAnsi="Arial" w:eastAsia="宋体" w:cs="Arial"/>
                <w:i w:val="0"/>
                <w:iCs w:val="0"/>
                <w:color w:val="0000FF"/>
                <w:sz w:val="21"/>
                <w:szCs w:val="21"/>
                <w:highlight w:val="none"/>
                <w:u w:val="none"/>
              </w:rPr>
              <w:t>√</w:t>
            </w:r>
          </w:p>
        </w:tc>
      </w:tr>
      <w:tr w14:paraId="744DD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37E3C8B">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D600FC">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假肢矫形器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EDB1C6">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上肢/下肢/脊柱</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C814C1">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固定带/扣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2D932B">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ECCABE">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BC263D">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818313">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r>
              <w:rPr>
                <w:rFonts w:hint="default" w:ascii="Arial" w:hAnsi="Arial" w:eastAsia="宋体" w:cs="Arial"/>
                <w:i w:val="0"/>
                <w:iCs w:val="0"/>
                <w:color w:val="0000FF"/>
                <w:sz w:val="21"/>
                <w:szCs w:val="21"/>
                <w:highlight w:val="none"/>
                <w:u w:val="none"/>
              </w:rPr>
              <w:t>√</w:t>
            </w:r>
          </w:p>
        </w:tc>
      </w:tr>
      <w:tr w14:paraId="4F3B5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9659D8B">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BFDBF1">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矫形器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81FAEB">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足部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3FC2EB">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矫形器防滑垫</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01B987">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626E34">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110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0D948A">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800451">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r>
              <w:rPr>
                <w:rFonts w:hint="default" w:ascii="Arial" w:hAnsi="Arial" w:eastAsia="宋体" w:cs="Arial"/>
                <w:i w:val="0"/>
                <w:iCs w:val="0"/>
                <w:color w:val="0000FF"/>
                <w:sz w:val="21"/>
                <w:szCs w:val="21"/>
                <w:highlight w:val="none"/>
                <w:u w:val="none"/>
              </w:rPr>
              <w:t>√</w:t>
            </w:r>
          </w:p>
        </w:tc>
      </w:tr>
      <w:tr w14:paraId="73227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BEB5407">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9348D0">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矫形器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072842">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下肢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3D9256">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可调关节铰链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CB86A8">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A4CE1B">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680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D505AA">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834CBB">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r>
              <w:rPr>
                <w:rFonts w:hint="default" w:ascii="Arial" w:hAnsi="Arial" w:eastAsia="宋体" w:cs="Arial"/>
                <w:i w:val="0"/>
                <w:iCs w:val="0"/>
                <w:color w:val="0000FF"/>
                <w:sz w:val="21"/>
                <w:szCs w:val="21"/>
                <w:highlight w:val="none"/>
                <w:u w:val="none"/>
              </w:rPr>
              <w:t>√</w:t>
            </w:r>
          </w:p>
        </w:tc>
      </w:tr>
      <w:tr w14:paraId="5755A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20B08A3">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9218CE">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矫形器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CBC97E">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下肢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371602">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腿箍（支条或板材）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60F95B">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5F8FC1">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760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C49AE3">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481410">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r>
              <w:rPr>
                <w:rFonts w:hint="default" w:ascii="Arial" w:hAnsi="Arial" w:eastAsia="宋体" w:cs="Arial"/>
                <w:i w:val="0"/>
                <w:iCs w:val="0"/>
                <w:color w:val="0000FF"/>
                <w:sz w:val="21"/>
                <w:szCs w:val="21"/>
                <w:highlight w:val="none"/>
                <w:u w:val="none"/>
              </w:rPr>
              <w:t>√</w:t>
            </w:r>
          </w:p>
        </w:tc>
      </w:tr>
      <w:tr w14:paraId="2A88B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E9F6825">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96F1AD">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矫形器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741147">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下肢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1261D3">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支具双侧支条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205163">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D05A41">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3500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1BBA74">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166E43">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r>
              <w:rPr>
                <w:rFonts w:hint="default" w:ascii="Arial" w:hAnsi="Arial" w:eastAsia="宋体" w:cs="Arial"/>
                <w:i w:val="0"/>
                <w:iCs w:val="0"/>
                <w:color w:val="0000FF"/>
                <w:sz w:val="21"/>
                <w:szCs w:val="21"/>
                <w:highlight w:val="none"/>
                <w:u w:val="none"/>
              </w:rPr>
              <w:t>√</w:t>
            </w:r>
          </w:p>
        </w:tc>
      </w:tr>
      <w:tr w14:paraId="5C160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8993E1F">
            <w:pPr>
              <w:widowControl/>
              <w:jc w:val="center"/>
              <w:textAlignment w:val="center"/>
              <w:rPr>
                <w:rFonts w:hint="eastAsia" w:ascii="宋体" w:hAnsi="宋体" w:cs="宋体"/>
                <w:color w:val="0000FF"/>
                <w:kern w:val="0"/>
                <w:sz w:val="18"/>
                <w:szCs w:val="18"/>
                <w:highlight w:val="none"/>
                <w:lang w:bidi="ar"/>
              </w:rPr>
            </w:pPr>
            <w:r>
              <w:rPr>
                <w:rFonts w:hint="eastAsia" w:ascii="宋体" w:hAnsi="宋体" w:cs="宋体"/>
                <w:b/>
                <w:bCs/>
                <w:i w:val="0"/>
                <w:iCs w:val="0"/>
                <w:color w:val="0000FF"/>
                <w:kern w:val="0"/>
                <w:sz w:val="21"/>
                <w:szCs w:val="21"/>
                <w:highlight w:val="none"/>
                <w:u w:val="none"/>
                <w:lang w:val="en-US" w:eastAsia="zh-CN" w:bidi="ar"/>
              </w:rPr>
              <w:t>小计（元）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62C405">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B1EF07">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p>
        </w:tc>
      </w:tr>
      <w:tr w14:paraId="265E3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05AB59D">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094ECC">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假肢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DCF586">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下肢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425FA7">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大腿假肢接受腔</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26248E">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09DB5A">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5000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A9123E">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7EC0AD">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p>
        </w:tc>
      </w:tr>
      <w:tr w14:paraId="59E54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EB09332">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97D6EF">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假肢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E67749">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下肢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5B2010">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大腿假肢外包装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2CDBED">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FE022D">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2000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FA6307">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4FE9AD">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p>
        </w:tc>
      </w:tr>
      <w:tr w14:paraId="7349A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DB814B2">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E2AC3C">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假肢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293C9B">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下肢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918946">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大腿假肢膝关节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A7AF4B">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44206B">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1510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C06FF7">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08AB2D">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p>
        </w:tc>
      </w:tr>
      <w:tr w14:paraId="397C8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9959D65">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F216C6">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假肢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45A0F0">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下肢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61BE6B">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功能性管接头（平移器）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F25D42">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8EE152">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1200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C1A81D">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86B7CA">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p>
        </w:tc>
      </w:tr>
      <w:tr w14:paraId="6D156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E7C32F1">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020865">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假肢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7E286C">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上肢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37F9FC">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上肢肌电手接受腔</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3E1150">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5D592D">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3500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3F8D6D">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61C73A">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p>
        </w:tc>
      </w:tr>
      <w:tr w14:paraId="6BDA0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F1107F7">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DEE705">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假肢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35CEFB">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上肢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AB8047">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肌电手电池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2A4DEC">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87714A">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800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3AB2E0">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EC089B">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p>
        </w:tc>
      </w:tr>
      <w:tr w14:paraId="5C52B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AB01824">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01B21D">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假肢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51E5FE">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下肢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83B969">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假肢阀门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576500">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16F629">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600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36AB5C">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2DF96A">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p>
        </w:tc>
      </w:tr>
      <w:tr w14:paraId="620EB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5B4EEC0">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D62CCA">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假肢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A95ECF">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下肢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E0D869">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螺丝/弹簧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C83521">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9FB9CB">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238E5B">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C6ADB0">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p>
        </w:tc>
      </w:tr>
      <w:tr w14:paraId="56C74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3B9E9E2">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D98D5D">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假肢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B2FAAE">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下肢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E0FA06">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髋大腿假肢外包装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CB2621">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6039B4">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2000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D7EB66">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82848E">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p>
        </w:tc>
      </w:tr>
      <w:tr w14:paraId="4E831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85CF49E">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24632E">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假肢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AE53A1">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下肢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102C7C">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老式大腿小腿固定带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DF7EB1">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27BFEF">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450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E4AAEC">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432693">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p>
        </w:tc>
      </w:tr>
      <w:tr w14:paraId="37F8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7703929">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6195C7">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矫形器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9B9054">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下肢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365422">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成人踝足矫形器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A46CA6">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E7819C">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980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F808C1">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1B42DA">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p>
        </w:tc>
      </w:tr>
      <w:tr w14:paraId="255E6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B64EBC7">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94D0F8">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矫形器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E2ACF1">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下肢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FCAB18">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动踝矫形器距下关节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5631EC">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B2DA80">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7B5923">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38B574">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p>
        </w:tc>
      </w:tr>
      <w:tr w14:paraId="5EBBE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286A8BD">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96564F">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矫形器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A31580">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下肢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F07755">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柔性踝关节铰链-1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31A26F">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B5D469">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32ABFF">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F93978">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p>
        </w:tc>
      </w:tr>
      <w:tr w14:paraId="7BBFF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0B1ED34">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D54617">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矫形器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C3B094">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下肢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73F65A">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柔性踝关节铰链-2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F3D1D5">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33E4D5">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450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585F18">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75FB01">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p>
        </w:tc>
      </w:tr>
      <w:tr w14:paraId="51463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8D05B6D">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B053DA">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矫形器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5633BD">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下肢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D3C011">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膝档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DF92C2">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80FE77">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140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B9BD04">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DDE084">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p>
        </w:tc>
      </w:tr>
      <w:tr w14:paraId="04165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4AD417F">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23E546">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矫形器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C7272C">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下肢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F01981">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支条落环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7D496D">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21C9F7">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120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AC8A3A">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F2AF37">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p>
        </w:tc>
      </w:tr>
      <w:tr w14:paraId="2BA74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EDD5C2F">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8AAD0B">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矫形器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E04FAC">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下肢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D0A9F3">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足托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3438D0">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8BD3E2">
            <w:pPr>
              <w:widowControl/>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color w:val="0000FF"/>
                <w:kern w:val="0"/>
                <w:sz w:val="18"/>
                <w:szCs w:val="18"/>
                <w:highlight w:val="none"/>
                <w:lang w:bidi="ar"/>
              </w:rPr>
              <w:t>380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1B6BF2">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C718A9">
            <w:pPr>
              <w:keepNext w:val="0"/>
              <w:keepLines w:val="0"/>
              <w:widowControl/>
              <w:suppressLineNumbers w:val="0"/>
              <w:jc w:val="center"/>
              <w:textAlignment w:val="center"/>
              <w:rPr>
                <w:rFonts w:hint="eastAsia" w:ascii="宋体" w:hAnsi="宋体" w:eastAsia="宋体" w:cs="宋体"/>
                <w:i w:val="0"/>
                <w:iCs w:val="0"/>
                <w:color w:val="0000FF"/>
                <w:kern w:val="2"/>
                <w:sz w:val="21"/>
                <w:szCs w:val="21"/>
                <w:highlight w:val="none"/>
                <w:u w:val="none"/>
                <w:lang w:val="en-US" w:eastAsia="zh-CN" w:bidi="ar-SA"/>
              </w:rPr>
            </w:pPr>
          </w:p>
        </w:tc>
      </w:tr>
      <w:tr w14:paraId="5A8C5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4402799">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B47D82">
            <w:pP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D96814">
            <w:pP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1B1CA9">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检测费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BD5A35">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37CA75">
            <w:pPr>
              <w:keepNext w:val="0"/>
              <w:keepLines w:val="0"/>
              <w:widowControl/>
              <w:suppressLineNumbers w:val="0"/>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cs="宋体"/>
                <w:i w:val="0"/>
                <w:iCs w:val="0"/>
                <w:color w:val="0000FF"/>
                <w:kern w:val="0"/>
                <w:sz w:val="21"/>
                <w:szCs w:val="21"/>
                <w:highlight w:val="none"/>
                <w:u w:val="none"/>
                <w:lang w:val="en-US" w:eastAsia="zh-CN" w:bidi="ar"/>
              </w:rPr>
              <w:t>6</w:t>
            </w:r>
            <w:r>
              <w:rPr>
                <w:rFonts w:hint="eastAsia" w:ascii="宋体" w:hAnsi="宋体" w:eastAsia="宋体" w:cs="宋体"/>
                <w:i w:val="0"/>
                <w:iCs w:val="0"/>
                <w:color w:val="0000FF"/>
                <w:kern w:val="0"/>
                <w:sz w:val="21"/>
                <w:szCs w:val="21"/>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4C3895">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cs="宋体"/>
                <w:i w:val="0"/>
                <w:iCs w:val="0"/>
                <w:color w:val="0000FF"/>
                <w:kern w:val="0"/>
                <w:sz w:val="21"/>
                <w:szCs w:val="21"/>
                <w:highlight w:val="none"/>
                <w:u w:val="none"/>
                <w:lang w:val="en-US" w:eastAsia="zh-CN" w:bidi="ar"/>
              </w:rPr>
              <w:t>6</w:t>
            </w:r>
            <w:r>
              <w:rPr>
                <w:rFonts w:hint="eastAsia" w:ascii="宋体" w:hAnsi="宋体" w:eastAsia="宋体" w:cs="宋体"/>
                <w:i w:val="0"/>
                <w:iCs w:val="0"/>
                <w:color w:val="0000FF"/>
                <w:kern w:val="0"/>
                <w:sz w:val="21"/>
                <w:szCs w:val="21"/>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E7DE5A">
            <w:pPr>
              <w:keepNext w:val="0"/>
              <w:keepLines w:val="0"/>
              <w:widowControl/>
              <w:suppressLineNumbers w:val="0"/>
              <w:jc w:val="center"/>
              <w:textAlignment w:val="center"/>
              <w:rPr>
                <w:rFonts w:hint="eastAsia" w:ascii="宋体" w:hAnsi="宋体" w:eastAsia="宋体" w:cs="宋体"/>
                <w:i w:val="0"/>
                <w:iCs w:val="0"/>
                <w:color w:val="0000FF"/>
                <w:kern w:val="0"/>
                <w:sz w:val="21"/>
                <w:szCs w:val="21"/>
                <w:highlight w:val="none"/>
                <w:u w:val="none"/>
                <w:lang w:val="en-US" w:eastAsia="zh-CN" w:bidi="ar"/>
              </w:rPr>
            </w:pPr>
          </w:p>
        </w:tc>
      </w:tr>
      <w:tr w14:paraId="4FC7E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049241E">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0929A4">
            <w:pP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6F88D7">
            <w:pPr>
              <w:rPr>
                <w:rFonts w:hint="eastAsia" w:ascii="宋体" w:hAnsi="宋体" w:eastAsia="宋体" w:cs="宋体"/>
                <w:i w:val="0"/>
                <w:iCs w:val="0"/>
                <w:color w:val="0000FF"/>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9FBE63">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清洗消毒费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6145DF">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D45F61">
            <w:pPr>
              <w:keepNext w:val="0"/>
              <w:keepLines w:val="0"/>
              <w:widowControl/>
              <w:suppressLineNumbers w:val="0"/>
              <w:jc w:val="center"/>
              <w:textAlignment w:val="center"/>
              <w:rPr>
                <w:rFonts w:hint="eastAsia" w:ascii="宋体" w:hAnsi="宋体" w:eastAsia="宋体" w:cs="宋体"/>
                <w:i w:val="0"/>
                <w:iCs w:val="0"/>
                <w:color w:val="0000FF"/>
                <w:kern w:val="0"/>
                <w:sz w:val="21"/>
                <w:szCs w:val="21"/>
                <w:highlight w:val="none"/>
                <w:u w:val="none"/>
                <w:lang w:val="en-US" w:eastAsia="zh-CN" w:bidi="ar"/>
              </w:rPr>
            </w:pPr>
            <w:r>
              <w:rPr>
                <w:rFonts w:hint="eastAsia" w:ascii="宋体" w:hAnsi="宋体" w:eastAsia="宋体" w:cs="宋体"/>
                <w:i w:val="0"/>
                <w:iCs w:val="0"/>
                <w:color w:val="0000FF"/>
                <w:kern w:val="0"/>
                <w:sz w:val="21"/>
                <w:szCs w:val="21"/>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6C1371">
            <w:pPr>
              <w:keepNext w:val="0"/>
              <w:keepLines w:val="0"/>
              <w:widowControl/>
              <w:suppressLineNumbers w:val="0"/>
              <w:jc w:val="center"/>
              <w:textAlignment w:val="center"/>
              <w:rPr>
                <w:rFonts w:hint="eastAsia" w:ascii="宋体" w:hAnsi="宋体" w:eastAsia="宋体" w:cs="宋体"/>
                <w:i w:val="0"/>
                <w:iCs w:val="0"/>
                <w:color w:val="0000FF"/>
                <w:sz w:val="21"/>
                <w:szCs w:val="21"/>
                <w:highlight w:val="none"/>
                <w:u w:val="none"/>
              </w:rPr>
            </w:pPr>
            <w:r>
              <w:rPr>
                <w:rFonts w:hint="eastAsia" w:ascii="宋体" w:hAnsi="宋体" w:eastAsia="宋体" w:cs="宋体"/>
                <w:i w:val="0"/>
                <w:iCs w:val="0"/>
                <w:color w:val="0000FF"/>
                <w:kern w:val="0"/>
                <w:sz w:val="21"/>
                <w:szCs w:val="21"/>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08193B">
            <w:pPr>
              <w:keepNext w:val="0"/>
              <w:keepLines w:val="0"/>
              <w:widowControl/>
              <w:suppressLineNumbers w:val="0"/>
              <w:jc w:val="center"/>
              <w:textAlignment w:val="center"/>
              <w:rPr>
                <w:rFonts w:hint="eastAsia" w:ascii="宋体" w:hAnsi="宋体" w:eastAsia="宋体" w:cs="宋体"/>
                <w:i w:val="0"/>
                <w:iCs w:val="0"/>
                <w:color w:val="0000FF"/>
                <w:kern w:val="0"/>
                <w:sz w:val="21"/>
                <w:szCs w:val="21"/>
                <w:highlight w:val="none"/>
                <w:u w:val="none"/>
                <w:lang w:val="en-US" w:eastAsia="zh-CN" w:bidi="ar"/>
              </w:rPr>
            </w:pPr>
          </w:p>
        </w:tc>
      </w:tr>
      <w:tr w14:paraId="43147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3BC2F9F">
            <w:pPr>
              <w:keepNext w:val="0"/>
              <w:keepLines w:val="0"/>
              <w:widowControl/>
              <w:suppressLineNumbers w:val="0"/>
              <w:jc w:val="center"/>
              <w:textAlignment w:val="center"/>
              <w:rPr>
                <w:rFonts w:hint="default" w:ascii="宋体" w:hAnsi="宋体" w:eastAsia="宋体" w:cs="宋体"/>
                <w:i w:val="0"/>
                <w:iCs w:val="0"/>
                <w:color w:val="0000FF"/>
                <w:kern w:val="0"/>
                <w:sz w:val="21"/>
                <w:szCs w:val="21"/>
                <w:highlight w:val="none"/>
                <w:u w:val="none"/>
                <w:lang w:val="en-US" w:eastAsia="zh-CN" w:bidi="ar"/>
              </w:rPr>
            </w:pPr>
            <w:r>
              <w:rPr>
                <w:rFonts w:hint="eastAsia" w:ascii="宋体" w:hAnsi="宋体" w:cs="宋体"/>
                <w:b/>
                <w:bCs/>
                <w:i w:val="0"/>
                <w:iCs w:val="0"/>
                <w:color w:val="0000FF"/>
                <w:kern w:val="0"/>
                <w:sz w:val="21"/>
                <w:szCs w:val="21"/>
                <w:highlight w:val="none"/>
                <w:u w:val="none"/>
                <w:lang w:val="en-US" w:eastAsia="zh-CN" w:bidi="ar"/>
              </w:rPr>
              <w:t>合计（元）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78BAD4">
            <w:pPr>
              <w:keepNext w:val="0"/>
              <w:keepLines w:val="0"/>
              <w:widowControl/>
              <w:suppressLineNumbers w:val="0"/>
              <w:jc w:val="center"/>
              <w:textAlignment w:val="center"/>
              <w:rPr>
                <w:rFonts w:hint="eastAsia" w:ascii="宋体" w:hAnsi="宋体" w:eastAsia="宋体" w:cs="宋体"/>
                <w:i w:val="0"/>
                <w:iCs w:val="0"/>
                <w:color w:val="0000FF"/>
                <w:kern w:val="0"/>
                <w:sz w:val="21"/>
                <w:szCs w:val="21"/>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46ADD2">
            <w:pPr>
              <w:keepNext w:val="0"/>
              <w:keepLines w:val="0"/>
              <w:widowControl/>
              <w:suppressLineNumbers w:val="0"/>
              <w:jc w:val="center"/>
              <w:textAlignment w:val="center"/>
              <w:rPr>
                <w:rFonts w:hint="eastAsia" w:ascii="宋体" w:hAnsi="宋体" w:eastAsia="宋体" w:cs="宋体"/>
                <w:i w:val="0"/>
                <w:iCs w:val="0"/>
                <w:color w:val="0000FF"/>
                <w:kern w:val="0"/>
                <w:sz w:val="21"/>
                <w:szCs w:val="21"/>
                <w:highlight w:val="none"/>
                <w:u w:val="none"/>
                <w:lang w:val="en-US" w:eastAsia="zh-CN" w:bidi="ar"/>
              </w:rPr>
            </w:pPr>
          </w:p>
        </w:tc>
      </w:tr>
    </w:tbl>
    <w:p w14:paraId="0F2C7A3A">
      <w:pPr>
        <w:spacing w:line="440" w:lineRule="exact"/>
        <w:rPr>
          <w:rFonts w:ascii="宋体" w:hAnsi="宋体" w:cs="Times New Roman"/>
          <w:bCs/>
          <w:color w:val="0000FF"/>
          <w:szCs w:val="21"/>
          <w:highlight w:val="none"/>
        </w:rPr>
      </w:pPr>
      <w:r>
        <w:rPr>
          <w:rFonts w:hint="eastAsia" w:ascii="宋体" w:hAnsi="宋体" w:cs="Times New Roman"/>
          <w:bCs/>
          <w:color w:val="0000FF"/>
          <w:szCs w:val="21"/>
          <w:highlight w:val="none"/>
        </w:rPr>
        <w:t>投标单位公章：</w:t>
      </w:r>
    </w:p>
    <w:p w14:paraId="242B79F5">
      <w:pPr>
        <w:rPr>
          <w:rFonts w:hint="eastAsia" w:ascii="宋体" w:hAnsi="宋体" w:cs="Times New Roman"/>
          <w:b/>
          <w:bCs/>
          <w:color w:val="0000FF"/>
          <w:sz w:val="21"/>
          <w:szCs w:val="21"/>
          <w:highlight w:val="none"/>
        </w:rPr>
      </w:pPr>
    </w:p>
    <w:p w14:paraId="146A4AC4">
      <w:pPr>
        <w:pageBreakBefore w:val="0"/>
        <w:tabs>
          <w:tab w:val="left" w:pos="720"/>
        </w:tabs>
        <w:kinsoku/>
        <w:overflowPunct/>
        <w:topLinePunct w:val="0"/>
        <w:bidi w:val="0"/>
        <w:spacing w:line="360" w:lineRule="auto"/>
        <w:jc w:val="center"/>
        <w:rPr>
          <w:rFonts w:hint="eastAsia"/>
          <w:b/>
          <w:color w:val="auto"/>
          <w:sz w:val="24"/>
          <w:highlight w:val="none"/>
        </w:rPr>
      </w:pPr>
    </w:p>
    <w:p w14:paraId="01E4D9EA">
      <w:pPr>
        <w:pageBreakBefore w:val="0"/>
        <w:tabs>
          <w:tab w:val="left" w:pos="720"/>
        </w:tabs>
        <w:kinsoku/>
        <w:overflowPunct/>
        <w:topLinePunct w:val="0"/>
        <w:bidi w:val="0"/>
        <w:spacing w:line="360" w:lineRule="auto"/>
        <w:jc w:val="center"/>
        <w:rPr>
          <w:b/>
          <w:color w:val="auto"/>
          <w:sz w:val="24"/>
          <w:highlight w:val="none"/>
        </w:rPr>
      </w:pPr>
      <w:r>
        <w:rPr>
          <w:rFonts w:hint="eastAsia"/>
          <w:b/>
          <w:color w:val="auto"/>
          <w:sz w:val="24"/>
          <w:highlight w:val="none"/>
        </w:rPr>
        <w:t>（二）</w:t>
      </w:r>
      <w:bookmarkStart w:id="39" w:name="_Hlk72073235"/>
      <w:r>
        <w:rPr>
          <w:rFonts w:hint="eastAsia"/>
          <w:b/>
          <w:color w:val="auto"/>
          <w:sz w:val="24"/>
          <w:highlight w:val="none"/>
        </w:rPr>
        <w:t>投标人认为需要涉及的其他内容报价清单</w:t>
      </w:r>
      <w:bookmarkEnd w:id="39"/>
    </w:p>
    <w:p w14:paraId="2D629CE5">
      <w:pPr>
        <w:pageBreakBefore w:val="0"/>
        <w:kinsoku/>
        <w:overflowPunct/>
        <w:topLinePunct w:val="0"/>
        <w:bidi w:val="0"/>
        <w:spacing w:line="360" w:lineRule="auto"/>
        <w:rPr>
          <w:b/>
          <w:bCs/>
          <w:color w:val="auto"/>
          <w:highlight w:val="none"/>
        </w:rPr>
      </w:pPr>
    </w:p>
    <w:p w14:paraId="10E306E8">
      <w:pPr>
        <w:pageBreakBefore w:val="0"/>
        <w:kinsoku/>
        <w:overflowPunct/>
        <w:topLinePunct w:val="0"/>
        <w:bidi w:val="0"/>
        <w:spacing w:line="360" w:lineRule="auto"/>
        <w:ind w:firstLine="1446" w:firstLineChars="600"/>
        <w:rPr>
          <w:b/>
          <w:color w:val="auto"/>
          <w:sz w:val="24"/>
          <w:highlight w:val="none"/>
        </w:rPr>
      </w:pPr>
      <w:r>
        <w:rPr>
          <w:rFonts w:hint="eastAsia"/>
          <w:b/>
          <w:color w:val="auto"/>
          <w:sz w:val="24"/>
          <w:highlight w:val="none"/>
        </w:rPr>
        <w:t>（信息公开部分的内容到此为止！以下为信息不公开部分。）</w:t>
      </w:r>
    </w:p>
    <w:p w14:paraId="0A4AC00D">
      <w:pPr>
        <w:pageBreakBefore w:val="0"/>
        <w:kinsoku/>
        <w:overflowPunct/>
        <w:topLinePunct w:val="0"/>
        <w:bidi w:val="0"/>
        <w:spacing w:line="360" w:lineRule="auto"/>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02110FA3">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宋体" w:hAnsi="宋体"/>
          <w:b/>
          <w:color w:val="auto"/>
          <w:sz w:val="28"/>
          <w:szCs w:val="28"/>
          <w:highlight w:val="none"/>
        </w:rPr>
      </w:pPr>
      <w:r>
        <w:rPr>
          <w:rFonts w:hint="eastAsia" w:ascii="宋体" w:hAnsi="宋体"/>
          <w:b/>
          <w:color w:val="auto"/>
          <w:sz w:val="28"/>
          <w:szCs w:val="28"/>
          <w:highlight w:val="none"/>
        </w:rPr>
        <w:t>投标文件附件（信息不公开部分）</w:t>
      </w:r>
    </w:p>
    <w:p w14:paraId="12EAE16E">
      <w:pPr>
        <w:pStyle w:val="3"/>
        <w:pageBreakBefore w:val="0"/>
        <w:kinsoku/>
        <w:overflowPunct/>
        <w:topLinePunct w:val="0"/>
        <w:bidi w:val="0"/>
        <w:spacing w:line="360" w:lineRule="auto"/>
        <w:jc w:val="center"/>
        <w:rPr>
          <w:rFonts w:ascii="黑体" w:eastAsia="黑体"/>
          <w:b w:val="0"/>
          <w:color w:val="auto"/>
          <w:sz w:val="24"/>
          <w:highlight w:val="none"/>
        </w:rPr>
      </w:pPr>
      <w:r>
        <w:rPr>
          <w:rFonts w:hint="eastAsia" w:ascii="黑体" w:eastAsia="黑体"/>
          <w:b w:val="0"/>
          <w:color w:val="auto"/>
          <w:sz w:val="24"/>
          <w:highlight w:val="none"/>
        </w:rPr>
        <w:t>一、</w:t>
      </w:r>
      <w:bookmarkStart w:id="40" w:name="_Hlk72092499"/>
      <w:r>
        <w:rPr>
          <w:rFonts w:hint="eastAsia" w:ascii="黑体" w:eastAsia="黑体"/>
          <w:b w:val="0"/>
          <w:color w:val="auto"/>
          <w:sz w:val="24"/>
          <w:highlight w:val="none"/>
        </w:rPr>
        <w:t>法定代表人（负责人）证明书</w:t>
      </w:r>
      <w:bookmarkEnd w:id="40"/>
    </w:p>
    <w:p w14:paraId="2A653736">
      <w:pPr>
        <w:pageBreakBefore w:val="0"/>
        <w:kinsoku/>
        <w:overflowPunct/>
        <w:topLinePunct w:val="0"/>
        <w:bidi w:val="0"/>
        <w:spacing w:line="360" w:lineRule="auto"/>
        <w:rPr>
          <w:color w:val="auto"/>
          <w:sz w:val="24"/>
          <w:highlight w:val="none"/>
        </w:rPr>
      </w:pPr>
    </w:p>
    <w:p w14:paraId="31A475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Cs w:val="21"/>
          <w:highlight w:val="none"/>
          <w:lang w:val="en-US" w:eastAsia="zh-CN"/>
        </w:rPr>
      </w:pPr>
      <w:r>
        <w:rPr>
          <w:rFonts w:hint="eastAsia"/>
          <w:color w:val="auto"/>
          <w:szCs w:val="21"/>
          <w:highlight w:val="none"/>
        </w:rPr>
        <w:t xml:space="preserve">  </w:t>
      </w:r>
      <w:r>
        <w:rPr>
          <w:rFonts w:hint="eastAsia"/>
          <w:color w:val="auto"/>
          <w:szCs w:val="21"/>
          <w:highlight w:val="none"/>
          <w:u w:val="single"/>
        </w:rPr>
        <w:t xml:space="preserve">         </w:t>
      </w:r>
      <w:r>
        <w:rPr>
          <w:rFonts w:hint="eastAsia" w:ascii="Times New Roman" w:eastAsia="宋体"/>
          <w:color w:val="auto"/>
          <w:szCs w:val="21"/>
          <w:highlight w:val="none"/>
          <w:u w:val="single"/>
          <w:lang w:val="en-US" w:eastAsia="zh-CN"/>
        </w:rPr>
        <w:t xml:space="preserve">  </w:t>
      </w:r>
      <w:r>
        <w:rPr>
          <w:rFonts w:hint="eastAsia"/>
          <w:color w:val="auto"/>
          <w:szCs w:val="21"/>
          <w:highlight w:val="none"/>
          <w:u w:val="single"/>
        </w:rPr>
        <w:t xml:space="preserve">   </w:t>
      </w:r>
      <w:r>
        <w:rPr>
          <w:rFonts w:hint="eastAsia" w:ascii="Times New Roman" w:eastAsia="宋体"/>
          <w:color w:val="auto"/>
          <w:szCs w:val="21"/>
          <w:highlight w:val="none"/>
          <w:u w:val="single"/>
          <w:lang w:val="en-US" w:eastAsia="zh-CN"/>
        </w:rPr>
        <w:t xml:space="preserve">   </w:t>
      </w:r>
      <w:r>
        <w:rPr>
          <w:rFonts w:hint="eastAsia" w:eastAsia="宋体"/>
          <w:color w:val="auto"/>
          <w:szCs w:val="21"/>
          <w:highlight w:val="none"/>
          <w:u w:val="none"/>
          <w:lang w:eastAsia="zh-CN"/>
        </w:rPr>
        <w:t>（</w:t>
      </w:r>
      <w:r>
        <w:rPr>
          <w:rFonts w:hint="eastAsia" w:ascii="Times New Roman" w:eastAsia="宋体"/>
          <w:color w:val="auto"/>
          <w:szCs w:val="21"/>
          <w:highlight w:val="none"/>
          <w:u w:val="none"/>
          <w:lang w:val="en-US" w:eastAsia="zh-CN"/>
        </w:rPr>
        <w:t>姓名</w:t>
      </w:r>
      <w:r>
        <w:rPr>
          <w:rFonts w:hint="eastAsia" w:eastAsia="宋体"/>
          <w:color w:val="auto"/>
          <w:szCs w:val="21"/>
          <w:highlight w:val="none"/>
          <w:u w:val="none"/>
          <w:lang w:eastAsia="zh-CN"/>
        </w:rPr>
        <w:t>）</w:t>
      </w:r>
      <w:r>
        <w:rPr>
          <w:rFonts w:hint="eastAsia"/>
          <w:color w:val="auto"/>
          <w:szCs w:val="21"/>
          <w:highlight w:val="none"/>
        </w:rPr>
        <w:t>，现任我单位</w:t>
      </w:r>
      <w:r>
        <w:rPr>
          <w:rFonts w:hint="eastAsia"/>
          <w:color w:val="auto"/>
          <w:szCs w:val="21"/>
          <w:highlight w:val="none"/>
          <w:u w:val="single"/>
        </w:rPr>
        <w:t xml:space="preserve">     </w:t>
      </w:r>
      <w:r>
        <w:rPr>
          <w:rFonts w:hint="eastAsia" w:ascii="Times New Roman" w:eastAsia="宋体"/>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rPr>
        <w:t>职务，为法定代表人（负责人），</w:t>
      </w:r>
      <w:r>
        <w:rPr>
          <w:rFonts w:hint="eastAsia" w:ascii="Times New Roman" w:eastAsia="宋体"/>
          <w:color w:val="auto"/>
          <w:szCs w:val="21"/>
          <w:highlight w:val="none"/>
          <w:lang w:val="en-US" w:eastAsia="zh-CN"/>
        </w:rPr>
        <w:t>身份证件</w:t>
      </w:r>
      <w:r>
        <w:rPr>
          <w:rFonts w:hint="eastAsia"/>
          <w:color w:val="auto"/>
          <w:szCs w:val="21"/>
          <w:highlight w:val="none"/>
        </w:rPr>
        <w:t>号</w:t>
      </w:r>
      <w:r>
        <w:rPr>
          <w:rFonts w:hint="eastAsia" w:ascii="Times New Roman" w:eastAsia="宋体"/>
          <w:color w:val="auto"/>
          <w:szCs w:val="21"/>
          <w:highlight w:val="none"/>
          <w:lang w:val="en-US" w:eastAsia="zh-CN"/>
        </w:rPr>
        <w:t>为</w:t>
      </w:r>
      <w:r>
        <w:rPr>
          <w:rFonts w:hint="eastAsia"/>
          <w:color w:val="auto"/>
          <w:szCs w:val="21"/>
          <w:highlight w:val="none"/>
        </w:rPr>
        <w:t>：</w:t>
      </w:r>
      <w:r>
        <w:rPr>
          <w:rFonts w:hint="eastAsia"/>
          <w:color w:val="auto"/>
          <w:szCs w:val="21"/>
          <w:highlight w:val="none"/>
          <w:u w:val="single"/>
        </w:rPr>
        <w:t xml:space="preserve">                                     </w:t>
      </w:r>
      <w:r>
        <w:rPr>
          <w:rFonts w:hint="eastAsia" w:eastAsia="宋体"/>
          <w:color w:val="auto"/>
          <w:szCs w:val="21"/>
          <w:highlight w:val="none"/>
          <w:u w:val="none"/>
          <w:lang w:eastAsia="zh-CN"/>
        </w:rPr>
        <w:t>，</w:t>
      </w:r>
      <w:r>
        <w:rPr>
          <w:rFonts w:hint="eastAsia"/>
          <w:color w:val="auto"/>
          <w:szCs w:val="21"/>
          <w:highlight w:val="none"/>
        </w:rPr>
        <w:t>联系电话：</w:t>
      </w:r>
      <w:r>
        <w:rPr>
          <w:rFonts w:hint="eastAsia" w:ascii="Times New Roman" w:eastAsia="宋体"/>
          <w:color w:val="auto"/>
          <w:szCs w:val="21"/>
          <w:highlight w:val="none"/>
          <w:u w:val="single"/>
          <w:lang w:val="en-US" w:eastAsia="zh-CN"/>
        </w:rPr>
        <w:t xml:space="preserve">                </w:t>
      </w:r>
      <w:r>
        <w:rPr>
          <w:rFonts w:hint="eastAsia" w:ascii="Times New Roman" w:eastAsia="宋体"/>
          <w:color w:val="auto"/>
          <w:szCs w:val="21"/>
          <w:highlight w:val="none"/>
          <w:lang w:val="en-US" w:eastAsia="zh-CN"/>
        </w:rPr>
        <w:t>。</w:t>
      </w:r>
    </w:p>
    <w:p w14:paraId="152A9B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Cs w:val="21"/>
          <w:highlight w:val="none"/>
        </w:rPr>
      </w:pPr>
      <w:r>
        <w:rPr>
          <w:rFonts w:hint="eastAsia"/>
          <w:color w:val="auto"/>
          <w:szCs w:val="21"/>
          <w:highlight w:val="none"/>
        </w:rPr>
        <w:t>特此证明。</w:t>
      </w:r>
    </w:p>
    <w:p w14:paraId="775E7E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说明：1、法定代表人为投标人（企业事业单位、国家机关、社会团体）的主要行政负责人。</w:t>
      </w:r>
    </w:p>
    <w:p w14:paraId="3F7A51AB">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lang w:val="en-US" w:eastAsia="zh-CN"/>
        </w:rPr>
      </w:pPr>
      <w:r>
        <w:rPr>
          <w:rFonts w:hint="eastAsia" w:eastAsia="宋体"/>
          <w:color w:val="auto"/>
          <w:szCs w:val="21"/>
          <w:highlight w:val="none"/>
          <w:lang w:eastAsia="zh-Hans"/>
        </w:rPr>
        <w:t>本证明书要供法定代表人（负责人）</w:t>
      </w:r>
      <w:r>
        <w:rPr>
          <w:rFonts w:hint="eastAsia" w:ascii="Times New Roman" w:eastAsia="宋体"/>
          <w:color w:val="auto"/>
          <w:szCs w:val="21"/>
          <w:highlight w:val="none"/>
          <w:lang w:val="en-US" w:eastAsia="zh-CN"/>
        </w:rPr>
        <w:t>相关身份证明文件：身份证扫描件（正反两面）；港澳台居民可提供来往通行证扫描件；非中国国籍管辖范围人员，可提供公安部门认可的身份证明材料扫描件。</w:t>
      </w:r>
    </w:p>
    <w:p w14:paraId="231A939D">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20" w:firstLineChars="200"/>
        <w:textAlignment w:val="auto"/>
        <w:rPr>
          <w:color w:val="auto"/>
          <w:szCs w:val="21"/>
          <w:highlight w:val="none"/>
        </w:rPr>
      </w:pPr>
      <w:r>
        <w:rPr>
          <w:rFonts w:hint="eastAsia" w:eastAsia="宋体"/>
          <w:color w:val="auto"/>
          <w:szCs w:val="21"/>
          <w:highlight w:val="none"/>
          <w:lang w:eastAsia="zh-Hans"/>
        </w:rPr>
        <w:t>本项目投标授权代表为法定代表人（负责人）的，无需提供</w:t>
      </w:r>
      <w:r>
        <w:rPr>
          <w:rFonts w:hint="eastAsia"/>
          <w:color w:val="auto"/>
          <w:szCs w:val="21"/>
          <w:highlight w:val="none"/>
        </w:rPr>
        <w:t>《投标文件签署授权委托书》</w:t>
      </w:r>
      <w:r>
        <w:rPr>
          <w:rFonts w:hint="eastAsia" w:eastAsia="宋体"/>
          <w:color w:val="auto"/>
          <w:szCs w:val="21"/>
          <w:highlight w:val="none"/>
          <w:lang w:eastAsia="zh-Hans"/>
        </w:rPr>
        <w:t>。</w:t>
      </w:r>
    </w:p>
    <w:p w14:paraId="5A744CDA">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20" w:firstLineChars="200"/>
        <w:textAlignment w:val="auto"/>
        <w:rPr>
          <w:color w:val="auto"/>
          <w:szCs w:val="21"/>
          <w:highlight w:val="none"/>
        </w:rPr>
      </w:pPr>
      <w:r>
        <w:rPr>
          <w:rFonts w:hint="eastAsia"/>
          <w:color w:val="auto"/>
          <w:szCs w:val="21"/>
          <w:highlight w:val="none"/>
        </w:rPr>
        <w:t>内容必须填写真实、清楚，涂改无效，不得转让、买卖。</w:t>
      </w:r>
    </w:p>
    <w:tbl>
      <w:tblPr>
        <w:tblStyle w:val="4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760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trPr>
        <w:tc>
          <w:tcPr>
            <w:tcW w:w="4264" w:type="dxa"/>
            <w:vAlign w:val="top"/>
          </w:tcPr>
          <w:p w14:paraId="0BD071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lang w:val="en-US" w:eastAsia="zh-CN"/>
              </w:rPr>
            </w:pPr>
            <w:r>
              <w:rPr>
                <w:rFonts w:hint="eastAsia" w:ascii="Times New Roman" w:eastAsia="宋体"/>
                <w:color w:val="auto"/>
                <w:highlight w:val="none"/>
                <w:lang w:val="en-US" w:eastAsia="zh-CN"/>
              </w:rPr>
              <w:t>证件扫描件正面</w:t>
            </w:r>
          </w:p>
          <w:p w14:paraId="2FBA65ED">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lang w:val="en-US" w:eastAsia="zh-CN"/>
              </w:rPr>
            </w:pPr>
          </w:p>
          <w:p w14:paraId="7653E5A9">
            <w:pPr>
              <w:pStyle w:val="3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olor w:val="auto"/>
                <w:highlight w:val="none"/>
                <w:lang w:val="en-US" w:eastAsia="zh-CN"/>
              </w:rPr>
            </w:pPr>
          </w:p>
        </w:tc>
        <w:tc>
          <w:tcPr>
            <w:tcW w:w="4265" w:type="dxa"/>
            <w:vAlign w:val="top"/>
          </w:tcPr>
          <w:p w14:paraId="2CE790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lang w:val="en-US" w:eastAsia="zh-CN"/>
              </w:rPr>
            </w:pPr>
            <w:r>
              <w:rPr>
                <w:rFonts w:hint="eastAsia" w:ascii="Times New Roman" w:eastAsia="宋体"/>
                <w:color w:val="auto"/>
                <w:highlight w:val="none"/>
                <w:lang w:val="en-US" w:eastAsia="zh-CN"/>
              </w:rPr>
              <w:t>证件扫描件反面</w:t>
            </w:r>
          </w:p>
          <w:p w14:paraId="58DA0467">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lang w:val="en-US" w:eastAsia="zh-CN"/>
              </w:rPr>
            </w:pPr>
          </w:p>
          <w:p w14:paraId="3C35C93F">
            <w:pPr>
              <w:pStyle w:val="3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highlight w:val="none"/>
                <w:vertAlign w:val="baseline"/>
                <w:lang w:val="en-US" w:eastAsia="zh-CN"/>
              </w:rPr>
            </w:pPr>
          </w:p>
        </w:tc>
      </w:tr>
    </w:tbl>
    <w:p w14:paraId="024D8262">
      <w:pPr>
        <w:pageBreakBefore w:val="0"/>
        <w:kinsoku/>
        <w:overflowPunct/>
        <w:topLinePunct w:val="0"/>
        <w:bidi w:val="0"/>
        <w:spacing w:line="360" w:lineRule="auto"/>
        <w:ind w:firstLine="480" w:firstLineChars="200"/>
        <w:rPr>
          <w:color w:val="auto"/>
          <w:sz w:val="24"/>
          <w:highlight w:val="none"/>
        </w:rPr>
      </w:pPr>
    </w:p>
    <w:p w14:paraId="013AC72E">
      <w:pPr>
        <w:pageBreakBefore w:val="0"/>
        <w:kinsoku/>
        <w:overflowPunct/>
        <w:topLinePunct w:val="0"/>
        <w:bidi w:val="0"/>
        <w:spacing w:line="360" w:lineRule="auto"/>
        <w:rPr>
          <w:b/>
          <w:bCs/>
          <w:color w:val="auto"/>
          <w:sz w:val="24"/>
          <w:highlight w:val="none"/>
        </w:rPr>
      </w:pPr>
    </w:p>
    <w:p w14:paraId="1513D1A1">
      <w:pPr>
        <w:pageBreakBefore w:val="0"/>
        <w:kinsoku/>
        <w:overflowPunct/>
        <w:topLinePunct w:val="0"/>
        <w:bidi w:val="0"/>
        <w:spacing w:line="360" w:lineRule="auto"/>
        <w:rPr>
          <w:rFonts w:hint="eastAsia" w:ascii="黑体" w:eastAsia="黑体"/>
          <w:b w:val="0"/>
          <w:color w:val="auto"/>
          <w:sz w:val="24"/>
          <w:highlight w:val="none"/>
        </w:rPr>
      </w:pPr>
      <w:r>
        <w:rPr>
          <w:rFonts w:hint="eastAsia" w:ascii="黑体" w:eastAsia="黑体"/>
          <w:b w:val="0"/>
          <w:color w:val="auto"/>
          <w:sz w:val="24"/>
          <w:highlight w:val="none"/>
        </w:rPr>
        <w:br w:type="page"/>
      </w:r>
    </w:p>
    <w:p w14:paraId="43424183">
      <w:pPr>
        <w:pStyle w:val="3"/>
        <w:pageBreakBefore w:val="0"/>
        <w:kinsoku/>
        <w:overflowPunct/>
        <w:topLinePunct w:val="0"/>
        <w:bidi w:val="0"/>
        <w:spacing w:before="120" w:after="120" w:line="360" w:lineRule="auto"/>
        <w:jc w:val="center"/>
        <w:rPr>
          <w:rFonts w:ascii="黑体" w:eastAsia="黑体"/>
          <w:b w:val="0"/>
          <w:color w:val="auto"/>
          <w:sz w:val="24"/>
          <w:highlight w:val="none"/>
        </w:rPr>
      </w:pPr>
      <w:r>
        <w:rPr>
          <w:rFonts w:hint="eastAsia" w:ascii="黑体" w:eastAsia="黑体"/>
          <w:b w:val="0"/>
          <w:color w:val="auto"/>
          <w:sz w:val="24"/>
          <w:highlight w:val="none"/>
        </w:rPr>
        <w:t>二、投标文件签署授权委托书</w:t>
      </w:r>
    </w:p>
    <w:p w14:paraId="6D6C05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本授权委托书声明：我</w:t>
      </w:r>
      <w:r>
        <w:rPr>
          <w:rFonts w:hint="eastAsia"/>
          <w:color w:val="auto"/>
          <w:szCs w:val="21"/>
          <w:highlight w:val="none"/>
          <w:u w:val="single"/>
        </w:rPr>
        <w:t xml:space="preserve">           </w:t>
      </w:r>
      <w:r>
        <w:rPr>
          <w:rFonts w:hint="eastAsia"/>
          <w:color w:val="auto"/>
          <w:szCs w:val="21"/>
          <w:highlight w:val="none"/>
        </w:rPr>
        <w:t>（姓名）系</w:t>
      </w:r>
      <w:r>
        <w:rPr>
          <w:rFonts w:hint="eastAsia"/>
          <w:color w:val="auto"/>
          <w:szCs w:val="21"/>
          <w:highlight w:val="none"/>
          <w:u w:val="single"/>
        </w:rPr>
        <w:t xml:space="preserve">             </w:t>
      </w:r>
      <w:r>
        <w:rPr>
          <w:rFonts w:hint="eastAsia"/>
          <w:color w:val="auto"/>
          <w:szCs w:val="21"/>
          <w:highlight w:val="none"/>
        </w:rPr>
        <w:t>（投标人名称）的法定代表人（负责人），现授权委托</w:t>
      </w:r>
      <w:r>
        <w:rPr>
          <w:rFonts w:hint="eastAsia"/>
          <w:color w:val="auto"/>
          <w:szCs w:val="21"/>
          <w:highlight w:val="none"/>
          <w:u w:val="single"/>
        </w:rPr>
        <w:t xml:space="preserve">            </w:t>
      </w:r>
      <w:r>
        <w:rPr>
          <w:rFonts w:hint="eastAsia"/>
          <w:color w:val="auto"/>
          <w:szCs w:val="21"/>
          <w:highlight w:val="none"/>
        </w:rPr>
        <w:t>（姓名）为我单位签署本项目已递交的投标文件的法定代表人（负责人）的授权委托代理人，代理人全权代表我所签署的本项目已递交的投标文件内容我均承认。</w:t>
      </w:r>
    </w:p>
    <w:p w14:paraId="6D7409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代理人无转委托权，特此委托。</w:t>
      </w:r>
    </w:p>
    <w:p w14:paraId="65BB8A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p>
    <w:p w14:paraId="335325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u w:val="none"/>
          <w:lang w:eastAsia="zh-CN"/>
        </w:rPr>
      </w:pPr>
      <w:r>
        <w:rPr>
          <w:rFonts w:hint="eastAsia"/>
          <w:color w:val="auto"/>
          <w:szCs w:val="21"/>
          <w:highlight w:val="none"/>
        </w:rPr>
        <w:t>代理人</w:t>
      </w:r>
      <w:r>
        <w:rPr>
          <w:rFonts w:hint="eastAsia" w:eastAsia="宋体"/>
          <w:color w:val="auto"/>
          <w:szCs w:val="21"/>
          <w:highlight w:val="none"/>
          <w:lang w:eastAsia="zh-CN"/>
        </w:rPr>
        <w:t>：</w:t>
      </w:r>
      <w:r>
        <w:rPr>
          <w:rFonts w:hint="eastAsia"/>
          <w:color w:val="auto"/>
          <w:szCs w:val="21"/>
          <w:highlight w:val="none"/>
          <w:u w:val="single"/>
        </w:rPr>
        <w:t xml:space="preserve">      </w:t>
      </w:r>
      <w:r>
        <w:rPr>
          <w:rFonts w:hint="eastAsia" w:ascii="Times New Roman" w:eastAsia="宋体"/>
          <w:color w:val="auto"/>
          <w:szCs w:val="21"/>
          <w:highlight w:val="none"/>
          <w:u w:val="single"/>
          <w:lang w:val="en-US" w:eastAsia="zh-CN"/>
        </w:rPr>
        <w:t xml:space="preserve">  </w:t>
      </w:r>
      <w:r>
        <w:rPr>
          <w:rFonts w:hint="eastAsia"/>
          <w:color w:val="auto"/>
          <w:szCs w:val="21"/>
          <w:highlight w:val="none"/>
          <w:u w:val="single"/>
        </w:rPr>
        <w:t xml:space="preserve">      </w:t>
      </w:r>
      <w:r>
        <w:rPr>
          <w:rFonts w:hint="eastAsia" w:eastAsia="宋体"/>
          <w:color w:val="auto"/>
          <w:szCs w:val="21"/>
          <w:highlight w:val="none"/>
          <w:u w:val="none"/>
          <w:lang w:eastAsia="zh-CN"/>
        </w:rPr>
        <w:t>；</w:t>
      </w:r>
    </w:p>
    <w:p w14:paraId="3A0A0B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u w:val="none"/>
          <w:lang w:eastAsia="zh-CN"/>
        </w:rPr>
      </w:pPr>
      <w:r>
        <w:rPr>
          <w:rFonts w:hint="eastAsia"/>
          <w:color w:val="auto"/>
          <w:szCs w:val="21"/>
          <w:highlight w:val="none"/>
        </w:rPr>
        <w:t>身份</w:t>
      </w:r>
      <w:r>
        <w:rPr>
          <w:rFonts w:hint="eastAsia" w:ascii="Times New Roman" w:eastAsia="宋体"/>
          <w:color w:val="auto"/>
          <w:szCs w:val="21"/>
          <w:highlight w:val="none"/>
          <w:lang w:val="en-US" w:eastAsia="zh-CN"/>
        </w:rPr>
        <w:t>证件号</w:t>
      </w:r>
      <w:r>
        <w:rPr>
          <w:rFonts w:hint="eastAsia"/>
          <w:color w:val="auto"/>
          <w:szCs w:val="21"/>
          <w:highlight w:val="none"/>
        </w:rPr>
        <w:t>：</w:t>
      </w:r>
      <w:r>
        <w:rPr>
          <w:rFonts w:hint="eastAsia"/>
          <w:color w:val="auto"/>
          <w:szCs w:val="21"/>
          <w:highlight w:val="none"/>
          <w:u w:val="single"/>
        </w:rPr>
        <w:t xml:space="preserve">                        </w:t>
      </w:r>
      <w:r>
        <w:rPr>
          <w:rFonts w:hint="eastAsia" w:eastAsia="宋体"/>
          <w:color w:val="auto"/>
          <w:szCs w:val="21"/>
          <w:highlight w:val="none"/>
          <w:u w:val="none"/>
          <w:lang w:eastAsia="zh-CN"/>
        </w:rPr>
        <w:t>，</w:t>
      </w:r>
      <w:r>
        <w:rPr>
          <w:rFonts w:hint="eastAsia"/>
          <w:color w:val="auto"/>
          <w:szCs w:val="21"/>
          <w:highlight w:val="none"/>
        </w:rPr>
        <w:t>职务：</w:t>
      </w:r>
      <w:r>
        <w:rPr>
          <w:rFonts w:hint="eastAsia"/>
          <w:color w:val="auto"/>
          <w:szCs w:val="21"/>
          <w:highlight w:val="none"/>
          <w:u w:val="single"/>
        </w:rPr>
        <w:t xml:space="preserve">   </w:t>
      </w:r>
      <w:r>
        <w:rPr>
          <w:rFonts w:hint="eastAsia" w:ascii="Times New Roman" w:eastAsia="宋体"/>
          <w:color w:val="auto"/>
          <w:szCs w:val="21"/>
          <w:highlight w:val="none"/>
          <w:u w:val="single"/>
          <w:lang w:val="en-US" w:eastAsia="zh-CN"/>
        </w:rPr>
        <w:t xml:space="preserve">         </w:t>
      </w:r>
      <w:r>
        <w:rPr>
          <w:rFonts w:hint="eastAsia"/>
          <w:color w:val="auto"/>
          <w:szCs w:val="21"/>
          <w:highlight w:val="none"/>
          <w:u w:val="single"/>
        </w:rPr>
        <w:t xml:space="preserve">    </w:t>
      </w:r>
      <w:r>
        <w:rPr>
          <w:rFonts w:hint="eastAsia" w:eastAsia="宋体"/>
          <w:color w:val="auto"/>
          <w:szCs w:val="21"/>
          <w:highlight w:val="none"/>
          <w:u w:val="none"/>
          <w:lang w:eastAsia="zh-CN"/>
        </w:rPr>
        <w:t>；</w:t>
      </w:r>
    </w:p>
    <w:p w14:paraId="235B46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szCs w:val="21"/>
          <w:highlight w:val="none"/>
          <w:u w:val="none"/>
          <w:lang w:val="en-US" w:eastAsia="zh-CN"/>
        </w:rPr>
      </w:pPr>
      <w:r>
        <w:rPr>
          <w:rFonts w:hint="eastAsia"/>
          <w:color w:val="auto"/>
          <w:szCs w:val="21"/>
          <w:highlight w:val="none"/>
        </w:rPr>
        <w:t>联系电话：</w:t>
      </w:r>
      <w:r>
        <w:rPr>
          <w:rFonts w:hint="eastAsia"/>
          <w:color w:val="auto"/>
          <w:szCs w:val="21"/>
          <w:highlight w:val="none"/>
          <w:u w:val="single"/>
        </w:rPr>
        <w:t xml:space="preserve">         </w:t>
      </w:r>
      <w:r>
        <w:rPr>
          <w:rFonts w:hint="eastAsia" w:eastAsia="宋体"/>
          <w:color w:val="auto"/>
          <w:szCs w:val="21"/>
          <w:highlight w:val="none"/>
          <w:lang w:eastAsia="zh-CN"/>
        </w:rPr>
        <w:t>，</w:t>
      </w:r>
      <w:r>
        <w:rPr>
          <w:rFonts w:hint="eastAsia"/>
          <w:color w:val="auto"/>
          <w:szCs w:val="21"/>
          <w:highlight w:val="none"/>
        </w:rPr>
        <w:t>手机：</w:t>
      </w:r>
      <w:r>
        <w:rPr>
          <w:rFonts w:hint="eastAsia"/>
          <w:color w:val="auto"/>
          <w:szCs w:val="21"/>
          <w:highlight w:val="none"/>
          <w:u w:val="single"/>
        </w:rPr>
        <w:t xml:space="preserve">                </w:t>
      </w:r>
      <w:r>
        <w:rPr>
          <w:rFonts w:hint="eastAsia" w:eastAsia="宋体"/>
          <w:color w:val="auto"/>
          <w:szCs w:val="21"/>
          <w:highlight w:val="none"/>
          <w:u w:val="none"/>
          <w:lang w:eastAsia="zh-CN"/>
        </w:rPr>
        <w:t>，</w:t>
      </w:r>
      <w:r>
        <w:rPr>
          <w:rFonts w:hint="eastAsia" w:ascii="Times New Roman" w:eastAsia="宋体"/>
          <w:color w:val="auto"/>
          <w:szCs w:val="21"/>
          <w:highlight w:val="none"/>
          <w:u w:val="none"/>
          <w:lang w:val="en-US" w:eastAsia="zh-CN"/>
        </w:rPr>
        <w:t>电子邮箱：</w:t>
      </w:r>
      <w:r>
        <w:rPr>
          <w:rFonts w:hint="eastAsia"/>
          <w:color w:val="auto"/>
          <w:szCs w:val="21"/>
          <w:highlight w:val="none"/>
          <w:u w:val="single"/>
        </w:rPr>
        <w:t xml:space="preserve">            </w:t>
      </w:r>
      <w:r>
        <w:rPr>
          <w:rFonts w:hint="eastAsia" w:ascii="Times New Roman" w:eastAsia="宋体"/>
          <w:color w:val="auto"/>
          <w:szCs w:val="21"/>
          <w:highlight w:val="none"/>
          <w:u w:val="single"/>
          <w:lang w:val="en-US" w:eastAsia="zh-CN"/>
        </w:rPr>
        <w:t xml:space="preserve">  </w:t>
      </w:r>
      <w:r>
        <w:rPr>
          <w:rFonts w:hint="eastAsia"/>
          <w:color w:val="auto"/>
          <w:szCs w:val="21"/>
          <w:highlight w:val="none"/>
          <w:u w:val="single"/>
        </w:rPr>
        <w:t xml:space="preserve">       </w:t>
      </w:r>
      <w:r>
        <w:rPr>
          <w:rFonts w:hint="eastAsia" w:eastAsia="宋体"/>
          <w:color w:val="auto"/>
          <w:szCs w:val="21"/>
          <w:highlight w:val="none"/>
          <w:u w:val="none"/>
          <w:lang w:eastAsia="zh-CN"/>
        </w:rPr>
        <w:t>；</w:t>
      </w:r>
    </w:p>
    <w:p w14:paraId="1510E7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Cs w:val="21"/>
          <w:highlight w:val="none"/>
          <w:lang w:eastAsia="zh-CN"/>
        </w:rPr>
      </w:pPr>
      <w:r>
        <w:rPr>
          <w:rFonts w:hint="eastAsia"/>
          <w:color w:val="auto"/>
          <w:szCs w:val="21"/>
          <w:highlight w:val="none"/>
        </w:rPr>
        <w:t>授权委托日期：</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 xml:space="preserve">月 </w:t>
      </w:r>
      <w:r>
        <w:rPr>
          <w:rFonts w:hint="eastAsia"/>
          <w:color w:val="auto"/>
          <w:szCs w:val="21"/>
          <w:highlight w:val="none"/>
          <w:u w:val="single"/>
        </w:rPr>
        <w:t xml:space="preserve">      </w:t>
      </w:r>
      <w:r>
        <w:rPr>
          <w:rFonts w:hint="eastAsia"/>
          <w:color w:val="auto"/>
          <w:szCs w:val="21"/>
          <w:highlight w:val="none"/>
        </w:rPr>
        <w:t>日</w:t>
      </w:r>
      <w:r>
        <w:rPr>
          <w:rFonts w:hint="eastAsia" w:eastAsia="宋体"/>
          <w:color w:val="auto"/>
          <w:szCs w:val="21"/>
          <w:highlight w:val="none"/>
          <w:lang w:eastAsia="zh-CN"/>
        </w:rPr>
        <w:t>。</w:t>
      </w:r>
    </w:p>
    <w:p w14:paraId="3065226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color w:val="auto"/>
          <w:szCs w:val="21"/>
          <w:highlight w:val="none"/>
        </w:rPr>
      </w:pPr>
      <w:r>
        <w:rPr>
          <w:rFonts w:hint="eastAsia"/>
          <w:b/>
          <w:color w:val="auto"/>
          <w:szCs w:val="21"/>
          <w:highlight w:val="none"/>
        </w:rPr>
        <w:t>附：请提供代理人身份证扫描件（正反两面）；港澳台居民可提供来往通行证扫描件；非中国国籍管辖范围人员，可提供公安部门认可的身份证明材料扫描件。</w:t>
      </w:r>
    </w:p>
    <w:tbl>
      <w:tblPr>
        <w:tblStyle w:val="4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9EB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trPr>
        <w:tc>
          <w:tcPr>
            <w:tcW w:w="4264" w:type="dxa"/>
            <w:vAlign w:val="top"/>
          </w:tcPr>
          <w:p w14:paraId="243570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lang w:val="en-US" w:eastAsia="zh-CN"/>
              </w:rPr>
            </w:pPr>
            <w:r>
              <w:rPr>
                <w:rFonts w:hint="eastAsia" w:ascii="Times New Roman" w:eastAsia="宋体"/>
                <w:color w:val="auto"/>
                <w:highlight w:val="none"/>
                <w:lang w:val="en-US" w:eastAsia="zh-CN"/>
              </w:rPr>
              <w:t>证件扫描件正面</w:t>
            </w:r>
          </w:p>
          <w:p w14:paraId="2C4C4080">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lang w:val="en-US" w:eastAsia="zh-CN"/>
              </w:rPr>
            </w:pPr>
          </w:p>
          <w:p w14:paraId="5587A4D0">
            <w:pPr>
              <w:pStyle w:val="3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olor w:val="auto"/>
                <w:highlight w:val="none"/>
                <w:lang w:val="en-US" w:eastAsia="zh-CN"/>
              </w:rPr>
            </w:pPr>
          </w:p>
        </w:tc>
        <w:tc>
          <w:tcPr>
            <w:tcW w:w="4265" w:type="dxa"/>
            <w:vAlign w:val="top"/>
          </w:tcPr>
          <w:p w14:paraId="635CB5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lang w:val="en-US" w:eastAsia="zh-CN"/>
              </w:rPr>
            </w:pPr>
            <w:r>
              <w:rPr>
                <w:rFonts w:hint="eastAsia" w:ascii="Times New Roman" w:eastAsia="宋体"/>
                <w:color w:val="auto"/>
                <w:highlight w:val="none"/>
                <w:lang w:val="en-US" w:eastAsia="zh-CN"/>
              </w:rPr>
              <w:t>证件扫描件反面</w:t>
            </w:r>
          </w:p>
          <w:p w14:paraId="477CA0B4">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lang w:val="en-US" w:eastAsia="zh-CN"/>
              </w:rPr>
            </w:pPr>
          </w:p>
          <w:p w14:paraId="727983B6">
            <w:pPr>
              <w:pStyle w:val="3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highlight w:val="none"/>
                <w:vertAlign w:val="baseline"/>
                <w:lang w:val="en-US" w:eastAsia="zh-CN"/>
              </w:rPr>
            </w:pPr>
          </w:p>
        </w:tc>
      </w:tr>
    </w:tbl>
    <w:p w14:paraId="666903DE">
      <w:pPr>
        <w:pageBreakBefore w:val="0"/>
        <w:kinsoku/>
        <w:overflowPunct/>
        <w:topLinePunct w:val="0"/>
        <w:bidi w:val="0"/>
        <w:spacing w:line="360" w:lineRule="auto"/>
        <w:rPr>
          <w:rFonts w:hint="eastAsia" w:ascii="黑体" w:eastAsia="黑体"/>
          <w:b w:val="0"/>
          <w:color w:val="auto"/>
          <w:kern w:val="0"/>
          <w:sz w:val="24"/>
          <w:szCs w:val="24"/>
          <w:highlight w:val="none"/>
        </w:rPr>
      </w:pPr>
      <w:r>
        <w:rPr>
          <w:rFonts w:hint="eastAsia" w:ascii="黑体" w:eastAsia="黑体"/>
          <w:b w:val="0"/>
          <w:color w:val="auto"/>
          <w:kern w:val="0"/>
          <w:sz w:val="24"/>
          <w:szCs w:val="24"/>
          <w:highlight w:val="none"/>
        </w:rPr>
        <w:br w:type="page"/>
      </w:r>
    </w:p>
    <w:p w14:paraId="035F0A0F">
      <w:pPr>
        <w:pStyle w:val="3"/>
        <w:pageBreakBefore w:val="0"/>
        <w:kinsoku/>
        <w:overflowPunct/>
        <w:topLinePunct w:val="0"/>
        <w:bidi w:val="0"/>
        <w:spacing w:line="360" w:lineRule="auto"/>
        <w:jc w:val="center"/>
        <w:rPr>
          <w:rFonts w:ascii="黑体" w:eastAsia="黑体"/>
          <w:b w:val="0"/>
          <w:color w:val="auto"/>
          <w:kern w:val="0"/>
          <w:sz w:val="24"/>
          <w:szCs w:val="24"/>
          <w:highlight w:val="none"/>
        </w:rPr>
      </w:pPr>
      <w:r>
        <w:rPr>
          <w:rFonts w:hint="eastAsia" w:ascii="黑体" w:eastAsia="黑体"/>
          <w:b w:val="0"/>
          <w:color w:val="auto"/>
          <w:kern w:val="0"/>
          <w:sz w:val="24"/>
          <w:szCs w:val="24"/>
          <w:highlight w:val="none"/>
        </w:rPr>
        <w:t>三、</w:t>
      </w:r>
      <w:bookmarkStart w:id="41" w:name="_Hlk72092634"/>
      <w:r>
        <w:rPr>
          <w:rFonts w:hint="eastAsia" w:ascii="黑体" w:eastAsia="黑体"/>
          <w:b w:val="0"/>
          <w:color w:val="auto"/>
          <w:kern w:val="0"/>
          <w:sz w:val="24"/>
          <w:szCs w:val="24"/>
          <w:highlight w:val="none"/>
        </w:rPr>
        <w:t>实质性条款响应情况表</w:t>
      </w:r>
      <w:bookmarkEnd w:id="41"/>
    </w:p>
    <w:tbl>
      <w:tblPr>
        <w:tblStyle w:val="4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14"/>
        <w:gridCol w:w="1559"/>
        <w:gridCol w:w="1276"/>
        <w:gridCol w:w="1163"/>
      </w:tblGrid>
      <w:tr w14:paraId="7B30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2A782731">
            <w:pPr>
              <w:pageBreakBefore w:val="0"/>
              <w:kinsoku/>
              <w:overflowPunct/>
              <w:topLinePunct w:val="0"/>
              <w:bidi w:val="0"/>
              <w:adjustRightInd w:val="0"/>
              <w:snapToGrid w:val="0"/>
              <w:spacing w:line="360" w:lineRule="auto"/>
              <w:jc w:val="center"/>
              <w:rPr>
                <w:rFonts w:ascii="宋体" w:hAnsi="宋体"/>
                <w:color w:val="auto"/>
                <w:kern w:val="0"/>
                <w:szCs w:val="21"/>
                <w:highlight w:val="none"/>
              </w:rPr>
            </w:pPr>
            <w:bookmarkStart w:id="42" w:name="_Hlk72092651"/>
            <w:r>
              <w:rPr>
                <w:rFonts w:hint="eastAsia" w:ascii="宋体" w:hAnsi="宋体"/>
                <w:color w:val="auto"/>
                <w:kern w:val="0"/>
                <w:szCs w:val="21"/>
                <w:highlight w:val="none"/>
              </w:rPr>
              <w:t>序号</w:t>
            </w:r>
          </w:p>
        </w:tc>
        <w:tc>
          <w:tcPr>
            <w:tcW w:w="3514" w:type="dxa"/>
            <w:vAlign w:val="center"/>
          </w:tcPr>
          <w:p w14:paraId="3D99D4F8">
            <w:pPr>
              <w:pageBreakBefore w:val="0"/>
              <w:kinsoku/>
              <w:overflowPunct/>
              <w:topLinePunct w:val="0"/>
              <w:bidi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实质性条款具体内容</w:t>
            </w:r>
          </w:p>
        </w:tc>
        <w:tc>
          <w:tcPr>
            <w:tcW w:w="1559" w:type="dxa"/>
            <w:vAlign w:val="center"/>
          </w:tcPr>
          <w:p w14:paraId="6DDDE55E">
            <w:pPr>
              <w:pageBreakBefore w:val="0"/>
              <w:kinsoku/>
              <w:overflowPunct/>
              <w:topLinePunct w:val="0"/>
              <w:bidi w:val="0"/>
              <w:adjustRightInd w:val="0"/>
              <w:snapToGrid w:val="0"/>
              <w:spacing w:line="360" w:lineRule="auto"/>
              <w:jc w:val="center"/>
              <w:rPr>
                <w:rFonts w:ascii="宋体" w:hAnsi="宋体"/>
                <w:color w:val="auto"/>
                <w:kern w:val="0"/>
                <w:szCs w:val="21"/>
                <w:highlight w:val="none"/>
              </w:rPr>
            </w:pPr>
            <w:r>
              <w:rPr>
                <w:rFonts w:hint="eastAsia"/>
                <w:color w:val="auto"/>
                <w:highlight w:val="none"/>
              </w:rPr>
              <w:t>投标响应</w:t>
            </w:r>
          </w:p>
        </w:tc>
        <w:tc>
          <w:tcPr>
            <w:tcW w:w="1276" w:type="dxa"/>
            <w:vAlign w:val="center"/>
          </w:tcPr>
          <w:p w14:paraId="2793A017">
            <w:pPr>
              <w:pageBreakBefore w:val="0"/>
              <w:kinsoku/>
              <w:overflowPunct/>
              <w:topLinePunct w:val="0"/>
              <w:bidi w:val="0"/>
              <w:adjustRightInd w:val="0"/>
              <w:snapToGrid w:val="0"/>
              <w:spacing w:line="360" w:lineRule="auto"/>
              <w:jc w:val="center"/>
              <w:rPr>
                <w:rFonts w:ascii="宋体" w:hAnsi="宋体"/>
                <w:color w:val="auto"/>
                <w:kern w:val="0"/>
                <w:szCs w:val="21"/>
                <w:highlight w:val="none"/>
              </w:rPr>
            </w:pPr>
            <w:r>
              <w:rPr>
                <w:rFonts w:hint="eastAsia"/>
                <w:color w:val="auto"/>
                <w:highlight w:val="none"/>
              </w:rPr>
              <w:t>偏离情况</w:t>
            </w:r>
          </w:p>
        </w:tc>
        <w:tc>
          <w:tcPr>
            <w:tcW w:w="1163" w:type="dxa"/>
            <w:vAlign w:val="center"/>
          </w:tcPr>
          <w:p w14:paraId="3ED97437">
            <w:pPr>
              <w:pageBreakBefore w:val="0"/>
              <w:kinsoku/>
              <w:overflowPunct/>
              <w:topLinePunct w:val="0"/>
              <w:bidi w:val="0"/>
              <w:adjustRightInd w:val="0"/>
              <w:snapToGrid w:val="0"/>
              <w:spacing w:line="360" w:lineRule="auto"/>
              <w:jc w:val="center"/>
              <w:rPr>
                <w:rFonts w:ascii="宋体" w:hAnsi="宋体"/>
                <w:color w:val="auto"/>
                <w:kern w:val="0"/>
                <w:szCs w:val="21"/>
                <w:highlight w:val="none"/>
              </w:rPr>
            </w:pPr>
            <w:r>
              <w:rPr>
                <w:rFonts w:hint="eastAsia"/>
                <w:color w:val="auto"/>
                <w:highlight w:val="none"/>
              </w:rPr>
              <w:t>说明</w:t>
            </w:r>
          </w:p>
        </w:tc>
      </w:tr>
      <w:bookmarkEnd w:id="42"/>
      <w:tr w14:paraId="12C5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482379D5">
            <w:pPr>
              <w:pageBreakBefore w:val="0"/>
              <w:kinsoku/>
              <w:overflowPunct/>
              <w:topLinePunct w:val="0"/>
              <w:bidi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3514" w:type="dxa"/>
          </w:tcPr>
          <w:p w14:paraId="0DB684A5">
            <w:pPr>
              <w:pageBreakBefore w:val="0"/>
              <w:kinsoku/>
              <w:overflowPunct/>
              <w:topLinePunct w:val="0"/>
              <w:bidi w:val="0"/>
              <w:adjustRightInd w:val="0"/>
              <w:snapToGrid w:val="0"/>
              <w:spacing w:line="360" w:lineRule="auto"/>
              <w:jc w:val="left"/>
              <w:rPr>
                <w:rFonts w:hAnsi="宋体"/>
                <w:color w:val="auto"/>
                <w:kern w:val="0"/>
                <w:szCs w:val="21"/>
                <w:highlight w:val="none"/>
              </w:rPr>
            </w:pPr>
            <w:r>
              <w:rPr>
                <w:rFonts w:hint="eastAsia"/>
                <w:color w:val="auto"/>
                <w:highlight w:val="none"/>
              </w:rPr>
              <w:t>满足本项目标★的条款要求</w:t>
            </w:r>
          </w:p>
        </w:tc>
        <w:tc>
          <w:tcPr>
            <w:tcW w:w="1559" w:type="dxa"/>
          </w:tcPr>
          <w:p w14:paraId="7531BE01">
            <w:pPr>
              <w:pageBreakBefore w:val="0"/>
              <w:kinsoku/>
              <w:overflowPunct/>
              <w:topLinePunct w:val="0"/>
              <w:bidi w:val="0"/>
              <w:adjustRightInd w:val="0"/>
              <w:snapToGrid w:val="0"/>
              <w:spacing w:line="360" w:lineRule="auto"/>
              <w:rPr>
                <w:rFonts w:ascii="宋体" w:hAnsi="宋体"/>
                <w:color w:val="auto"/>
                <w:kern w:val="0"/>
                <w:szCs w:val="21"/>
                <w:highlight w:val="none"/>
              </w:rPr>
            </w:pPr>
          </w:p>
        </w:tc>
        <w:tc>
          <w:tcPr>
            <w:tcW w:w="1276" w:type="dxa"/>
          </w:tcPr>
          <w:p w14:paraId="02221F7B">
            <w:pPr>
              <w:pageBreakBefore w:val="0"/>
              <w:kinsoku/>
              <w:overflowPunct/>
              <w:topLinePunct w:val="0"/>
              <w:bidi w:val="0"/>
              <w:adjustRightInd w:val="0"/>
              <w:snapToGrid w:val="0"/>
              <w:spacing w:line="360" w:lineRule="auto"/>
              <w:rPr>
                <w:rFonts w:ascii="宋体" w:hAnsi="宋体"/>
                <w:color w:val="auto"/>
                <w:kern w:val="0"/>
                <w:szCs w:val="21"/>
                <w:highlight w:val="none"/>
              </w:rPr>
            </w:pPr>
          </w:p>
        </w:tc>
        <w:tc>
          <w:tcPr>
            <w:tcW w:w="1163" w:type="dxa"/>
          </w:tcPr>
          <w:p w14:paraId="1B49EA0A">
            <w:pPr>
              <w:pageBreakBefore w:val="0"/>
              <w:kinsoku/>
              <w:overflowPunct/>
              <w:topLinePunct w:val="0"/>
              <w:bidi w:val="0"/>
              <w:adjustRightInd w:val="0"/>
              <w:snapToGrid w:val="0"/>
              <w:spacing w:line="360" w:lineRule="auto"/>
              <w:rPr>
                <w:rFonts w:ascii="宋体" w:hAnsi="宋体"/>
                <w:color w:val="auto"/>
                <w:kern w:val="0"/>
                <w:szCs w:val="21"/>
                <w:highlight w:val="none"/>
              </w:rPr>
            </w:pPr>
          </w:p>
        </w:tc>
      </w:tr>
    </w:tbl>
    <w:p w14:paraId="7C1746EE">
      <w:pPr>
        <w:pageBreakBefore w:val="0"/>
        <w:kinsoku/>
        <w:overflowPunct/>
        <w:topLinePunct w:val="0"/>
        <w:bidi w:val="0"/>
        <w:spacing w:line="360" w:lineRule="auto"/>
        <w:ind w:firstLine="482" w:firstLineChars="200"/>
        <w:rPr>
          <w:rFonts w:hint="eastAsia"/>
          <w:b/>
          <w:color w:val="auto"/>
          <w:sz w:val="24"/>
          <w:szCs w:val="22"/>
          <w:highlight w:val="none"/>
        </w:rPr>
      </w:pPr>
      <w:r>
        <w:rPr>
          <w:rFonts w:hint="eastAsia"/>
          <w:b/>
          <w:color w:val="auto"/>
          <w:sz w:val="24"/>
          <w:szCs w:val="22"/>
          <w:highlight w:val="none"/>
        </w:rPr>
        <w:t>注：1.上表所列各项均为不可负偏离条款。</w:t>
      </w:r>
    </w:p>
    <w:p w14:paraId="72C86C49">
      <w:pPr>
        <w:pageBreakBefore w:val="0"/>
        <w:kinsoku/>
        <w:overflowPunct/>
        <w:topLinePunct w:val="0"/>
        <w:bidi w:val="0"/>
        <w:spacing w:line="360" w:lineRule="auto"/>
        <w:ind w:firstLine="482" w:firstLineChars="200"/>
        <w:rPr>
          <w:rFonts w:hint="eastAsia"/>
          <w:b/>
          <w:color w:val="auto"/>
          <w:sz w:val="24"/>
          <w:szCs w:val="22"/>
          <w:highlight w:val="none"/>
        </w:rPr>
      </w:pPr>
      <w:r>
        <w:rPr>
          <w:rFonts w:hint="eastAsia"/>
          <w:b/>
          <w:color w:val="auto"/>
          <w:sz w:val="24"/>
          <w:szCs w:val="22"/>
          <w:highlight w:val="none"/>
        </w:rPr>
        <w:t>2.“投标响应”一栏应当详细填写投标人自身响应情况，而不能不合理照搬照抄招实质性条款具体内容。</w:t>
      </w:r>
    </w:p>
    <w:p w14:paraId="612F6C0B">
      <w:pPr>
        <w:pageBreakBefore w:val="0"/>
        <w:kinsoku/>
        <w:overflowPunct/>
        <w:topLinePunct w:val="0"/>
        <w:bidi w:val="0"/>
        <w:spacing w:line="360" w:lineRule="auto"/>
        <w:ind w:firstLine="482" w:firstLineChars="200"/>
        <w:rPr>
          <w:rFonts w:hint="eastAsia"/>
          <w:b/>
          <w:color w:val="auto"/>
          <w:sz w:val="24"/>
          <w:szCs w:val="22"/>
          <w:highlight w:val="none"/>
        </w:rPr>
      </w:pPr>
      <w:r>
        <w:rPr>
          <w:rFonts w:hint="eastAsia"/>
          <w:b/>
          <w:color w:val="auto"/>
          <w:sz w:val="24"/>
          <w:szCs w:val="22"/>
          <w:highlight w:val="none"/>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7D458F90">
      <w:pPr>
        <w:pageBreakBefore w:val="0"/>
        <w:kinsoku/>
        <w:overflowPunct/>
        <w:topLinePunct w:val="0"/>
        <w:bidi w:val="0"/>
        <w:spacing w:line="360" w:lineRule="auto"/>
        <w:ind w:firstLine="482" w:firstLineChars="200"/>
        <w:rPr>
          <w:rFonts w:hint="eastAsia"/>
          <w:b/>
          <w:color w:val="auto"/>
          <w:sz w:val="24"/>
          <w:szCs w:val="22"/>
          <w:highlight w:val="none"/>
        </w:rPr>
      </w:pPr>
      <w:r>
        <w:rPr>
          <w:rFonts w:hint="eastAsia"/>
          <w:b/>
          <w:color w:val="auto"/>
          <w:sz w:val="24"/>
          <w:szCs w:val="22"/>
          <w:highlight w:val="none"/>
        </w:rPr>
        <w:t>4.评审委员会有权对投标响应情况作出判断（作出评审结论）。</w:t>
      </w:r>
    </w:p>
    <w:p w14:paraId="6FC6F4D1">
      <w:pPr>
        <w:pageBreakBefore w:val="0"/>
        <w:kinsoku/>
        <w:overflowPunct/>
        <w:topLinePunct w:val="0"/>
        <w:bidi w:val="0"/>
        <w:spacing w:line="360" w:lineRule="auto"/>
        <w:ind w:firstLine="482" w:firstLineChars="200"/>
        <w:rPr>
          <w:rFonts w:hint="eastAsia"/>
          <w:b/>
          <w:color w:val="auto"/>
          <w:sz w:val="24"/>
          <w:szCs w:val="22"/>
          <w:highlight w:val="none"/>
        </w:rPr>
      </w:pPr>
      <w:r>
        <w:rPr>
          <w:rFonts w:hint="eastAsia"/>
          <w:b/>
          <w:color w:val="auto"/>
          <w:sz w:val="24"/>
          <w:szCs w:val="22"/>
          <w:highlight w:val="none"/>
        </w:rPr>
        <w:t>5.实质性响应条款“投标响应情况”与投标文件</w:t>
      </w:r>
      <w:r>
        <w:rPr>
          <w:rFonts w:hint="eastAsia"/>
          <w:b/>
          <w:color w:val="auto"/>
          <w:sz w:val="24"/>
          <w:szCs w:val="22"/>
          <w:highlight w:val="none"/>
          <w:lang w:eastAsia="zh-CN"/>
        </w:rPr>
        <w:t>其他</w:t>
      </w:r>
      <w:r>
        <w:rPr>
          <w:rFonts w:hint="eastAsia"/>
          <w:b/>
          <w:color w:val="auto"/>
          <w:sz w:val="24"/>
          <w:szCs w:val="22"/>
          <w:highlight w:val="none"/>
        </w:rPr>
        <w:t>内容冲突的，以实质性响应条款“投标响应情况”为准。</w:t>
      </w:r>
    </w:p>
    <w:p w14:paraId="07877179">
      <w:pPr>
        <w:pageBreakBefore w:val="0"/>
        <w:kinsoku/>
        <w:overflowPunct/>
        <w:topLinePunct w:val="0"/>
        <w:bidi w:val="0"/>
        <w:spacing w:line="360" w:lineRule="auto"/>
        <w:ind w:firstLine="482" w:firstLineChars="200"/>
        <w:rPr>
          <w:b/>
          <w:color w:val="auto"/>
          <w:sz w:val="24"/>
          <w:highlight w:val="none"/>
        </w:rPr>
      </w:pPr>
      <w:r>
        <w:rPr>
          <w:rFonts w:hint="eastAsia"/>
          <w:b/>
          <w:color w:val="auto"/>
          <w:sz w:val="24"/>
          <w:szCs w:val="22"/>
          <w:highlight w:val="none"/>
        </w:rPr>
        <w:t>6.要求提供证明资料，在“说明”一栏中列明证明资料的位置,以便评审；未要求提供证明材料的，投标人可以不提供</w:t>
      </w:r>
      <w:r>
        <w:rPr>
          <w:rFonts w:hint="eastAsia"/>
          <w:b/>
          <w:color w:val="auto"/>
          <w:sz w:val="24"/>
          <w:highlight w:val="none"/>
        </w:rPr>
        <w:t>。</w:t>
      </w:r>
    </w:p>
    <w:p w14:paraId="7FC7677A">
      <w:pPr>
        <w:pageBreakBefore w:val="0"/>
        <w:kinsoku/>
        <w:overflowPunct/>
        <w:topLinePunct w:val="0"/>
        <w:bidi w:val="0"/>
        <w:spacing w:line="360" w:lineRule="auto"/>
        <w:rPr>
          <w:color w:val="auto"/>
          <w:highlight w:val="none"/>
        </w:rPr>
      </w:pPr>
    </w:p>
    <w:p w14:paraId="23ED82C9">
      <w:pPr>
        <w:pageBreakBefore w:val="0"/>
        <w:kinsoku/>
        <w:overflowPunct/>
        <w:topLinePunct w:val="0"/>
        <w:bidi w:val="0"/>
        <w:spacing w:line="360" w:lineRule="auto"/>
        <w:rPr>
          <w:b/>
          <w:bCs/>
          <w:color w:val="auto"/>
          <w:sz w:val="24"/>
          <w:highlight w:val="none"/>
        </w:rPr>
      </w:pPr>
    </w:p>
    <w:p w14:paraId="5DA216F5">
      <w:pPr>
        <w:pageBreakBefore w:val="0"/>
        <w:kinsoku/>
        <w:overflowPunct/>
        <w:topLinePunct w:val="0"/>
        <w:bidi w:val="0"/>
        <w:spacing w:line="360" w:lineRule="auto"/>
        <w:rPr>
          <w:rFonts w:hint="eastAsia" w:ascii="黑体" w:hAnsi="宋体" w:eastAsia="黑体"/>
          <w:color w:val="auto"/>
          <w:sz w:val="24"/>
          <w:szCs w:val="20"/>
          <w:highlight w:val="none"/>
        </w:rPr>
      </w:pPr>
      <w:r>
        <w:rPr>
          <w:rFonts w:hint="eastAsia" w:ascii="黑体" w:hAnsi="宋体" w:eastAsia="黑体"/>
          <w:color w:val="auto"/>
          <w:sz w:val="24"/>
          <w:szCs w:val="20"/>
          <w:highlight w:val="none"/>
        </w:rPr>
        <w:br w:type="page"/>
      </w:r>
    </w:p>
    <w:p w14:paraId="6D1A2FB1">
      <w:pPr>
        <w:pStyle w:val="7"/>
        <w:keepNext w:val="0"/>
        <w:keepLines w:val="0"/>
        <w:pageBreakBefore w:val="0"/>
        <w:widowControl w:val="0"/>
        <w:kinsoku/>
        <w:wordWrap/>
        <w:overflowPunct/>
        <w:topLinePunct w:val="0"/>
        <w:autoSpaceDE/>
        <w:autoSpaceDN/>
        <w:bidi w:val="0"/>
        <w:adjustRightInd/>
        <w:snapToGrid/>
        <w:spacing w:before="60" w:beforeLines="25" w:after="60" w:afterLines="25" w:line="360" w:lineRule="auto"/>
        <w:ind w:firstLine="0"/>
        <w:jc w:val="center"/>
        <w:textAlignment w:val="auto"/>
        <w:outlineLvl w:val="2"/>
        <w:rPr>
          <w:rFonts w:hint="eastAsia" w:ascii="黑体" w:hAnsi="宋体" w:eastAsia="黑体"/>
          <w:color w:val="0000FF"/>
          <w:sz w:val="24"/>
          <w:szCs w:val="20"/>
          <w:highlight w:val="none"/>
          <w:lang w:val="en-US" w:eastAsia="zh-CN"/>
        </w:rPr>
      </w:pPr>
      <w:r>
        <w:rPr>
          <w:rFonts w:hint="eastAsia" w:ascii="黑体" w:hAnsi="宋体" w:eastAsia="黑体"/>
          <w:color w:val="0000FF"/>
          <w:sz w:val="24"/>
          <w:szCs w:val="20"/>
          <w:highlight w:val="none"/>
        </w:rPr>
        <w:t>四、商务技术部分评分项格式</w:t>
      </w:r>
    </w:p>
    <w:p w14:paraId="6AE66696">
      <w:pPr>
        <w:bidi w:val="0"/>
        <w:jc w:val="center"/>
        <w:rPr>
          <w:rFonts w:hint="default"/>
          <w:b/>
          <w:bCs/>
          <w:color w:val="0000FF"/>
          <w:highlight w:val="none"/>
          <w:lang w:val="en-US" w:eastAsia="zh-CN"/>
        </w:rPr>
      </w:pPr>
      <w:r>
        <w:rPr>
          <w:rFonts w:hint="eastAsia"/>
          <w:b/>
          <w:bCs/>
          <w:color w:val="0000FF"/>
          <w:highlight w:val="none"/>
        </w:rPr>
        <w:t>（特别提示：投标人须按本招标文件评标信息中这一评审因素要求，提供</w:t>
      </w:r>
      <w:r>
        <w:rPr>
          <w:rFonts w:hint="eastAsia"/>
          <w:b/>
          <w:bCs/>
          <w:color w:val="0000FF"/>
          <w:highlight w:val="none"/>
          <w:lang w:val="en-US" w:eastAsia="zh-CN"/>
        </w:rPr>
        <w:t>文件</w:t>
      </w:r>
      <w:r>
        <w:rPr>
          <w:rFonts w:hint="eastAsia"/>
          <w:b/>
          <w:bCs/>
          <w:color w:val="0000FF"/>
          <w:highlight w:val="none"/>
        </w:rPr>
        <w:t>资料</w:t>
      </w:r>
      <w:r>
        <w:rPr>
          <w:rFonts w:hint="eastAsia"/>
          <w:b/>
          <w:bCs/>
          <w:color w:val="0000FF"/>
          <w:highlight w:val="none"/>
          <w:lang w:eastAsia="zh-CN"/>
        </w:rPr>
        <w:t>，</w:t>
      </w:r>
      <w:r>
        <w:rPr>
          <w:rFonts w:hint="eastAsia"/>
          <w:b/>
          <w:bCs/>
          <w:color w:val="0000FF"/>
          <w:highlight w:val="none"/>
          <w:lang w:val="en-US" w:eastAsia="zh-CN"/>
        </w:rPr>
        <w:t>格式自拟</w:t>
      </w:r>
      <w:r>
        <w:rPr>
          <w:rFonts w:hint="eastAsia"/>
          <w:b/>
          <w:bCs/>
          <w:color w:val="0000FF"/>
          <w:highlight w:val="none"/>
        </w:rPr>
        <w:t>）</w:t>
      </w:r>
    </w:p>
    <w:p w14:paraId="679D703A">
      <w:pPr>
        <w:numPr>
          <w:ilvl w:val="0"/>
          <w:numId w:val="10"/>
        </w:numPr>
        <w:tabs>
          <w:tab w:val="left" w:pos="414"/>
          <w:tab w:val="left" w:pos="1974"/>
          <w:tab w:val="left" w:pos="3414"/>
          <w:tab w:val="left" w:pos="4854"/>
          <w:tab w:val="left" w:pos="6174"/>
          <w:tab w:val="left" w:pos="7614"/>
          <w:tab w:val="left" w:pos="9414"/>
        </w:tabs>
        <w:spacing w:line="440" w:lineRule="exact"/>
        <w:ind w:left="0" w:leftChars="0" w:firstLine="0" w:firstLineChars="0"/>
        <w:rPr>
          <w:rFonts w:hint="eastAsia" w:ascii="宋体" w:hAnsi="宋体"/>
          <w:color w:val="auto"/>
          <w:szCs w:val="21"/>
          <w:highlight w:val="none"/>
          <w:lang w:eastAsia="zh-CN"/>
        </w:rPr>
      </w:pPr>
      <w:r>
        <w:rPr>
          <w:rFonts w:hint="eastAsia" w:ascii="宋体" w:hAnsi="宋体"/>
          <w:color w:val="auto"/>
          <w:szCs w:val="21"/>
          <w:highlight w:val="none"/>
          <w:lang w:eastAsia="zh-CN"/>
        </w:rPr>
        <w:t>质量保证方案</w:t>
      </w:r>
    </w:p>
    <w:p w14:paraId="73BBCC14">
      <w:pPr>
        <w:numPr>
          <w:ilvl w:val="0"/>
          <w:numId w:val="10"/>
        </w:numPr>
        <w:tabs>
          <w:tab w:val="left" w:pos="414"/>
          <w:tab w:val="left" w:pos="1974"/>
          <w:tab w:val="left" w:pos="3414"/>
          <w:tab w:val="left" w:pos="4854"/>
          <w:tab w:val="left" w:pos="6174"/>
          <w:tab w:val="left" w:pos="7614"/>
          <w:tab w:val="left" w:pos="9414"/>
        </w:tabs>
        <w:spacing w:line="440" w:lineRule="exact"/>
        <w:ind w:left="0" w:leftChars="0" w:firstLine="0" w:firstLineChars="0"/>
        <w:rPr>
          <w:rFonts w:hint="eastAsia" w:ascii="宋体" w:hAnsi="宋体"/>
          <w:color w:val="auto"/>
          <w:szCs w:val="21"/>
          <w:highlight w:val="none"/>
          <w:lang w:eastAsia="zh-CN"/>
        </w:rPr>
      </w:pPr>
      <w:r>
        <w:rPr>
          <w:rFonts w:hint="eastAsia" w:ascii="宋体" w:hAnsi="宋体"/>
          <w:color w:val="auto"/>
          <w:szCs w:val="21"/>
          <w:highlight w:val="none"/>
          <w:lang w:eastAsia="zh-CN"/>
        </w:rPr>
        <w:t>维修服务方案</w:t>
      </w:r>
    </w:p>
    <w:p w14:paraId="3DCD6E05">
      <w:pPr>
        <w:numPr>
          <w:ilvl w:val="0"/>
          <w:numId w:val="10"/>
        </w:numPr>
        <w:tabs>
          <w:tab w:val="left" w:pos="414"/>
          <w:tab w:val="left" w:pos="1974"/>
          <w:tab w:val="left" w:pos="3414"/>
          <w:tab w:val="left" w:pos="4854"/>
          <w:tab w:val="left" w:pos="6174"/>
          <w:tab w:val="left" w:pos="7614"/>
          <w:tab w:val="left" w:pos="9414"/>
        </w:tabs>
        <w:spacing w:line="440" w:lineRule="exact"/>
        <w:ind w:left="0" w:leftChars="0" w:firstLine="0" w:firstLineChars="0"/>
        <w:rPr>
          <w:rFonts w:hint="eastAsia" w:ascii="宋体" w:hAnsi="宋体"/>
          <w:color w:val="auto"/>
          <w:szCs w:val="21"/>
          <w:highlight w:val="none"/>
          <w:lang w:eastAsia="zh-CN"/>
        </w:rPr>
      </w:pPr>
      <w:r>
        <w:rPr>
          <w:rFonts w:hint="eastAsia" w:ascii="宋体" w:hAnsi="宋体"/>
          <w:color w:val="auto"/>
          <w:szCs w:val="21"/>
          <w:highlight w:val="none"/>
          <w:lang w:eastAsia="zh-CN"/>
        </w:rPr>
        <w:t>维修服务响应时间</w:t>
      </w:r>
    </w:p>
    <w:p w14:paraId="05EC0F33">
      <w:pPr>
        <w:numPr>
          <w:ilvl w:val="0"/>
          <w:numId w:val="10"/>
        </w:numPr>
        <w:tabs>
          <w:tab w:val="left" w:pos="414"/>
          <w:tab w:val="left" w:pos="1974"/>
          <w:tab w:val="left" w:pos="3414"/>
          <w:tab w:val="left" w:pos="4854"/>
          <w:tab w:val="left" w:pos="6174"/>
          <w:tab w:val="left" w:pos="7614"/>
          <w:tab w:val="left" w:pos="9414"/>
        </w:tabs>
        <w:spacing w:line="440" w:lineRule="exact"/>
        <w:ind w:left="0" w:leftChars="0" w:firstLine="0" w:firstLineChars="0"/>
        <w:rPr>
          <w:rFonts w:hint="eastAsia" w:ascii="宋体" w:hAnsi="宋体"/>
          <w:color w:val="auto"/>
          <w:szCs w:val="21"/>
          <w:highlight w:val="none"/>
          <w:lang w:eastAsia="zh-CN"/>
        </w:rPr>
      </w:pPr>
      <w:r>
        <w:rPr>
          <w:rFonts w:hint="eastAsia" w:ascii="宋体" w:hAnsi="宋体"/>
          <w:color w:val="auto"/>
          <w:szCs w:val="21"/>
          <w:highlight w:val="none"/>
          <w:lang w:eastAsia="zh-CN"/>
        </w:rPr>
        <w:t>投标人业绩情况</w:t>
      </w:r>
    </w:p>
    <w:p w14:paraId="3D669905">
      <w:pPr>
        <w:numPr>
          <w:ilvl w:val="0"/>
          <w:numId w:val="10"/>
        </w:numPr>
        <w:tabs>
          <w:tab w:val="left" w:pos="414"/>
          <w:tab w:val="left" w:pos="1974"/>
          <w:tab w:val="left" w:pos="3414"/>
          <w:tab w:val="left" w:pos="4854"/>
          <w:tab w:val="left" w:pos="6174"/>
          <w:tab w:val="left" w:pos="7614"/>
          <w:tab w:val="left" w:pos="9414"/>
        </w:tabs>
        <w:spacing w:line="440" w:lineRule="exact"/>
        <w:ind w:left="0" w:leftChars="0" w:firstLine="0" w:firstLineChars="0"/>
        <w:rPr>
          <w:rFonts w:hint="eastAsia" w:ascii="宋体" w:hAnsi="宋体"/>
          <w:color w:val="auto"/>
          <w:szCs w:val="21"/>
          <w:highlight w:val="none"/>
          <w:lang w:eastAsia="zh-CN"/>
        </w:rPr>
      </w:pPr>
      <w:r>
        <w:rPr>
          <w:rFonts w:hint="eastAsia" w:ascii="宋体" w:hAnsi="宋体"/>
          <w:color w:val="auto"/>
          <w:szCs w:val="21"/>
          <w:highlight w:val="none"/>
          <w:lang w:eastAsia="zh-CN"/>
        </w:rPr>
        <w:t>拟安排的项目负责人情况（仅限一人）</w:t>
      </w:r>
    </w:p>
    <w:p w14:paraId="35BACDB9">
      <w:pPr>
        <w:numPr>
          <w:ilvl w:val="0"/>
          <w:numId w:val="10"/>
        </w:numPr>
        <w:tabs>
          <w:tab w:val="left" w:pos="414"/>
          <w:tab w:val="left" w:pos="1974"/>
          <w:tab w:val="left" w:pos="3414"/>
          <w:tab w:val="left" w:pos="4854"/>
          <w:tab w:val="left" w:pos="6174"/>
          <w:tab w:val="left" w:pos="7614"/>
          <w:tab w:val="left" w:pos="9414"/>
        </w:tabs>
        <w:spacing w:line="440" w:lineRule="exact"/>
        <w:ind w:left="0" w:leftChars="0" w:firstLine="0" w:firstLineChars="0"/>
        <w:rPr>
          <w:rFonts w:hint="eastAsia" w:ascii="宋体" w:hAnsi="宋体"/>
          <w:color w:val="auto"/>
          <w:szCs w:val="21"/>
          <w:highlight w:val="none"/>
          <w:lang w:eastAsia="zh-CN"/>
        </w:rPr>
      </w:pPr>
      <w:r>
        <w:rPr>
          <w:rFonts w:hint="eastAsia" w:ascii="宋体" w:hAnsi="宋体"/>
          <w:color w:val="auto"/>
          <w:szCs w:val="21"/>
          <w:highlight w:val="none"/>
          <w:lang w:eastAsia="zh-CN"/>
        </w:rPr>
        <w:t>拟安排的项目团队成员（项目负责人除外）情况</w:t>
      </w:r>
    </w:p>
    <w:p w14:paraId="6E359AF8">
      <w:pPr>
        <w:numPr>
          <w:ilvl w:val="0"/>
          <w:numId w:val="10"/>
        </w:numPr>
        <w:tabs>
          <w:tab w:val="left" w:pos="414"/>
          <w:tab w:val="left" w:pos="1974"/>
          <w:tab w:val="left" w:pos="3414"/>
          <w:tab w:val="left" w:pos="4854"/>
          <w:tab w:val="left" w:pos="6174"/>
          <w:tab w:val="left" w:pos="7614"/>
          <w:tab w:val="left" w:pos="9414"/>
        </w:tabs>
        <w:spacing w:line="440" w:lineRule="exact"/>
        <w:ind w:left="0" w:leftChars="0" w:firstLine="0" w:firstLineChars="0"/>
        <w:rPr>
          <w:rFonts w:hint="eastAsia" w:ascii="宋体" w:hAnsi="宋体"/>
          <w:color w:val="auto"/>
          <w:szCs w:val="21"/>
          <w:highlight w:val="none"/>
          <w:lang w:eastAsia="zh-CN"/>
        </w:rPr>
      </w:pPr>
      <w:r>
        <w:rPr>
          <w:rFonts w:hint="eastAsia" w:ascii="宋体" w:hAnsi="宋体"/>
          <w:color w:val="auto"/>
          <w:szCs w:val="21"/>
          <w:highlight w:val="none"/>
          <w:lang w:eastAsia="zh-CN"/>
        </w:rPr>
        <w:t>服务场地面积</w:t>
      </w:r>
    </w:p>
    <w:p w14:paraId="37C7A873">
      <w:pPr>
        <w:numPr>
          <w:ilvl w:val="0"/>
          <w:numId w:val="10"/>
        </w:numPr>
        <w:tabs>
          <w:tab w:val="left" w:pos="414"/>
          <w:tab w:val="left" w:pos="1974"/>
          <w:tab w:val="left" w:pos="3414"/>
          <w:tab w:val="left" w:pos="4854"/>
          <w:tab w:val="left" w:pos="6174"/>
          <w:tab w:val="left" w:pos="7614"/>
          <w:tab w:val="left" w:pos="9414"/>
        </w:tabs>
        <w:spacing w:line="440" w:lineRule="exact"/>
        <w:ind w:left="0" w:leftChars="0" w:firstLine="0" w:firstLineChars="0"/>
        <w:rPr>
          <w:rFonts w:hint="eastAsia" w:ascii="宋体" w:hAnsi="宋体"/>
          <w:color w:val="auto"/>
          <w:szCs w:val="21"/>
          <w:highlight w:val="none"/>
          <w:lang w:eastAsia="zh-CN"/>
        </w:rPr>
      </w:pPr>
      <w:r>
        <w:rPr>
          <w:rFonts w:hint="eastAsia" w:ascii="宋体" w:hAnsi="宋体"/>
          <w:color w:val="auto"/>
          <w:szCs w:val="21"/>
          <w:highlight w:val="none"/>
          <w:lang w:eastAsia="zh-CN"/>
        </w:rPr>
        <w:t>科室设置</w:t>
      </w:r>
    </w:p>
    <w:p w14:paraId="72CBCC71">
      <w:pPr>
        <w:numPr>
          <w:ilvl w:val="0"/>
          <w:numId w:val="10"/>
        </w:numPr>
        <w:tabs>
          <w:tab w:val="left" w:pos="414"/>
          <w:tab w:val="left" w:pos="1974"/>
          <w:tab w:val="left" w:pos="3414"/>
          <w:tab w:val="left" w:pos="4854"/>
          <w:tab w:val="left" w:pos="6174"/>
          <w:tab w:val="left" w:pos="7614"/>
          <w:tab w:val="left" w:pos="9414"/>
        </w:tabs>
        <w:spacing w:line="440" w:lineRule="exact"/>
        <w:ind w:left="0" w:leftChars="0" w:firstLine="0" w:firstLineChars="0"/>
        <w:rPr>
          <w:rFonts w:hint="eastAsia" w:ascii="宋体" w:hAnsi="宋体"/>
          <w:color w:val="auto"/>
          <w:szCs w:val="21"/>
          <w:highlight w:val="none"/>
          <w:lang w:eastAsia="zh-CN"/>
        </w:rPr>
      </w:pPr>
      <w:r>
        <w:rPr>
          <w:rFonts w:hint="eastAsia" w:ascii="宋体" w:hAnsi="宋体"/>
          <w:color w:val="auto"/>
          <w:szCs w:val="21"/>
          <w:highlight w:val="none"/>
          <w:lang w:eastAsia="zh-CN"/>
        </w:rPr>
        <w:t>维修设备</w:t>
      </w:r>
    </w:p>
    <w:p w14:paraId="3789EEE9">
      <w:pPr>
        <w:numPr>
          <w:ilvl w:val="0"/>
          <w:numId w:val="10"/>
        </w:numPr>
        <w:tabs>
          <w:tab w:val="left" w:pos="414"/>
          <w:tab w:val="left" w:pos="1974"/>
          <w:tab w:val="left" w:pos="3414"/>
          <w:tab w:val="left" w:pos="4854"/>
          <w:tab w:val="left" w:pos="6174"/>
          <w:tab w:val="left" w:pos="7614"/>
          <w:tab w:val="left" w:pos="9414"/>
        </w:tabs>
        <w:spacing w:line="440" w:lineRule="exact"/>
        <w:ind w:left="0" w:leftChars="0" w:firstLine="0" w:firstLineChars="0"/>
        <w:rPr>
          <w:rFonts w:ascii="宋体" w:hAnsi="宋体"/>
          <w:color w:val="auto"/>
          <w:szCs w:val="21"/>
          <w:highlight w:val="none"/>
        </w:rPr>
      </w:pPr>
      <w:r>
        <w:rPr>
          <w:rFonts w:hint="eastAsia" w:ascii="宋体" w:hAnsi="宋体"/>
          <w:color w:val="auto"/>
          <w:szCs w:val="21"/>
          <w:highlight w:val="none"/>
          <w:lang w:eastAsia="zh-CN"/>
        </w:rPr>
        <w:t>零部件储备</w:t>
      </w:r>
    </w:p>
    <w:p w14:paraId="45F0E21D">
      <w:pPr>
        <w:pStyle w:val="7"/>
        <w:keepNext w:val="0"/>
        <w:keepLines w:val="0"/>
        <w:pageBreakBefore w:val="0"/>
        <w:widowControl w:val="0"/>
        <w:kinsoku/>
        <w:wordWrap/>
        <w:overflowPunct/>
        <w:topLinePunct w:val="0"/>
        <w:autoSpaceDE/>
        <w:autoSpaceDN/>
        <w:bidi w:val="0"/>
        <w:adjustRightInd/>
        <w:snapToGrid/>
        <w:spacing w:before="60" w:beforeLines="25" w:after="60" w:afterLines="25" w:line="360" w:lineRule="auto"/>
        <w:ind w:firstLine="0"/>
        <w:textAlignment w:val="auto"/>
        <w:outlineLvl w:val="9"/>
        <w:rPr>
          <w:rFonts w:hint="eastAsia" w:ascii="黑体" w:hAnsi="宋体" w:eastAsia="黑体"/>
          <w:color w:val="0000FF"/>
          <w:sz w:val="24"/>
          <w:szCs w:val="20"/>
          <w:highlight w:val="none"/>
          <w:lang w:val="en-US" w:eastAsia="zh-CN"/>
        </w:rPr>
      </w:pPr>
    </w:p>
    <w:p w14:paraId="32271AB1">
      <w:pPr>
        <w:pStyle w:val="7"/>
        <w:keepNext w:val="0"/>
        <w:keepLines w:val="0"/>
        <w:pageBreakBefore w:val="0"/>
        <w:widowControl w:val="0"/>
        <w:kinsoku/>
        <w:wordWrap/>
        <w:overflowPunct/>
        <w:topLinePunct w:val="0"/>
        <w:autoSpaceDE/>
        <w:autoSpaceDN/>
        <w:bidi w:val="0"/>
        <w:adjustRightInd/>
        <w:snapToGrid/>
        <w:spacing w:before="60" w:beforeLines="25" w:after="60" w:afterLines="25" w:line="360" w:lineRule="auto"/>
        <w:ind w:firstLine="0"/>
        <w:textAlignment w:val="auto"/>
        <w:outlineLvl w:val="2"/>
        <w:rPr>
          <w:rFonts w:ascii="黑体" w:hAnsi="宋体" w:eastAsia="黑体"/>
          <w:color w:val="0000FF"/>
          <w:sz w:val="24"/>
          <w:szCs w:val="20"/>
          <w:highlight w:val="none"/>
        </w:rPr>
      </w:pPr>
      <w:r>
        <w:rPr>
          <w:rFonts w:hint="eastAsia" w:ascii="黑体" w:hAnsi="宋体" w:eastAsia="黑体"/>
          <w:color w:val="0000FF"/>
          <w:sz w:val="24"/>
          <w:szCs w:val="20"/>
          <w:highlight w:val="none"/>
          <w:lang w:val="en-US" w:eastAsia="zh-CN"/>
        </w:rPr>
        <w:t>五、</w:t>
      </w:r>
      <w:r>
        <w:rPr>
          <w:rFonts w:hint="eastAsia" w:ascii="黑体" w:hAnsi="宋体" w:eastAsia="黑体"/>
          <w:color w:val="0000FF"/>
          <w:sz w:val="24"/>
          <w:szCs w:val="20"/>
          <w:highlight w:val="none"/>
        </w:rPr>
        <w:t>投标人认为</w:t>
      </w:r>
      <w:r>
        <w:rPr>
          <w:rFonts w:hint="eastAsia" w:ascii="黑体" w:hAnsi="宋体" w:eastAsia="黑体" w:cs="Times New Roman"/>
          <w:color w:val="0000FF"/>
          <w:sz w:val="24"/>
          <w:szCs w:val="20"/>
          <w:highlight w:val="none"/>
        </w:rPr>
        <w:t>需要</w:t>
      </w:r>
      <w:r>
        <w:rPr>
          <w:rFonts w:hint="eastAsia" w:ascii="黑体" w:hAnsi="宋体" w:eastAsia="黑体"/>
          <w:color w:val="0000FF"/>
          <w:sz w:val="24"/>
          <w:szCs w:val="20"/>
          <w:highlight w:val="none"/>
        </w:rPr>
        <w:t>加以说明的其他内容</w:t>
      </w:r>
    </w:p>
    <w:p w14:paraId="716186E7">
      <w:pPr>
        <w:pStyle w:val="8"/>
        <w:pageBreakBefore w:val="0"/>
        <w:kinsoku/>
        <w:overflowPunct/>
        <w:topLinePunct w:val="0"/>
        <w:bidi w:val="0"/>
        <w:spacing w:line="360" w:lineRule="auto"/>
        <w:rPr>
          <w:color w:val="auto"/>
          <w:highlight w:val="none"/>
        </w:rPr>
      </w:pPr>
    </w:p>
    <w:p w14:paraId="75CEF1D8">
      <w:pPr>
        <w:pageBreakBefore w:val="0"/>
        <w:widowControl/>
        <w:kinsoku/>
        <w:overflowPunct/>
        <w:topLinePunct w:val="0"/>
        <w:bidi w:val="0"/>
        <w:spacing w:line="360" w:lineRule="auto"/>
        <w:jc w:val="center"/>
        <w:rPr>
          <w:rFonts w:ascii="黑体" w:hAnsi="宋体" w:eastAsia="黑体"/>
          <w:color w:val="auto"/>
          <w:kern w:val="0"/>
          <w:sz w:val="24"/>
          <w:szCs w:val="20"/>
          <w:highlight w:val="none"/>
        </w:rPr>
      </w:pPr>
      <w:r>
        <w:rPr>
          <w:rFonts w:hint="eastAsia" w:ascii="黑体" w:hAnsi="宋体" w:eastAsia="黑体"/>
          <w:color w:val="auto"/>
          <w:kern w:val="0"/>
          <w:sz w:val="24"/>
          <w:szCs w:val="20"/>
          <w:highlight w:val="none"/>
        </w:rPr>
        <w:t>（一）采购违法行为风险知悉确认书</w:t>
      </w:r>
    </w:p>
    <w:p w14:paraId="636C7E7C">
      <w:pPr>
        <w:pageBreakBefore w:val="0"/>
        <w:widowControl/>
        <w:kinsoku/>
        <w:overflowPunct/>
        <w:topLinePunct w:val="0"/>
        <w:bidi w:val="0"/>
        <w:spacing w:line="360" w:lineRule="auto"/>
        <w:jc w:val="center"/>
        <w:rPr>
          <w:rFonts w:ascii="黑体" w:hAnsi="宋体" w:eastAsia="黑体"/>
          <w:color w:val="auto"/>
          <w:kern w:val="0"/>
          <w:sz w:val="24"/>
          <w:szCs w:val="20"/>
          <w:highlight w:val="none"/>
        </w:rPr>
      </w:pPr>
    </w:p>
    <w:p w14:paraId="12BE5A0E">
      <w:pPr>
        <w:pageBreakBefore w:val="0"/>
        <w:kinsoku/>
        <w:overflowPunct/>
        <w:topLinePunct w:val="0"/>
        <w:bidi w:val="0"/>
        <w:spacing w:line="360" w:lineRule="auto"/>
        <w:ind w:firstLine="420" w:firstLineChars="200"/>
        <w:rPr>
          <w:color w:val="auto"/>
          <w:highlight w:val="none"/>
        </w:rPr>
      </w:pPr>
      <w:r>
        <w:rPr>
          <w:rFonts w:hint="eastAsia"/>
          <w:color w:val="auto"/>
          <w:highlight w:val="none"/>
        </w:rPr>
        <w:t>本公司在投标前已充分知悉以下情形为参与</w:t>
      </w:r>
      <w:r>
        <w:rPr>
          <w:rFonts w:hint="eastAsia"/>
          <w:color w:val="auto"/>
          <w:highlight w:val="none"/>
          <w:lang w:val="en-US" w:eastAsia="zh-CN"/>
        </w:rPr>
        <w:t>自行</w:t>
      </w:r>
      <w:r>
        <w:rPr>
          <w:rFonts w:hint="eastAsia"/>
          <w:color w:val="auto"/>
          <w:highlight w:val="none"/>
        </w:rPr>
        <w:t>采购活动时的重大风险事项，并承诺已对下述风险提示事项重点排查，做到严谨、诚信、依法依规参与</w:t>
      </w:r>
      <w:r>
        <w:rPr>
          <w:rFonts w:hint="eastAsia"/>
          <w:color w:val="auto"/>
          <w:highlight w:val="none"/>
          <w:lang w:val="en-US" w:eastAsia="zh-CN"/>
        </w:rPr>
        <w:t>自行</w:t>
      </w:r>
      <w:r>
        <w:rPr>
          <w:rFonts w:hint="eastAsia"/>
          <w:color w:val="auto"/>
          <w:highlight w:val="none"/>
        </w:rPr>
        <w:t>采购活动。</w:t>
      </w:r>
    </w:p>
    <w:p w14:paraId="0A851D54">
      <w:pPr>
        <w:pageBreakBefore w:val="0"/>
        <w:kinsoku/>
        <w:overflowPunct/>
        <w:topLinePunct w:val="0"/>
        <w:bidi w:val="0"/>
        <w:spacing w:line="360" w:lineRule="auto"/>
        <w:ind w:firstLine="422" w:firstLineChars="200"/>
        <w:rPr>
          <w:b/>
          <w:color w:val="auto"/>
          <w:highlight w:val="none"/>
        </w:rPr>
      </w:pPr>
      <w:r>
        <w:rPr>
          <w:rFonts w:hint="eastAsia"/>
          <w:b/>
          <w:color w:val="auto"/>
          <w:highlight w:val="none"/>
        </w:rPr>
        <w:t>一、本公司已充分知悉“隐瞒真实情况，提供虚假资料”的法定情形，相关情形包括但不限于：</w:t>
      </w:r>
    </w:p>
    <w:p w14:paraId="4226D3EE">
      <w:pPr>
        <w:pageBreakBefore w:val="0"/>
        <w:kinsoku/>
        <w:overflowPunct/>
        <w:topLinePunct w:val="0"/>
        <w:bidi w:val="0"/>
        <w:spacing w:line="360" w:lineRule="auto"/>
        <w:ind w:firstLine="420" w:firstLineChars="200"/>
        <w:rPr>
          <w:color w:val="auto"/>
          <w:highlight w:val="none"/>
        </w:rPr>
      </w:pPr>
      <w:r>
        <w:rPr>
          <w:rFonts w:hint="eastAsia"/>
          <w:color w:val="auto"/>
          <w:highlight w:val="none"/>
        </w:rPr>
        <w:t>（一）通过转让或者租借等方式从其他单位获取资格或者资质证书投标的。</w:t>
      </w:r>
    </w:p>
    <w:p w14:paraId="726BD0B3">
      <w:pPr>
        <w:pageBreakBefore w:val="0"/>
        <w:kinsoku/>
        <w:overflowPunct/>
        <w:topLinePunct w:val="0"/>
        <w:bidi w:val="0"/>
        <w:spacing w:line="360" w:lineRule="auto"/>
        <w:ind w:firstLine="420" w:firstLineChars="200"/>
        <w:rPr>
          <w:color w:val="auto"/>
          <w:highlight w:val="none"/>
        </w:rPr>
      </w:pPr>
      <w:r>
        <w:rPr>
          <w:rFonts w:hint="eastAsia"/>
          <w:color w:val="auto"/>
          <w:highlight w:val="none"/>
        </w:rPr>
        <w:t>（二）由其他单位或者其他单位负责人在投标供应商编制的投标文件上加盖印章或者签字的。</w:t>
      </w:r>
    </w:p>
    <w:p w14:paraId="44A913FD">
      <w:pPr>
        <w:pageBreakBefore w:val="0"/>
        <w:kinsoku/>
        <w:overflowPunct/>
        <w:topLinePunct w:val="0"/>
        <w:bidi w:val="0"/>
        <w:spacing w:line="360" w:lineRule="auto"/>
        <w:ind w:firstLine="420" w:firstLineChars="200"/>
        <w:rPr>
          <w:color w:val="auto"/>
          <w:highlight w:val="none"/>
        </w:rPr>
      </w:pPr>
      <w:r>
        <w:rPr>
          <w:rFonts w:hint="eastAsia"/>
          <w:color w:val="auto"/>
          <w:highlight w:val="none"/>
        </w:rPr>
        <w:t>（三）项目负责人或者主要技术人员不是本单位人员的。</w:t>
      </w:r>
    </w:p>
    <w:p w14:paraId="5429AAFC">
      <w:pPr>
        <w:pageBreakBefore w:val="0"/>
        <w:kinsoku/>
        <w:overflowPunct/>
        <w:topLinePunct w:val="0"/>
        <w:bidi w:val="0"/>
        <w:spacing w:line="360" w:lineRule="auto"/>
        <w:ind w:firstLine="420" w:firstLineChars="200"/>
        <w:rPr>
          <w:color w:val="auto"/>
          <w:highlight w:val="none"/>
        </w:rPr>
      </w:pPr>
      <w:r>
        <w:rPr>
          <w:rFonts w:hint="eastAsia"/>
          <w:color w:val="auto"/>
          <w:highlight w:val="none"/>
        </w:rPr>
        <w:t>（四）投标保证金不是从投标供应商基本账户转出的。</w:t>
      </w:r>
    </w:p>
    <w:p w14:paraId="4CC9EEB2">
      <w:pPr>
        <w:pageBreakBefore w:val="0"/>
        <w:kinsoku/>
        <w:overflowPunct/>
        <w:topLinePunct w:val="0"/>
        <w:bidi w:val="0"/>
        <w:spacing w:line="360" w:lineRule="auto"/>
        <w:ind w:firstLine="420" w:firstLineChars="200"/>
        <w:rPr>
          <w:color w:val="auto"/>
          <w:highlight w:val="none"/>
        </w:rPr>
      </w:pPr>
      <w:r>
        <w:rPr>
          <w:rFonts w:hint="eastAsia"/>
          <w:color w:val="auto"/>
          <w:highlight w:val="none"/>
        </w:rPr>
        <w:t>（五）其他隐瞒真实情况、提供虚假资料的行为。</w:t>
      </w:r>
    </w:p>
    <w:p w14:paraId="1E220B93">
      <w:pPr>
        <w:pageBreakBefore w:val="0"/>
        <w:kinsoku/>
        <w:overflowPunct/>
        <w:topLinePunct w:val="0"/>
        <w:bidi w:val="0"/>
        <w:spacing w:line="360" w:lineRule="auto"/>
        <w:ind w:firstLine="422" w:firstLineChars="200"/>
        <w:rPr>
          <w:b/>
          <w:color w:val="auto"/>
          <w:highlight w:val="none"/>
        </w:rPr>
      </w:pPr>
      <w:r>
        <w:rPr>
          <w:rFonts w:hint="eastAsia"/>
          <w:b/>
          <w:color w:val="auto"/>
          <w:highlight w:val="none"/>
        </w:rPr>
        <w:t>二、本公司已充分知悉“与其他采购参加人串通投标”的法定情形，相关情形包括但不限于：</w:t>
      </w:r>
    </w:p>
    <w:p w14:paraId="20C71907">
      <w:pPr>
        <w:pageBreakBefore w:val="0"/>
        <w:kinsoku/>
        <w:overflowPunct/>
        <w:topLinePunct w:val="0"/>
        <w:bidi w:val="0"/>
        <w:spacing w:line="360" w:lineRule="auto"/>
        <w:ind w:firstLine="420" w:firstLineChars="200"/>
        <w:rPr>
          <w:color w:val="auto"/>
          <w:highlight w:val="none"/>
        </w:rPr>
      </w:pPr>
      <w:r>
        <w:rPr>
          <w:rFonts w:hint="eastAsia"/>
          <w:color w:val="auto"/>
          <w:highlight w:val="none"/>
        </w:rPr>
        <w:t>（一）投标供应商之间相互约定给予未中标的供应商利益补偿。</w:t>
      </w:r>
    </w:p>
    <w:p w14:paraId="7982C8B5">
      <w:pPr>
        <w:pageBreakBefore w:val="0"/>
        <w:kinsoku/>
        <w:overflowPunct/>
        <w:topLinePunct w:val="0"/>
        <w:bidi w:val="0"/>
        <w:spacing w:line="360" w:lineRule="auto"/>
        <w:ind w:firstLine="420" w:firstLineChars="200"/>
        <w:rPr>
          <w:color w:val="auto"/>
          <w:highlight w:val="none"/>
        </w:rPr>
      </w:pPr>
      <w:r>
        <w:rPr>
          <w:rFonts w:hint="eastAsia"/>
          <w:color w:val="auto"/>
          <w:highlight w:val="none"/>
        </w:rPr>
        <w:t>（二）不同投标供应商的法定代表人、主要经营负责人、项目投标授权代表人、项目负责人、主要技术人员为同一人、属同一单位或者在同一单位缴纳社会保险。</w:t>
      </w:r>
    </w:p>
    <w:p w14:paraId="7C58B70C">
      <w:pPr>
        <w:pageBreakBefore w:val="0"/>
        <w:kinsoku/>
        <w:overflowPunct/>
        <w:topLinePunct w:val="0"/>
        <w:bidi w:val="0"/>
        <w:spacing w:line="360" w:lineRule="auto"/>
        <w:ind w:firstLine="420" w:firstLineChars="200"/>
        <w:rPr>
          <w:color w:val="auto"/>
          <w:highlight w:val="none"/>
        </w:rPr>
      </w:pPr>
      <w:r>
        <w:rPr>
          <w:rFonts w:hint="eastAsia"/>
          <w:color w:val="auto"/>
          <w:highlight w:val="none"/>
        </w:rPr>
        <w:t>（三）不同投标供应商的投标文件由同一单位或者同一人编制，或者由同一人分阶段参与编制的。</w:t>
      </w:r>
    </w:p>
    <w:p w14:paraId="35D1AAAC">
      <w:pPr>
        <w:pageBreakBefore w:val="0"/>
        <w:kinsoku/>
        <w:overflowPunct/>
        <w:topLinePunct w:val="0"/>
        <w:bidi w:val="0"/>
        <w:spacing w:line="360" w:lineRule="auto"/>
        <w:ind w:firstLine="420" w:firstLineChars="200"/>
        <w:rPr>
          <w:color w:val="auto"/>
          <w:highlight w:val="none"/>
        </w:rPr>
      </w:pPr>
      <w:r>
        <w:rPr>
          <w:rFonts w:hint="eastAsia"/>
          <w:color w:val="auto"/>
          <w:highlight w:val="none"/>
        </w:rPr>
        <w:t>（四）不同投标供应商的投标文件或部分投标文件相互混装。</w:t>
      </w:r>
    </w:p>
    <w:p w14:paraId="264722BB">
      <w:pPr>
        <w:pageBreakBefore w:val="0"/>
        <w:kinsoku/>
        <w:overflowPunct/>
        <w:topLinePunct w:val="0"/>
        <w:bidi w:val="0"/>
        <w:spacing w:line="360" w:lineRule="auto"/>
        <w:ind w:firstLine="420" w:firstLineChars="200"/>
        <w:rPr>
          <w:color w:val="auto"/>
          <w:highlight w:val="none"/>
        </w:rPr>
      </w:pPr>
      <w:r>
        <w:rPr>
          <w:rFonts w:hint="eastAsia"/>
          <w:color w:val="auto"/>
          <w:highlight w:val="none"/>
        </w:rPr>
        <w:t>（五）不同投标供应商的投标文件内容存在非正常一致。</w:t>
      </w:r>
    </w:p>
    <w:p w14:paraId="060B0230">
      <w:pPr>
        <w:pageBreakBefore w:val="0"/>
        <w:kinsoku/>
        <w:overflowPunct/>
        <w:topLinePunct w:val="0"/>
        <w:bidi w:val="0"/>
        <w:spacing w:line="360" w:lineRule="auto"/>
        <w:ind w:firstLine="420" w:firstLineChars="200"/>
        <w:rPr>
          <w:color w:val="auto"/>
          <w:highlight w:val="none"/>
        </w:rPr>
      </w:pPr>
      <w:r>
        <w:rPr>
          <w:rFonts w:hint="eastAsia"/>
          <w:color w:val="auto"/>
          <w:highlight w:val="none"/>
        </w:rPr>
        <w:t>（六）由同一单位工作人员为两家以上（含两家）供应商进行同一项投标活动的。</w:t>
      </w:r>
    </w:p>
    <w:p w14:paraId="2A868B45">
      <w:pPr>
        <w:pageBreakBefore w:val="0"/>
        <w:kinsoku/>
        <w:overflowPunct/>
        <w:topLinePunct w:val="0"/>
        <w:bidi w:val="0"/>
        <w:spacing w:line="360" w:lineRule="auto"/>
        <w:ind w:firstLine="420" w:firstLineChars="200"/>
        <w:rPr>
          <w:color w:val="auto"/>
          <w:highlight w:val="none"/>
        </w:rPr>
      </w:pPr>
      <w:r>
        <w:rPr>
          <w:rFonts w:hint="eastAsia"/>
          <w:color w:val="auto"/>
          <w:highlight w:val="none"/>
        </w:rPr>
        <w:t>（七）不同投标人的投标报价呈规律性差异。</w:t>
      </w:r>
    </w:p>
    <w:p w14:paraId="4E7386AD">
      <w:pPr>
        <w:pageBreakBefore w:val="0"/>
        <w:kinsoku/>
        <w:overflowPunct/>
        <w:topLinePunct w:val="0"/>
        <w:bidi w:val="0"/>
        <w:spacing w:line="360" w:lineRule="auto"/>
        <w:ind w:firstLine="420" w:firstLineChars="200"/>
        <w:rPr>
          <w:color w:val="auto"/>
          <w:highlight w:val="none"/>
        </w:rPr>
      </w:pPr>
      <w:r>
        <w:rPr>
          <w:rFonts w:hint="eastAsia"/>
          <w:color w:val="auto"/>
          <w:highlight w:val="none"/>
        </w:rPr>
        <w:t>（八）不同投标人的投标保证金从同一单位或者个人的账户转出。</w:t>
      </w:r>
    </w:p>
    <w:p w14:paraId="270C99CA">
      <w:pPr>
        <w:pageBreakBefore w:val="0"/>
        <w:kinsoku/>
        <w:overflowPunct/>
        <w:topLinePunct w:val="0"/>
        <w:bidi w:val="0"/>
        <w:spacing w:line="360" w:lineRule="auto"/>
        <w:ind w:firstLine="420" w:firstLineChars="200"/>
        <w:rPr>
          <w:color w:val="auto"/>
          <w:highlight w:val="none"/>
        </w:rPr>
      </w:pPr>
      <w:r>
        <w:rPr>
          <w:rFonts w:hint="eastAsia"/>
          <w:color w:val="auto"/>
          <w:highlight w:val="none"/>
        </w:rPr>
        <w:t>（九）主管部门依照法律、法规认定的其他情形。</w:t>
      </w:r>
    </w:p>
    <w:p w14:paraId="3595F4FB">
      <w:pPr>
        <w:pageBreakBefore w:val="0"/>
        <w:kinsoku/>
        <w:overflowPunct/>
        <w:topLinePunct w:val="0"/>
        <w:bidi w:val="0"/>
        <w:spacing w:line="360" w:lineRule="auto"/>
        <w:ind w:firstLine="422" w:firstLineChars="200"/>
        <w:rPr>
          <w:b/>
          <w:color w:val="auto"/>
          <w:highlight w:val="none"/>
        </w:rPr>
      </w:pPr>
      <w:r>
        <w:rPr>
          <w:rFonts w:hint="eastAsia"/>
          <w:b/>
          <w:color w:val="auto"/>
          <w:highlight w:val="none"/>
        </w:rPr>
        <w:t>三、本公司已充分知悉下列情形所对应的法律风险，并在投标前已对相关风险事项进行排查。</w:t>
      </w:r>
    </w:p>
    <w:p w14:paraId="28E42834">
      <w:pPr>
        <w:pageBreakBefore w:val="0"/>
        <w:kinsoku/>
        <w:overflowPunct/>
        <w:topLinePunct w:val="0"/>
        <w:bidi w:val="0"/>
        <w:spacing w:line="360" w:lineRule="auto"/>
        <w:ind w:firstLine="420" w:firstLineChars="200"/>
        <w:rPr>
          <w:b/>
          <w:color w:val="auto"/>
          <w:highlight w:val="none"/>
        </w:rPr>
      </w:pPr>
      <w:r>
        <w:rPr>
          <w:rFonts w:hint="eastAsia"/>
          <w:color w:val="auto"/>
          <w:highlight w:val="none"/>
        </w:rPr>
        <w:t>（一）对于从其他主体获取的投标资料，供应商应审慎核查，确保投标资料的真实性。</w:t>
      </w:r>
      <w:r>
        <w:rPr>
          <w:rFonts w:hint="eastAsia"/>
          <w:b/>
          <w:color w:val="auto"/>
          <w:highlight w:val="none"/>
        </w:rPr>
        <w:t>如主管部门查实投标文件中存在虚假资料的，无论相关资料是否由第三方或本公司员工提供，均不影响主管部门对供应商存在“隐瞒真实情况，提供虚假资料”违法行为的认定。</w:t>
      </w:r>
    </w:p>
    <w:p w14:paraId="3DFD597E">
      <w:pPr>
        <w:pageBreakBefore w:val="0"/>
        <w:kinsoku/>
        <w:overflowPunct/>
        <w:topLinePunct w:val="0"/>
        <w:bidi w:val="0"/>
        <w:spacing w:line="360" w:lineRule="auto"/>
        <w:ind w:firstLine="420" w:firstLineChars="200"/>
        <w:rPr>
          <w:color w:val="auto"/>
          <w:highlight w:val="none"/>
        </w:rPr>
      </w:pPr>
      <w:r>
        <w:rPr>
          <w:rFonts w:hint="eastAsia"/>
          <w:color w:val="auto"/>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14:paraId="0F87B9EF">
      <w:pPr>
        <w:pageBreakBefore w:val="0"/>
        <w:kinsoku/>
        <w:overflowPunct/>
        <w:topLinePunct w:val="0"/>
        <w:bidi w:val="0"/>
        <w:spacing w:line="360" w:lineRule="auto"/>
        <w:ind w:firstLine="420" w:firstLineChars="200"/>
        <w:rPr>
          <w:color w:val="auto"/>
          <w:highlight w:val="none"/>
        </w:rPr>
      </w:pPr>
      <w:r>
        <w:rPr>
          <w:rFonts w:hint="eastAsia"/>
          <w:color w:val="auto"/>
          <w:highlight w:val="none"/>
        </w:rPr>
        <w:t>（三）对于涉及安全生产、特种作业、抢险救灾、防疫等采购项目，供应商实施提供虚假资料、串通投标等违法行为的，主管部门将依法从严处理。</w:t>
      </w:r>
    </w:p>
    <w:p w14:paraId="2EC57BD7">
      <w:pPr>
        <w:pageBreakBefore w:val="0"/>
        <w:kinsoku/>
        <w:overflowPunct/>
        <w:topLinePunct w:val="0"/>
        <w:bidi w:val="0"/>
        <w:spacing w:line="360" w:lineRule="auto"/>
        <w:ind w:firstLine="420" w:firstLineChars="200"/>
        <w:rPr>
          <w:color w:val="auto"/>
          <w:highlight w:val="none"/>
        </w:rPr>
      </w:pPr>
      <w:r>
        <w:rPr>
          <w:rFonts w:hint="eastAsia"/>
          <w:color w:val="auto"/>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78958398">
      <w:pPr>
        <w:pageBreakBefore w:val="0"/>
        <w:kinsoku/>
        <w:overflowPunct/>
        <w:topLinePunct w:val="0"/>
        <w:bidi w:val="0"/>
        <w:spacing w:line="360" w:lineRule="auto"/>
        <w:ind w:firstLine="420" w:firstLineChars="200"/>
        <w:rPr>
          <w:color w:val="auto"/>
          <w:highlight w:val="none"/>
        </w:rPr>
      </w:pPr>
      <w:r>
        <w:rPr>
          <w:rFonts w:hint="eastAsia"/>
          <w:color w:val="auto"/>
          <w:highlight w:val="none"/>
        </w:rPr>
        <w:t>（五）供应商对投标电子密钥负有妥善保管、及时变更和续期等主体责任。供应商使用电子密钥在深圳</w:t>
      </w:r>
      <w:r>
        <w:rPr>
          <w:rFonts w:hint="eastAsia"/>
          <w:color w:val="auto"/>
          <w:highlight w:val="none"/>
          <w:lang w:val="en-US" w:eastAsia="zh-CN"/>
        </w:rPr>
        <w:t>自行</w:t>
      </w:r>
      <w:r>
        <w:rPr>
          <w:rFonts w:hint="eastAsia"/>
          <w:color w:val="auto"/>
          <w:highlight w:val="none"/>
        </w:rPr>
        <w:t>采购网站进行的活动，均具有法律效力，须承担相应的法律后果。供应商擅自将投标密钥出借他人使用所造成的法律后果，由供应商自行承担。</w:t>
      </w:r>
    </w:p>
    <w:p w14:paraId="0CD1C4BB">
      <w:pPr>
        <w:pageBreakBefore w:val="0"/>
        <w:kinsoku/>
        <w:overflowPunct/>
        <w:topLinePunct w:val="0"/>
        <w:bidi w:val="0"/>
        <w:spacing w:line="360" w:lineRule="auto"/>
        <w:ind w:firstLine="420" w:firstLineChars="200"/>
        <w:rPr>
          <w:color w:val="auto"/>
          <w:highlight w:val="none"/>
        </w:rPr>
      </w:pPr>
      <w:r>
        <w:rPr>
          <w:rFonts w:hint="eastAsia"/>
          <w:color w:val="auto"/>
          <w:highlight w:val="none"/>
        </w:rPr>
        <w:t>（六）单位负责人为同一人或者存在直接控股、管理关系的不同供应商，不得参加同一合同项下的采购活动。相关情形如查实，依法作投标无效处理；涉嫌串通投标等违法行为的，主管部门将依法调查处理。</w:t>
      </w:r>
    </w:p>
    <w:p w14:paraId="68BEF750">
      <w:pPr>
        <w:pageBreakBefore w:val="0"/>
        <w:kinsoku/>
        <w:overflowPunct/>
        <w:topLinePunct w:val="0"/>
        <w:bidi w:val="0"/>
        <w:spacing w:line="360" w:lineRule="auto"/>
        <w:ind w:firstLine="422" w:firstLineChars="200"/>
        <w:rPr>
          <w:b/>
          <w:color w:val="auto"/>
          <w:highlight w:val="none"/>
        </w:rPr>
      </w:pPr>
      <w:r>
        <w:rPr>
          <w:rFonts w:hint="eastAsia"/>
          <w:b/>
          <w:color w:val="auto"/>
          <w:highlight w:val="none"/>
        </w:rPr>
        <w:t>四、本公司已充分知悉政府采购违法、违规行为的法律后果。</w:t>
      </w:r>
    </w:p>
    <w:p w14:paraId="51320494">
      <w:pPr>
        <w:pageBreakBefore w:val="0"/>
        <w:kinsoku/>
        <w:overflowPunct/>
        <w:topLinePunct w:val="0"/>
        <w:bidi w:val="0"/>
        <w:spacing w:line="360" w:lineRule="auto"/>
        <w:ind w:firstLine="420" w:firstLineChars="200"/>
        <w:rPr>
          <w:color w:val="auto"/>
          <w:highlight w:val="none"/>
        </w:rPr>
      </w:pPr>
      <w:r>
        <w:rPr>
          <w:rFonts w:hint="eastAsia"/>
          <w:color w:val="auto"/>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5449E9A0">
      <w:pPr>
        <w:pageBreakBefore w:val="0"/>
        <w:kinsoku/>
        <w:overflowPunct/>
        <w:topLinePunct w:val="0"/>
        <w:bidi w:val="0"/>
        <w:spacing w:line="360" w:lineRule="auto"/>
        <w:ind w:firstLine="420" w:firstLineChars="200"/>
        <w:rPr>
          <w:color w:val="auto"/>
          <w:highlight w:val="none"/>
        </w:rPr>
      </w:pPr>
      <w:r>
        <w:rPr>
          <w:rFonts w:hint="eastAsia"/>
          <w:color w:val="auto"/>
          <w:highlight w:val="none"/>
        </w:rPr>
        <w:t>以下文字请投标供应商抄写并确认：“本公司已仔细阅读《采购违法行为风险知悉确认书》，充分知悉违法行为的法律后果，并承诺将严谨、诚信、依法依规参与采购活动”。</w:t>
      </w:r>
    </w:p>
    <w:tbl>
      <w:tblPr>
        <w:tblStyle w:val="204"/>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0DBC5B4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13E92E9A">
            <w:pPr>
              <w:pageBreakBefore w:val="0"/>
              <w:kinsoku/>
              <w:overflowPunct/>
              <w:topLinePunct w:val="0"/>
              <w:autoSpaceDE w:val="0"/>
              <w:autoSpaceDN w:val="0"/>
              <w:bidi w:val="0"/>
              <w:spacing w:line="360" w:lineRule="auto"/>
              <w:ind w:firstLine="1866"/>
              <w:rPr>
                <w:rFonts w:ascii="宋体" w:hAnsi="宋体" w:eastAsiaTheme="minorEastAsia"/>
                <w:color w:val="auto"/>
                <w:spacing w:val="-4"/>
                <w:kern w:val="0"/>
                <w:szCs w:val="21"/>
                <w:highlight w:val="none"/>
              </w:rPr>
            </w:pPr>
          </w:p>
        </w:tc>
      </w:tr>
      <w:tr w14:paraId="4CFDDD8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148704B9">
            <w:pPr>
              <w:pageBreakBefore w:val="0"/>
              <w:kinsoku/>
              <w:overflowPunct/>
              <w:topLinePunct w:val="0"/>
              <w:autoSpaceDE w:val="0"/>
              <w:autoSpaceDN w:val="0"/>
              <w:bidi w:val="0"/>
              <w:spacing w:line="360" w:lineRule="auto"/>
              <w:ind w:firstLine="1866"/>
              <w:rPr>
                <w:rFonts w:ascii="宋体" w:hAnsi="宋体" w:eastAsiaTheme="minorEastAsia"/>
                <w:color w:val="auto"/>
                <w:spacing w:val="-4"/>
                <w:kern w:val="0"/>
                <w:szCs w:val="21"/>
                <w:highlight w:val="none"/>
              </w:rPr>
            </w:pPr>
          </w:p>
        </w:tc>
      </w:tr>
      <w:tr w14:paraId="6F1D9EC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0E7735D4">
            <w:pPr>
              <w:pageBreakBefore w:val="0"/>
              <w:kinsoku/>
              <w:overflowPunct/>
              <w:topLinePunct w:val="0"/>
              <w:autoSpaceDE w:val="0"/>
              <w:autoSpaceDN w:val="0"/>
              <w:bidi w:val="0"/>
              <w:spacing w:line="360" w:lineRule="auto"/>
              <w:ind w:firstLine="1866"/>
              <w:rPr>
                <w:rFonts w:ascii="宋体" w:hAnsi="宋体" w:eastAsiaTheme="minorEastAsia"/>
                <w:color w:val="auto"/>
                <w:spacing w:val="-4"/>
                <w:kern w:val="0"/>
                <w:szCs w:val="21"/>
                <w:highlight w:val="none"/>
              </w:rPr>
            </w:pPr>
          </w:p>
        </w:tc>
      </w:tr>
      <w:tr w14:paraId="6393BDC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370A7016">
            <w:pPr>
              <w:pageBreakBefore w:val="0"/>
              <w:kinsoku/>
              <w:overflowPunct/>
              <w:topLinePunct w:val="0"/>
              <w:autoSpaceDE w:val="0"/>
              <w:autoSpaceDN w:val="0"/>
              <w:bidi w:val="0"/>
              <w:spacing w:line="360" w:lineRule="auto"/>
              <w:ind w:firstLine="1866"/>
              <w:rPr>
                <w:rFonts w:ascii="宋体" w:hAnsi="宋体" w:eastAsiaTheme="minorEastAsia"/>
                <w:color w:val="auto"/>
                <w:spacing w:val="-4"/>
                <w:kern w:val="0"/>
                <w:szCs w:val="21"/>
                <w:highlight w:val="none"/>
              </w:rPr>
            </w:pPr>
          </w:p>
        </w:tc>
      </w:tr>
    </w:tbl>
    <w:p w14:paraId="4C905A51">
      <w:pPr>
        <w:pageBreakBefore w:val="0"/>
        <w:widowControl/>
        <w:kinsoku/>
        <w:wordWrap w:val="0"/>
        <w:overflowPunct/>
        <w:topLinePunct w:val="0"/>
        <w:autoSpaceDE w:val="0"/>
        <w:autoSpaceDN w:val="0"/>
        <w:bidi w:val="0"/>
        <w:spacing w:line="360" w:lineRule="auto"/>
        <w:ind w:right="808" w:firstLine="404" w:firstLineChars="200"/>
        <w:jc w:val="right"/>
        <w:rPr>
          <w:rFonts w:ascii="宋体" w:hAnsi="宋体" w:eastAsiaTheme="minorEastAsia"/>
          <w:color w:val="auto"/>
          <w:spacing w:val="-4"/>
          <w:kern w:val="0"/>
          <w:szCs w:val="21"/>
          <w:highlight w:val="none"/>
          <w:u w:val="single"/>
        </w:rPr>
      </w:pPr>
      <w:r>
        <w:rPr>
          <w:rFonts w:hint="eastAsia" w:ascii="宋体" w:hAnsi="宋体" w:eastAsiaTheme="minorEastAsia"/>
          <w:color w:val="auto"/>
          <w:spacing w:val="-4"/>
          <w:kern w:val="0"/>
          <w:szCs w:val="21"/>
          <w:highlight w:val="none"/>
        </w:rPr>
        <w:t>负责人/投标授权代表签名：</w:t>
      </w:r>
      <w:r>
        <w:rPr>
          <w:rFonts w:hint="eastAsia" w:ascii="宋体" w:hAnsi="宋体" w:eastAsiaTheme="minorEastAsia"/>
          <w:color w:val="auto"/>
          <w:spacing w:val="-4"/>
          <w:kern w:val="0"/>
          <w:szCs w:val="21"/>
          <w:highlight w:val="none"/>
          <w:u w:val="single"/>
        </w:rPr>
        <w:t xml:space="preserve">              </w:t>
      </w:r>
    </w:p>
    <w:p w14:paraId="1A64C4E6">
      <w:pPr>
        <w:pageBreakBefore w:val="0"/>
        <w:widowControl/>
        <w:kinsoku/>
        <w:wordWrap w:val="0"/>
        <w:overflowPunct/>
        <w:topLinePunct w:val="0"/>
        <w:autoSpaceDE w:val="0"/>
        <w:autoSpaceDN w:val="0"/>
        <w:bidi w:val="0"/>
        <w:spacing w:line="360" w:lineRule="auto"/>
        <w:ind w:right="808" w:firstLine="404" w:firstLineChars="200"/>
        <w:jc w:val="right"/>
        <w:rPr>
          <w:rFonts w:ascii="宋体" w:hAnsi="宋体" w:eastAsiaTheme="minorEastAsia"/>
          <w:color w:val="auto"/>
          <w:spacing w:val="-4"/>
          <w:kern w:val="0"/>
          <w:szCs w:val="21"/>
          <w:highlight w:val="none"/>
          <w:u w:val="single"/>
        </w:rPr>
      </w:pPr>
      <w:r>
        <w:rPr>
          <w:rFonts w:hint="eastAsia" w:ascii="宋体" w:hAnsi="宋体" w:eastAsiaTheme="minorEastAsia"/>
          <w:color w:val="auto"/>
          <w:spacing w:val="-4"/>
          <w:kern w:val="0"/>
          <w:szCs w:val="21"/>
          <w:highlight w:val="none"/>
        </w:rPr>
        <w:t>知悉人（公章）：</w:t>
      </w:r>
      <w:r>
        <w:rPr>
          <w:rFonts w:hint="eastAsia" w:ascii="宋体" w:hAnsi="宋体" w:eastAsiaTheme="minorEastAsia"/>
          <w:color w:val="auto"/>
          <w:spacing w:val="-4"/>
          <w:kern w:val="0"/>
          <w:szCs w:val="21"/>
          <w:highlight w:val="none"/>
          <w:u w:val="single"/>
        </w:rPr>
        <w:t xml:space="preserve">              </w:t>
      </w:r>
    </w:p>
    <w:p w14:paraId="0E088EA0">
      <w:pPr>
        <w:pageBreakBefore w:val="0"/>
        <w:widowControl/>
        <w:kinsoku/>
        <w:wordWrap w:val="0"/>
        <w:overflowPunct/>
        <w:topLinePunct w:val="0"/>
        <w:autoSpaceDE w:val="0"/>
        <w:autoSpaceDN w:val="0"/>
        <w:bidi w:val="0"/>
        <w:spacing w:line="360" w:lineRule="auto"/>
        <w:ind w:right="808" w:firstLine="404" w:firstLineChars="200"/>
        <w:jc w:val="right"/>
        <w:rPr>
          <w:rFonts w:ascii="宋体" w:hAnsi="宋体" w:eastAsiaTheme="minorEastAsia"/>
          <w:color w:val="auto"/>
          <w:spacing w:val="-4"/>
          <w:kern w:val="0"/>
          <w:szCs w:val="21"/>
          <w:highlight w:val="none"/>
          <w:u w:val="single"/>
        </w:rPr>
      </w:pPr>
      <w:r>
        <w:rPr>
          <w:rFonts w:hint="eastAsia" w:ascii="宋体" w:hAnsi="宋体" w:eastAsiaTheme="minorEastAsia"/>
          <w:color w:val="auto"/>
          <w:spacing w:val="-4"/>
          <w:kern w:val="0"/>
          <w:szCs w:val="21"/>
          <w:highlight w:val="none"/>
        </w:rPr>
        <w:t xml:space="preserve">     日期：</w:t>
      </w:r>
      <w:r>
        <w:rPr>
          <w:rFonts w:hint="eastAsia" w:ascii="宋体" w:hAnsi="宋体" w:eastAsiaTheme="minorEastAsia"/>
          <w:color w:val="auto"/>
          <w:spacing w:val="-4"/>
          <w:kern w:val="0"/>
          <w:szCs w:val="21"/>
          <w:highlight w:val="none"/>
          <w:u w:val="single"/>
        </w:rPr>
        <w:t xml:space="preserve">              </w:t>
      </w:r>
    </w:p>
    <w:p w14:paraId="7DF38373">
      <w:pPr>
        <w:pageBreakBefore w:val="0"/>
        <w:widowControl/>
        <w:kinsoku/>
        <w:overflowPunct/>
        <w:topLinePunct w:val="0"/>
        <w:autoSpaceDE w:val="0"/>
        <w:autoSpaceDN w:val="0"/>
        <w:bidi w:val="0"/>
        <w:spacing w:line="360" w:lineRule="auto"/>
        <w:ind w:firstLine="406" w:firstLineChars="200"/>
        <w:jc w:val="left"/>
        <w:rPr>
          <w:rFonts w:ascii="宋体" w:hAnsi="宋体" w:eastAsiaTheme="minorEastAsia"/>
          <w:b/>
          <w:bCs/>
          <w:color w:val="auto"/>
          <w:spacing w:val="-4"/>
          <w:kern w:val="0"/>
          <w:szCs w:val="21"/>
          <w:highlight w:val="none"/>
        </w:rPr>
      </w:pPr>
      <w:r>
        <w:rPr>
          <w:rFonts w:hint="eastAsia" w:ascii="宋体" w:hAnsi="宋体" w:eastAsiaTheme="minorEastAsia"/>
          <w:b/>
          <w:bCs/>
          <w:color w:val="auto"/>
          <w:spacing w:val="-4"/>
          <w:kern w:val="0"/>
          <w:szCs w:val="21"/>
          <w:highlight w:val="none"/>
        </w:rPr>
        <w:t>注：</w:t>
      </w:r>
    </w:p>
    <w:p w14:paraId="0193697E">
      <w:pPr>
        <w:pageBreakBefore w:val="0"/>
        <w:widowControl/>
        <w:kinsoku/>
        <w:overflowPunct/>
        <w:topLinePunct w:val="0"/>
        <w:autoSpaceDE w:val="0"/>
        <w:autoSpaceDN w:val="0"/>
        <w:bidi w:val="0"/>
        <w:spacing w:line="360" w:lineRule="auto"/>
        <w:ind w:firstLine="406" w:firstLineChars="200"/>
        <w:jc w:val="left"/>
        <w:rPr>
          <w:rFonts w:ascii="宋体" w:hAnsi="宋体" w:eastAsiaTheme="minorEastAsia"/>
          <w:b/>
          <w:bCs/>
          <w:color w:val="auto"/>
          <w:spacing w:val="-4"/>
          <w:kern w:val="0"/>
          <w:szCs w:val="21"/>
          <w:highlight w:val="none"/>
        </w:rPr>
      </w:pPr>
      <w:r>
        <w:rPr>
          <w:rFonts w:hint="eastAsia" w:ascii="宋体" w:hAnsi="宋体" w:eastAsiaTheme="minorEastAsia"/>
          <w:b/>
          <w:bCs/>
          <w:color w:val="auto"/>
          <w:spacing w:val="-4"/>
          <w:kern w:val="0"/>
          <w:szCs w:val="21"/>
          <w:highlight w:val="none"/>
        </w:rPr>
        <w:t>1.</w:t>
      </w:r>
      <w:r>
        <w:rPr>
          <w:rFonts w:hint="eastAsia"/>
          <w:color w:val="auto"/>
          <w:highlight w:val="none"/>
        </w:rPr>
        <w:t xml:space="preserve"> </w:t>
      </w:r>
      <w:r>
        <w:rPr>
          <w:rFonts w:hint="eastAsia" w:ascii="宋体" w:hAnsi="宋体" w:eastAsiaTheme="minorEastAsia"/>
          <w:b/>
          <w:bCs/>
          <w:color w:val="auto"/>
          <w:spacing w:val="-4"/>
          <w:kern w:val="0"/>
          <w:szCs w:val="21"/>
          <w:highlight w:val="none"/>
        </w:rPr>
        <w:t>根据《深圳市财政局关于采购文件增加风险告知有关事项的通知》（深财购〔2022〕22 号），该风险知悉确认书用于对供应商违法行为的警示，不作为供应商资格性审查及符合性审查条件。</w:t>
      </w:r>
    </w:p>
    <w:p w14:paraId="5ADCBDA0">
      <w:pPr>
        <w:pageBreakBefore w:val="0"/>
        <w:widowControl/>
        <w:kinsoku/>
        <w:overflowPunct/>
        <w:topLinePunct w:val="0"/>
        <w:autoSpaceDE w:val="0"/>
        <w:autoSpaceDN w:val="0"/>
        <w:bidi w:val="0"/>
        <w:spacing w:line="360" w:lineRule="auto"/>
        <w:ind w:firstLine="406" w:firstLineChars="200"/>
        <w:jc w:val="left"/>
        <w:rPr>
          <w:rFonts w:ascii="宋体" w:hAnsi="宋体" w:eastAsiaTheme="minorEastAsia"/>
          <w:color w:val="auto"/>
          <w:spacing w:val="-4"/>
          <w:kern w:val="0"/>
          <w:szCs w:val="21"/>
          <w:highlight w:val="none"/>
        </w:rPr>
      </w:pPr>
      <w:r>
        <w:rPr>
          <w:rFonts w:hint="eastAsia" w:ascii="宋体" w:hAnsi="宋体" w:eastAsiaTheme="minorEastAsia"/>
          <w:b/>
          <w:bCs/>
          <w:color w:val="auto"/>
          <w:spacing w:val="-4"/>
          <w:kern w:val="0"/>
          <w:szCs w:val="21"/>
          <w:highlight w:val="none"/>
        </w:rPr>
        <w:t>2.投标供应商负责人或投标授权代表签字并加盖单位公章后，扫描上传至投标文件一并提交。</w:t>
      </w:r>
    </w:p>
    <w:p w14:paraId="1B543E45">
      <w:pPr>
        <w:pageBreakBefore w:val="0"/>
        <w:widowControl/>
        <w:kinsoku/>
        <w:overflowPunct/>
        <w:topLinePunct w:val="0"/>
        <w:bidi w:val="0"/>
        <w:spacing w:line="360" w:lineRule="auto"/>
        <w:jc w:val="left"/>
        <w:rPr>
          <w:rFonts w:eastAsiaTheme="minorEastAsia"/>
          <w:b/>
          <w:bCs/>
          <w:color w:val="auto"/>
          <w:kern w:val="0"/>
          <w:sz w:val="24"/>
          <w:highlight w:val="none"/>
        </w:rPr>
      </w:pPr>
    </w:p>
    <w:p w14:paraId="7650D6FD">
      <w:pPr>
        <w:pStyle w:val="8"/>
        <w:pageBreakBefore w:val="0"/>
        <w:kinsoku/>
        <w:overflowPunct/>
        <w:topLinePunct w:val="0"/>
        <w:bidi w:val="0"/>
        <w:spacing w:line="360" w:lineRule="auto"/>
        <w:rPr>
          <w:color w:val="auto"/>
          <w:highlight w:val="none"/>
        </w:rPr>
      </w:pPr>
      <w:r>
        <w:rPr>
          <w:rFonts w:hint="eastAsia" w:ascii="黑体" w:hAnsi="宋体" w:eastAsia="黑体"/>
          <w:color w:val="auto"/>
          <w:kern w:val="0"/>
          <w:sz w:val="24"/>
          <w:szCs w:val="20"/>
          <w:highlight w:val="none"/>
        </w:rPr>
        <w:t>（二）投标人认为需要加以说明的其他内容（格式自定）</w:t>
      </w:r>
    </w:p>
    <w:p w14:paraId="0A5DC816">
      <w:pPr>
        <w:pStyle w:val="36"/>
        <w:pageBreakBefore w:val="0"/>
        <w:kinsoku/>
        <w:overflowPunct/>
        <w:topLinePunct w:val="0"/>
        <w:bidi w:val="0"/>
        <w:spacing w:line="360" w:lineRule="auto"/>
        <w:rPr>
          <w:color w:val="auto"/>
          <w:highlight w:val="none"/>
        </w:rPr>
      </w:pPr>
    </w:p>
    <w:p w14:paraId="33D56AEC">
      <w:pPr>
        <w:pageBreakBefore w:val="0"/>
        <w:widowControl/>
        <w:kinsoku/>
        <w:overflowPunct/>
        <w:topLinePunct w:val="0"/>
        <w:bidi w:val="0"/>
        <w:spacing w:line="360" w:lineRule="auto"/>
        <w:jc w:val="left"/>
        <w:rPr>
          <w:rFonts w:ascii="宋体" w:hAnsi="宋体"/>
          <w:b/>
          <w:bCs/>
          <w:color w:val="auto"/>
          <w:kern w:val="0"/>
          <w:sz w:val="24"/>
          <w:szCs w:val="20"/>
          <w:highlight w:val="none"/>
        </w:rPr>
      </w:pPr>
      <w:r>
        <w:rPr>
          <w:color w:val="auto"/>
          <w:highlight w:val="none"/>
        </w:rPr>
        <w:br w:type="page"/>
      </w:r>
    </w:p>
    <w:p w14:paraId="731EEE5D">
      <w:pPr>
        <w:pStyle w:val="5"/>
        <w:pageBreakBefore w:val="0"/>
        <w:kinsoku/>
        <w:overflowPunct/>
        <w:topLinePunct w:val="0"/>
        <w:bidi w:val="0"/>
        <w:spacing w:line="360" w:lineRule="auto"/>
        <w:rPr>
          <w:b/>
          <w:bCs/>
          <w:color w:val="auto"/>
          <w:sz w:val="28"/>
          <w:szCs w:val="28"/>
          <w:highlight w:val="none"/>
        </w:rPr>
      </w:pPr>
      <w:r>
        <w:rPr>
          <w:rFonts w:hint="eastAsia"/>
          <w:b/>
          <w:bCs/>
          <w:color w:val="auto"/>
          <w:sz w:val="28"/>
          <w:szCs w:val="28"/>
          <w:highlight w:val="none"/>
        </w:rPr>
        <w:t>第五章  合同条款及格式</w:t>
      </w:r>
    </w:p>
    <w:p w14:paraId="2C6C28B3">
      <w:pPr>
        <w:pageBreakBefore w:val="0"/>
        <w:kinsoku/>
        <w:overflowPunct/>
        <w:topLinePunct w:val="0"/>
        <w:bidi w:val="0"/>
        <w:spacing w:line="360" w:lineRule="auto"/>
        <w:jc w:val="center"/>
        <w:rPr>
          <w:color w:val="auto"/>
          <w:highlight w:val="none"/>
        </w:rPr>
      </w:pPr>
      <w:r>
        <w:rPr>
          <w:rFonts w:hint="eastAsia"/>
          <w:color w:val="auto"/>
          <w:highlight w:val="none"/>
        </w:rPr>
        <w:t>（仅供参考，具体以项目需求及实际签订为准）</w:t>
      </w:r>
    </w:p>
    <w:p w14:paraId="378AB220">
      <w:pPr>
        <w:pageBreakBefore w:val="0"/>
        <w:kinsoku/>
        <w:overflowPunct/>
        <w:topLinePunct w:val="0"/>
        <w:bidi w:val="0"/>
        <w:spacing w:line="360" w:lineRule="auto"/>
        <w:ind w:firstLine="411" w:firstLineChars="196"/>
        <w:rPr>
          <w:color w:val="auto"/>
          <w:highlight w:val="none"/>
        </w:rPr>
      </w:pPr>
    </w:p>
    <w:p w14:paraId="19A99E84">
      <w:pPr>
        <w:pageBreakBefore w:val="0"/>
        <w:kinsoku/>
        <w:overflowPunct/>
        <w:topLinePunct w:val="0"/>
        <w:bidi w:val="0"/>
        <w:spacing w:line="360" w:lineRule="auto"/>
        <w:ind w:firstLine="420" w:firstLineChars="200"/>
        <w:jc w:val="left"/>
        <w:rPr>
          <w:rFonts w:asciiTheme="majorEastAsia" w:hAnsiTheme="majorEastAsia" w:eastAsiaTheme="majorEastAsia"/>
          <w:color w:val="auto"/>
          <w:szCs w:val="21"/>
          <w:highlight w:val="none"/>
        </w:rPr>
      </w:pPr>
      <w:r>
        <w:rPr>
          <w:rFonts w:hint="eastAsia"/>
          <w:color w:val="auto"/>
          <w:szCs w:val="21"/>
          <w:highlight w:val="none"/>
        </w:rPr>
        <w:t>根据深圳交易咨询集团有限公司</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号招标项目的投标结果，由</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单位为</w:t>
      </w:r>
      <w:r>
        <w:rPr>
          <w:rFonts w:hint="eastAsia" w:asciiTheme="majorEastAsia" w:hAnsiTheme="majorEastAsia" w:eastAsiaTheme="majorEastAsia"/>
          <w:color w:val="auto"/>
          <w:szCs w:val="21"/>
          <w:highlight w:val="none"/>
          <w:lang w:eastAsia="zh-CN"/>
        </w:rPr>
        <w:t>中标人</w:t>
      </w:r>
      <w:r>
        <w:rPr>
          <w:rFonts w:hint="eastAsia" w:asciiTheme="majorEastAsia" w:hAnsiTheme="majorEastAsia" w:eastAsiaTheme="majorEastAsia"/>
          <w:color w:val="auto"/>
          <w:szCs w:val="21"/>
          <w:highlight w:val="none"/>
        </w:rPr>
        <w:t>。按照《中华人民共和国民法典》和《深圳经济特区政府采购条例》，经深圳市</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（以下简称甲方）和</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单位（以下简称乙方）协商，就甲方委托乙方承担</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服务项目，达成以下合同条款：</w:t>
      </w:r>
    </w:p>
    <w:p w14:paraId="7A8C5E5D">
      <w:pPr>
        <w:pageBreakBefore w:val="0"/>
        <w:kinsoku/>
        <w:overflowPunct/>
        <w:topLinePunct w:val="0"/>
        <w:bidi w:val="0"/>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第一条　项目概况</w:t>
      </w:r>
    </w:p>
    <w:p w14:paraId="32DC5C0A">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项目名称：</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 xml:space="preserve"> </w:t>
      </w:r>
    </w:p>
    <w:p w14:paraId="2EC97704">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项目内容：</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 xml:space="preserve"> </w:t>
      </w:r>
    </w:p>
    <w:p w14:paraId="350E878A">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服务时间：</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 xml:space="preserve"> </w:t>
      </w:r>
    </w:p>
    <w:p w14:paraId="0034848F">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合同价款：合同总价为</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元，含一切税、费。</w:t>
      </w:r>
      <w:r>
        <w:rPr>
          <w:rFonts w:asciiTheme="majorEastAsia" w:hAnsiTheme="majorEastAsia" w:eastAsiaTheme="majorEastAsia"/>
          <w:color w:val="auto"/>
          <w:szCs w:val="21"/>
          <w:highlight w:val="none"/>
        </w:rPr>
        <w:t>本合同总价包括</w:t>
      </w:r>
      <w:r>
        <w:rPr>
          <w:rFonts w:hint="eastAsia" w:asciiTheme="majorEastAsia" w:hAnsiTheme="majorEastAsia" w:eastAsiaTheme="majorEastAsia"/>
          <w:color w:val="auto"/>
          <w:szCs w:val="21"/>
          <w:highlight w:val="none"/>
        </w:rPr>
        <w:t>乙方为实施本项目所需的设备仪器费、车辆租赁费、</w:t>
      </w:r>
      <w:r>
        <w:rPr>
          <w:rFonts w:asciiTheme="majorEastAsia" w:hAnsiTheme="majorEastAsia" w:eastAsiaTheme="majorEastAsia"/>
          <w:color w:val="auto"/>
          <w:szCs w:val="21"/>
          <w:highlight w:val="none"/>
        </w:rPr>
        <w:t>服务</w:t>
      </w:r>
      <w:r>
        <w:rPr>
          <w:rFonts w:hint="eastAsia" w:asciiTheme="majorEastAsia" w:hAnsiTheme="majorEastAsia" w:eastAsiaTheme="majorEastAsia"/>
          <w:color w:val="auto"/>
          <w:szCs w:val="21"/>
          <w:highlight w:val="none"/>
        </w:rPr>
        <w:t>和</w:t>
      </w:r>
      <w:r>
        <w:rPr>
          <w:rFonts w:asciiTheme="majorEastAsia" w:hAnsiTheme="majorEastAsia" w:eastAsiaTheme="majorEastAsia"/>
          <w:color w:val="auto"/>
          <w:szCs w:val="21"/>
          <w:highlight w:val="none"/>
        </w:rPr>
        <w:t>技术费用</w:t>
      </w:r>
      <w:r>
        <w:rPr>
          <w:rFonts w:hint="eastAsia" w:asciiTheme="majorEastAsia" w:hAnsiTheme="majorEastAsia" w:eastAsiaTheme="majorEastAsia"/>
          <w:color w:val="auto"/>
          <w:szCs w:val="21"/>
          <w:highlight w:val="none"/>
        </w:rPr>
        <w:t>等</w:t>
      </w:r>
      <w:r>
        <w:rPr>
          <w:rFonts w:asciiTheme="majorEastAsia" w:hAnsiTheme="majorEastAsia" w:eastAsiaTheme="majorEastAsia"/>
          <w:color w:val="auto"/>
          <w:szCs w:val="21"/>
          <w:highlight w:val="none"/>
        </w:rPr>
        <w:t>，为固定不变价格，且不随通货膨胀的影响而波动。合同总价包括</w:t>
      </w:r>
      <w:r>
        <w:rPr>
          <w:rFonts w:hint="eastAsia" w:asciiTheme="majorEastAsia" w:hAnsiTheme="majorEastAsia" w:eastAsiaTheme="majorEastAsia"/>
          <w:color w:val="auto"/>
          <w:szCs w:val="21"/>
          <w:highlight w:val="none"/>
        </w:rPr>
        <w:t>乙方</w:t>
      </w:r>
      <w:r>
        <w:rPr>
          <w:rFonts w:asciiTheme="majorEastAsia" w:hAnsiTheme="majorEastAsia" w:eastAsiaTheme="majorEastAsia"/>
          <w:color w:val="auto"/>
          <w:szCs w:val="21"/>
          <w:highlight w:val="none"/>
        </w:rPr>
        <w:t>履行本合同义务所发生的一切费用和支出和以各种方式寄送技术资料到</w:t>
      </w:r>
      <w:r>
        <w:rPr>
          <w:rFonts w:hint="eastAsia" w:asciiTheme="majorEastAsia" w:hAnsiTheme="majorEastAsia" w:eastAsiaTheme="majorEastAsia"/>
          <w:color w:val="auto"/>
          <w:szCs w:val="21"/>
          <w:highlight w:val="none"/>
        </w:rPr>
        <w:t>甲</w:t>
      </w:r>
      <w:r>
        <w:rPr>
          <w:rFonts w:asciiTheme="majorEastAsia" w:hAnsiTheme="majorEastAsia" w:eastAsiaTheme="majorEastAsia"/>
          <w:color w:val="auto"/>
          <w:szCs w:val="21"/>
          <w:highlight w:val="none"/>
        </w:rPr>
        <w:t>方办公室所发生的费用。</w:t>
      </w:r>
    </w:p>
    <w:p w14:paraId="05847AA8">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支付方式：分期支付。</w:t>
      </w:r>
    </w:p>
    <w:p w14:paraId="757461C4">
      <w:pPr>
        <w:pageBreakBefore w:val="0"/>
        <w:kinsoku/>
        <w:overflowPunct/>
        <w:topLinePunct w:val="0"/>
        <w:bidi w:val="0"/>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第二条  服务范围</w:t>
      </w:r>
    </w:p>
    <w:p w14:paraId="4ED04158">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 xml:space="preserve">  </w:t>
      </w:r>
    </w:p>
    <w:p w14:paraId="5D66910A">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 xml:space="preserve">  </w:t>
      </w:r>
    </w:p>
    <w:p w14:paraId="07B814D2">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 xml:space="preserve">  </w:t>
      </w:r>
    </w:p>
    <w:p w14:paraId="754A413B">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4、其他合同未明示的相关工作。</w:t>
      </w:r>
    </w:p>
    <w:p w14:paraId="0074A9B7">
      <w:pPr>
        <w:pageBreakBefore w:val="0"/>
        <w:kinsoku/>
        <w:overflowPunct/>
        <w:topLinePunct w:val="0"/>
        <w:bidi w:val="0"/>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第三条  时间要求及阶段成果</w:t>
      </w:r>
    </w:p>
    <w:p w14:paraId="3DBD4C3E">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1、合同签订</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天内完成项目实施的准备工作，包括工作大纲和细则的编制；</w:t>
      </w:r>
    </w:p>
    <w:p w14:paraId="7E63B16D">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 xml:space="preserve"> </w:t>
      </w:r>
    </w:p>
    <w:p w14:paraId="6975199B">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w:t>
      </w:r>
      <w:r>
        <w:rPr>
          <w:rFonts w:hint="eastAsia" w:asciiTheme="majorEastAsia" w:hAnsiTheme="majorEastAsia" w:eastAsiaTheme="majorEastAsia"/>
          <w:color w:val="auto"/>
          <w:szCs w:val="21"/>
          <w:highlight w:val="none"/>
          <w:u w:val="single"/>
        </w:rPr>
        <w:t xml:space="preserve">                                </w:t>
      </w:r>
    </w:p>
    <w:p w14:paraId="299E4E29">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w:t>
      </w:r>
      <w:r>
        <w:rPr>
          <w:rFonts w:hint="eastAsia" w:asciiTheme="majorEastAsia" w:hAnsiTheme="majorEastAsia" w:eastAsiaTheme="majorEastAsia"/>
          <w:color w:val="auto"/>
          <w:szCs w:val="21"/>
          <w:highlight w:val="none"/>
          <w:u w:val="single"/>
        </w:rPr>
        <w:t xml:space="preserve">                                </w:t>
      </w:r>
    </w:p>
    <w:p w14:paraId="23225137">
      <w:pPr>
        <w:pageBreakBefore w:val="0"/>
        <w:kinsoku/>
        <w:overflowPunct/>
        <w:topLinePunct w:val="0"/>
        <w:bidi w:val="0"/>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第四条  服务资料归属</w:t>
      </w:r>
    </w:p>
    <w:p w14:paraId="2646BB90">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w:t>
      </w:r>
      <w:r>
        <w:rPr>
          <w:rFonts w:hint="eastAsia" w:asciiTheme="majorEastAsia" w:hAnsiTheme="majorEastAsia" w:eastAsiaTheme="majorEastAsia"/>
          <w:color w:val="auto"/>
          <w:szCs w:val="21"/>
          <w:highlight w:val="none"/>
        </w:rPr>
        <w:t>、</w:t>
      </w:r>
      <w:r>
        <w:rPr>
          <w:rFonts w:asciiTheme="majorEastAsia" w:hAnsiTheme="majorEastAsia" w:eastAsiaTheme="majorEastAsia"/>
          <w:color w:val="auto"/>
          <w:szCs w:val="21"/>
          <w:highlight w:val="none"/>
        </w:rPr>
        <w:t>所有提交给</w:t>
      </w:r>
      <w:r>
        <w:rPr>
          <w:rFonts w:hint="eastAsia" w:asciiTheme="majorEastAsia" w:hAnsiTheme="majorEastAsia" w:eastAsiaTheme="majorEastAsia"/>
          <w:color w:val="auto"/>
          <w:szCs w:val="21"/>
          <w:highlight w:val="none"/>
        </w:rPr>
        <w:t>甲</w:t>
      </w:r>
      <w:r>
        <w:rPr>
          <w:rFonts w:asciiTheme="majorEastAsia" w:hAnsiTheme="majorEastAsia" w:eastAsiaTheme="majorEastAsia"/>
          <w:color w:val="auto"/>
          <w:szCs w:val="21"/>
          <w:highlight w:val="none"/>
        </w:rPr>
        <w:t>方的服务</w:t>
      </w:r>
      <w:r>
        <w:rPr>
          <w:rFonts w:hint="eastAsia" w:asciiTheme="majorEastAsia" w:hAnsiTheme="majorEastAsia" w:eastAsiaTheme="majorEastAsia"/>
          <w:color w:val="auto"/>
          <w:szCs w:val="21"/>
          <w:highlight w:val="none"/>
        </w:rPr>
        <w:t>文件</w:t>
      </w:r>
      <w:r>
        <w:rPr>
          <w:rFonts w:asciiTheme="majorEastAsia" w:hAnsiTheme="majorEastAsia" w:eastAsiaTheme="majorEastAsia"/>
          <w:color w:val="auto"/>
          <w:szCs w:val="21"/>
          <w:highlight w:val="none"/>
        </w:rPr>
        <w:t>及相关的资料的最后文本，包括为履行服务范围所编制的图纸、计划和证明资料等，都属于</w:t>
      </w:r>
      <w:r>
        <w:rPr>
          <w:rFonts w:hint="eastAsia" w:asciiTheme="majorEastAsia" w:hAnsiTheme="majorEastAsia" w:eastAsiaTheme="majorEastAsia"/>
          <w:color w:val="auto"/>
          <w:szCs w:val="21"/>
          <w:highlight w:val="none"/>
        </w:rPr>
        <w:t>甲</w:t>
      </w:r>
      <w:r>
        <w:rPr>
          <w:rFonts w:asciiTheme="majorEastAsia" w:hAnsiTheme="majorEastAsia" w:eastAsiaTheme="majorEastAsia"/>
          <w:color w:val="auto"/>
          <w:szCs w:val="21"/>
          <w:highlight w:val="none"/>
        </w:rPr>
        <w:t>方的财产，</w:t>
      </w:r>
      <w:r>
        <w:rPr>
          <w:rFonts w:hint="eastAsia" w:asciiTheme="majorEastAsia" w:hAnsiTheme="majorEastAsia" w:eastAsiaTheme="majorEastAsia"/>
          <w:color w:val="auto"/>
          <w:szCs w:val="21"/>
          <w:highlight w:val="none"/>
        </w:rPr>
        <w:t>知识产权也为甲方所有，乙</w:t>
      </w:r>
      <w:r>
        <w:rPr>
          <w:rFonts w:asciiTheme="majorEastAsia" w:hAnsiTheme="majorEastAsia" w:eastAsiaTheme="majorEastAsia"/>
          <w:color w:val="auto"/>
          <w:szCs w:val="21"/>
          <w:highlight w:val="none"/>
        </w:rPr>
        <w:t>方在提交给</w:t>
      </w:r>
      <w:r>
        <w:rPr>
          <w:rFonts w:hint="eastAsia" w:asciiTheme="majorEastAsia" w:hAnsiTheme="majorEastAsia" w:eastAsiaTheme="majorEastAsia"/>
          <w:color w:val="auto"/>
          <w:szCs w:val="21"/>
          <w:highlight w:val="none"/>
        </w:rPr>
        <w:t>甲</w:t>
      </w:r>
      <w:r>
        <w:rPr>
          <w:rFonts w:asciiTheme="majorEastAsia" w:hAnsiTheme="majorEastAsia" w:eastAsiaTheme="majorEastAsia"/>
          <w:color w:val="auto"/>
          <w:szCs w:val="21"/>
          <w:highlight w:val="none"/>
        </w:rPr>
        <w:t>方之前应将上述资料进行整理归类和编制索引</w:t>
      </w:r>
      <w:r>
        <w:rPr>
          <w:rFonts w:hint="eastAsia" w:asciiTheme="majorEastAsia" w:hAnsiTheme="majorEastAsia" w:eastAsiaTheme="majorEastAsia"/>
          <w:color w:val="auto"/>
          <w:szCs w:val="21"/>
          <w:highlight w:val="none"/>
        </w:rPr>
        <w:t>。</w:t>
      </w:r>
    </w:p>
    <w:p w14:paraId="02FE2BB6">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w:t>
      </w:r>
      <w:r>
        <w:rPr>
          <w:rFonts w:hint="eastAsia" w:asciiTheme="majorEastAsia" w:hAnsiTheme="majorEastAsia" w:eastAsiaTheme="majorEastAsia"/>
          <w:color w:val="auto"/>
          <w:szCs w:val="21"/>
          <w:highlight w:val="none"/>
        </w:rPr>
        <w:t>、乙</w:t>
      </w:r>
      <w:r>
        <w:rPr>
          <w:rFonts w:asciiTheme="majorEastAsia" w:hAnsiTheme="majorEastAsia" w:eastAsiaTheme="majorEastAsia"/>
          <w:color w:val="auto"/>
          <w:szCs w:val="21"/>
          <w:highlight w:val="none"/>
        </w:rPr>
        <w:t>方未经</w:t>
      </w:r>
      <w:r>
        <w:rPr>
          <w:rFonts w:hint="eastAsia" w:asciiTheme="majorEastAsia" w:hAnsiTheme="majorEastAsia" w:eastAsiaTheme="majorEastAsia"/>
          <w:color w:val="auto"/>
          <w:szCs w:val="21"/>
          <w:highlight w:val="none"/>
        </w:rPr>
        <w:t>甲</w:t>
      </w:r>
      <w:r>
        <w:rPr>
          <w:rFonts w:asciiTheme="majorEastAsia" w:hAnsiTheme="majorEastAsia" w:eastAsiaTheme="majorEastAsia"/>
          <w:color w:val="auto"/>
          <w:szCs w:val="21"/>
          <w:highlight w:val="none"/>
        </w:rPr>
        <w:t>方的书面同意，不得将上述资料用于本服务项目之外的任何项目</w:t>
      </w:r>
      <w:r>
        <w:rPr>
          <w:rFonts w:hint="eastAsia" w:asciiTheme="majorEastAsia" w:hAnsiTheme="majorEastAsia" w:eastAsiaTheme="majorEastAsia"/>
          <w:color w:val="auto"/>
          <w:szCs w:val="21"/>
          <w:highlight w:val="none"/>
        </w:rPr>
        <w:t>。</w:t>
      </w:r>
    </w:p>
    <w:p w14:paraId="0829E57A">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w:t>
      </w:r>
      <w:r>
        <w:rPr>
          <w:rFonts w:asciiTheme="majorEastAsia" w:hAnsiTheme="majorEastAsia" w:eastAsiaTheme="majorEastAsia"/>
          <w:color w:val="auto"/>
          <w:szCs w:val="21"/>
          <w:highlight w:val="none"/>
        </w:rPr>
        <w:t>合同履行</w:t>
      </w:r>
      <w:r>
        <w:rPr>
          <w:rFonts w:hint="eastAsia" w:asciiTheme="majorEastAsia" w:hAnsiTheme="majorEastAsia" w:eastAsiaTheme="majorEastAsia"/>
          <w:color w:val="auto"/>
          <w:szCs w:val="21"/>
          <w:highlight w:val="none"/>
        </w:rPr>
        <w:t>完毕，</w:t>
      </w:r>
      <w:r>
        <w:rPr>
          <w:rFonts w:asciiTheme="majorEastAsia" w:hAnsiTheme="majorEastAsia" w:eastAsiaTheme="majorEastAsia"/>
          <w:color w:val="auto"/>
          <w:szCs w:val="21"/>
          <w:highlight w:val="none"/>
        </w:rPr>
        <w:t>未经</w:t>
      </w:r>
      <w:r>
        <w:rPr>
          <w:rFonts w:hint="eastAsia" w:asciiTheme="majorEastAsia" w:hAnsiTheme="majorEastAsia" w:eastAsiaTheme="majorEastAsia"/>
          <w:color w:val="auto"/>
          <w:szCs w:val="21"/>
          <w:highlight w:val="none"/>
        </w:rPr>
        <w:t>甲</w:t>
      </w:r>
      <w:r>
        <w:rPr>
          <w:rFonts w:asciiTheme="majorEastAsia" w:hAnsiTheme="majorEastAsia" w:eastAsiaTheme="majorEastAsia"/>
          <w:color w:val="auto"/>
          <w:szCs w:val="21"/>
          <w:highlight w:val="none"/>
        </w:rPr>
        <w:t>方的书面同意</w:t>
      </w:r>
      <w:r>
        <w:rPr>
          <w:rFonts w:hint="eastAsia" w:asciiTheme="majorEastAsia" w:hAnsiTheme="majorEastAsia" w:eastAsiaTheme="majorEastAsia"/>
          <w:color w:val="auto"/>
          <w:szCs w:val="21"/>
          <w:highlight w:val="none"/>
        </w:rPr>
        <w:t>，乙</w:t>
      </w:r>
      <w:r>
        <w:rPr>
          <w:rFonts w:asciiTheme="majorEastAsia" w:hAnsiTheme="majorEastAsia" w:eastAsiaTheme="majorEastAsia"/>
          <w:color w:val="auto"/>
          <w:szCs w:val="21"/>
          <w:highlight w:val="none"/>
        </w:rPr>
        <w:t>方</w:t>
      </w:r>
      <w:r>
        <w:rPr>
          <w:rFonts w:hint="eastAsia" w:asciiTheme="majorEastAsia" w:hAnsiTheme="majorEastAsia" w:eastAsiaTheme="majorEastAsia"/>
          <w:color w:val="auto"/>
          <w:szCs w:val="21"/>
          <w:highlight w:val="none"/>
        </w:rPr>
        <w:t>不得保存在</w:t>
      </w:r>
      <w:r>
        <w:rPr>
          <w:rFonts w:asciiTheme="majorEastAsia" w:hAnsiTheme="majorEastAsia" w:eastAsiaTheme="majorEastAsia"/>
          <w:color w:val="auto"/>
          <w:szCs w:val="21"/>
          <w:highlight w:val="none"/>
        </w:rPr>
        <w:t>履行合同过程中所获得或接触到的任何</w:t>
      </w:r>
      <w:r>
        <w:rPr>
          <w:rFonts w:hint="eastAsia" w:asciiTheme="majorEastAsia" w:hAnsiTheme="majorEastAsia" w:eastAsiaTheme="majorEastAsia"/>
          <w:color w:val="auto"/>
          <w:szCs w:val="21"/>
          <w:highlight w:val="none"/>
        </w:rPr>
        <w:t>内部数据资料。</w:t>
      </w:r>
    </w:p>
    <w:p w14:paraId="3D5D38B4">
      <w:pPr>
        <w:pageBreakBefore w:val="0"/>
        <w:kinsoku/>
        <w:overflowPunct/>
        <w:topLinePunct w:val="0"/>
        <w:bidi w:val="0"/>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第五条  甲方的义务</w:t>
      </w:r>
    </w:p>
    <w:p w14:paraId="1C18DC29">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1、负责与本服务项目有关的第三方的协调，提供开展服务工作的外部条件。</w:t>
      </w:r>
    </w:p>
    <w:p w14:paraId="68C5991E">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2、向乙方提供与本项目服务工作有关的资料。</w:t>
      </w:r>
    </w:p>
    <w:p w14:paraId="60305AD5">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3、负责组织有关专家对项目成果评估报告的评审。</w:t>
      </w:r>
    </w:p>
    <w:p w14:paraId="0323A59C">
      <w:pPr>
        <w:pageBreakBefore w:val="0"/>
        <w:kinsoku/>
        <w:overflowPunct/>
        <w:topLinePunct w:val="0"/>
        <w:bidi w:val="0"/>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第七条　乙方的义务</w:t>
      </w:r>
    </w:p>
    <w:p w14:paraId="3237CE76">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1、应按照</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号招标文件、乙方投标文件要求按期完成本项目服务工作。</w:t>
      </w:r>
    </w:p>
    <w:p w14:paraId="37627D4D">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2、负责组织项目的实施，保证项目进度和工作质量，并满足交工验收相关标准。</w:t>
      </w:r>
    </w:p>
    <w:p w14:paraId="4B69EDA4">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3、向甲方提交检测资料等各</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套，一套电子版文件。</w:t>
      </w:r>
    </w:p>
    <w:p w14:paraId="1E02A2D2">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4、在履行合同期间或合同规定期限内，不得泄露与本合同规定业务活动有关的保密资料。</w:t>
      </w:r>
    </w:p>
    <w:p w14:paraId="4E9F2649">
      <w:pPr>
        <w:pageBreakBefore w:val="0"/>
        <w:kinsoku/>
        <w:overflowPunct/>
        <w:topLinePunct w:val="0"/>
        <w:bidi w:val="0"/>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第八条  甲方的权利</w:t>
      </w:r>
    </w:p>
    <w:p w14:paraId="1CC514AA">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w:t>
      </w:r>
      <w:r>
        <w:rPr>
          <w:rFonts w:hint="eastAsia" w:asciiTheme="majorEastAsia" w:hAnsiTheme="majorEastAsia" w:eastAsiaTheme="majorEastAsia"/>
          <w:color w:val="auto"/>
          <w:szCs w:val="21"/>
          <w:highlight w:val="none"/>
        </w:rPr>
        <w:t>、有权向乙方询问工作进展情况及相关的内容。</w:t>
      </w:r>
    </w:p>
    <w:p w14:paraId="25A92A21">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w:t>
      </w:r>
      <w:r>
        <w:rPr>
          <w:rFonts w:hint="eastAsia" w:asciiTheme="majorEastAsia" w:hAnsiTheme="majorEastAsia" w:eastAsiaTheme="majorEastAsia"/>
          <w:color w:val="auto"/>
          <w:szCs w:val="21"/>
          <w:highlight w:val="none"/>
        </w:rPr>
        <w:t>、有权阐述对具体问题的意见和建议。</w:t>
      </w:r>
    </w:p>
    <w:p w14:paraId="0409D972">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w:t>
      </w:r>
      <w:r>
        <w:rPr>
          <w:rFonts w:hint="eastAsia" w:asciiTheme="majorEastAsia" w:hAnsiTheme="majorEastAsia" w:eastAsiaTheme="majorEastAsia"/>
          <w:color w:val="auto"/>
          <w:szCs w:val="21"/>
          <w:highlight w:val="none"/>
        </w:rPr>
        <w:t>、当甲方认定乙方人员不按合同履行其职责，或与第三人串通给甲方造成经济损失的，甲方有权要求更换人员，直至终止合同并要求乙方承担相应的赔偿责任。</w:t>
      </w:r>
    </w:p>
    <w:p w14:paraId="4CE7571D">
      <w:pPr>
        <w:pageBreakBefore w:val="0"/>
        <w:kinsoku/>
        <w:overflowPunct/>
        <w:topLinePunct w:val="0"/>
        <w:bidi w:val="0"/>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第九条  乙方的权利</w:t>
      </w:r>
    </w:p>
    <w:p w14:paraId="2EB59E0C">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w:t>
      </w:r>
      <w:r>
        <w:rPr>
          <w:rFonts w:hint="eastAsia" w:asciiTheme="majorEastAsia" w:hAnsiTheme="majorEastAsia" w:eastAsiaTheme="majorEastAsia"/>
          <w:color w:val="auto"/>
          <w:szCs w:val="21"/>
          <w:highlight w:val="none"/>
        </w:rPr>
        <w:t>、乙方在本项目服务过程中，如甲方提供的资料不明确时可向甲方提出书面报告。</w:t>
      </w:r>
    </w:p>
    <w:p w14:paraId="02407D39">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w:t>
      </w:r>
      <w:r>
        <w:rPr>
          <w:rFonts w:hint="eastAsia" w:asciiTheme="majorEastAsia" w:hAnsiTheme="majorEastAsia" w:eastAsiaTheme="majorEastAsia"/>
          <w:color w:val="auto"/>
          <w:szCs w:val="21"/>
          <w:highlight w:val="none"/>
        </w:rPr>
        <w:t>、乙方在本项目服务过程中，有权对第三方提出与本服务业务有关的问题进行核对或查问。</w:t>
      </w:r>
    </w:p>
    <w:p w14:paraId="454A25CE">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w:t>
      </w:r>
      <w:r>
        <w:rPr>
          <w:rFonts w:hint="eastAsia" w:asciiTheme="majorEastAsia" w:hAnsiTheme="majorEastAsia" w:eastAsiaTheme="majorEastAsia"/>
          <w:color w:val="auto"/>
          <w:szCs w:val="21"/>
          <w:highlight w:val="none"/>
        </w:rPr>
        <w:t>、乙方在本项目服务过程中，有到项目现场勘察的权利。</w:t>
      </w:r>
    </w:p>
    <w:p w14:paraId="23EBEF42">
      <w:pPr>
        <w:pageBreakBefore w:val="0"/>
        <w:kinsoku/>
        <w:overflowPunct/>
        <w:topLinePunct w:val="0"/>
        <w:bidi w:val="0"/>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第十条  甲方的责任</w:t>
      </w:r>
    </w:p>
    <w:p w14:paraId="29D02CBB">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1、应当履行本合同约定的义务，如有违反则应当承担违约责任，赔偿给乙方造成的损失。</w:t>
      </w:r>
    </w:p>
    <w:p w14:paraId="2CE9AEFF">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2、甲方向乙方提出赔偿要求不能成立时，则应补偿由于该赔偿或其他要求所导致乙方的各种费用的支出。</w:t>
      </w:r>
    </w:p>
    <w:p w14:paraId="319D1241">
      <w:pPr>
        <w:pageBreakBefore w:val="0"/>
        <w:kinsoku/>
        <w:overflowPunct/>
        <w:topLinePunct w:val="0"/>
        <w:bidi w:val="0"/>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第十一条  乙方的责任</w:t>
      </w:r>
    </w:p>
    <w:p w14:paraId="21F4A248">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1、乙方的责任期即本合同有效期。如因非乙方的责任造成进度的推迟或延误而超过约定的日期，双方应进一步约定相应延长合同有效期。</w:t>
      </w:r>
    </w:p>
    <w:p w14:paraId="1605F2A3">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2、乙方的责任期内，应当履行本合同中约定的义务，因乙方的单方过失造成的经济损失，应当向甲方进行赔偿。</w:t>
      </w:r>
    </w:p>
    <w:p w14:paraId="60AFE832">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3、乙方对甲方或第三方所提出的问题不能及时核对或答复，导致合同不能全部或部分履行，乙方应承担责任。</w:t>
      </w:r>
    </w:p>
    <w:p w14:paraId="48E7CA7B">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4、乙方向甲方提出赔偿要求不能成立时，则应补偿由于该赔偿或其他要求所导致甲方的各种费用的支出。</w:t>
      </w:r>
    </w:p>
    <w:p w14:paraId="341C896D">
      <w:pPr>
        <w:pageBreakBefore w:val="0"/>
        <w:kinsoku/>
        <w:overflowPunct/>
        <w:topLinePunct w:val="0"/>
        <w:bidi w:val="0"/>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第十二条  人员要求</w:t>
      </w:r>
    </w:p>
    <w:p w14:paraId="1E58BB4C">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1、参加本项目的人员必须具有国家和有关部门规定的相应资质。</w:t>
      </w:r>
    </w:p>
    <w:p w14:paraId="6141308C">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2、参加本项目的人员的配置必须与投标文件中的服务承诺书和服务组织实施方案一致。</w:t>
      </w:r>
    </w:p>
    <w:p w14:paraId="53438278">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3、必须以直属人员参与本项目服务，不得使用挂靠队伍。</w:t>
      </w:r>
    </w:p>
    <w:p w14:paraId="7D828976">
      <w:pPr>
        <w:pageBreakBefore w:val="0"/>
        <w:kinsoku/>
        <w:overflowPunct/>
        <w:topLinePunct w:val="0"/>
        <w:bidi w:val="0"/>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第十三条  乙方服务工具要求</w:t>
      </w:r>
    </w:p>
    <w:p w14:paraId="0DDFB620">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1、乙方应配备中标项目所需的足够数量的仪器、仪表以及工具等设备。用户不需向乙方提供施工工具和仪器、仪表。</w:t>
      </w:r>
    </w:p>
    <w:p w14:paraId="20175A5B">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2、乙方在提供服务过程中应自备车辆。</w:t>
      </w:r>
    </w:p>
    <w:p w14:paraId="051557BF">
      <w:pPr>
        <w:pageBreakBefore w:val="0"/>
        <w:kinsoku/>
        <w:overflowPunct/>
        <w:topLinePunct w:val="0"/>
        <w:bidi w:val="0"/>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第十四条  保密要求</w:t>
      </w:r>
    </w:p>
    <w:p w14:paraId="11CAF818">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w:t>
      </w:r>
      <w:r>
        <w:rPr>
          <w:rFonts w:asciiTheme="majorEastAsia" w:hAnsiTheme="majorEastAsia" w:eastAsiaTheme="majorEastAsia"/>
          <w:color w:val="auto"/>
          <w:szCs w:val="21"/>
          <w:highlight w:val="none"/>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EA8E836">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w:t>
      </w:r>
      <w:r>
        <w:rPr>
          <w:rFonts w:asciiTheme="majorEastAsia" w:hAnsiTheme="majorEastAsia" w:eastAsiaTheme="majorEastAsia"/>
          <w:color w:val="auto"/>
          <w:szCs w:val="21"/>
          <w:highlight w:val="none"/>
        </w:rPr>
        <w:t>乙方在履行合同过程中所获得或接触到的任何</w:t>
      </w:r>
      <w:r>
        <w:rPr>
          <w:rFonts w:hint="eastAsia" w:asciiTheme="majorEastAsia" w:hAnsiTheme="majorEastAsia" w:eastAsiaTheme="majorEastAsia"/>
          <w:color w:val="auto"/>
          <w:szCs w:val="21"/>
          <w:highlight w:val="none"/>
        </w:rPr>
        <w:t>内部数据资料，未经甲方同意，不得向第三方透露。</w:t>
      </w:r>
    </w:p>
    <w:p w14:paraId="23C96300">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w:t>
      </w:r>
      <w:r>
        <w:rPr>
          <w:rFonts w:asciiTheme="majorEastAsia" w:hAnsiTheme="majorEastAsia" w:eastAsiaTheme="majorEastAsia"/>
          <w:color w:val="auto"/>
          <w:szCs w:val="21"/>
          <w:highlight w:val="none"/>
        </w:rPr>
        <w:t>乙方</w:t>
      </w:r>
      <w:r>
        <w:rPr>
          <w:rFonts w:hint="eastAsia" w:asciiTheme="majorEastAsia" w:hAnsiTheme="majorEastAsia" w:eastAsiaTheme="majorEastAsia"/>
          <w:color w:val="auto"/>
          <w:szCs w:val="21"/>
          <w:highlight w:val="none"/>
        </w:rPr>
        <w:t>实施项目的一切程序都应符合国家安全、保密的有关规定和标准。</w:t>
      </w:r>
    </w:p>
    <w:p w14:paraId="00564D68">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w:t>
      </w:r>
      <w:r>
        <w:rPr>
          <w:rFonts w:asciiTheme="majorEastAsia" w:hAnsiTheme="majorEastAsia" w:eastAsiaTheme="majorEastAsia"/>
          <w:color w:val="auto"/>
          <w:szCs w:val="21"/>
          <w:highlight w:val="none"/>
        </w:rPr>
        <w:t>乙方</w:t>
      </w:r>
      <w:r>
        <w:rPr>
          <w:rFonts w:hint="eastAsia" w:asciiTheme="majorEastAsia" w:hAnsiTheme="majorEastAsia" w:eastAsiaTheme="majorEastAsia"/>
          <w:color w:val="auto"/>
          <w:szCs w:val="21"/>
          <w:highlight w:val="none"/>
        </w:rPr>
        <w:t>参加项目的有关人员均需同甲方签订保密协议。</w:t>
      </w:r>
    </w:p>
    <w:p w14:paraId="22972858">
      <w:pPr>
        <w:pageBreakBefore w:val="0"/>
        <w:kinsoku/>
        <w:overflowPunct/>
        <w:topLinePunct w:val="0"/>
        <w:bidi w:val="0"/>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 xml:space="preserve">第十五条  验收     </w:t>
      </w:r>
    </w:p>
    <w:p w14:paraId="4F63E504">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1、下列文件的验收分为</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三个阶段:</w:t>
      </w:r>
    </w:p>
    <w:p w14:paraId="07C5AE02">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2、其余文件和工作由用户组织有关技术人员根据国家和行业有关规范、规程、标准和用户需求直接验收。</w:t>
      </w:r>
    </w:p>
    <w:p w14:paraId="10A24CD4">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3、验收依据为</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号招标文件、乙方投标文件，国家和行业有关规范、规程和标准。</w:t>
      </w:r>
    </w:p>
    <w:p w14:paraId="144DFE8F">
      <w:pPr>
        <w:pageBreakBefore w:val="0"/>
        <w:kinsoku/>
        <w:overflowPunct/>
        <w:topLinePunct w:val="0"/>
        <w:bidi w:val="0"/>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第十六条  付款方式</w:t>
      </w:r>
    </w:p>
    <w:p w14:paraId="2EB3A151">
      <w:pPr>
        <w:pageBreakBefore w:val="0"/>
        <w:kinsoku/>
        <w:overflowPunct/>
        <w:topLinePunct w:val="0"/>
        <w:bidi w:val="0"/>
        <w:spacing w:line="360" w:lineRule="auto"/>
        <w:ind w:firstLine="422" w:firstLineChars="200"/>
        <w:rPr>
          <w:rFonts w:asciiTheme="majorEastAsia" w:hAnsiTheme="majorEastAsia" w:eastAsiaTheme="majorEastAsia"/>
          <w:b/>
          <w:color w:val="auto"/>
          <w:szCs w:val="21"/>
          <w:highlight w:val="none"/>
        </w:rPr>
      </w:pPr>
    </w:p>
    <w:p w14:paraId="2D7FFB6D">
      <w:pPr>
        <w:pageBreakBefore w:val="0"/>
        <w:kinsoku/>
        <w:overflowPunct/>
        <w:topLinePunct w:val="0"/>
        <w:bidi w:val="0"/>
        <w:spacing w:line="360" w:lineRule="auto"/>
        <w:ind w:firstLine="422" w:firstLineChars="200"/>
        <w:rPr>
          <w:rFonts w:asciiTheme="majorEastAsia" w:hAnsiTheme="majorEastAsia" w:eastAsiaTheme="majorEastAsia"/>
          <w:b/>
          <w:color w:val="auto"/>
          <w:szCs w:val="21"/>
          <w:highlight w:val="none"/>
        </w:rPr>
      </w:pPr>
    </w:p>
    <w:p w14:paraId="52E8C9C6">
      <w:pPr>
        <w:pageBreakBefore w:val="0"/>
        <w:kinsoku/>
        <w:overflowPunct/>
        <w:topLinePunct w:val="0"/>
        <w:bidi w:val="0"/>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第十七条  争议解决办法</w:t>
      </w:r>
    </w:p>
    <w:p w14:paraId="5F721B8F">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执行本合同发生的争议，由甲乙双方协商解决。协商不成的，由甲方所在地人民法院管辖。</w:t>
      </w:r>
    </w:p>
    <w:p w14:paraId="72E30233">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p>
    <w:p w14:paraId="468038DB">
      <w:pPr>
        <w:pageBreakBefore w:val="0"/>
        <w:kinsoku/>
        <w:overflowPunct/>
        <w:topLinePunct w:val="0"/>
        <w:bidi w:val="0"/>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第十八条  风险责任</w:t>
      </w:r>
    </w:p>
    <w:p w14:paraId="204266D3">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１、乙方应完全地按照</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号招标文件的要求和乙方投标文件的承诺完成本项目，出于自身财务、技术、人力等原因导致项目失败的，应承担全部责任。</w:t>
      </w:r>
    </w:p>
    <w:p w14:paraId="32F4E97F">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2、乙方在实施过程中应对自身的安全生产负责，若由乙方原因发生的各种事故甲方不承担任何责任。</w:t>
      </w:r>
    </w:p>
    <w:p w14:paraId="6F6679FA">
      <w:pPr>
        <w:pageBreakBefore w:val="0"/>
        <w:kinsoku/>
        <w:overflowPunct/>
        <w:topLinePunct w:val="0"/>
        <w:bidi w:val="0"/>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第十九条  违约责任</w:t>
      </w:r>
    </w:p>
    <w:p w14:paraId="5540772A">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１、因乙方原因，未能按规定时间完成有关工作的，每延误一天，甲方可在支付合同余款中扣除合同总价款的千分之一，若余款不足以扣款或者款项已经支付完毕，则乙方应向甲方支付上述同等数额的违约金。</w:t>
      </w:r>
    </w:p>
    <w:p w14:paraId="0B2E3716">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2、由于乙方原因造成试验成果质量低劣，不能满足大纲要求时，应继续完善工作，其费用由乙方承担。</w:t>
      </w:r>
    </w:p>
    <w:p w14:paraId="5FCA4BB5">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3、如乙方提供的服务文件不符合质量要求，必须在甲方提出要求后7天内无条件修改，其费用由乙方承担。否则，甲方有权终止合同，并要求乙方向甲方支付合同总价的百分之十作为违约金。</w:t>
      </w:r>
    </w:p>
    <w:p w14:paraId="6D682DBA">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14:paraId="6C577625">
      <w:pPr>
        <w:pageBreakBefore w:val="0"/>
        <w:kinsoku/>
        <w:overflowPunct/>
        <w:topLinePunct w:val="0"/>
        <w:bidi w:val="0"/>
        <w:spacing w:line="360" w:lineRule="auto"/>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第二十条  其他</w:t>
      </w:r>
    </w:p>
    <w:p w14:paraId="59CEC713">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 xml:space="preserve">1、本合同与 </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号招标文件、乙方投标文件如有抵触之处，以本合同条款为准。</w:t>
      </w:r>
    </w:p>
    <w:p w14:paraId="4C39F162">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2、下列文件均为本合同的组成部分：</w:t>
      </w:r>
    </w:p>
    <w:p w14:paraId="485474CB">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号招标文件、答疑及补充通知；</w:t>
      </w:r>
    </w:p>
    <w:p w14:paraId="7767C1B1">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（2）投标文件；</w:t>
      </w:r>
    </w:p>
    <w:p w14:paraId="34611632">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（3）本合同执行中共同签署的补充与修正文件。</w:t>
      </w:r>
    </w:p>
    <w:p w14:paraId="249BA435">
      <w:pPr>
        <w:pageBreakBefore w:val="0"/>
        <w:kinsoku/>
        <w:overflowPunct/>
        <w:topLinePunct w:val="0"/>
        <w:bidi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本合同一式</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份，甲、乙方双方各执</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份，具有同等法律效力。本合同自双方法人代表签字（盖章）认可之日起生效。</w:t>
      </w:r>
    </w:p>
    <w:p w14:paraId="7F8B4A64">
      <w:pPr>
        <w:pageBreakBefore w:val="0"/>
        <w:kinsoku/>
        <w:overflowPunct/>
        <w:topLinePunct w:val="0"/>
        <w:bidi w:val="0"/>
        <w:spacing w:line="360" w:lineRule="auto"/>
        <w:ind w:firstLine="420" w:firstLineChars="200"/>
        <w:rPr>
          <w:color w:val="auto"/>
          <w:highlight w:val="none"/>
        </w:rPr>
      </w:pPr>
      <w:r>
        <w:rPr>
          <w:rFonts w:hint="eastAsia" w:asciiTheme="majorEastAsia" w:hAnsiTheme="majorEastAsia" w:eastAsiaTheme="majorEastAsia"/>
          <w:color w:val="auto"/>
          <w:szCs w:val="21"/>
          <w:highlight w:val="none"/>
        </w:rPr>
        <w:t>本合同未尽事宜，双方友好协商，达成解决方案，经双方签字后，可作为本合同的组成部分。</w:t>
      </w:r>
    </w:p>
    <w:p w14:paraId="3133F2C4">
      <w:pPr>
        <w:pageBreakBefore w:val="0"/>
        <w:kinsoku/>
        <w:overflowPunct/>
        <w:topLinePunct w:val="0"/>
        <w:bidi w:val="0"/>
        <w:spacing w:line="360" w:lineRule="auto"/>
        <w:rPr>
          <w:rFonts w:hint="eastAsia"/>
          <w:color w:val="auto"/>
          <w:sz w:val="28"/>
          <w:szCs w:val="28"/>
          <w:highlight w:val="none"/>
        </w:rPr>
      </w:pPr>
      <w:r>
        <w:rPr>
          <w:rFonts w:hint="eastAsia"/>
          <w:color w:val="auto"/>
          <w:sz w:val="28"/>
          <w:szCs w:val="28"/>
          <w:highlight w:val="none"/>
        </w:rPr>
        <w:br w:type="page"/>
      </w:r>
    </w:p>
    <w:p w14:paraId="6A09BC6F">
      <w:pPr>
        <w:pStyle w:val="2"/>
        <w:keepNext w:val="0"/>
        <w:keepLines w:val="0"/>
        <w:pageBreakBefore w:val="0"/>
        <w:widowControl w:val="0"/>
        <w:kinsoku/>
        <w:wordWrap/>
        <w:overflowPunct/>
        <w:topLinePunct w:val="0"/>
        <w:autoSpaceDE/>
        <w:autoSpaceDN/>
        <w:bidi w:val="0"/>
        <w:adjustRightInd w:val="0"/>
        <w:snapToGrid/>
        <w:spacing w:before="120" w:beforeLines="50" w:after="120" w:afterLines="50" w:line="360" w:lineRule="auto"/>
        <w:ind w:left="561"/>
        <w:textAlignment w:val="baseline"/>
        <w:outlineLvl w:val="0"/>
        <w:rPr>
          <w:color w:val="auto"/>
          <w:sz w:val="28"/>
          <w:szCs w:val="28"/>
          <w:highlight w:val="none"/>
        </w:rPr>
      </w:pPr>
      <w:r>
        <w:rPr>
          <w:rFonts w:hint="eastAsia"/>
          <w:color w:val="auto"/>
          <w:sz w:val="28"/>
          <w:szCs w:val="28"/>
          <w:highlight w:val="none"/>
        </w:rPr>
        <w:t>第二册  通用条款（公开招标）</w:t>
      </w:r>
    </w:p>
    <w:p w14:paraId="12CBD5CE">
      <w:pPr>
        <w:pStyle w:val="81"/>
        <w:keepNext/>
        <w:keepLines/>
        <w:pageBreakBefore w:val="0"/>
        <w:numPr>
          <w:ilvl w:val="0"/>
          <w:numId w:val="11"/>
        </w:numPr>
        <w:tabs>
          <w:tab w:val="left" w:pos="720"/>
        </w:tabs>
        <w:kinsoku/>
        <w:overflowPunct/>
        <w:topLinePunct w:val="0"/>
        <w:bidi w:val="0"/>
        <w:adjustRightInd w:val="0"/>
        <w:spacing w:before="120" w:beforeLines="50" w:after="120" w:afterLines="50" w:line="360" w:lineRule="auto"/>
        <w:ind w:firstLineChars="0"/>
        <w:jc w:val="center"/>
        <w:textAlignment w:val="baseline"/>
        <w:outlineLvl w:val="1"/>
        <w:rPr>
          <w:rFonts w:asciiTheme="majorHAnsi" w:hAnsiTheme="majorHAnsi" w:eastAsiaTheme="majorEastAsia" w:cstheme="majorBidi"/>
          <w:b/>
          <w:bCs/>
          <w:color w:val="auto"/>
          <w:sz w:val="28"/>
          <w:szCs w:val="28"/>
          <w:highlight w:val="none"/>
        </w:rPr>
      </w:pPr>
      <w:bookmarkStart w:id="43" w:name="_Hlk72399513"/>
      <w:bookmarkStart w:id="44" w:name="_Hlk72439706"/>
      <w:r>
        <w:rPr>
          <w:rFonts w:hint="eastAsia" w:asciiTheme="majorHAnsi" w:hAnsiTheme="majorHAnsi" w:eastAsiaTheme="majorEastAsia" w:cstheme="majorBidi"/>
          <w:b/>
          <w:bCs/>
          <w:color w:val="auto"/>
          <w:sz w:val="28"/>
          <w:szCs w:val="28"/>
          <w:highlight w:val="none"/>
        </w:rPr>
        <w:t>总则</w:t>
      </w:r>
    </w:p>
    <w:bookmarkEnd w:id="43"/>
    <w:p w14:paraId="0FE5926E">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1. 通用条款说明</w:t>
      </w:r>
    </w:p>
    <w:p w14:paraId="62C2FBFD">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lang w:eastAsia="zh-CN"/>
        </w:rPr>
        <w:t>代理机构</w:t>
      </w:r>
      <w:r>
        <w:rPr>
          <w:rFonts w:hint="eastAsia" w:ascii="宋体" w:hAnsi="宋体"/>
          <w:color w:val="auto"/>
          <w:szCs w:val="21"/>
          <w:highlight w:val="none"/>
        </w:rPr>
        <w:t>发出招标文件通用条款版本，列出深圳市自行采购项目进行招标采购所适用的通用条款内容。</w:t>
      </w:r>
      <w:bookmarkStart w:id="45" w:name="_Hlk72399729"/>
      <w:r>
        <w:rPr>
          <w:rFonts w:hint="eastAsia" w:ascii="宋体" w:hAnsi="宋体"/>
          <w:color w:val="auto"/>
          <w:szCs w:val="21"/>
          <w:highlight w:val="none"/>
        </w:rPr>
        <w:t>如有需要，</w:t>
      </w:r>
      <w:r>
        <w:rPr>
          <w:rFonts w:hint="eastAsia" w:ascii="宋体" w:hAnsi="宋体"/>
          <w:color w:val="auto"/>
          <w:szCs w:val="21"/>
          <w:highlight w:val="none"/>
          <w:lang w:eastAsia="zh-CN"/>
        </w:rPr>
        <w:t>代理机构</w:t>
      </w:r>
      <w:r>
        <w:rPr>
          <w:rFonts w:hint="eastAsia" w:ascii="宋体" w:hAnsi="宋体"/>
          <w:color w:val="auto"/>
          <w:szCs w:val="21"/>
          <w:highlight w:val="none"/>
        </w:rPr>
        <w:t>可以对通用条款的内容进行补充。</w:t>
      </w:r>
      <w:bookmarkEnd w:id="45"/>
    </w:p>
    <w:p w14:paraId="7B14D2C4">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1.2招标文件分为第一册“专用条款”和第二册“通用条款”。</w:t>
      </w:r>
    </w:p>
    <w:p w14:paraId="5A6348CC">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1.3“专用条款”是对本次采购项目的具体要求，包含招标公告、对通用条款的补充内容及其他关键信息、用户需求书、投标文件格式及附件、合同条款及格式等内容。</w:t>
      </w:r>
    </w:p>
    <w:p w14:paraId="5E72551C">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1.4“通用条款”是适用于自行采购公开招标项目的基础性条款，具有普遍性和通用性。</w:t>
      </w:r>
    </w:p>
    <w:p w14:paraId="226161E9">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 “专用条款”和“通用条款”表述不一致或有冲突时，以“专用条款”为准。</w:t>
      </w:r>
    </w:p>
    <w:p w14:paraId="6445941C">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2</w:t>
      </w:r>
      <w:r>
        <w:rPr>
          <w:rFonts w:ascii="黑体" w:hAnsi="宋体" w:eastAsia="黑体"/>
          <w:color w:val="auto"/>
          <w:szCs w:val="21"/>
          <w:highlight w:val="none"/>
        </w:rPr>
        <w:t>．</w:t>
      </w:r>
      <w:r>
        <w:rPr>
          <w:rFonts w:hint="eastAsia" w:ascii="黑体" w:hAnsi="宋体" w:eastAsia="黑体"/>
          <w:color w:val="auto"/>
          <w:szCs w:val="21"/>
          <w:highlight w:val="none"/>
        </w:rPr>
        <w:t>招标说明</w:t>
      </w:r>
    </w:p>
    <w:p w14:paraId="18E48A5A">
      <w:pPr>
        <w:pageBreakBefore w:val="0"/>
        <w:kinsoku/>
        <w:overflowPunct/>
        <w:topLinePunct w:val="0"/>
        <w:bidi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本项目为自行采购项目，参照《深圳经济特区政府采购条例》、《深圳经济特区政府采购条例实施细则》及政府采购其他法律法规，通过公开招标方式确定中标供应商。</w:t>
      </w:r>
    </w:p>
    <w:p w14:paraId="1263B61B">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3．定义</w:t>
      </w:r>
    </w:p>
    <w:p w14:paraId="5213C359">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招标</w:t>
      </w:r>
      <w:r>
        <w:rPr>
          <w:rFonts w:ascii="宋体" w:hAnsi="宋体"/>
          <w:color w:val="auto"/>
          <w:szCs w:val="21"/>
          <w:highlight w:val="none"/>
        </w:rPr>
        <w:t>文件中下列术语应解释为：</w:t>
      </w:r>
    </w:p>
    <w:p w14:paraId="3CF59705">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w:t>
      </w:r>
      <w:r>
        <w:rPr>
          <w:rFonts w:hint="eastAsia" w:ascii="宋体" w:hAnsi="宋体"/>
          <w:color w:val="auto"/>
          <w:szCs w:val="21"/>
          <w:highlight w:val="none"/>
        </w:rPr>
        <w:t>“采购人”：指利用财政性资金依法进行</w:t>
      </w:r>
      <w:r>
        <w:rPr>
          <w:rFonts w:hint="eastAsia" w:ascii="宋体" w:hAnsi="宋体"/>
          <w:b/>
          <w:bCs/>
          <w:color w:val="auto"/>
          <w:szCs w:val="21"/>
          <w:highlight w:val="none"/>
        </w:rPr>
        <w:t>自行采购</w:t>
      </w:r>
      <w:r>
        <w:rPr>
          <w:rFonts w:hint="eastAsia" w:ascii="宋体" w:hAnsi="宋体"/>
          <w:color w:val="auto"/>
          <w:szCs w:val="21"/>
          <w:highlight w:val="none"/>
        </w:rPr>
        <w:t>的国家机关、事业单位、团体组织；</w:t>
      </w:r>
      <w:r>
        <w:rPr>
          <w:rFonts w:ascii="宋体" w:hAnsi="宋体"/>
          <w:color w:val="auto"/>
          <w:szCs w:val="21"/>
          <w:highlight w:val="none"/>
        </w:rPr>
        <w:t xml:space="preserve"> </w:t>
      </w:r>
    </w:p>
    <w:p w14:paraId="014D4BAA">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 本文件所述的“</w:t>
      </w:r>
      <w:r>
        <w:rPr>
          <w:rFonts w:hint="eastAsia" w:ascii="宋体" w:hAnsi="宋体"/>
          <w:color w:val="auto"/>
          <w:szCs w:val="21"/>
          <w:highlight w:val="none"/>
          <w:lang w:eastAsia="zh-CN"/>
        </w:rPr>
        <w:t>代理机构</w:t>
      </w:r>
      <w:r>
        <w:rPr>
          <w:rFonts w:hint="eastAsia" w:ascii="宋体" w:hAnsi="宋体"/>
          <w:color w:val="auto"/>
          <w:szCs w:val="21"/>
          <w:highlight w:val="none"/>
        </w:rPr>
        <w:t>”</w:t>
      </w:r>
      <w:r>
        <w:rPr>
          <w:rFonts w:ascii="宋体" w:hAnsi="宋体"/>
          <w:color w:val="auto"/>
          <w:szCs w:val="21"/>
          <w:highlight w:val="none"/>
        </w:rPr>
        <w:t>指</w:t>
      </w:r>
      <w:r>
        <w:rPr>
          <w:rFonts w:hint="eastAsia" w:ascii="宋体" w:hAnsi="宋体"/>
          <w:b/>
          <w:bCs/>
          <w:color w:val="auto"/>
          <w:szCs w:val="21"/>
          <w:highlight w:val="none"/>
          <w:lang w:eastAsia="zh-CN"/>
        </w:rPr>
        <w:t>深圳交易咨询集团有限公司</w:t>
      </w:r>
      <w:r>
        <w:rPr>
          <w:rFonts w:hint="eastAsia" w:ascii="宋体" w:hAnsi="宋体"/>
          <w:color w:val="auto"/>
          <w:szCs w:val="21"/>
          <w:highlight w:val="none"/>
        </w:rPr>
        <w:t>；</w:t>
      </w:r>
    </w:p>
    <w:p w14:paraId="3D287B77">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3.3“投标人”，即供应商，指参加投标竞争并愿意按照招标文件要求向采购人提供货物、工程或者服务的依法成立的法人、其他组织或者自然人；</w:t>
      </w:r>
    </w:p>
    <w:p w14:paraId="153EF550">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3.4“评审委员会”是依据《深圳经济特区政府采购条例》、《深圳经济特区政府采购条例实施细则》等有关规定组建的专门负责本次招标其评审工作的临时性机构；</w:t>
      </w:r>
    </w:p>
    <w:p w14:paraId="031462B4">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3.5“日期”</w:t>
      </w:r>
      <w:r>
        <w:rPr>
          <w:rFonts w:ascii="宋体" w:hAnsi="宋体"/>
          <w:color w:val="auto"/>
          <w:szCs w:val="21"/>
          <w:highlight w:val="none"/>
        </w:rPr>
        <w:t>指</w:t>
      </w:r>
      <w:r>
        <w:rPr>
          <w:rFonts w:hint="eastAsia" w:ascii="宋体" w:hAnsi="宋体"/>
          <w:color w:val="auto"/>
          <w:szCs w:val="21"/>
          <w:highlight w:val="none"/>
        </w:rPr>
        <w:t>公历日；</w:t>
      </w:r>
    </w:p>
    <w:p w14:paraId="07819499">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3.6“合同”指由本次招标所产生的合同或合约文件；</w:t>
      </w:r>
    </w:p>
    <w:p w14:paraId="1AE721CA">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3.7“电子投标文件”指利用</w:t>
      </w:r>
      <w:r>
        <w:rPr>
          <w:rFonts w:hint="eastAsia" w:ascii="宋体" w:hAnsi="宋体"/>
          <w:b/>
          <w:bCs/>
          <w:color w:val="auto"/>
          <w:szCs w:val="21"/>
          <w:highlight w:val="none"/>
        </w:rPr>
        <w:t>深圳公共资源交易中心</w:t>
      </w:r>
      <w:r>
        <w:rPr>
          <w:rFonts w:hint="eastAsia" w:ascii="宋体" w:hAnsi="宋体"/>
          <w:color w:val="auto"/>
          <w:szCs w:val="21"/>
          <w:highlight w:val="none"/>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14:paraId="1E0EEF78">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3.8“网上投标”指通过</w:t>
      </w:r>
      <w:r>
        <w:rPr>
          <w:rFonts w:hint="eastAsia" w:ascii="宋体" w:hAnsi="宋体"/>
          <w:b/>
          <w:bCs/>
          <w:color w:val="auto"/>
          <w:szCs w:val="21"/>
          <w:highlight w:val="none"/>
        </w:rPr>
        <w:t>深圳市自行采购系统</w:t>
      </w:r>
      <w:r>
        <w:rPr>
          <w:rFonts w:hint="eastAsia" w:ascii="宋体" w:hAnsi="宋体"/>
          <w:color w:val="auto"/>
          <w:szCs w:val="21"/>
          <w:highlight w:val="none"/>
        </w:rPr>
        <w:t>网站上传电子投标文件；</w:t>
      </w:r>
    </w:p>
    <w:p w14:paraId="14754B69">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3.9招标文件中的标题或题名仅起引导作用，而不应视为对招标文件内容的理解和解释。</w:t>
      </w:r>
    </w:p>
    <w:p w14:paraId="6B1F72E0">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 xml:space="preserve">4. </w:t>
      </w:r>
      <w:bookmarkStart w:id="46" w:name="_Hlk72398643"/>
      <w:r>
        <w:rPr>
          <w:rFonts w:hint="eastAsia" w:ascii="黑体" w:hAnsi="宋体" w:eastAsia="黑体"/>
          <w:color w:val="auto"/>
          <w:szCs w:val="21"/>
          <w:highlight w:val="none"/>
        </w:rPr>
        <w:t>自行采购供应商责任</w:t>
      </w:r>
    </w:p>
    <w:p w14:paraId="33746B28">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4.1欢迎诚信、有实力和有社会责任心的供应商参与自行采购事业。</w:t>
      </w:r>
    </w:p>
    <w:p w14:paraId="4117F90A">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4.2投标人应当遵循公平竞争的原则，不得恶意串通，不得妨碍其他投标人的竞争行为，不得损害采购人或者其他投标人的合法权益。如违反上述要求，经核实后，供应商的投标无效。</w:t>
      </w:r>
    </w:p>
    <w:p w14:paraId="2F5083BB">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5．投标人参加自行采购的条件</w:t>
      </w:r>
    </w:p>
    <w:p w14:paraId="496DD364">
      <w:pPr>
        <w:pageBreakBefore w:val="0"/>
        <w:kinsoku/>
        <w:overflowPunct/>
        <w:topLinePunct w:val="0"/>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5.1投标人应在投标前到</w:t>
      </w:r>
      <w:r>
        <w:rPr>
          <w:rFonts w:hint="eastAsia" w:ascii="宋体" w:hAnsi="宋体"/>
          <w:b/>
          <w:bCs/>
          <w:color w:val="auto"/>
          <w:szCs w:val="21"/>
          <w:highlight w:val="none"/>
        </w:rPr>
        <w:t>深圳市自行采购系统</w:t>
      </w:r>
      <w:r>
        <w:rPr>
          <w:rFonts w:hint="eastAsia" w:ascii="宋体" w:hAnsi="宋体"/>
          <w:color w:val="auto"/>
          <w:szCs w:val="21"/>
          <w:highlight w:val="none"/>
        </w:rPr>
        <w:t>进行注册并办理电子密钥。《深圳政府采购自行采购系统用户操作指引（供应商）》详见www.szggzy.com网站“交易服务指南-政府采购</w:t>
      </w:r>
      <w:r>
        <w:rPr>
          <w:rFonts w:hint="eastAsia" w:ascii="宋体" w:hAnsi="宋体"/>
          <w:color w:val="auto"/>
          <w:szCs w:val="21"/>
          <w:highlight w:val="none"/>
          <w:lang w:val="en-US" w:eastAsia="zh-CN"/>
        </w:rPr>
        <w:t>-资料下载</w:t>
      </w:r>
      <w:r>
        <w:rPr>
          <w:rFonts w:hint="eastAsia" w:ascii="宋体" w:hAnsi="宋体"/>
          <w:color w:val="auto"/>
          <w:szCs w:val="21"/>
          <w:highlight w:val="none"/>
        </w:rPr>
        <w:t>”。</w:t>
      </w:r>
    </w:p>
    <w:p w14:paraId="6F8D4140">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5.2投标人资格要求</w:t>
      </w:r>
    </w:p>
    <w:p w14:paraId="4E076BB3">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参加本项目的投标人应具备的资格条件详见本项目招标公告中 “投标人资格要求”的内容。</w:t>
      </w:r>
    </w:p>
    <w:p w14:paraId="779A6567">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5.3联合体投标</w:t>
      </w:r>
    </w:p>
    <w:p w14:paraId="3B41FC2E">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5.3.1　以下有关联合体投标的条款仅适用于允许投标人组成联合体投标的项目。</w:t>
      </w:r>
    </w:p>
    <w:p w14:paraId="5DECD6F0">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5.3.2  由两个或两个以上的自然人、法人或者其他组织可以组成一个联合体，以一个供应商的身份共同投标时，应符合以下原则：</w:t>
      </w:r>
    </w:p>
    <w:p w14:paraId="64086508">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（1）投标联合体各方参加</w:t>
      </w:r>
      <w:r>
        <w:rPr>
          <w:rFonts w:hint="eastAsia" w:ascii="宋体" w:hAnsi="宋体"/>
          <w:color w:val="auto"/>
          <w:szCs w:val="21"/>
          <w:highlight w:val="none"/>
          <w:lang w:eastAsia="zh-CN"/>
        </w:rPr>
        <w:t>采购</w:t>
      </w:r>
      <w:r>
        <w:rPr>
          <w:rFonts w:hint="eastAsia" w:ascii="宋体" w:hAnsi="宋体"/>
          <w:color w:val="auto"/>
          <w:szCs w:val="21"/>
          <w:highlight w:val="none"/>
        </w:rPr>
        <w:t>活动应当具备下列条件：</w:t>
      </w:r>
      <w:r>
        <w:rPr>
          <w:rFonts w:ascii="宋体" w:hAnsi="宋体"/>
          <w:color w:val="auto"/>
          <w:szCs w:val="21"/>
          <w:highlight w:val="none"/>
        </w:rPr>
        <w:t xml:space="preserve"> </w:t>
      </w:r>
    </w:p>
    <w:p w14:paraId="0D5E9E10">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w:t>
      </w:r>
      <w:r>
        <w:rPr>
          <w:rFonts w:ascii="宋体" w:hAnsi="宋体"/>
          <w:color w:val="auto"/>
          <w:szCs w:val="21"/>
          <w:highlight w:val="none"/>
        </w:rPr>
        <w:t xml:space="preserve"> </w:t>
      </w:r>
    </w:p>
    <w:p w14:paraId="0B4A33C4">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2、有良好的商业信誉和健全的财务会计制度；</w:t>
      </w:r>
      <w:r>
        <w:rPr>
          <w:rFonts w:ascii="宋体" w:hAnsi="宋体"/>
          <w:color w:val="auto"/>
          <w:szCs w:val="21"/>
          <w:highlight w:val="none"/>
        </w:rPr>
        <w:t xml:space="preserve"> </w:t>
      </w:r>
    </w:p>
    <w:p w14:paraId="0ED7FFA5">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3、具有履行合同所必需的设备和专业技术能力；</w:t>
      </w:r>
      <w:r>
        <w:rPr>
          <w:rFonts w:ascii="宋体" w:hAnsi="宋体"/>
          <w:color w:val="auto"/>
          <w:szCs w:val="21"/>
          <w:highlight w:val="none"/>
        </w:rPr>
        <w:t xml:space="preserve"> </w:t>
      </w:r>
    </w:p>
    <w:p w14:paraId="288F6990">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4、有依法缴纳税收和社会保障资金的良好记录；</w:t>
      </w:r>
      <w:r>
        <w:rPr>
          <w:rFonts w:ascii="宋体" w:hAnsi="宋体"/>
          <w:color w:val="auto"/>
          <w:szCs w:val="21"/>
          <w:highlight w:val="none"/>
        </w:rPr>
        <w:t xml:space="preserve"> </w:t>
      </w:r>
    </w:p>
    <w:p w14:paraId="4A5D8E69">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5、参加</w:t>
      </w:r>
      <w:r>
        <w:rPr>
          <w:rFonts w:hint="eastAsia" w:ascii="宋体" w:hAnsi="宋体"/>
          <w:color w:val="auto"/>
          <w:szCs w:val="21"/>
          <w:highlight w:val="none"/>
          <w:lang w:eastAsia="zh-CN"/>
        </w:rPr>
        <w:t>采购</w:t>
      </w:r>
      <w:r>
        <w:rPr>
          <w:rFonts w:hint="eastAsia" w:ascii="宋体" w:hAnsi="宋体"/>
          <w:color w:val="auto"/>
          <w:szCs w:val="21"/>
          <w:highlight w:val="none"/>
        </w:rPr>
        <w:t>活动前三年内，在经营活动中没有重大违法记录；</w:t>
      </w:r>
      <w:r>
        <w:rPr>
          <w:rFonts w:ascii="宋体" w:hAnsi="宋体"/>
          <w:color w:val="auto"/>
          <w:szCs w:val="21"/>
          <w:highlight w:val="none"/>
        </w:rPr>
        <w:t xml:space="preserve"> </w:t>
      </w:r>
    </w:p>
    <w:p w14:paraId="647D993D">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6、法律、行政法规规定的其他条件。</w:t>
      </w:r>
      <w:r>
        <w:rPr>
          <w:rFonts w:ascii="宋体" w:hAnsi="宋体"/>
          <w:color w:val="auto"/>
          <w:szCs w:val="21"/>
          <w:highlight w:val="none"/>
        </w:rPr>
        <w:t xml:space="preserve"> </w:t>
      </w:r>
    </w:p>
    <w:p w14:paraId="0C939B5A">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（2）在投标截止前，投标联合体各方均应注册成</w:t>
      </w:r>
      <w:r>
        <w:rPr>
          <w:rFonts w:hint="eastAsia" w:ascii="宋体" w:hAnsi="宋体"/>
          <w:b/>
          <w:bCs/>
          <w:color w:val="auto"/>
          <w:szCs w:val="21"/>
          <w:highlight w:val="none"/>
        </w:rPr>
        <w:t>深圳市自行采购系统</w:t>
      </w:r>
      <w:r>
        <w:rPr>
          <w:rFonts w:hint="eastAsia" w:ascii="宋体" w:hAnsi="宋体"/>
          <w:color w:val="auto"/>
          <w:szCs w:val="21"/>
          <w:highlight w:val="none"/>
        </w:rPr>
        <w:t>供应商；</w:t>
      </w:r>
    </w:p>
    <w:p w14:paraId="1A519084">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（3）联合体中有同类资质的供应商按照联合体分工承担相同工作的，应当按照资质等级较低的供应商确定资质等级；</w:t>
      </w:r>
    </w:p>
    <w:p w14:paraId="16569640">
      <w:pPr>
        <w:pageBreakBefore w:val="0"/>
        <w:kinsoku/>
        <w:overflowPunct/>
        <w:topLinePunct w:val="0"/>
        <w:bidi w:val="0"/>
        <w:spacing w:line="360" w:lineRule="auto"/>
        <w:ind w:firstLine="420" w:firstLineChars="200"/>
        <w:rPr>
          <w:color w:val="auto"/>
          <w:szCs w:val="21"/>
          <w:highlight w:val="none"/>
        </w:rPr>
      </w:pPr>
      <w:r>
        <w:rPr>
          <w:rFonts w:hint="eastAsia"/>
          <w:color w:val="auto"/>
          <w:szCs w:val="21"/>
          <w:highlight w:val="none"/>
        </w:rPr>
        <w:t>（4）是否允许联合体参加投标，应当由采购人和采购代理机构根据项目的实际情况和潜在供应商的数量自主决定，如果决定接受联合体投标则应当在招标公告中明示；</w:t>
      </w:r>
    </w:p>
    <w:p w14:paraId="79285790">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（5）投标人的投标文件及中标后签署的合同协议对联合体各方均具法律约束力；</w:t>
      </w:r>
    </w:p>
    <w:p w14:paraId="1EF1640C">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（6）联合体各方应当签订联合体投标协议，明确约定各方拟承担的工作和责任，并将该协议随投标文件一并递交给</w:t>
      </w:r>
      <w:r>
        <w:rPr>
          <w:rFonts w:hint="eastAsia" w:ascii="宋体" w:hAnsi="宋体"/>
          <w:color w:val="auto"/>
          <w:szCs w:val="21"/>
          <w:highlight w:val="none"/>
          <w:lang w:eastAsia="zh-CN"/>
        </w:rPr>
        <w:t>代理机构</w:t>
      </w:r>
      <w:r>
        <w:rPr>
          <w:rFonts w:hint="eastAsia" w:ascii="宋体" w:hAnsi="宋体"/>
          <w:color w:val="auto"/>
          <w:szCs w:val="21"/>
          <w:highlight w:val="none"/>
        </w:rPr>
        <w:t>；</w:t>
      </w:r>
    </w:p>
    <w:p w14:paraId="26CDC17E">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（7）联合体中标后，联合体各方应当共同与采购人签订合同，就中标项目向采购人承担连带责任；</w:t>
      </w:r>
    </w:p>
    <w:p w14:paraId="35FE1CA6">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（8）以联合体形式参加</w:t>
      </w:r>
      <w:r>
        <w:rPr>
          <w:rFonts w:hint="eastAsia" w:ascii="宋体" w:hAnsi="宋体"/>
          <w:color w:val="auto"/>
          <w:szCs w:val="21"/>
          <w:highlight w:val="none"/>
          <w:lang w:eastAsia="zh-CN"/>
        </w:rPr>
        <w:t>采购</w:t>
      </w:r>
      <w:r>
        <w:rPr>
          <w:rFonts w:hint="eastAsia" w:ascii="宋体" w:hAnsi="宋体"/>
          <w:color w:val="auto"/>
          <w:szCs w:val="21"/>
          <w:highlight w:val="none"/>
        </w:rPr>
        <w:t>活动的，联合体各方不得再单独参加或者与其他供应商另外组成联合体参加同一合同项下的</w:t>
      </w:r>
      <w:r>
        <w:rPr>
          <w:rFonts w:hint="eastAsia" w:ascii="宋体" w:hAnsi="宋体"/>
          <w:color w:val="auto"/>
          <w:szCs w:val="21"/>
          <w:highlight w:val="none"/>
          <w:lang w:eastAsia="zh-CN"/>
        </w:rPr>
        <w:t>采购</w:t>
      </w:r>
      <w:r>
        <w:rPr>
          <w:rFonts w:hint="eastAsia" w:ascii="宋体" w:hAnsi="宋体"/>
          <w:color w:val="auto"/>
          <w:szCs w:val="21"/>
          <w:highlight w:val="none"/>
        </w:rPr>
        <w:t>活动，出现上述情况者，其投标和与此有关联合体、总包单位的投标将被拒绝；</w:t>
      </w:r>
    </w:p>
    <w:p w14:paraId="52F3DBE7">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（9）本通用条款中“投标人”一词亦指联合体各方，专用条款另有规定或说明的除外。</w:t>
      </w:r>
    </w:p>
    <w:p w14:paraId="16EC287F">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6．政策导向</w:t>
      </w:r>
    </w:p>
    <w:p w14:paraId="5C7012B6">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w:t>
      </w:r>
      <w:r>
        <w:rPr>
          <w:rFonts w:ascii="宋体" w:hAnsi="宋体"/>
          <w:color w:val="auto"/>
          <w:szCs w:val="21"/>
          <w:highlight w:val="none"/>
        </w:rPr>
        <w:t xml:space="preserve">  </w:t>
      </w:r>
      <w:r>
        <w:rPr>
          <w:rFonts w:hint="eastAsia" w:ascii="宋体" w:hAnsi="宋体"/>
          <w:color w:val="auto"/>
          <w:szCs w:val="21"/>
          <w:highlight w:val="none"/>
          <w:lang w:eastAsia="zh-CN"/>
        </w:rPr>
        <w:t>采购</w:t>
      </w:r>
      <w:r>
        <w:rPr>
          <w:rFonts w:hint="eastAsia" w:ascii="宋体" w:hAnsi="宋体"/>
          <w:color w:val="auto"/>
          <w:szCs w:val="21"/>
          <w:highlight w:val="none"/>
        </w:rPr>
        <w:t>扶持贫困地区、中小企业、监狱企业和残疾人福利性单位发展，支持节能减排、环境保护。</w:t>
      </w:r>
    </w:p>
    <w:p w14:paraId="274CB977">
      <w:pPr>
        <w:pageBreakBefore w:val="0"/>
        <w:kinsoku/>
        <w:overflowPunct/>
        <w:topLinePunct w:val="0"/>
        <w:bidi w:val="0"/>
        <w:spacing w:line="360" w:lineRule="auto"/>
        <w:ind w:firstLine="420" w:firstLineChars="200"/>
        <w:rPr>
          <w:color w:val="auto"/>
          <w:szCs w:val="21"/>
          <w:highlight w:val="none"/>
          <w:shd w:val="clear" w:color="auto" w:fill="FFFFFF"/>
        </w:rPr>
      </w:pPr>
      <w:r>
        <w:rPr>
          <w:rFonts w:hint="eastAsia" w:ascii="宋体" w:hAnsi="宋体"/>
          <w:color w:val="auto"/>
          <w:szCs w:val="21"/>
          <w:highlight w:val="none"/>
        </w:rPr>
        <w:t>6.2</w:t>
      </w:r>
      <w:r>
        <w:rPr>
          <w:rFonts w:ascii="宋体" w:hAnsi="宋体"/>
          <w:color w:val="auto"/>
          <w:szCs w:val="21"/>
          <w:highlight w:val="none"/>
        </w:rPr>
        <w:t xml:space="preserve">  </w:t>
      </w:r>
      <w:r>
        <w:rPr>
          <w:rFonts w:hint="eastAsia" w:ascii="宋体" w:hAnsi="宋体"/>
          <w:color w:val="auto"/>
          <w:szCs w:val="21"/>
          <w:highlight w:val="none"/>
        </w:rPr>
        <w:t>本项目落实深圳市政府采购供应商诚信管理政策要求。</w:t>
      </w:r>
    </w:p>
    <w:p w14:paraId="1C04246D">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7. 本项目若涉及采购货物，则合格的货物及相应服务应满足以下要求：</w:t>
      </w:r>
    </w:p>
    <w:p w14:paraId="6E270989">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 xml:space="preserve">.1  </w:t>
      </w:r>
      <w:r>
        <w:rPr>
          <w:rFonts w:hint="eastAsia" w:ascii="宋体" w:hAnsi="宋体"/>
          <w:color w:val="auto"/>
          <w:szCs w:val="21"/>
          <w:highlight w:val="none"/>
        </w:rPr>
        <w:t>必须是全新、未使用过的原装合格正品（包括零部件），如安装或配置了软件的，须为正版软件。</w:t>
      </w:r>
    </w:p>
    <w:p w14:paraId="4B6CEF49">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  国产的货物及其有关服务必须符合中华人民共和国的设计、制造生产标准及行业标准。招标公告有其他要求的，亦应符合其要求。</w:t>
      </w:r>
    </w:p>
    <w:p w14:paraId="2378C669">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 xml:space="preserve">  </w:t>
      </w:r>
      <w:r>
        <w:rPr>
          <w:rFonts w:hint="eastAsia" w:ascii="宋体" w:hAnsi="宋体"/>
          <w:color w:val="auto"/>
          <w:szCs w:val="21"/>
          <w:highlight w:val="none"/>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3504B3AA">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 xml:space="preserve">  </w:t>
      </w:r>
      <w:r>
        <w:rPr>
          <w:rFonts w:hint="eastAsia" w:ascii="宋体" w:hAnsi="宋体"/>
          <w:color w:val="auto"/>
          <w:szCs w:val="21"/>
          <w:highlight w:val="none"/>
        </w:rPr>
        <w:t>投标人</w:t>
      </w:r>
      <w:bookmarkStart w:id="47" w:name="_Hlk72152753"/>
      <w:r>
        <w:rPr>
          <w:rFonts w:hint="eastAsia" w:ascii="宋体" w:hAnsi="宋体"/>
          <w:color w:val="auto"/>
          <w:szCs w:val="21"/>
          <w:highlight w:val="none"/>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7"/>
    </w:p>
    <w:p w14:paraId="53F7A045">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6679387C">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7.6  工期要求：投标人在投标时对其所投项目应提交交货进度、交货计划等，在合同规定的时间内完成项目实施工作。</w:t>
      </w:r>
    </w:p>
    <w:p w14:paraId="2EA25935">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7.7  投标人必须承担的设备运输、安装调试、验收检测和提供设备操作说明书、图纸等其他相关及类似的义务。</w:t>
      </w:r>
    </w:p>
    <w:p w14:paraId="1DCE1DC5">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8．投标费用</w:t>
      </w:r>
    </w:p>
    <w:p w14:paraId="78592652">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不论投标结果如何，投标人应承担其编制投标文件与递交投标文件所涉及的一切费用。</w:t>
      </w:r>
    </w:p>
    <w:p w14:paraId="309EF66D">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9．踏勘现场</w:t>
      </w:r>
    </w:p>
    <w:p w14:paraId="154EEA67">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9.1如有需要（详见专用条款），采购人或</w:t>
      </w:r>
      <w:r>
        <w:rPr>
          <w:rFonts w:hint="eastAsia" w:ascii="宋体" w:hAnsi="宋体"/>
          <w:color w:val="auto"/>
          <w:szCs w:val="21"/>
          <w:highlight w:val="none"/>
          <w:lang w:eastAsia="zh-CN"/>
        </w:rPr>
        <w:t>代理机构</w:t>
      </w:r>
      <w:r>
        <w:rPr>
          <w:rFonts w:hint="eastAsia" w:ascii="宋体" w:hAnsi="宋体"/>
          <w:color w:val="auto"/>
          <w:szCs w:val="21"/>
          <w:highlight w:val="none"/>
        </w:rPr>
        <w:t>将组织投标人对项目现场及周围环境进行踏勘，以便投标人获取有关编制投标文件和签署合同所需的资料。踏勘现场所发生的费用由投标人自行承担。投标人应按招标文件所约定的时间、地点踏勘现场。</w:t>
      </w:r>
    </w:p>
    <w:p w14:paraId="42B0379F">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9.2投标人及其人员经过采购人的允许，可以进入采购人的项目现场踏勘。若招标文件要求投标人于统一时间地点踏勘现场的，投标人应当按时前往。</w:t>
      </w:r>
    </w:p>
    <w:p w14:paraId="6649F309">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9.3采购人应当通过</w:t>
      </w:r>
      <w:r>
        <w:rPr>
          <w:rFonts w:hint="eastAsia" w:ascii="宋体" w:hAnsi="宋体"/>
          <w:color w:val="auto"/>
          <w:szCs w:val="21"/>
          <w:highlight w:val="none"/>
          <w:lang w:eastAsia="zh-CN"/>
        </w:rPr>
        <w:t>代理机构</w:t>
      </w:r>
      <w:r>
        <w:rPr>
          <w:rFonts w:hint="eastAsia" w:ascii="宋体" w:hAnsi="宋体"/>
          <w:color w:val="auto"/>
          <w:szCs w:val="21"/>
          <w:highlight w:val="none"/>
        </w:rPr>
        <w:t>向投标人提供有关现场的书面资料和数据。</w:t>
      </w:r>
    </w:p>
    <w:p w14:paraId="6AD09674">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9.4任何人或任何组织在踏勘现场时向投标人提供的任何书面资料或口头承诺，未经</w:t>
      </w:r>
      <w:r>
        <w:rPr>
          <w:rFonts w:hint="eastAsia" w:ascii="宋体" w:hAnsi="宋体"/>
          <w:color w:val="auto"/>
          <w:szCs w:val="21"/>
          <w:highlight w:val="none"/>
          <w:lang w:eastAsia="zh-CN"/>
        </w:rPr>
        <w:t>代理机构</w:t>
      </w:r>
      <w:r>
        <w:rPr>
          <w:rFonts w:hint="eastAsia" w:ascii="宋体" w:hAnsi="宋体"/>
          <w:color w:val="auto"/>
          <w:szCs w:val="21"/>
          <w:highlight w:val="none"/>
        </w:rPr>
        <w:t>在网上发布或书面通知，均作无效处理。</w:t>
      </w:r>
    </w:p>
    <w:p w14:paraId="3E3D2260">
      <w:pPr>
        <w:pageBreakBefore w:val="0"/>
        <w:kinsoku/>
        <w:overflowPunct/>
        <w:topLinePunct w:val="0"/>
        <w:bidi w:val="0"/>
        <w:spacing w:line="360" w:lineRule="auto"/>
        <w:ind w:firstLine="420" w:firstLineChars="20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未参与踏勘现场不作为否定投标人资格的理由。</w:t>
      </w:r>
    </w:p>
    <w:p w14:paraId="556CAC42">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黑体" w:hAnsi="宋体" w:eastAsia="黑体"/>
          <w:color w:val="auto"/>
          <w:szCs w:val="21"/>
          <w:highlight w:val="none"/>
        </w:rPr>
        <w:t>1</w:t>
      </w:r>
      <w:r>
        <w:rPr>
          <w:rFonts w:ascii="黑体" w:hAnsi="宋体" w:eastAsia="黑体"/>
          <w:color w:val="auto"/>
          <w:szCs w:val="21"/>
          <w:highlight w:val="none"/>
        </w:rPr>
        <w:t>0</w:t>
      </w:r>
      <w:r>
        <w:rPr>
          <w:rFonts w:hint="eastAsia" w:ascii="黑体" w:hAnsi="宋体" w:eastAsia="黑体"/>
          <w:color w:val="auto"/>
          <w:szCs w:val="21"/>
          <w:highlight w:val="none"/>
        </w:rPr>
        <w:t>．标前会议</w:t>
      </w:r>
    </w:p>
    <w:p w14:paraId="3E154A6C">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如采购人或</w:t>
      </w:r>
      <w:r>
        <w:rPr>
          <w:rFonts w:hint="eastAsia" w:ascii="宋体" w:hAnsi="宋体"/>
          <w:color w:val="auto"/>
          <w:szCs w:val="21"/>
          <w:highlight w:val="none"/>
          <w:lang w:eastAsia="zh-CN"/>
        </w:rPr>
        <w:t>代理机构</w:t>
      </w:r>
      <w:r>
        <w:rPr>
          <w:rFonts w:hint="eastAsia" w:ascii="宋体" w:hAnsi="宋体"/>
          <w:color w:val="auto"/>
          <w:szCs w:val="21"/>
          <w:highlight w:val="none"/>
        </w:rPr>
        <w:t>认为有必要组织标前会议，投标人应按照招标文件规定的时间或</w:t>
      </w:r>
      <w:r>
        <w:rPr>
          <w:rFonts w:hint="eastAsia" w:ascii="宋体" w:hAnsi="宋体"/>
          <w:color w:val="auto"/>
          <w:szCs w:val="21"/>
          <w:highlight w:val="none"/>
          <w:lang w:eastAsia="zh-CN"/>
        </w:rPr>
        <w:t>代理机构</w:t>
      </w:r>
      <w:r>
        <w:rPr>
          <w:rFonts w:hint="eastAsia" w:ascii="宋体" w:hAnsi="宋体"/>
          <w:color w:val="auto"/>
          <w:szCs w:val="21"/>
          <w:highlight w:val="none"/>
        </w:rPr>
        <w:t>另行书面通知（包括</w:t>
      </w:r>
      <w:r>
        <w:rPr>
          <w:rFonts w:hint="eastAsia" w:ascii="宋体" w:hAnsi="宋体"/>
          <w:color w:val="auto"/>
          <w:szCs w:val="21"/>
          <w:highlight w:val="none"/>
          <w:lang w:eastAsia="zh-CN"/>
        </w:rPr>
        <w:t>代理机构</w:t>
      </w:r>
      <w:r>
        <w:rPr>
          <w:rFonts w:hint="eastAsia" w:ascii="宋体" w:hAnsi="宋体"/>
          <w:color w:val="auto"/>
          <w:szCs w:val="21"/>
          <w:highlight w:val="none"/>
        </w:rPr>
        <w:t>网站发布方式，如更正公告等）的时间和地点，参与标前会议。</w:t>
      </w:r>
    </w:p>
    <w:p w14:paraId="14E8D2DB">
      <w:pPr>
        <w:pageBreakBefore w:val="0"/>
        <w:kinsoku/>
        <w:overflowPunct/>
        <w:topLinePunct w:val="0"/>
        <w:bidi w:val="0"/>
        <w:spacing w:line="360" w:lineRule="auto"/>
        <w:ind w:firstLine="420" w:firstLineChars="200"/>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任何人或任何组织在标前会议时向投标人提供的任何书面资料或口头承诺，未经</w:t>
      </w:r>
      <w:r>
        <w:rPr>
          <w:rFonts w:hint="eastAsia" w:ascii="宋体" w:hAnsi="宋体"/>
          <w:color w:val="auto"/>
          <w:szCs w:val="21"/>
          <w:highlight w:val="none"/>
          <w:lang w:eastAsia="zh-CN"/>
        </w:rPr>
        <w:t>代理机构</w:t>
      </w:r>
      <w:r>
        <w:rPr>
          <w:rFonts w:hint="eastAsia" w:ascii="宋体" w:hAnsi="宋体"/>
          <w:color w:val="auto"/>
          <w:szCs w:val="21"/>
          <w:highlight w:val="none"/>
        </w:rPr>
        <w:t>在网上发布或书面通知，均作无效处理。</w:t>
      </w:r>
    </w:p>
    <w:p w14:paraId="28D0686F">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未参与标前会议不作为否定投标人资格的理由。</w:t>
      </w:r>
    </w:p>
    <w:bookmarkEnd w:id="46"/>
    <w:p w14:paraId="0F4C5E8F">
      <w:pPr>
        <w:pageBreakBefore w:val="0"/>
        <w:kinsoku/>
        <w:overflowPunct/>
        <w:topLinePunct w:val="0"/>
        <w:bidi w:val="0"/>
        <w:spacing w:line="360" w:lineRule="auto"/>
        <w:ind w:firstLine="411" w:firstLineChars="196"/>
        <w:rPr>
          <w:rFonts w:ascii="宋体" w:hAnsi="宋体"/>
          <w:color w:val="auto"/>
          <w:highlight w:val="none"/>
        </w:rPr>
      </w:pPr>
    </w:p>
    <w:p w14:paraId="3C396BDF">
      <w:pPr>
        <w:pStyle w:val="81"/>
        <w:keepNext/>
        <w:keepLines/>
        <w:pageBreakBefore w:val="0"/>
        <w:numPr>
          <w:ilvl w:val="0"/>
          <w:numId w:val="11"/>
        </w:numPr>
        <w:tabs>
          <w:tab w:val="left" w:pos="720"/>
        </w:tabs>
        <w:kinsoku/>
        <w:overflowPunct/>
        <w:topLinePunct w:val="0"/>
        <w:bidi w:val="0"/>
        <w:adjustRightInd w:val="0"/>
        <w:spacing w:before="120" w:beforeLines="50" w:after="120" w:afterLines="50" w:line="360" w:lineRule="auto"/>
        <w:ind w:firstLineChars="0"/>
        <w:jc w:val="center"/>
        <w:textAlignment w:val="baseline"/>
        <w:outlineLvl w:val="1"/>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招标文件</w:t>
      </w:r>
    </w:p>
    <w:p w14:paraId="0947AFE5">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1</w:t>
      </w:r>
      <w:r>
        <w:rPr>
          <w:rFonts w:ascii="黑体" w:hAnsi="宋体" w:eastAsia="黑体"/>
          <w:color w:val="auto"/>
          <w:szCs w:val="21"/>
          <w:highlight w:val="none"/>
        </w:rPr>
        <w:t>1</w:t>
      </w:r>
      <w:r>
        <w:rPr>
          <w:rFonts w:hint="eastAsia" w:ascii="黑体" w:hAnsi="宋体" w:eastAsia="黑体"/>
          <w:color w:val="auto"/>
          <w:szCs w:val="21"/>
          <w:highlight w:val="none"/>
        </w:rPr>
        <w:t>．</w:t>
      </w:r>
      <w:bookmarkStart w:id="48" w:name="_Hlk72399819"/>
      <w:r>
        <w:rPr>
          <w:rFonts w:hint="eastAsia" w:ascii="黑体" w:hAnsi="宋体" w:eastAsia="黑体"/>
          <w:color w:val="auto"/>
          <w:szCs w:val="21"/>
          <w:highlight w:val="none"/>
        </w:rPr>
        <w:t>招标文件的编制与组成</w:t>
      </w:r>
    </w:p>
    <w:p w14:paraId="5EF118A0">
      <w:pPr>
        <w:pageBreakBefore w:val="0"/>
        <w:kinsoku/>
        <w:overflowPunct/>
        <w:topLinePunct w:val="0"/>
        <w:bidi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.1招标文件除以下内容外，</w:t>
      </w:r>
      <w:r>
        <w:rPr>
          <w:rFonts w:hint="eastAsia" w:ascii="宋体" w:hAnsi="宋体"/>
          <w:color w:val="auto"/>
          <w:szCs w:val="21"/>
          <w:highlight w:val="none"/>
          <w:lang w:eastAsia="zh-CN"/>
        </w:rPr>
        <w:t>代理机构</w:t>
      </w:r>
      <w:r>
        <w:rPr>
          <w:rFonts w:hint="eastAsia" w:ascii="宋体" w:hAnsi="宋体"/>
          <w:color w:val="auto"/>
          <w:szCs w:val="21"/>
          <w:highlight w:val="none"/>
        </w:rPr>
        <w:t>在招标期间发出的澄清或修改等相关公告或通知内容，均是招标文件的组成部分，对投标人起约束作用；</w:t>
      </w:r>
    </w:p>
    <w:p w14:paraId="6FD9432A">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招标文件包括下列内容：</w:t>
      </w:r>
    </w:p>
    <w:p w14:paraId="20166880">
      <w:pPr>
        <w:pageBreakBefore w:val="0"/>
        <w:kinsoku/>
        <w:overflowPunct/>
        <w:topLinePunct w:val="0"/>
        <w:bidi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第一册  专用条款</w:t>
      </w:r>
    </w:p>
    <w:p w14:paraId="448A493D">
      <w:pPr>
        <w:pageBreakBefore w:val="0"/>
        <w:kinsoku/>
        <w:overflowPunct/>
        <w:topLinePunct w:val="0"/>
        <w:bidi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关键信息</w:t>
      </w:r>
    </w:p>
    <w:p w14:paraId="16F83FB5">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第一章  招标公告</w:t>
      </w:r>
    </w:p>
    <w:p w14:paraId="1491395A">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第二章  对通用条款的补充内容及其他关键信息</w:t>
      </w:r>
    </w:p>
    <w:p w14:paraId="0FACB282">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第三章  用户需求书</w:t>
      </w:r>
    </w:p>
    <w:p w14:paraId="0C3794B0">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color w:val="auto"/>
          <w:szCs w:val="21"/>
          <w:highlight w:val="none"/>
        </w:rPr>
        <w:t xml:space="preserve">第四章 </w:t>
      </w:r>
      <w:r>
        <w:rPr>
          <w:color w:val="auto"/>
          <w:szCs w:val="21"/>
          <w:highlight w:val="none"/>
        </w:rPr>
        <w:t xml:space="preserve"> </w:t>
      </w:r>
      <w:r>
        <w:rPr>
          <w:rFonts w:hint="eastAsia"/>
          <w:color w:val="auto"/>
          <w:szCs w:val="21"/>
          <w:highlight w:val="none"/>
        </w:rPr>
        <w:t>投标文件格式及附件</w:t>
      </w:r>
    </w:p>
    <w:p w14:paraId="3704B280">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第五章  合同条款及格式</w:t>
      </w:r>
    </w:p>
    <w:p w14:paraId="7E336E7D">
      <w:pPr>
        <w:pageBreakBefore w:val="0"/>
        <w:kinsoku/>
        <w:overflowPunct/>
        <w:topLinePunct w:val="0"/>
        <w:bidi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第二册  通用条款</w:t>
      </w:r>
    </w:p>
    <w:p w14:paraId="4C7F2BDC">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第一章  总则</w:t>
      </w:r>
    </w:p>
    <w:p w14:paraId="2577DB2C">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第二章  招标文件</w:t>
      </w:r>
    </w:p>
    <w:p w14:paraId="05ADE3DF">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第三章  投标文件的编制</w:t>
      </w:r>
    </w:p>
    <w:p w14:paraId="329C6BCD">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第四章  投标文件的递交</w:t>
      </w:r>
    </w:p>
    <w:p w14:paraId="64A17D93">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第五章  开标</w:t>
      </w:r>
    </w:p>
    <w:p w14:paraId="1DD5CA00">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第六章  评审要求</w:t>
      </w:r>
    </w:p>
    <w:p w14:paraId="74E5AC58">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第七章  评审程序及评审方法</w:t>
      </w:r>
    </w:p>
    <w:p w14:paraId="42135B51">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第八章  定标及公示</w:t>
      </w:r>
    </w:p>
    <w:p w14:paraId="00A9A717">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第九章  公开招标失败的后续处理</w:t>
      </w:r>
    </w:p>
    <w:p w14:paraId="0B71F23D">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第十章  合同的授予与备案</w:t>
      </w:r>
    </w:p>
    <w:p w14:paraId="201CF44E">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第十一章  质疑处理</w:t>
      </w:r>
    </w:p>
    <w:p w14:paraId="12D33595">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.2 投标人下载招标文件后，应仔细检查招标文件的所有内容，如有疑问应在答疑截止时间之前向</w:t>
      </w:r>
      <w:r>
        <w:rPr>
          <w:rFonts w:hint="eastAsia" w:ascii="宋体" w:hAnsi="宋体"/>
          <w:color w:val="auto"/>
          <w:szCs w:val="21"/>
          <w:highlight w:val="none"/>
          <w:lang w:eastAsia="zh-CN"/>
        </w:rPr>
        <w:t>代理机构</w:t>
      </w:r>
      <w:r>
        <w:rPr>
          <w:rFonts w:hint="eastAsia" w:ascii="宋体" w:hAnsi="宋体"/>
          <w:color w:val="auto"/>
          <w:szCs w:val="21"/>
          <w:highlight w:val="none"/>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627E2B43">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.3任何人或任何组织向投标人提交的任何书面或口头资料，未经</w:t>
      </w:r>
      <w:r>
        <w:rPr>
          <w:rFonts w:hint="eastAsia" w:ascii="宋体" w:hAnsi="宋体"/>
          <w:color w:val="auto"/>
          <w:szCs w:val="21"/>
          <w:highlight w:val="none"/>
          <w:lang w:eastAsia="zh-CN"/>
        </w:rPr>
        <w:t>代理机构</w:t>
      </w:r>
      <w:r>
        <w:rPr>
          <w:rFonts w:hint="eastAsia" w:ascii="宋体" w:hAnsi="宋体"/>
          <w:color w:val="auto"/>
          <w:szCs w:val="21"/>
          <w:highlight w:val="none"/>
        </w:rPr>
        <w:t>在网上发布或书面通知，均作无效处理，不得作为招标文件的组成部分。</w:t>
      </w:r>
      <w:r>
        <w:rPr>
          <w:rFonts w:hint="eastAsia" w:ascii="宋体" w:hAnsi="宋体"/>
          <w:color w:val="auto"/>
          <w:szCs w:val="21"/>
          <w:highlight w:val="none"/>
          <w:lang w:eastAsia="zh-CN"/>
        </w:rPr>
        <w:t>代理机构</w:t>
      </w:r>
      <w:r>
        <w:rPr>
          <w:rFonts w:hint="eastAsia" w:ascii="宋体" w:hAnsi="宋体"/>
          <w:color w:val="auto"/>
          <w:szCs w:val="21"/>
          <w:highlight w:val="none"/>
        </w:rPr>
        <w:t>对投标人由此而做出的推论、理解和结论概不负责。</w:t>
      </w:r>
    </w:p>
    <w:p w14:paraId="63FD6B4E">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1</w:t>
      </w:r>
      <w:r>
        <w:rPr>
          <w:rFonts w:ascii="黑体" w:hAnsi="宋体" w:eastAsia="黑体"/>
          <w:color w:val="auto"/>
          <w:szCs w:val="21"/>
          <w:highlight w:val="none"/>
        </w:rPr>
        <w:t>2</w:t>
      </w:r>
      <w:r>
        <w:rPr>
          <w:rFonts w:hint="eastAsia" w:ascii="黑体" w:hAnsi="宋体" w:eastAsia="黑体"/>
          <w:color w:val="auto"/>
          <w:szCs w:val="21"/>
          <w:highlight w:val="none"/>
        </w:rPr>
        <w:t>．招标文件的澄清</w:t>
      </w:r>
    </w:p>
    <w:p w14:paraId="770F9585">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r>
        <w:rPr>
          <w:rFonts w:hint="eastAsia" w:ascii="宋体" w:hAnsi="宋体"/>
          <w:color w:val="auto"/>
          <w:szCs w:val="21"/>
          <w:highlight w:val="none"/>
        </w:rPr>
        <w:t>.1招标文件澄清的目的是澄清、解答投标人在查阅招标文件后或现场踏勘中可能提出的与投标有关的疑问或询问。</w:t>
      </w:r>
    </w:p>
    <w:p w14:paraId="78173D32">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r>
        <w:rPr>
          <w:rFonts w:hint="eastAsia" w:ascii="宋体" w:hAnsi="宋体"/>
          <w:color w:val="auto"/>
          <w:szCs w:val="21"/>
          <w:highlight w:val="none"/>
        </w:rPr>
        <w:t>.2投标人如对招标文件内容有疑问，应当在招标公告规定的澄清（提问）截止时间前</w:t>
      </w:r>
      <w:r>
        <w:rPr>
          <w:rFonts w:hint="eastAsia" w:ascii="宋体" w:hAnsi="宋体"/>
          <w:color w:val="auto"/>
          <w:szCs w:val="21"/>
          <w:highlight w:val="none"/>
          <w:lang w:val="en-US" w:eastAsia="zh-CN"/>
        </w:rPr>
        <w:t>将疑问内容加盖公章书面</w:t>
      </w:r>
      <w:r>
        <w:rPr>
          <w:rFonts w:hint="eastAsia" w:ascii="宋体" w:hAnsi="宋体"/>
          <w:color w:val="auto"/>
          <w:szCs w:val="21"/>
          <w:highlight w:val="none"/>
        </w:rPr>
        <w:t>提交</w:t>
      </w:r>
      <w:r>
        <w:rPr>
          <w:rFonts w:hint="eastAsia" w:ascii="宋体" w:hAnsi="宋体"/>
          <w:color w:val="auto"/>
          <w:szCs w:val="21"/>
          <w:highlight w:val="none"/>
          <w:lang w:val="en-US" w:eastAsia="zh-CN"/>
        </w:rPr>
        <w:t>至</w:t>
      </w:r>
      <w:r>
        <w:rPr>
          <w:rFonts w:hint="eastAsia" w:ascii="宋体" w:hAnsi="宋体"/>
          <w:color w:val="auto"/>
          <w:szCs w:val="21"/>
          <w:highlight w:val="none"/>
          <w:lang w:eastAsia="zh-CN"/>
        </w:rPr>
        <w:t>代理机构</w:t>
      </w:r>
      <w:r>
        <w:rPr>
          <w:rFonts w:hint="eastAsia" w:ascii="宋体" w:hAnsi="宋体"/>
          <w:color w:val="auto"/>
          <w:szCs w:val="21"/>
          <w:highlight w:val="none"/>
        </w:rPr>
        <w:t>。</w:t>
      </w:r>
    </w:p>
    <w:p w14:paraId="319D3B94">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r>
        <w:rPr>
          <w:rFonts w:hint="eastAsia" w:ascii="宋体" w:hAnsi="宋体"/>
          <w:color w:val="auto"/>
          <w:szCs w:val="21"/>
          <w:highlight w:val="none"/>
        </w:rPr>
        <w:t>.3不论是</w:t>
      </w:r>
      <w:r>
        <w:rPr>
          <w:rFonts w:hint="eastAsia" w:ascii="宋体" w:hAnsi="宋体"/>
          <w:color w:val="auto"/>
          <w:szCs w:val="21"/>
          <w:highlight w:val="none"/>
          <w:lang w:eastAsia="zh-CN"/>
        </w:rPr>
        <w:t>代理机构</w:t>
      </w:r>
      <w:r>
        <w:rPr>
          <w:rFonts w:hint="eastAsia" w:ascii="宋体" w:hAnsi="宋体"/>
          <w:color w:val="auto"/>
          <w:szCs w:val="21"/>
          <w:highlight w:val="none"/>
        </w:rPr>
        <w:t>根据需要主动对招标文件进行必要的澄清或是根据投标人的要求对招标文件做出澄清，</w:t>
      </w:r>
      <w:r>
        <w:rPr>
          <w:rFonts w:hint="eastAsia" w:ascii="宋体" w:hAnsi="宋体"/>
          <w:color w:val="auto"/>
          <w:szCs w:val="21"/>
          <w:highlight w:val="none"/>
          <w:lang w:eastAsia="zh-CN"/>
        </w:rPr>
        <w:t>代理机构</w:t>
      </w:r>
      <w:r>
        <w:rPr>
          <w:rFonts w:hint="eastAsia" w:ascii="宋体" w:hAnsi="宋体"/>
          <w:color w:val="auto"/>
          <w:szCs w:val="21"/>
          <w:highlight w:val="none"/>
        </w:rPr>
        <w:t>都将在投标截止日期前以书面形式（包括</w:t>
      </w:r>
      <w:r>
        <w:rPr>
          <w:rFonts w:hint="eastAsia" w:ascii="宋体" w:hAnsi="宋体"/>
          <w:color w:val="auto"/>
          <w:szCs w:val="21"/>
          <w:highlight w:val="none"/>
          <w:lang w:eastAsia="zh-CN"/>
        </w:rPr>
        <w:t>代理机构</w:t>
      </w:r>
      <w:r>
        <w:rPr>
          <w:rFonts w:hint="eastAsia" w:ascii="宋体" w:hAnsi="宋体"/>
          <w:color w:val="auto"/>
          <w:szCs w:val="21"/>
          <w:highlight w:val="none"/>
        </w:rPr>
        <w:t>网站发布方式）答复或发送给所有投标人。答复内容是招标文件的组成部分，对投标人起约束作用，其有效性按照本通用条款第1</w:t>
      </w:r>
      <w:r>
        <w:rPr>
          <w:rFonts w:ascii="宋体" w:hAnsi="宋体"/>
          <w:color w:val="auto"/>
          <w:szCs w:val="21"/>
          <w:highlight w:val="none"/>
        </w:rPr>
        <w:t>3.3</w:t>
      </w:r>
      <w:r>
        <w:rPr>
          <w:rFonts w:hint="eastAsia" w:ascii="宋体" w:hAnsi="宋体"/>
          <w:color w:val="auto"/>
          <w:szCs w:val="21"/>
          <w:highlight w:val="none"/>
        </w:rPr>
        <w:t>、1</w:t>
      </w:r>
      <w:r>
        <w:rPr>
          <w:rFonts w:ascii="宋体" w:hAnsi="宋体"/>
          <w:color w:val="auto"/>
          <w:szCs w:val="21"/>
          <w:highlight w:val="none"/>
        </w:rPr>
        <w:t>3.4</w:t>
      </w:r>
      <w:r>
        <w:rPr>
          <w:rFonts w:hint="eastAsia" w:ascii="宋体" w:hAnsi="宋体"/>
          <w:color w:val="auto"/>
          <w:szCs w:val="21"/>
          <w:highlight w:val="none"/>
        </w:rPr>
        <w:t>款规定执行。</w:t>
      </w:r>
    </w:p>
    <w:p w14:paraId="2240B86E">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ascii="黑体" w:hAnsi="宋体" w:eastAsia="黑体"/>
          <w:color w:val="auto"/>
          <w:szCs w:val="21"/>
          <w:highlight w:val="none"/>
        </w:rPr>
        <w:t>1</w:t>
      </w:r>
      <w:r>
        <w:rPr>
          <w:rFonts w:hint="eastAsia" w:ascii="黑体" w:hAnsi="宋体" w:eastAsia="黑体"/>
          <w:color w:val="auto"/>
          <w:szCs w:val="21"/>
          <w:highlight w:val="none"/>
        </w:rPr>
        <w:t>3．招标文件的修改</w:t>
      </w:r>
    </w:p>
    <w:p w14:paraId="0BA5541C">
      <w:pPr>
        <w:pageBreakBefore w:val="0"/>
        <w:kinsoku/>
        <w:overflowPunct/>
        <w:topLinePunct w:val="0"/>
        <w:bidi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3.1招标文件发出后，在投标截止日期前任何时候，确需要变更招标文件内容的，</w:t>
      </w:r>
      <w:r>
        <w:rPr>
          <w:rFonts w:hint="eastAsia" w:ascii="宋体" w:hAnsi="宋体"/>
          <w:color w:val="auto"/>
          <w:szCs w:val="21"/>
          <w:highlight w:val="none"/>
          <w:lang w:eastAsia="zh-CN"/>
        </w:rPr>
        <w:t>代理机构</w:t>
      </w:r>
      <w:r>
        <w:rPr>
          <w:rFonts w:hint="eastAsia" w:ascii="宋体" w:hAnsi="宋体"/>
          <w:color w:val="auto"/>
          <w:szCs w:val="21"/>
          <w:highlight w:val="none"/>
        </w:rPr>
        <w:t>可主动或在解答投标人提出的澄清问题时对招标文件进行修改。</w:t>
      </w:r>
    </w:p>
    <w:p w14:paraId="16ED001D">
      <w:pPr>
        <w:pageBreakBefore w:val="0"/>
        <w:kinsoku/>
        <w:overflowPunct/>
        <w:topLinePunct w:val="0"/>
        <w:bidi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3.2招标文件的修改以书面形式（包括</w:t>
      </w:r>
      <w:r>
        <w:rPr>
          <w:rFonts w:hint="eastAsia" w:ascii="宋体" w:hAnsi="宋体"/>
          <w:color w:val="auto"/>
          <w:szCs w:val="21"/>
          <w:highlight w:val="none"/>
          <w:lang w:eastAsia="zh-CN"/>
        </w:rPr>
        <w:t>代理机构</w:t>
      </w:r>
      <w:r>
        <w:rPr>
          <w:rFonts w:hint="eastAsia" w:ascii="宋体" w:hAnsi="宋体"/>
          <w:color w:val="auto"/>
          <w:szCs w:val="21"/>
          <w:highlight w:val="none"/>
        </w:rPr>
        <w:t>网站发布方式，如更正公告等）发送给所有投标人，招标文件的修改内容作为招标文件的组成部分，并具有约束力。</w:t>
      </w:r>
    </w:p>
    <w:p w14:paraId="13E12B0B">
      <w:pPr>
        <w:pageBreakBefore w:val="0"/>
        <w:kinsoku/>
        <w:overflowPunct/>
        <w:topLinePunct w:val="0"/>
        <w:bidi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3.3招标文件、招标文件澄清答复内容、招标文件修改补充内容均以书面形式（包括</w:t>
      </w:r>
      <w:r>
        <w:rPr>
          <w:rFonts w:hint="eastAsia" w:ascii="宋体" w:hAnsi="宋体"/>
          <w:color w:val="auto"/>
          <w:szCs w:val="21"/>
          <w:highlight w:val="none"/>
          <w:lang w:eastAsia="zh-CN"/>
        </w:rPr>
        <w:t>代理机构</w:t>
      </w:r>
      <w:r>
        <w:rPr>
          <w:rFonts w:hint="eastAsia" w:ascii="宋体" w:hAnsi="宋体"/>
          <w:color w:val="auto"/>
          <w:szCs w:val="21"/>
          <w:highlight w:val="none"/>
        </w:rPr>
        <w:t>网站公开发布方式，如更正公告等）明确的内容为准。当招标文件、修改补充通知、招标文件澄清答复内容相互矛盾时，以最后发出的内容为准。</w:t>
      </w:r>
    </w:p>
    <w:p w14:paraId="17FC5A16">
      <w:pPr>
        <w:pageBreakBefore w:val="0"/>
        <w:kinsoku/>
        <w:overflowPunct/>
        <w:topLinePunct w:val="0"/>
        <w:bidi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3.4</w:t>
      </w:r>
      <w:r>
        <w:rPr>
          <w:rFonts w:hint="eastAsia" w:ascii="宋体" w:hAnsi="宋体"/>
          <w:color w:val="auto"/>
          <w:szCs w:val="21"/>
          <w:highlight w:val="none"/>
          <w:lang w:eastAsia="zh-CN"/>
        </w:rPr>
        <w:t>代理机构</w:t>
      </w:r>
      <w:r>
        <w:rPr>
          <w:rFonts w:hint="eastAsia" w:ascii="宋体" w:hAnsi="宋体"/>
          <w:color w:val="auto"/>
          <w:szCs w:val="21"/>
          <w:highlight w:val="none"/>
        </w:rPr>
        <w:t>保证招标文件澄清答复内容和招标文件修改补充内容在投标截止时间前以书面形式（包括</w:t>
      </w:r>
      <w:r>
        <w:rPr>
          <w:rFonts w:hint="eastAsia" w:ascii="宋体" w:hAnsi="宋体"/>
          <w:color w:val="auto"/>
          <w:szCs w:val="21"/>
          <w:highlight w:val="none"/>
          <w:lang w:eastAsia="zh-CN"/>
        </w:rPr>
        <w:t>代理机构</w:t>
      </w:r>
      <w:r>
        <w:rPr>
          <w:rFonts w:hint="eastAsia" w:ascii="宋体" w:hAnsi="宋体"/>
          <w:color w:val="auto"/>
          <w:szCs w:val="21"/>
          <w:highlight w:val="none"/>
        </w:rPr>
        <w:t>网站发布方式，如更正公告等）发送给所有投标人。为使投标人在编制投标文件时有充分时间对招标文件的修改部分进行研究，</w:t>
      </w:r>
      <w:r>
        <w:rPr>
          <w:rFonts w:hint="eastAsia" w:ascii="宋体" w:hAnsi="宋体"/>
          <w:color w:val="auto"/>
          <w:szCs w:val="21"/>
          <w:highlight w:val="none"/>
          <w:lang w:eastAsia="zh-CN"/>
        </w:rPr>
        <w:t>代理机构</w:t>
      </w:r>
      <w:r>
        <w:rPr>
          <w:rFonts w:hint="eastAsia" w:ascii="宋体" w:hAnsi="宋体"/>
          <w:color w:val="auto"/>
          <w:szCs w:val="21"/>
          <w:highlight w:val="none"/>
        </w:rPr>
        <w:t>可以酌情延长递交投标文件的截止日期。</w:t>
      </w:r>
      <w:bookmarkEnd w:id="48"/>
    </w:p>
    <w:p w14:paraId="0F71DB02">
      <w:pPr>
        <w:pageBreakBefore w:val="0"/>
        <w:kinsoku/>
        <w:overflowPunct/>
        <w:topLinePunct w:val="0"/>
        <w:bidi w:val="0"/>
        <w:spacing w:line="360" w:lineRule="auto"/>
        <w:rPr>
          <w:rFonts w:ascii="宋体" w:hAnsi="宋体"/>
          <w:color w:val="auto"/>
          <w:szCs w:val="21"/>
          <w:highlight w:val="none"/>
        </w:rPr>
      </w:pPr>
    </w:p>
    <w:p w14:paraId="3B8F20BA">
      <w:pPr>
        <w:pStyle w:val="81"/>
        <w:keepNext/>
        <w:keepLines/>
        <w:pageBreakBefore w:val="0"/>
        <w:numPr>
          <w:ilvl w:val="0"/>
          <w:numId w:val="11"/>
        </w:numPr>
        <w:tabs>
          <w:tab w:val="left" w:pos="720"/>
        </w:tabs>
        <w:kinsoku/>
        <w:overflowPunct/>
        <w:topLinePunct w:val="0"/>
        <w:bidi w:val="0"/>
        <w:adjustRightInd w:val="0"/>
        <w:spacing w:before="120" w:beforeLines="50" w:after="120" w:afterLines="50" w:line="360" w:lineRule="auto"/>
        <w:ind w:firstLineChars="0"/>
        <w:jc w:val="center"/>
        <w:textAlignment w:val="baseline"/>
        <w:outlineLvl w:val="1"/>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投标文件的编制</w:t>
      </w:r>
    </w:p>
    <w:p w14:paraId="5E3F3CC4">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14．</w:t>
      </w:r>
      <w:bookmarkStart w:id="49" w:name="_Hlk72400236"/>
      <w:r>
        <w:rPr>
          <w:rFonts w:hint="eastAsia" w:ascii="黑体" w:hAnsi="宋体" w:eastAsia="黑体"/>
          <w:color w:val="auto"/>
          <w:szCs w:val="21"/>
          <w:highlight w:val="none"/>
        </w:rPr>
        <w:t>投标文件的语言及度量单位</w:t>
      </w:r>
    </w:p>
    <w:p w14:paraId="77F17EBE">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14.1 投标人与</w:t>
      </w:r>
      <w:r>
        <w:rPr>
          <w:rFonts w:hint="eastAsia" w:ascii="宋体" w:hAnsi="宋体"/>
          <w:color w:val="auto"/>
          <w:szCs w:val="21"/>
          <w:highlight w:val="none"/>
          <w:lang w:eastAsia="zh-CN"/>
        </w:rPr>
        <w:t>代理机构</w:t>
      </w:r>
      <w:r>
        <w:rPr>
          <w:rFonts w:hint="eastAsia" w:ascii="宋体" w:hAnsi="宋体"/>
          <w:color w:val="auto"/>
          <w:szCs w:val="21"/>
          <w:highlight w:val="none"/>
        </w:rPr>
        <w:t>之间与投标有关的所有往来通知、函件和投标文件均用中文表述。投标人随投标文件提供的证明文件和资料可以为</w:t>
      </w:r>
      <w:r>
        <w:rPr>
          <w:rFonts w:hint="eastAsia" w:ascii="宋体" w:hAnsi="宋体"/>
          <w:color w:val="auto"/>
          <w:szCs w:val="21"/>
          <w:highlight w:val="none"/>
          <w:lang w:eastAsia="zh-CN"/>
        </w:rPr>
        <w:t>其他</w:t>
      </w:r>
      <w:r>
        <w:rPr>
          <w:rFonts w:hint="eastAsia" w:ascii="宋体" w:hAnsi="宋体"/>
          <w:color w:val="auto"/>
          <w:szCs w:val="21"/>
          <w:highlight w:val="none"/>
        </w:rPr>
        <w:t>语言，但必须附中文译文。翻译的中文资料与外文资料如果出现差异时，以中文为准，但翻译错误的除外。</w:t>
      </w:r>
    </w:p>
    <w:p w14:paraId="74CAC1FF">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14.2 除技术规范另有规定外，投标文件使用的度量单位，均采用中华人民共和国法定计量单位。</w:t>
      </w:r>
    </w:p>
    <w:bookmarkEnd w:id="49"/>
    <w:p w14:paraId="42FF3787">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15．</w:t>
      </w:r>
      <w:bookmarkStart w:id="50" w:name="_Hlk72401567"/>
      <w:r>
        <w:rPr>
          <w:rFonts w:hint="eastAsia" w:ascii="黑体" w:hAnsi="宋体" w:eastAsia="黑体"/>
          <w:color w:val="auto"/>
          <w:szCs w:val="21"/>
          <w:highlight w:val="none"/>
        </w:rPr>
        <w:t>投标文件的组成</w:t>
      </w:r>
    </w:p>
    <w:p w14:paraId="1FD1B6EE">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具体内容在招标文件专用条款中进行规定。</w:t>
      </w:r>
    </w:p>
    <w:p w14:paraId="2432A5E6">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ascii="黑体" w:hAnsi="宋体" w:eastAsia="黑体"/>
          <w:color w:val="auto"/>
          <w:szCs w:val="21"/>
          <w:highlight w:val="none"/>
        </w:rPr>
        <w:t>16．投标文件格式</w:t>
      </w:r>
    </w:p>
    <w:p w14:paraId="39118119">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投标文件包括本通用条款第</w:t>
      </w:r>
      <w:r>
        <w:rPr>
          <w:rFonts w:ascii="宋体" w:hAnsi="宋体"/>
          <w:color w:val="auto"/>
          <w:szCs w:val="21"/>
          <w:highlight w:val="none"/>
        </w:rPr>
        <w:t>15条中规定的内容。如</w:t>
      </w:r>
      <w:r>
        <w:rPr>
          <w:rFonts w:hint="eastAsia" w:ascii="宋体" w:hAnsi="宋体"/>
          <w:color w:val="auto"/>
          <w:szCs w:val="21"/>
          <w:highlight w:val="none"/>
        </w:rPr>
        <w:t>招标</w:t>
      </w:r>
      <w:r>
        <w:rPr>
          <w:rFonts w:ascii="宋体" w:hAnsi="宋体"/>
          <w:color w:val="auto"/>
          <w:szCs w:val="21"/>
          <w:highlight w:val="none"/>
        </w:rPr>
        <w:t>文件提供了投标文件格式，则</w:t>
      </w:r>
      <w:r>
        <w:rPr>
          <w:rFonts w:hint="eastAsia" w:ascii="宋体" w:hAnsi="宋体"/>
          <w:b/>
          <w:bCs/>
          <w:color w:val="auto"/>
          <w:szCs w:val="21"/>
          <w:highlight w:val="none"/>
        </w:rPr>
        <w:t>投标人提交的投标文件应毫无例外地使用招标文件所提供的相应格式</w:t>
      </w:r>
      <w:r>
        <w:rPr>
          <w:rFonts w:hint="eastAsia" w:ascii="宋体" w:hAnsi="宋体"/>
          <w:color w:val="auto"/>
          <w:szCs w:val="21"/>
          <w:highlight w:val="none"/>
        </w:rPr>
        <w:t>（表格均可按同样格式扩展）。</w:t>
      </w:r>
    </w:p>
    <w:p w14:paraId="4E6B15E3">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17．投标货币</w:t>
      </w:r>
    </w:p>
    <w:p w14:paraId="10D54A4C">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本项目的投标报价应以人民币计。</w:t>
      </w:r>
    </w:p>
    <w:bookmarkEnd w:id="50"/>
    <w:p w14:paraId="13F64186">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18．</w:t>
      </w:r>
      <w:bookmarkStart w:id="51" w:name="_Hlk72401735"/>
      <w:r>
        <w:rPr>
          <w:rFonts w:hint="eastAsia" w:ascii="黑体" w:hAnsi="宋体" w:eastAsia="黑体"/>
          <w:color w:val="auto"/>
          <w:szCs w:val="21"/>
          <w:highlight w:val="none"/>
        </w:rPr>
        <w:t>证明投标文件投标技术方案的合格性和符合招标文件规定的文件要求</w:t>
      </w:r>
    </w:p>
    <w:p w14:paraId="71225451">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18</w:t>
      </w:r>
      <w:r>
        <w:rPr>
          <w:rFonts w:ascii="宋体" w:hAnsi="宋体"/>
          <w:color w:val="auto"/>
          <w:szCs w:val="21"/>
          <w:highlight w:val="none"/>
        </w:rPr>
        <w:t xml:space="preserve">.1 </w:t>
      </w:r>
      <w:r>
        <w:rPr>
          <w:rFonts w:hint="eastAsia" w:ascii="宋体" w:hAnsi="宋体"/>
          <w:color w:val="auto"/>
          <w:szCs w:val="21"/>
          <w:highlight w:val="none"/>
        </w:rPr>
        <w:t>投标人应提交证明文件，证明其投标技术方案项下的货物和服务的合格性符合招标文件规定。该投标技术方案及其证明文件均作为投标文件组成部分。</w:t>
      </w:r>
    </w:p>
    <w:p w14:paraId="4A041C41">
      <w:pPr>
        <w:pageBreakBefore w:val="0"/>
        <w:kinsoku/>
        <w:overflowPunct/>
        <w:topLinePunct w:val="0"/>
        <w:bidi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8</w:t>
      </w:r>
      <w:r>
        <w:rPr>
          <w:rFonts w:ascii="宋体" w:hAnsi="宋体"/>
          <w:color w:val="auto"/>
          <w:szCs w:val="21"/>
          <w:highlight w:val="none"/>
        </w:rPr>
        <w:t xml:space="preserve">.2 </w:t>
      </w:r>
      <w:r>
        <w:rPr>
          <w:rFonts w:hint="eastAsia" w:ascii="宋体" w:hAnsi="宋体"/>
          <w:color w:val="auto"/>
          <w:szCs w:val="21"/>
          <w:highlight w:val="none"/>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74008D4E">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18.2.1主要技术指标和性能的详细说明。</w:t>
      </w:r>
    </w:p>
    <w:p w14:paraId="111A60EF">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18.2.</w:t>
      </w:r>
      <w:r>
        <w:rPr>
          <w:rFonts w:ascii="宋体" w:hAnsi="宋体"/>
          <w:color w:val="auto"/>
          <w:szCs w:val="21"/>
          <w:highlight w:val="none"/>
        </w:rPr>
        <w:t>2</w:t>
      </w:r>
      <w:r>
        <w:rPr>
          <w:rFonts w:hint="eastAsia" w:ascii="宋体" w:hAnsi="宋体"/>
          <w:color w:val="auto"/>
          <w:szCs w:val="21"/>
          <w:highlight w:val="none"/>
        </w:rPr>
        <w:t>投标产品从采购人开始使用至招标文件中规定的周期内正常、连续地使用所必须的备件和专用工具清单，包括备件和专用工具的货源及现行价格。</w:t>
      </w:r>
    </w:p>
    <w:p w14:paraId="6F9EF7D2">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18.2.</w:t>
      </w:r>
      <w:r>
        <w:rPr>
          <w:rFonts w:ascii="宋体" w:hAnsi="宋体"/>
          <w:color w:val="auto"/>
          <w:szCs w:val="21"/>
          <w:highlight w:val="none"/>
        </w:rPr>
        <w:t>3</w:t>
      </w:r>
      <w:r>
        <w:rPr>
          <w:rFonts w:hint="eastAsia" w:ascii="宋体" w:hAnsi="宋体"/>
          <w:color w:val="auto"/>
          <w:szCs w:val="21"/>
          <w:highlight w:val="none"/>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01D50B3A">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color w:val="auto"/>
          <w:szCs w:val="21"/>
          <w:highlight w:val="none"/>
        </w:rPr>
        <w:t>清晰度要求能够使用电脑阅读、识别和判断</w:t>
      </w:r>
      <w:r>
        <w:rPr>
          <w:rFonts w:hint="eastAsia" w:ascii="宋体" w:hAnsi="宋体"/>
          <w:color w:val="auto"/>
          <w:szCs w:val="21"/>
          <w:highlight w:val="none"/>
        </w:rPr>
        <w:t>；</w:t>
      </w:r>
    </w:p>
    <w:p w14:paraId="0B31CC28">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18.2.5我国政府机构出具的产品检验和核准证件应为证件正面、背面和附件标注的全部具体内容；产品检验和核准证件的尺寸和清晰度应该能够在电脑上被阅读、识别和判断，提供原件扫描件。</w:t>
      </w:r>
    </w:p>
    <w:p w14:paraId="2A45E8B4">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18.3相关资料不符合18.2款要求的，评审委员会有权认定为投标技术方案不合格响应，其相关分数予以扣减或作投标无效处理。</w:t>
      </w:r>
    </w:p>
    <w:p w14:paraId="50519DE0">
      <w:pPr>
        <w:pageBreakBefore w:val="0"/>
        <w:kinsoku/>
        <w:overflowPunct/>
        <w:topLinePunct w:val="0"/>
        <w:bidi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color w:val="auto"/>
          <w:szCs w:val="21"/>
          <w:highlight w:val="none"/>
        </w:rPr>
        <w:t>满足要求</w:t>
      </w:r>
      <w:r>
        <w:rPr>
          <w:rFonts w:hint="eastAsia" w:ascii="宋体" w:hAnsi="宋体"/>
          <w:color w:val="auto"/>
          <w:szCs w:val="21"/>
          <w:highlight w:val="none"/>
        </w:rPr>
        <w:t>，由评审委员会来评判。</w:t>
      </w:r>
    </w:p>
    <w:p w14:paraId="16C09CDB">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18.5除非另有规定或说明，投标人对同一项目投标时，不得同时提供两套或两套以上的投标方案。</w:t>
      </w:r>
    </w:p>
    <w:bookmarkEnd w:id="51"/>
    <w:p w14:paraId="6234C9BF">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19．</w:t>
      </w:r>
      <w:bookmarkStart w:id="52" w:name="_Hlk72402034"/>
      <w:r>
        <w:rPr>
          <w:rFonts w:hint="eastAsia" w:ascii="黑体" w:hAnsi="宋体" w:eastAsia="黑体"/>
          <w:color w:val="auto"/>
          <w:szCs w:val="21"/>
          <w:highlight w:val="none"/>
        </w:rPr>
        <w:t>投标文件其他证明文件的要求</w:t>
      </w:r>
    </w:p>
    <w:p w14:paraId="7889E197">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3" w:name="_Hlk71407299"/>
    </w:p>
    <w:bookmarkEnd w:id="53"/>
    <w:p w14:paraId="315E5D37">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40AD348E">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20．投标有效期</w:t>
      </w:r>
    </w:p>
    <w:bookmarkEnd w:id="52"/>
    <w:p w14:paraId="2721FF3E">
      <w:pPr>
        <w:pageBreakBefore w:val="0"/>
        <w:kinsoku/>
        <w:overflowPunct/>
        <w:topLinePunct w:val="0"/>
        <w:bidi w:val="0"/>
        <w:spacing w:line="360" w:lineRule="auto"/>
        <w:ind w:firstLine="420" w:firstLineChars="200"/>
        <w:rPr>
          <w:rFonts w:ascii="宋体" w:hAnsi="宋体"/>
          <w:color w:val="auto"/>
          <w:szCs w:val="21"/>
          <w:highlight w:val="none"/>
        </w:rPr>
      </w:pPr>
      <w:bookmarkStart w:id="54" w:name="_Hlk72402214"/>
      <w:r>
        <w:rPr>
          <w:rFonts w:hint="eastAsia" w:ascii="宋体" w:hAnsi="宋体"/>
          <w:color w:val="auto"/>
          <w:szCs w:val="21"/>
          <w:highlight w:val="none"/>
        </w:rPr>
        <w:t>20.1 投标有效期为</w:t>
      </w:r>
      <w:r>
        <w:rPr>
          <w:rFonts w:hint="eastAsia" w:ascii="Arial" w:hAnsi="Arial" w:cs="Arial"/>
          <w:color w:val="auto"/>
          <w:szCs w:val="21"/>
          <w:highlight w:val="none"/>
        </w:rPr>
        <w:t>从投标截止之日算起的日历天数。</w:t>
      </w:r>
      <w:r>
        <w:rPr>
          <w:rFonts w:hint="eastAsia" w:ascii="宋体" w:hAnsi="宋体"/>
          <w:color w:val="auto"/>
          <w:szCs w:val="21"/>
          <w:highlight w:val="none"/>
        </w:rPr>
        <w:t>在此期限内，所有投标文件均保持有效。</w:t>
      </w:r>
    </w:p>
    <w:p w14:paraId="5CB1F33D">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20.2 在特殊情况下，</w:t>
      </w:r>
      <w:r>
        <w:rPr>
          <w:rFonts w:hint="eastAsia" w:ascii="宋体" w:hAnsi="宋体"/>
          <w:color w:val="auto"/>
          <w:szCs w:val="21"/>
          <w:highlight w:val="none"/>
          <w:lang w:eastAsia="zh-CN"/>
        </w:rPr>
        <w:t>代理机构</w:t>
      </w:r>
      <w:r>
        <w:rPr>
          <w:rFonts w:hint="eastAsia" w:ascii="宋体" w:hAnsi="宋体"/>
          <w:color w:val="auto"/>
          <w:szCs w:val="21"/>
          <w:highlight w:val="none"/>
        </w:rPr>
        <w:t>在原定的投标有效期满之前，</w:t>
      </w:r>
      <w:r>
        <w:rPr>
          <w:rFonts w:hint="eastAsia" w:ascii="宋体" w:hAnsi="宋体"/>
          <w:color w:val="auto"/>
          <w:szCs w:val="21"/>
          <w:highlight w:val="none"/>
          <w:lang w:eastAsia="zh-CN"/>
        </w:rPr>
        <w:t>代理机构</w:t>
      </w:r>
      <w:r>
        <w:rPr>
          <w:rFonts w:hint="eastAsia" w:ascii="宋体" w:hAnsi="宋体"/>
          <w:color w:val="auto"/>
          <w:szCs w:val="21"/>
          <w:highlight w:val="none"/>
        </w:rPr>
        <w:t>可以根据需要以书面形式（包括</w:t>
      </w:r>
      <w:r>
        <w:rPr>
          <w:rFonts w:hint="eastAsia" w:ascii="宋体" w:hAnsi="宋体"/>
          <w:color w:val="auto"/>
          <w:szCs w:val="21"/>
          <w:highlight w:val="none"/>
          <w:lang w:eastAsia="zh-CN"/>
        </w:rPr>
        <w:t>代理机构</w:t>
      </w:r>
      <w:r>
        <w:rPr>
          <w:rFonts w:hint="eastAsia" w:ascii="宋体" w:hAnsi="宋体"/>
          <w:color w:val="auto"/>
          <w:szCs w:val="21"/>
          <w:highlight w:val="none"/>
        </w:rPr>
        <w:t>网站公开发布方式）向投标人提出延长投标有效期的要求，对此要求投标人须以书面形式予以答复，投标人可以拒绝</w:t>
      </w:r>
      <w:r>
        <w:rPr>
          <w:rFonts w:hint="eastAsia" w:ascii="宋体" w:hAnsi="宋体"/>
          <w:color w:val="auto"/>
          <w:szCs w:val="21"/>
          <w:highlight w:val="none"/>
          <w:lang w:eastAsia="zh-CN"/>
        </w:rPr>
        <w:t>代理机构</w:t>
      </w:r>
      <w:r>
        <w:rPr>
          <w:rFonts w:hint="eastAsia" w:ascii="宋体" w:hAnsi="宋体"/>
          <w:color w:val="auto"/>
          <w:szCs w:val="21"/>
          <w:highlight w:val="none"/>
        </w:rPr>
        <w:t>此项要求，其投标在原投标有效期满后不再有效。同意延长投标有效期的投标人不能要求也不允许修改其投标文件。</w:t>
      </w:r>
    </w:p>
    <w:p w14:paraId="7E14DB22">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.3</w:t>
      </w:r>
      <w:r>
        <w:rPr>
          <w:rFonts w:hint="eastAsia" w:ascii="宋体" w:hAnsi="宋体"/>
          <w:color w:val="auto"/>
          <w:szCs w:val="21"/>
          <w:highlight w:val="none"/>
        </w:rPr>
        <w:t xml:space="preserve"> 中标供应商的投标文件有效期，截止于完成本招标文件规定的全部项目内容，并通过竣工验收及保修期结束。</w:t>
      </w:r>
    </w:p>
    <w:bookmarkEnd w:id="54"/>
    <w:p w14:paraId="78434DFA">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21．</w:t>
      </w:r>
      <w:bookmarkStart w:id="55" w:name="_Hlk72402325"/>
      <w:r>
        <w:rPr>
          <w:rFonts w:hint="eastAsia" w:ascii="黑体" w:hAnsi="宋体" w:eastAsia="黑体"/>
          <w:color w:val="auto"/>
          <w:szCs w:val="21"/>
          <w:highlight w:val="none"/>
        </w:rPr>
        <w:t xml:space="preserve">关于投标保证金 </w:t>
      </w:r>
    </w:p>
    <w:p w14:paraId="7FFE5B1E">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21.1</w:t>
      </w:r>
      <w:r>
        <w:rPr>
          <w:rFonts w:hint="eastAsia"/>
          <w:color w:val="auto"/>
          <w:szCs w:val="21"/>
          <w:highlight w:val="none"/>
        </w:rPr>
        <w:t>根据《深圳市财政局关于调整政府采购投标（响应）保证金管理政策的通知》（深财购〔2021〕51号）文的规定，本项目不收取投标保证金。</w:t>
      </w:r>
    </w:p>
    <w:p w14:paraId="23EDA3D5">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22．投标人的替代方案</w:t>
      </w:r>
    </w:p>
    <w:p w14:paraId="00E4ADDF">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3A1012E3">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w:t>
      </w:r>
      <w:r>
        <w:rPr>
          <w:rFonts w:hint="eastAsia" w:ascii="宋体" w:hAnsi="宋体"/>
          <w:color w:val="auto"/>
          <w:szCs w:val="21"/>
          <w:highlight w:val="none"/>
          <w:lang w:eastAsia="zh-CN"/>
        </w:rPr>
        <w:t>其他</w:t>
      </w:r>
      <w:r>
        <w:rPr>
          <w:rFonts w:hint="eastAsia" w:ascii="宋体" w:hAnsi="宋体"/>
          <w:color w:val="auto"/>
          <w:szCs w:val="21"/>
          <w:highlight w:val="none"/>
        </w:rPr>
        <w:t>详细资料。</w:t>
      </w:r>
    </w:p>
    <w:bookmarkEnd w:id="55"/>
    <w:p w14:paraId="1E68481A">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23．</w:t>
      </w:r>
      <w:bookmarkStart w:id="56" w:name="_Hlk72402860"/>
      <w:r>
        <w:rPr>
          <w:rFonts w:ascii="黑体" w:hAnsi="宋体" w:eastAsia="黑体"/>
          <w:color w:val="auto"/>
          <w:szCs w:val="21"/>
          <w:highlight w:val="none"/>
        </w:rPr>
        <w:t>投标文件的</w:t>
      </w:r>
      <w:r>
        <w:rPr>
          <w:rFonts w:hint="eastAsia" w:ascii="黑体" w:hAnsi="宋体" w:eastAsia="黑体"/>
          <w:color w:val="auto"/>
          <w:szCs w:val="21"/>
          <w:highlight w:val="none"/>
        </w:rPr>
        <w:t>制作</w:t>
      </w:r>
      <w:r>
        <w:rPr>
          <w:rFonts w:ascii="黑体" w:hAnsi="宋体" w:eastAsia="黑体"/>
          <w:color w:val="auto"/>
          <w:szCs w:val="21"/>
          <w:highlight w:val="none"/>
        </w:rPr>
        <w:t>要求</w:t>
      </w:r>
    </w:p>
    <w:p w14:paraId="5C903EBF">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23.1投标人应准备所投项目的电子投标文件一份。</w:t>
      </w:r>
    </w:p>
    <w:p w14:paraId="6F7269E9">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23.2投标人在使用《投标书编制软件》编制投标书时须注意：</w:t>
      </w:r>
    </w:p>
    <w:p w14:paraId="748FE8BC">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23.2.1导入《投标书编制软件》的招标文件项目编号、包号应与以此制作的投标文件项目编号、包号一致。例如，不能将甲项目A包的招标书导入《投标书编制软件》，制作乙项目B包的投标书。</w:t>
      </w:r>
    </w:p>
    <w:p w14:paraId="6016F95F">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23.2.2不能用非本公司的电子密钥加密本公司的投标文件，或者用</w:t>
      </w:r>
      <w:r>
        <w:rPr>
          <w:rFonts w:hint="eastAsia" w:ascii="宋体" w:hAnsi="宋体"/>
          <w:color w:val="auto"/>
          <w:szCs w:val="21"/>
          <w:highlight w:val="none"/>
          <w:lang w:eastAsia="zh-CN"/>
        </w:rPr>
        <w:t>其他</w:t>
      </w:r>
      <w:r>
        <w:rPr>
          <w:rFonts w:hint="eastAsia" w:ascii="宋体" w:hAnsi="宋体"/>
          <w:color w:val="auto"/>
          <w:szCs w:val="21"/>
          <w:highlight w:val="none"/>
        </w:rPr>
        <w:t>公司的登录用户上传本公司的投标文件。</w:t>
      </w:r>
    </w:p>
    <w:p w14:paraId="3E87CFCE">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23.2.3要求用《投标书编制软件》编制投标书的包，不能用</w:t>
      </w:r>
      <w:r>
        <w:rPr>
          <w:rFonts w:hint="eastAsia" w:ascii="宋体" w:hAnsi="宋体"/>
          <w:color w:val="auto"/>
          <w:szCs w:val="21"/>
          <w:highlight w:val="none"/>
          <w:lang w:eastAsia="zh-CN"/>
        </w:rPr>
        <w:t>其他</w:t>
      </w:r>
      <w:r>
        <w:rPr>
          <w:rFonts w:hint="eastAsia" w:ascii="宋体" w:hAnsi="宋体"/>
          <w:color w:val="auto"/>
          <w:szCs w:val="21"/>
          <w:highlight w:val="none"/>
        </w:rPr>
        <w:t>方式编制投标书。编制投标文件时，电脑须连通互联网。</w:t>
      </w:r>
    </w:p>
    <w:p w14:paraId="148954B1">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23.2.4投标文件不能带病毒。</w:t>
      </w:r>
      <w:r>
        <w:rPr>
          <w:rFonts w:hint="eastAsia" w:ascii="宋体" w:hAnsi="宋体"/>
          <w:color w:val="auto"/>
          <w:szCs w:val="21"/>
          <w:highlight w:val="none"/>
          <w:lang w:eastAsia="zh-CN"/>
        </w:rPr>
        <w:t>代理机构</w:t>
      </w:r>
      <w:r>
        <w:rPr>
          <w:rFonts w:hint="eastAsia" w:ascii="宋体" w:hAnsi="宋体"/>
          <w:color w:val="auto"/>
          <w:szCs w:val="21"/>
          <w:highlight w:val="none"/>
        </w:rPr>
        <w:t>将用专业杀毒软件对投标文件进行病毒检测，如果这两种软件均报告发现病毒，则</w:t>
      </w:r>
      <w:r>
        <w:rPr>
          <w:rFonts w:hint="eastAsia" w:ascii="宋体" w:hAnsi="宋体"/>
          <w:color w:val="auto"/>
          <w:szCs w:val="21"/>
          <w:highlight w:val="none"/>
          <w:lang w:eastAsia="zh-CN"/>
        </w:rPr>
        <w:t>代理机构</w:t>
      </w:r>
      <w:r>
        <w:rPr>
          <w:rFonts w:hint="eastAsia" w:ascii="宋体" w:hAnsi="宋体"/>
          <w:color w:val="auto"/>
          <w:szCs w:val="21"/>
          <w:highlight w:val="none"/>
        </w:rPr>
        <w:t>认为该投标文件带病毒。</w:t>
      </w:r>
    </w:p>
    <w:p w14:paraId="2606C764">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23.2.</w:t>
      </w:r>
      <w:r>
        <w:rPr>
          <w:rFonts w:hint="eastAsia" w:ascii="宋体" w:hAnsi="宋体"/>
          <w:color w:val="auto"/>
          <w:szCs w:val="21"/>
          <w:highlight w:val="none"/>
          <w:lang w:val="en-US" w:eastAsia="zh-CN"/>
        </w:rPr>
        <w:t>5</w:t>
      </w:r>
      <w:r>
        <w:rPr>
          <w:rFonts w:hint="eastAsia" w:ascii="宋体" w:hAnsi="宋体"/>
          <w:color w:val="auto"/>
          <w:szCs w:val="21"/>
          <w:highlight w:val="none"/>
        </w:rPr>
        <w:t>投标人在编辑投标文件时，</w:t>
      </w:r>
      <w:r>
        <w:rPr>
          <w:rFonts w:hint="eastAsia" w:ascii="宋体" w:hAnsi="宋体"/>
          <w:b/>
          <w:color w:val="auto"/>
          <w:szCs w:val="21"/>
          <w:highlight w:val="none"/>
        </w:rPr>
        <w:t>在投标文件目录中属于本节点内容的必须在本节点中填写，填写到其他节点或附件，</w:t>
      </w:r>
      <w:r>
        <w:rPr>
          <w:rFonts w:hint="eastAsia" w:ascii="宋体" w:hAnsi="宋体"/>
          <w:color w:val="auto"/>
          <w:szCs w:val="21"/>
          <w:highlight w:val="none"/>
        </w:rPr>
        <w:t>一切后果由供应商自行承担。</w:t>
      </w:r>
    </w:p>
    <w:p w14:paraId="730CEDC2">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23.2.</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代理机构</w:t>
      </w:r>
      <w:r>
        <w:rPr>
          <w:rFonts w:hint="eastAsia" w:ascii="宋体" w:hAnsi="宋体"/>
          <w:color w:val="auto"/>
          <w:szCs w:val="21"/>
          <w:highlight w:val="none"/>
        </w:rPr>
        <w:t>不接受投标截止时间后递交的纸质、电子、传真等所有形式的投标文件。由于对网上自行采购系统操作不熟悉或自身电脑、网络等原因导致不能在投标截止时间之前上传投标文件，</w:t>
      </w:r>
      <w:r>
        <w:rPr>
          <w:rFonts w:hint="eastAsia" w:ascii="宋体" w:hAnsi="宋体"/>
          <w:color w:val="auto"/>
          <w:szCs w:val="21"/>
          <w:highlight w:val="none"/>
          <w:lang w:eastAsia="zh-CN"/>
        </w:rPr>
        <w:t>代理机构</w:t>
      </w:r>
      <w:r>
        <w:rPr>
          <w:rFonts w:hint="eastAsia" w:ascii="宋体" w:hAnsi="宋体"/>
          <w:color w:val="auto"/>
          <w:szCs w:val="21"/>
          <w:highlight w:val="none"/>
        </w:rPr>
        <w:t>概不负责。建议于开标前一个工作日完成投标文件的制作与上传，如上传确有困难，请及时咨询。</w:t>
      </w:r>
    </w:p>
    <w:p w14:paraId="33E1E8E9">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23.2.</w:t>
      </w:r>
      <w:r>
        <w:rPr>
          <w:rFonts w:hint="eastAsia" w:ascii="宋体" w:hAnsi="宋体"/>
          <w:color w:val="auto"/>
          <w:szCs w:val="21"/>
          <w:highlight w:val="none"/>
          <w:lang w:val="en-US" w:eastAsia="zh-CN"/>
        </w:rPr>
        <w:t>7</w:t>
      </w:r>
      <w:r>
        <w:rPr>
          <w:rFonts w:hint="eastAsia" w:ascii="宋体" w:hAnsi="宋体"/>
          <w:color w:val="auto"/>
          <w:szCs w:val="21"/>
          <w:highlight w:val="none"/>
        </w:rPr>
        <w:t>如果开标时出现网络故障、技术故障，影响了采购活动，</w:t>
      </w:r>
      <w:r>
        <w:rPr>
          <w:rFonts w:hint="eastAsia" w:ascii="宋体" w:hAnsi="宋体"/>
          <w:color w:val="auto"/>
          <w:szCs w:val="21"/>
          <w:highlight w:val="none"/>
          <w:lang w:eastAsia="zh-CN"/>
        </w:rPr>
        <w:t>代理机构</w:t>
      </w:r>
      <w:r>
        <w:rPr>
          <w:rFonts w:hint="eastAsia" w:ascii="宋体" w:hAnsi="宋体"/>
          <w:color w:val="auto"/>
          <w:szCs w:val="21"/>
          <w:highlight w:val="none"/>
        </w:rPr>
        <w:t>有权采取措施如延期、接受无法从网上上传的投标书等，以保障采购活动的公开、公平和公正。</w:t>
      </w:r>
    </w:p>
    <w:p w14:paraId="650DDF03">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23.3电报、电话、传真形式的投标概不接受。</w:t>
      </w:r>
    </w:p>
    <w:p w14:paraId="2C0A28CF">
      <w:pPr>
        <w:pageBreakBefore w:val="0"/>
        <w:kinsoku/>
        <w:overflowPunct/>
        <w:topLinePunct w:val="0"/>
        <w:bidi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23.4经投标人电子密钥加密的投标文件无须盖章或签字，</w:t>
      </w:r>
      <w:r>
        <w:rPr>
          <w:rFonts w:hint="eastAsia" w:ascii="宋体" w:hAnsi="宋体"/>
          <w:color w:val="auto"/>
          <w:szCs w:val="21"/>
          <w:highlight w:val="none"/>
        </w:rPr>
        <w:t>专用条款另有要求的除外。</w:t>
      </w:r>
    </w:p>
    <w:p w14:paraId="00DD8F6D">
      <w:pPr>
        <w:pageBreakBefore w:val="0"/>
        <w:kinsoku/>
        <w:overflowPunct/>
        <w:topLinePunct w:val="0"/>
        <w:bidi w:val="0"/>
        <w:spacing w:line="360" w:lineRule="auto"/>
        <w:ind w:firstLine="422" w:firstLineChars="200"/>
        <w:rPr>
          <w:rFonts w:ascii="宋体" w:hAnsi="宋体"/>
          <w:color w:val="auto"/>
          <w:highlight w:val="none"/>
        </w:rPr>
      </w:pPr>
      <w:r>
        <w:rPr>
          <w:rFonts w:hint="eastAsia" w:ascii="宋体" w:hAnsi="宋体"/>
          <w:b/>
          <w:color w:val="auto"/>
          <w:szCs w:val="21"/>
          <w:highlight w:val="none"/>
        </w:rPr>
        <w:t>23.5</w:t>
      </w:r>
      <w:r>
        <w:rPr>
          <w:rFonts w:hint="eastAsia" w:ascii="宋体" w:hAnsi="宋体"/>
          <w:color w:val="auto"/>
          <w:szCs w:val="21"/>
          <w:highlight w:val="none"/>
        </w:rPr>
        <w:t xml:space="preserve"> 各类资格（资质）文件提供扫描件，专用条款另有要求的除外。</w:t>
      </w:r>
      <w:bookmarkEnd w:id="56"/>
    </w:p>
    <w:p w14:paraId="23F71A8F">
      <w:pPr>
        <w:pageBreakBefore w:val="0"/>
        <w:kinsoku/>
        <w:overflowPunct/>
        <w:topLinePunct w:val="0"/>
        <w:bidi w:val="0"/>
        <w:spacing w:line="360" w:lineRule="auto"/>
        <w:ind w:firstLine="411" w:firstLineChars="196"/>
        <w:rPr>
          <w:rFonts w:ascii="宋体" w:hAnsi="宋体"/>
          <w:color w:val="auto"/>
          <w:szCs w:val="21"/>
          <w:highlight w:val="none"/>
        </w:rPr>
      </w:pPr>
    </w:p>
    <w:p w14:paraId="12B6BCD2">
      <w:pPr>
        <w:pStyle w:val="81"/>
        <w:keepNext/>
        <w:keepLines/>
        <w:pageBreakBefore w:val="0"/>
        <w:numPr>
          <w:ilvl w:val="0"/>
          <w:numId w:val="11"/>
        </w:numPr>
        <w:tabs>
          <w:tab w:val="left" w:pos="720"/>
        </w:tabs>
        <w:kinsoku/>
        <w:overflowPunct/>
        <w:topLinePunct w:val="0"/>
        <w:bidi w:val="0"/>
        <w:adjustRightInd w:val="0"/>
        <w:spacing w:before="120" w:beforeLines="50" w:after="120" w:afterLines="50" w:line="360" w:lineRule="auto"/>
        <w:ind w:firstLineChars="0"/>
        <w:jc w:val="center"/>
        <w:textAlignment w:val="baseline"/>
        <w:outlineLvl w:val="1"/>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投标文件的递交</w:t>
      </w:r>
    </w:p>
    <w:p w14:paraId="44EA6A77">
      <w:pPr>
        <w:pageBreakBefore w:val="0"/>
        <w:kinsoku/>
        <w:overflowPunct/>
        <w:topLinePunct w:val="0"/>
        <w:bidi w:val="0"/>
        <w:spacing w:line="360" w:lineRule="auto"/>
        <w:ind w:firstLine="420" w:firstLineChars="200"/>
        <w:rPr>
          <w:rFonts w:ascii="黑体" w:hAnsi="宋体" w:eastAsia="黑体"/>
          <w:color w:val="auto"/>
          <w:szCs w:val="21"/>
          <w:highlight w:val="none"/>
        </w:rPr>
      </w:pPr>
      <w:bookmarkStart w:id="57" w:name="_Hlk72405459"/>
      <w:r>
        <w:rPr>
          <w:rFonts w:hint="eastAsia" w:ascii="黑体" w:hAnsi="宋体" w:eastAsia="黑体"/>
          <w:color w:val="auto"/>
          <w:szCs w:val="21"/>
          <w:highlight w:val="none"/>
        </w:rPr>
        <w:t>24．投标文件的保密</w:t>
      </w:r>
    </w:p>
    <w:p w14:paraId="163FFAAE">
      <w:pPr>
        <w:pageBreakBefore w:val="0"/>
        <w:kinsoku/>
        <w:overflowPunct/>
        <w:topLinePunct w:val="0"/>
        <w:bidi w:val="0"/>
        <w:spacing w:line="360" w:lineRule="auto"/>
        <w:ind w:firstLine="420" w:firstLineChars="200"/>
        <w:rPr>
          <w:rFonts w:ascii="宋体" w:hAnsi="宋体" w:eastAsiaTheme="minorEastAsia"/>
          <w:color w:val="auto"/>
          <w:szCs w:val="21"/>
          <w:highlight w:val="none"/>
        </w:rPr>
      </w:pPr>
      <w:r>
        <w:rPr>
          <w:rFonts w:hint="eastAsia" w:ascii="宋体" w:hAnsi="宋体"/>
          <w:color w:val="auto"/>
          <w:szCs w:val="21"/>
          <w:highlight w:val="none"/>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20F74D63">
      <w:pPr>
        <w:pageBreakBefore w:val="0"/>
        <w:kinsoku/>
        <w:overflowPunct/>
        <w:topLinePunct w:val="0"/>
        <w:bidi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24.2若采购项目出现延期情况：</w:t>
      </w:r>
    </w:p>
    <w:p w14:paraId="12B78045">
      <w:pPr>
        <w:pageBreakBefore w:val="0"/>
        <w:kinsoku/>
        <w:overflowPunct/>
        <w:topLinePunct w:val="0"/>
        <w:bidi w:val="0"/>
        <w:spacing w:line="360" w:lineRule="auto"/>
        <w:ind w:firstLine="422" w:firstLineChars="200"/>
        <w:rPr>
          <w:rFonts w:ascii="黑体" w:hAnsi="宋体" w:eastAsia="黑体"/>
          <w:b/>
          <w:color w:val="auto"/>
          <w:szCs w:val="21"/>
          <w:highlight w:val="none"/>
        </w:rPr>
      </w:pPr>
      <w:r>
        <w:rPr>
          <w:rFonts w:hint="eastAsia" w:ascii="宋体" w:hAnsi="宋体"/>
          <w:b/>
          <w:color w:val="auto"/>
          <w:szCs w:val="21"/>
          <w:highlight w:val="none"/>
        </w:rPr>
        <w:t>如果供下载的招标文件有更新，投标人必须重新下载招标文件、重新制作投标文件、重新加密投标文件、重新上传投标文件。</w:t>
      </w:r>
    </w:p>
    <w:p w14:paraId="03080AE2">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25．上传投标文件及投标截止日期</w:t>
      </w:r>
    </w:p>
    <w:p w14:paraId="574752D6">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w:t>
      </w:r>
      <w:r>
        <w:rPr>
          <w:rFonts w:hint="eastAsia" w:ascii="宋体" w:hAnsi="宋体"/>
          <w:color w:val="auto"/>
          <w:szCs w:val="21"/>
          <w:highlight w:val="none"/>
        </w:rPr>
        <w:t>1实行网上投标，</w:t>
      </w:r>
      <w:r>
        <w:rPr>
          <w:rFonts w:ascii="宋体" w:hAnsi="宋体"/>
          <w:color w:val="auto"/>
          <w:szCs w:val="21"/>
          <w:highlight w:val="none"/>
        </w:rPr>
        <w:t>投标人必须</w:t>
      </w:r>
      <w:r>
        <w:rPr>
          <w:rFonts w:hint="eastAsia" w:ascii="宋体" w:hAnsi="宋体"/>
          <w:color w:val="auto"/>
          <w:szCs w:val="21"/>
          <w:highlight w:val="none"/>
        </w:rPr>
        <w:t>在招标</w:t>
      </w:r>
      <w:r>
        <w:rPr>
          <w:rFonts w:ascii="宋体" w:hAnsi="宋体"/>
          <w:color w:val="auto"/>
          <w:szCs w:val="21"/>
          <w:highlight w:val="none"/>
        </w:rPr>
        <w:t>文件规定的投标截止时间前</w:t>
      </w:r>
      <w:r>
        <w:rPr>
          <w:rFonts w:hint="eastAsia" w:ascii="宋体" w:hAnsi="宋体"/>
          <w:color w:val="auto"/>
          <w:szCs w:val="21"/>
          <w:highlight w:val="none"/>
        </w:rPr>
        <w:t>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color w:val="auto"/>
          <w:szCs w:val="21"/>
          <w:highlight w:val="none"/>
        </w:rPr>
        <w:t>深圳公共资源交易中心3楼服务大厅（地址：深圳市南山区沙河西路3185号南山智谷A座深圳交易集团总部大楼）</w:t>
      </w:r>
      <w:r>
        <w:rPr>
          <w:rFonts w:ascii="宋体" w:hAnsi="宋体"/>
          <w:b/>
          <w:bCs/>
          <w:color w:val="auto"/>
          <w:szCs w:val="21"/>
          <w:highlight w:val="none"/>
        </w:rPr>
        <w:t>协助上传</w:t>
      </w:r>
      <w:r>
        <w:rPr>
          <w:rFonts w:hint="eastAsia" w:ascii="宋体" w:hAnsi="宋体"/>
          <w:b/>
          <w:bCs/>
          <w:color w:val="auto"/>
          <w:szCs w:val="21"/>
          <w:highlight w:val="none"/>
        </w:rPr>
        <w:t>，</w:t>
      </w:r>
      <w:r>
        <w:rPr>
          <w:rFonts w:ascii="宋体" w:hAnsi="宋体"/>
          <w:b/>
          <w:bCs/>
          <w:color w:val="auto"/>
          <w:szCs w:val="21"/>
          <w:highlight w:val="none"/>
        </w:rPr>
        <w:t>但上传过程</w:t>
      </w:r>
      <w:r>
        <w:rPr>
          <w:rFonts w:hint="eastAsia" w:ascii="宋体" w:hAnsi="宋体"/>
          <w:b/>
          <w:bCs/>
          <w:color w:val="auto"/>
          <w:szCs w:val="21"/>
          <w:highlight w:val="none"/>
        </w:rPr>
        <w:t>中</w:t>
      </w:r>
      <w:r>
        <w:rPr>
          <w:rFonts w:ascii="宋体" w:hAnsi="宋体"/>
          <w:b/>
          <w:bCs/>
          <w:color w:val="auto"/>
          <w:szCs w:val="21"/>
          <w:highlight w:val="none"/>
        </w:rPr>
        <w:t>投标截止时间到达仍无法上传成功的，由投标人自行负责</w:t>
      </w:r>
      <w:r>
        <w:rPr>
          <w:rFonts w:hint="eastAsia" w:ascii="宋体" w:hAnsi="宋体"/>
          <w:color w:val="auto"/>
          <w:szCs w:val="21"/>
          <w:highlight w:val="none"/>
        </w:rPr>
        <w:t>。</w:t>
      </w:r>
    </w:p>
    <w:p w14:paraId="41F8157B">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25.2</w:t>
      </w:r>
      <w:r>
        <w:rPr>
          <w:rFonts w:hint="eastAsia" w:ascii="宋体" w:hAnsi="宋体"/>
          <w:color w:val="auto"/>
          <w:szCs w:val="21"/>
          <w:highlight w:val="none"/>
          <w:lang w:eastAsia="zh-CN"/>
        </w:rPr>
        <w:t>代理机构</w:t>
      </w:r>
      <w:r>
        <w:rPr>
          <w:rFonts w:hint="eastAsia" w:ascii="宋体" w:hAnsi="宋体"/>
          <w:color w:val="auto"/>
          <w:szCs w:val="21"/>
          <w:highlight w:val="none"/>
        </w:rPr>
        <w:t>可以按本通用条款第13条规定，通过修改招标文件自行决定酌情延长投标截止期。在此情况下，</w:t>
      </w:r>
      <w:r>
        <w:rPr>
          <w:rFonts w:hint="eastAsia" w:ascii="宋体" w:hAnsi="宋体"/>
          <w:color w:val="auto"/>
          <w:szCs w:val="21"/>
          <w:highlight w:val="none"/>
          <w:lang w:eastAsia="zh-CN"/>
        </w:rPr>
        <w:t>代理机构</w:t>
      </w:r>
      <w:r>
        <w:rPr>
          <w:rFonts w:hint="eastAsia" w:ascii="宋体" w:hAnsi="宋体"/>
          <w:color w:val="auto"/>
          <w:szCs w:val="21"/>
          <w:highlight w:val="none"/>
        </w:rPr>
        <w:t>、采购人和投标人受投标截止期制约的所有权利和义务均应延长至新的截止期。</w:t>
      </w:r>
    </w:p>
    <w:p w14:paraId="15EBF671">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w:t>
      </w:r>
      <w:r>
        <w:rPr>
          <w:rFonts w:hint="eastAsia" w:ascii="宋体" w:hAnsi="宋体"/>
          <w:color w:val="auto"/>
          <w:szCs w:val="21"/>
          <w:highlight w:val="none"/>
        </w:rPr>
        <w:t>3投标截止时间以后不得上传投标文件。</w:t>
      </w:r>
    </w:p>
    <w:bookmarkEnd w:id="57"/>
    <w:p w14:paraId="4D2D99FC">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26. 样品、现场演示、方案讲解</w:t>
      </w:r>
    </w:p>
    <w:p w14:paraId="63802262">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26.1 样品、现场演示、方案讲解等事项在招标文件专用条款中进行规定。</w:t>
      </w:r>
    </w:p>
    <w:p w14:paraId="76624064">
      <w:pPr>
        <w:pageBreakBefore w:val="0"/>
        <w:kinsoku/>
        <w:overflowPunct/>
        <w:topLinePunct w:val="0"/>
        <w:bidi w:val="0"/>
        <w:spacing w:line="360" w:lineRule="auto"/>
        <w:ind w:firstLine="420" w:firstLineChars="200"/>
        <w:rPr>
          <w:rFonts w:ascii="黑体" w:hAnsi="宋体" w:eastAsia="黑体"/>
          <w:color w:val="auto"/>
          <w:szCs w:val="21"/>
          <w:highlight w:val="none"/>
        </w:rPr>
      </w:pPr>
      <w:bookmarkStart w:id="58" w:name="_Hlk72428346"/>
      <w:r>
        <w:rPr>
          <w:rFonts w:ascii="黑体" w:hAnsi="宋体" w:eastAsia="黑体"/>
          <w:color w:val="auto"/>
          <w:szCs w:val="21"/>
          <w:highlight w:val="none"/>
        </w:rPr>
        <w:t>2</w:t>
      </w:r>
      <w:r>
        <w:rPr>
          <w:rFonts w:hint="eastAsia" w:ascii="黑体" w:hAnsi="宋体" w:eastAsia="黑体"/>
          <w:color w:val="auto"/>
          <w:szCs w:val="21"/>
          <w:highlight w:val="none"/>
        </w:rPr>
        <w:t>7．</w:t>
      </w:r>
      <w:r>
        <w:rPr>
          <w:rFonts w:ascii="黑体" w:hAnsi="宋体" w:eastAsia="黑体"/>
          <w:color w:val="auto"/>
          <w:szCs w:val="21"/>
          <w:highlight w:val="none"/>
        </w:rPr>
        <w:t>投标文件的修改和撤销</w:t>
      </w:r>
    </w:p>
    <w:p w14:paraId="6FBF592A">
      <w:pPr>
        <w:pageBreakBefore w:val="0"/>
        <w:kinsoku/>
        <w:overflowPunct/>
        <w:topLinePunct w:val="0"/>
        <w:bidi w:val="0"/>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投标方在提交投标文件后可对其投标文件进行修改</w:t>
      </w:r>
      <w:r>
        <w:rPr>
          <w:rFonts w:hint="eastAsia" w:ascii="宋体" w:hAnsi="宋体"/>
          <w:color w:val="auto"/>
          <w:szCs w:val="21"/>
          <w:highlight w:val="none"/>
        </w:rPr>
        <w:t>并重新上传投标文件</w:t>
      </w:r>
      <w:r>
        <w:rPr>
          <w:rFonts w:ascii="宋体" w:hAnsi="宋体"/>
          <w:color w:val="auto"/>
          <w:szCs w:val="21"/>
          <w:highlight w:val="none"/>
        </w:rPr>
        <w:t>或</w:t>
      </w:r>
      <w:r>
        <w:rPr>
          <w:rFonts w:hint="eastAsia" w:ascii="宋体" w:hAnsi="宋体"/>
          <w:color w:val="auto"/>
          <w:szCs w:val="21"/>
          <w:highlight w:val="none"/>
        </w:rPr>
        <w:t>在网上进行</w:t>
      </w:r>
      <w:r>
        <w:rPr>
          <w:rFonts w:ascii="宋体" w:hAnsi="宋体"/>
          <w:color w:val="auto"/>
          <w:szCs w:val="21"/>
          <w:highlight w:val="none"/>
        </w:rPr>
        <w:t>撤销</w:t>
      </w:r>
      <w:r>
        <w:rPr>
          <w:rFonts w:hint="eastAsia" w:ascii="宋体" w:hAnsi="宋体"/>
          <w:color w:val="auto"/>
          <w:szCs w:val="21"/>
          <w:highlight w:val="none"/>
        </w:rPr>
        <w:t>投标的操作</w:t>
      </w:r>
      <w:r>
        <w:rPr>
          <w:rFonts w:ascii="宋体" w:hAnsi="宋体"/>
          <w:color w:val="auto"/>
          <w:szCs w:val="21"/>
          <w:highlight w:val="none"/>
        </w:rPr>
        <w:t>。</w:t>
      </w:r>
    </w:p>
    <w:p w14:paraId="34A85E5D">
      <w:pPr>
        <w:pageBreakBefore w:val="0"/>
        <w:kinsoku/>
        <w:overflowPunct/>
        <w:topLinePunct w:val="0"/>
        <w:bidi w:val="0"/>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投标截止时间以后不得修改投标文件。</w:t>
      </w:r>
    </w:p>
    <w:p w14:paraId="750AC37A">
      <w:pPr>
        <w:pageBreakBefore w:val="0"/>
        <w:kinsoku/>
        <w:overflowPunct/>
        <w:topLinePunct w:val="0"/>
        <w:bidi w:val="0"/>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3从投标截止期至投标人在投标文件中确定的投标有效期之间的这段时间内，投标人不得撤回其投标。</w:t>
      </w:r>
    </w:p>
    <w:p w14:paraId="0FC07DFB">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27.4</w:t>
      </w:r>
      <w:r>
        <w:rPr>
          <w:rFonts w:hint="eastAsia" w:ascii="宋体" w:hAnsi="宋体"/>
          <w:color w:val="auto"/>
          <w:szCs w:val="21"/>
          <w:highlight w:val="none"/>
          <w:lang w:eastAsia="zh-CN"/>
        </w:rPr>
        <w:t>代理机构</w:t>
      </w:r>
      <w:r>
        <w:rPr>
          <w:rFonts w:hint="eastAsia" w:ascii="宋体" w:hAnsi="宋体"/>
          <w:color w:val="auto"/>
          <w:szCs w:val="21"/>
          <w:highlight w:val="none"/>
        </w:rPr>
        <w:t>不退还投标文件，专用条款另有规定的除外。</w:t>
      </w:r>
    </w:p>
    <w:bookmarkEnd w:id="58"/>
    <w:p w14:paraId="699D9F58">
      <w:pPr>
        <w:pStyle w:val="81"/>
        <w:keepNext/>
        <w:keepLines/>
        <w:pageBreakBefore w:val="0"/>
        <w:numPr>
          <w:ilvl w:val="0"/>
          <w:numId w:val="11"/>
        </w:numPr>
        <w:tabs>
          <w:tab w:val="left" w:pos="720"/>
        </w:tabs>
        <w:kinsoku/>
        <w:overflowPunct/>
        <w:topLinePunct w:val="0"/>
        <w:bidi w:val="0"/>
        <w:adjustRightInd w:val="0"/>
        <w:spacing w:before="120" w:beforeLines="50" w:after="120" w:afterLines="50" w:line="360" w:lineRule="auto"/>
        <w:ind w:firstLineChars="0"/>
        <w:jc w:val="center"/>
        <w:textAlignment w:val="baseline"/>
        <w:outlineLvl w:val="1"/>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开标</w:t>
      </w:r>
    </w:p>
    <w:p w14:paraId="14BA2BFF">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28．开标</w:t>
      </w:r>
    </w:p>
    <w:p w14:paraId="6B0FDFFB">
      <w:pPr>
        <w:pageBreakBefore w:val="0"/>
        <w:kinsoku/>
        <w:overflowPunct/>
        <w:topLinePunct w:val="0"/>
        <w:bidi w:val="0"/>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1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14:paraId="19FCD628">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28.2</w:t>
      </w:r>
      <w:r>
        <w:rPr>
          <w:rFonts w:hint="eastAsia" w:ascii="宋体" w:hAnsi="宋体"/>
          <w:color w:val="auto"/>
          <w:szCs w:val="21"/>
          <w:highlight w:val="none"/>
          <w:lang w:eastAsia="zh-CN"/>
        </w:rPr>
        <w:t>代理机构</w:t>
      </w:r>
      <w:r>
        <w:rPr>
          <w:rFonts w:hint="eastAsia" w:ascii="宋体" w:hAnsi="宋体"/>
          <w:color w:val="auto"/>
          <w:szCs w:val="21"/>
          <w:highlight w:val="none"/>
        </w:rPr>
        <w:t>将在满足开标条件（①解密时间结束，解密后的投标供应商数量满足开标要求或②解密时间结束前所有投标供应商均完成投标文件解密）后，对投标文件进行开标，并在网上公布开标结果。</w:t>
      </w:r>
    </w:p>
    <w:p w14:paraId="20A02522">
      <w:pPr>
        <w:pageBreakBefore w:val="0"/>
        <w:kinsoku/>
        <w:overflowPunct/>
        <w:topLinePunct w:val="0"/>
        <w:bidi w:val="0"/>
        <w:spacing w:line="360" w:lineRule="auto"/>
        <w:ind w:firstLine="315" w:firstLineChars="150"/>
        <w:rPr>
          <w:rFonts w:ascii="宋体" w:hAnsi="宋体"/>
          <w:color w:val="auto"/>
          <w:szCs w:val="21"/>
          <w:highlight w:val="none"/>
        </w:rPr>
      </w:pPr>
    </w:p>
    <w:p w14:paraId="207B021D">
      <w:pPr>
        <w:pStyle w:val="81"/>
        <w:keepNext/>
        <w:keepLines/>
        <w:pageBreakBefore w:val="0"/>
        <w:numPr>
          <w:ilvl w:val="0"/>
          <w:numId w:val="11"/>
        </w:numPr>
        <w:tabs>
          <w:tab w:val="left" w:pos="720"/>
        </w:tabs>
        <w:kinsoku/>
        <w:overflowPunct/>
        <w:topLinePunct w:val="0"/>
        <w:bidi w:val="0"/>
        <w:adjustRightInd w:val="0"/>
        <w:spacing w:before="120" w:beforeLines="50" w:after="120" w:afterLines="50" w:line="360" w:lineRule="auto"/>
        <w:ind w:firstLineChars="0"/>
        <w:jc w:val="center"/>
        <w:textAlignment w:val="baseline"/>
        <w:outlineLvl w:val="1"/>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评审要求</w:t>
      </w:r>
    </w:p>
    <w:p w14:paraId="5E076D27">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29．评审委员会组成</w:t>
      </w:r>
    </w:p>
    <w:p w14:paraId="0F89CC17">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29.1网上开标结束后召开评审会议，评审委员会由</w:t>
      </w:r>
      <w:r>
        <w:rPr>
          <w:rFonts w:hint="eastAsia" w:ascii="宋体" w:hAnsi="宋体"/>
          <w:color w:val="auto"/>
          <w:szCs w:val="21"/>
          <w:highlight w:val="none"/>
          <w:lang w:eastAsia="zh-CN"/>
        </w:rPr>
        <w:t>代理机构</w:t>
      </w:r>
      <w:r>
        <w:rPr>
          <w:rFonts w:hint="eastAsia" w:ascii="宋体" w:hAnsi="宋体"/>
          <w:color w:val="auto"/>
          <w:szCs w:val="21"/>
          <w:highlight w:val="none"/>
        </w:rPr>
        <w:t>依法组建，负责评审活动。</w:t>
      </w:r>
    </w:p>
    <w:p w14:paraId="2048501A">
      <w:pPr>
        <w:pageBreakBefore w:val="0"/>
        <w:kinsoku/>
        <w:overflowPunct/>
        <w:topLinePunct w:val="0"/>
        <w:bidi w:val="0"/>
        <w:spacing w:line="360" w:lineRule="auto"/>
        <w:ind w:firstLine="420" w:firstLineChars="200"/>
        <w:rPr>
          <w:rFonts w:ascii="宋体" w:hAnsi="宋体"/>
          <w:color w:val="auto"/>
          <w:szCs w:val="21"/>
          <w:highlight w:val="none"/>
        </w:rPr>
      </w:pPr>
      <w:bookmarkStart w:id="59" w:name="_Hlk72436580"/>
      <w:r>
        <w:rPr>
          <w:rFonts w:hint="eastAsia" w:ascii="宋体" w:hAnsi="宋体"/>
          <w:color w:val="auto"/>
          <w:szCs w:val="21"/>
          <w:highlight w:val="none"/>
        </w:rPr>
        <w:t>评审委员会由采购人代表和评审专家组成，成员人数应当为5人以上单数（部分条件下为7人以上单数），其中评审专家不得少于成员总数的三分之二。</w:t>
      </w:r>
      <w:bookmarkEnd w:id="59"/>
      <w:r>
        <w:rPr>
          <w:rFonts w:hint="eastAsia" w:ascii="宋体" w:hAnsi="宋体"/>
          <w:color w:val="auto"/>
          <w:szCs w:val="21"/>
          <w:highlight w:val="none"/>
        </w:rPr>
        <w:t>评定</w:t>
      </w:r>
      <w:r>
        <w:rPr>
          <w:rFonts w:hint="eastAsia"/>
          <w:color w:val="auto"/>
          <w:szCs w:val="21"/>
          <w:highlight w:val="none"/>
        </w:rPr>
        <w:t>分离项目</w:t>
      </w:r>
      <w:r>
        <w:rPr>
          <w:color w:val="auto"/>
          <w:szCs w:val="21"/>
          <w:highlight w:val="none"/>
        </w:rPr>
        <w:t>评审专家</w:t>
      </w:r>
      <w:r>
        <w:rPr>
          <w:rFonts w:hint="eastAsia"/>
          <w:color w:val="auto"/>
          <w:szCs w:val="21"/>
          <w:highlight w:val="none"/>
        </w:rPr>
        <w:t>均</w:t>
      </w:r>
      <w:r>
        <w:rPr>
          <w:color w:val="auto"/>
          <w:szCs w:val="21"/>
          <w:highlight w:val="none"/>
        </w:rPr>
        <w:t>由</w:t>
      </w:r>
      <w:r>
        <w:rPr>
          <w:rFonts w:hint="eastAsia"/>
          <w:color w:val="auto"/>
          <w:szCs w:val="21"/>
          <w:highlight w:val="none"/>
        </w:rPr>
        <w:t>评审专家组成。</w:t>
      </w:r>
      <w:r>
        <w:rPr>
          <w:rFonts w:hint="eastAsia" w:ascii="宋体" w:hAnsi="宋体"/>
          <w:color w:val="auto"/>
          <w:szCs w:val="21"/>
          <w:highlight w:val="none"/>
        </w:rPr>
        <w:t>评审专家一般是从深圳市政府采购评审专家库中随机抽取。采购人代表须持本单位签发的《评审授权书》参加评审。</w:t>
      </w:r>
    </w:p>
    <w:p w14:paraId="23782817">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29.2评审定标应当遵循公平、公正、科学、择优的原则。</w:t>
      </w:r>
    </w:p>
    <w:p w14:paraId="7CC23BD4">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29.3评审活动依法进行，任何单位和个人不得非法干预评标过程和结果。</w:t>
      </w:r>
    </w:p>
    <w:p w14:paraId="62DD8321">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29.4评审过程中不允许违背评标程序或采用招标文件未载明的评标方法或评标因素进行评标。</w:t>
      </w:r>
    </w:p>
    <w:p w14:paraId="7BE2F43A">
      <w:pPr>
        <w:pageBreakBefore w:val="0"/>
        <w:kinsoku/>
        <w:overflowPunct/>
        <w:topLinePunct w:val="0"/>
        <w:bidi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29.5 开标后，直到签订合同为止，凡属于对投标文件的审查、澄清、评价和比较的有关资料以及中标候选人的推荐情况、与评审有关的其他任何情况均严格保密（</w:t>
      </w:r>
      <w:r>
        <w:rPr>
          <w:rFonts w:hint="eastAsia"/>
          <w:color w:val="auto"/>
          <w:szCs w:val="21"/>
          <w:highlight w:val="none"/>
        </w:rPr>
        <w:t>信息公开的内容除外</w:t>
      </w:r>
      <w:r>
        <w:rPr>
          <w:rFonts w:hint="eastAsia" w:ascii="宋体" w:hAnsi="宋体"/>
          <w:bCs/>
          <w:color w:val="auto"/>
          <w:szCs w:val="21"/>
          <w:highlight w:val="none"/>
        </w:rPr>
        <w:t>）。</w:t>
      </w:r>
    </w:p>
    <w:p w14:paraId="328F3260">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30．向评审委员会提供的资料</w:t>
      </w:r>
    </w:p>
    <w:p w14:paraId="0FB21F55">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30.1公开发布的招标文件，包括图纸、服务清单、答疑文件等；</w:t>
      </w:r>
    </w:p>
    <w:p w14:paraId="22E6E849">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30.2其他评标必须的资料。</w:t>
      </w:r>
    </w:p>
    <w:p w14:paraId="4D46E624">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30.3评审委员会应当认真研究招标文件，至少应了解熟悉以下内容：</w:t>
      </w:r>
    </w:p>
    <w:p w14:paraId="4C8ED22E">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（1）招标的目的；</w:t>
      </w:r>
    </w:p>
    <w:p w14:paraId="20FFB894">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（2）招标项目需求的范围和性质；</w:t>
      </w:r>
    </w:p>
    <w:p w14:paraId="63E12861">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（3）招标文件规定的投标人的资格、财政预算限额、商务条款；</w:t>
      </w:r>
    </w:p>
    <w:p w14:paraId="3605E6B6">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（4）招标文件规定的评标程序、评标方法和评标因素；</w:t>
      </w:r>
    </w:p>
    <w:p w14:paraId="15AC4C2B">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（5）招标文件所列示的资格性审查表及符合性审查表。</w:t>
      </w:r>
    </w:p>
    <w:p w14:paraId="316EDE14">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31．独立评审</w:t>
      </w:r>
    </w:p>
    <w:p w14:paraId="1BD9AB40">
      <w:pPr>
        <w:pageBreakBefore w:val="0"/>
        <w:kinsoku/>
        <w:overflowPunct/>
        <w:topLinePunct w:val="0"/>
        <w:bidi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w:t>
      </w:r>
      <w:r>
        <w:rPr>
          <w:rFonts w:ascii="宋体" w:hAnsi="宋体"/>
          <w:bCs/>
          <w:color w:val="auto"/>
          <w:szCs w:val="21"/>
          <w:highlight w:val="none"/>
        </w:rPr>
        <w:t>1</w:t>
      </w:r>
      <w:r>
        <w:rPr>
          <w:rFonts w:hint="eastAsia" w:ascii="宋体" w:hAnsi="宋体"/>
          <w:bCs/>
          <w:color w:val="auto"/>
          <w:szCs w:val="21"/>
          <w:highlight w:val="none"/>
        </w:rPr>
        <w:t>.1</w:t>
      </w:r>
      <w:r>
        <w:rPr>
          <w:rFonts w:hint="eastAsia" w:ascii="宋体" w:hAnsi="宋体"/>
          <w:color w:val="auto"/>
          <w:szCs w:val="21"/>
          <w:highlight w:val="none"/>
        </w:rPr>
        <w:t>评审委员会</w:t>
      </w:r>
      <w:r>
        <w:rPr>
          <w:rFonts w:hint="eastAsia" w:ascii="宋体" w:hAnsi="宋体"/>
          <w:bCs/>
          <w:color w:val="auto"/>
          <w:szCs w:val="21"/>
          <w:highlight w:val="none"/>
        </w:rPr>
        <w:t>成员的评标活动应当独立进行，并应遵循投标文件初审、澄清有关问题、比较与评价、确定中标供应商、编写评审报告的工作程序。</w:t>
      </w:r>
    </w:p>
    <w:p w14:paraId="0A597425">
      <w:pPr>
        <w:pageBreakBefore w:val="0"/>
        <w:kinsoku/>
        <w:overflowPunct/>
        <w:topLinePunct w:val="0"/>
        <w:bidi w:val="0"/>
        <w:spacing w:line="360" w:lineRule="auto"/>
        <w:ind w:firstLine="411" w:firstLineChars="196"/>
        <w:rPr>
          <w:rFonts w:ascii="宋体" w:hAnsi="宋体"/>
          <w:bCs/>
          <w:color w:val="auto"/>
          <w:szCs w:val="21"/>
          <w:highlight w:val="none"/>
        </w:rPr>
      </w:pPr>
    </w:p>
    <w:p w14:paraId="0B045913">
      <w:pPr>
        <w:pStyle w:val="81"/>
        <w:keepNext/>
        <w:keepLines/>
        <w:pageBreakBefore w:val="0"/>
        <w:numPr>
          <w:ilvl w:val="0"/>
          <w:numId w:val="11"/>
        </w:numPr>
        <w:tabs>
          <w:tab w:val="left" w:pos="720"/>
        </w:tabs>
        <w:kinsoku/>
        <w:overflowPunct/>
        <w:topLinePunct w:val="0"/>
        <w:bidi w:val="0"/>
        <w:adjustRightInd w:val="0"/>
        <w:spacing w:before="120" w:beforeLines="50" w:after="120" w:afterLines="50" w:line="360" w:lineRule="auto"/>
        <w:ind w:firstLineChars="0"/>
        <w:jc w:val="center"/>
        <w:textAlignment w:val="baseline"/>
        <w:outlineLvl w:val="1"/>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评审程序及评审方法</w:t>
      </w:r>
    </w:p>
    <w:p w14:paraId="6737ABE9">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32．投标文件初审</w:t>
      </w:r>
    </w:p>
    <w:p w14:paraId="3B7A139D">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32.1投标文件初审包括资格性审查和符合性审查。</w:t>
      </w:r>
    </w:p>
    <w:p w14:paraId="0D28ACCD">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资格性审查：依据法律法规和招标文件的规定，对投标文件中的资格证明等进行审查，以确定投标供应商是否具备投标资格。</w:t>
      </w:r>
    </w:p>
    <w:p w14:paraId="3E6C15B6">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符合性审查：依据招标文件的规定，对投标文件的有效性、完整性和对招标文件的响应程度进行审查，以确定是否满足符合性审查的要求。</w:t>
      </w:r>
    </w:p>
    <w:p w14:paraId="1302C3FA">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32.2 投标文件初审内容请详见《资格性审查表》和《符合性审查表》部分。投标人若有一条审查不通过则按投标无效处理。</w:t>
      </w:r>
    </w:p>
    <w:p w14:paraId="569785A6">
      <w:pPr>
        <w:pageBreakBefore w:val="0"/>
        <w:kinsoku/>
        <w:overflowPunct/>
        <w:topLinePunct w:val="0"/>
        <w:bidi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32.3 投标文件初审中关于供应商家数的计算:</w:t>
      </w:r>
    </w:p>
    <w:p w14:paraId="5C1DC37E">
      <w:pPr>
        <w:pageBreakBefore w:val="0"/>
        <w:kinsoku/>
        <w:overflowPunct/>
        <w:topLinePunct w:val="0"/>
        <w:bidi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01305929">
      <w:pPr>
        <w:pageBreakBefore w:val="0"/>
        <w:kinsoku/>
        <w:overflowPunct/>
        <w:topLinePunct w:val="0"/>
        <w:bidi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F779159">
      <w:pPr>
        <w:pageBreakBefore w:val="0"/>
        <w:kinsoku/>
        <w:overflowPunct/>
        <w:topLinePunct w:val="0"/>
        <w:bidi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32.3.3非单一产品采购项目，采购人应当根据采购项目技术构成、产品价格比重等合理确定核心产品，并在招标文件中载明。多家投标人提供的核心产品品牌相同的，按前两款规定处理。</w:t>
      </w:r>
    </w:p>
    <w:p w14:paraId="6F50B054">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32.4投标人投标文件作无效处理的情形，具体包括但不限于以下：</w:t>
      </w:r>
    </w:p>
    <w:p w14:paraId="5D3D16B2">
      <w:pPr>
        <w:pageBreakBefore w:val="0"/>
        <w:kinsoku/>
        <w:overflowPunct/>
        <w:topLinePunct w:val="0"/>
        <w:bidi w:val="0"/>
        <w:spacing w:line="360" w:lineRule="auto"/>
        <w:ind w:firstLine="420" w:firstLineChars="200"/>
        <w:rPr>
          <w:color w:val="auto"/>
          <w:szCs w:val="21"/>
          <w:highlight w:val="none"/>
        </w:rPr>
      </w:pPr>
      <w:r>
        <w:rPr>
          <w:rFonts w:hint="eastAsia" w:ascii="宋体" w:hAnsi="宋体"/>
          <w:color w:val="auto"/>
          <w:szCs w:val="21"/>
          <w:highlight w:val="none"/>
        </w:rPr>
        <w:t>32.4.1</w:t>
      </w:r>
      <w:r>
        <w:rPr>
          <w:rFonts w:hint="eastAsia"/>
          <w:color w:val="auto"/>
          <w:szCs w:val="21"/>
          <w:highlight w:val="none"/>
        </w:rPr>
        <w:t>不同投标人的投标文件由同一单位或者同一个人编制，或者由同一个人分阶段参与编制；</w:t>
      </w:r>
    </w:p>
    <w:p w14:paraId="0E602498">
      <w:pPr>
        <w:pageBreakBefore w:val="0"/>
        <w:kinsoku/>
        <w:overflowPunct/>
        <w:topLinePunct w:val="0"/>
        <w:bidi w:val="0"/>
        <w:spacing w:line="360" w:lineRule="auto"/>
        <w:ind w:firstLine="420" w:firstLineChars="200"/>
        <w:rPr>
          <w:color w:val="auto"/>
          <w:szCs w:val="21"/>
          <w:highlight w:val="none"/>
        </w:rPr>
      </w:pPr>
      <w:r>
        <w:rPr>
          <w:rFonts w:ascii="宋体" w:hAnsi="宋体"/>
          <w:color w:val="auto"/>
          <w:szCs w:val="21"/>
          <w:highlight w:val="none"/>
        </w:rPr>
        <w:t>32.4.</w:t>
      </w:r>
      <w:r>
        <w:rPr>
          <w:rFonts w:hint="eastAsia" w:ascii="宋体" w:hAnsi="宋体"/>
          <w:color w:val="auto"/>
          <w:szCs w:val="21"/>
          <w:highlight w:val="none"/>
        </w:rPr>
        <w:t>2</w:t>
      </w:r>
      <w:r>
        <w:rPr>
          <w:rFonts w:hint="eastAsia"/>
          <w:color w:val="auto"/>
          <w:szCs w:val="21"/>
          <w:highlight w:val="none"/>
        </w:rPr>
        <w:t>不同投标人委托同一单位或者个人办理投标事宜；</w:t>
      </w:r>
    </w:p>
    <w:p w14:paraId="0F0CBAAC">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32.4.3不同投标人的投标文件载明的项目管理成员或者联系人员为同一人；</w:t>
      </w:r>
    </w:p>
    <w:p w14:paraId="55B55E13">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32.4.4不同投标人的投标文件异常一致或者投标报价呈规律性差异；</w:t>
      </w:r>
    </w:p>
    <w:p w14:paraId="40487AF3">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32.4.5</w:t>
      </w:r>
      <w:r>
        <w:rPr>
          <w:rFonts w:ascii="宋体" w:hAnsi="宋体"/>
          <w:color w:val="auto"/>
          <w:szCs w:val="21"/>
          <w:highlight w:val="none"/>
        </w:rPr>
        <w:t>不同投标供应商的投标文件或部分投标文件相互混装</w:t>
      </w:r>
      <w:r>
        <w:rPr>
          <w:rFonts w:hint="eastAsia" w:ascii="宋体" w:hAnsi="宋体"/>
          <w:color w:val="auto"/>
          <w:szCs w:val="21"/>
          <w:highlight w:val="none"/>
        </w:rPr>
        <w:t>；</w:t>
      </w:r>
    </w:p>
    <w:p w14:paraId="0E647729">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32.4.6投标供应商之间相互约定给予未中标的供应商利益补偿；</w:t>
      </w:r>
    </w:p>
    <w:p w14:paraId="04645A42">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32.4.7不同投标供应商的法定代表人、主要经营负责人、项目投标授权代表人、项目负责人、主要技术人员为同一人、属同一单位或者同一单位缴纳社会保险；</w:t>
      </w:r>
    </w:p>
    <w:p w14:paraId="328940E9">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32.4.8不同投标供应商的投标文件内容存在非正常一致；</w:t>
      </w:r>
    </w:p>
    <w:p w14:paraId="3E6F8390">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32.4.9在同一单位工作人员为两家以上（含两家）供应商进行同一项投标活动；</w:t>
      </w:r>
    </w:p>
    <w:p w14:paraId="0DF5E0C3">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32.4.10主管部门依照法律、法规认定的其他情形。</w:t>
      </w:r>
    </w:p>
    <w:p w14:paraId="0C8841A7">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32.5对不属于《资格性审查表》和《符合性审查表》所列的其他情形，除专用条款另有规定和32.4条款所列情形外，不得作为投标无效的理由。</w:t>
      </w:r>
    </w:p>
    <w:p w14:paraId="2C2618C6">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33．澄清有关问题</w:t>
      </w:r>
    </w:p>
    <w:p w14:paraId="088DD261">
      <w:pPr>
        <w:pageBreakBefore w:val="0"/>
        <w:kinsoku/>
        <w:overflowPunct/>
        <w:topLinePunct w:val="0"/>
        <w:bidi w:val="0"/>
        <w:spacing w:line="360" w:lineRule="auto"/>
        <w:ind w:firstLine="420" w:firstLineChars="200"/>
        <w:rPr>
          <w:rFonts w:ascii="宋体" w:hAnsi="宋体"/>
          <w:color w:val="auto"/>
          <w:szCs w:val="21"/>
          <w:highlight w:val="none"/>
        </w:rPr>
      </w:pPr>
      <w:bookmarkStart w:id="60" w:name="_Hlk71407321"/>
      <w:r>
        <w:rPr>
          <w:rFonts w:hint="eastAsia" w:ascii="宋体" w:hAnsi="宋体"/>
          <w:color w:val="auto"/>
          <w:szCs w:val="21"/>
          <w:highlight w:val="none"/>
        </w:rPr>
        <w:t>3</w:t>
      </w:r>
      <w:r>
        <w:rPr>
          <w:rFonts w:ascii="宋体" w:hAnsi="宋体"/>
          <w:color w:val="auto"/>
          <w:szCs w:val="21"/>
          <w:highlight w:val="none"/>
        </w:rPr>
        <w:t>3.1</w:t>
      </w:r>
      <w:r>
        <w:rPr>
          <w:rFonts w:hint="eastAsia" w:ascii="宋体" w:hAnsi="宋体"/>
          <w:color w:val="auto"/>
          <w:szCs w:val="21"/>
          <w:highlight w:val="none"/>
        </w:rPr>
        <w:t>对招标文件中描述有歧义或前后不一致的地方（不含</w:t>
      </w:r>
      <w:r>
        <w:rPr>
          <w:rFonts w:hint="eastAsia"/>
          <w:color w:val="auto"/>
          <w:szCs w:val="21"/>
          <w:highlight w:val="none"/>
        </w:rPr>
        <w:t>招标</w:t>
      </w:r>
      <w:r>
        <w:rPr>
          <w:color w:val="auto"/>
          <w:szCs w:val="21"/>
          <w:highlight w:val="none"/>
        </w:rPr>
        <w:t>文件存在歧义、重大缺陷导致评</w:t>
      </w:r>
      <w:r>
        <w:rPr>
          <w:rFonts w:hint="eastAsia"/>
          <w:color w:val="auto"/>
          <w:szCs w:val="21"/>
          <w:highlight w:val="none"/>
        </w:rPr>
        <w:t>审</w:t>
      </w:r>
      <w:r>
        <w:rPr>
          <w:color w:val="auto"/>
          <w:szCs w:val="21"/>
          <w:highlight w:val="none"/>
        </w:rPr>
        <w:t>工作无法进行</w:t>
      </w:r>
      <w:r>
        <w:rPr>
          <w:rFonts w:hint="eastAsia"/>
          <w:color w:val="auto"/>
          <w:szCs w:val="21"/>
          <w:highlight w:val="none"/>
        </w:rPr>
        <w:t>的情况）</w:t>
      </w:r>
      <w:r>
        <w:rPr>
          <w:rFonts w:hint="eastAsia" w:ascii="宋体" w:hAnsi="宋体"/>
          <w:color w:val="auto"/>
          <w:szCs w:val="21"/>
          <w:highlight w:val="none"/>
        </w:rPr>
        <w:t>，评审委员会有权进行评判，但对同一条款的评判应适用于每个投标人。</w:t>
      </w:r>
      <w:bookmarkEnd w:id="60"/>
    </w:p>
    <w:p w14:paraId="7E4FB4A4">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3.2</w:t>
      </w:r>
      <w:r>
        <w:rPr>
          <w:color w:val="auto"/>
          <w:szCs w:val="21"/>
          <w:highlight w:val="none"/>
        </w:rPr>
        <w:t>评</w:t>
      </w:r>
      <w:r>
        <w:rPr>
          <w:rFonts w:hint="eastAsia"/>
          <w:color w:val="auto"/>
          <w:szCs w:val="21"/>
          <w:highlight w:val="none"/>
        </w:rPr>
        <w:t>审</w:t>
      </w:r>
      <w:r>
        <w:rPr>
          <w:color w:val="auto"/>
          <w:szCs w:val="21"/>
          <w:highlight w:val="none"/>
        </w:rPr>
        <w:t>委员会发现</w:t>
      </w:r>
      <w:r>
        <w:rPr>
          <w:rFonts w:hint="eastAsia"/>
          <w:color w:val="auto"/>
          <w:szCs w:val="21"/>
          <w:highlight w:val="none"/>
        </w:rPr>
        <w:t>招标</w:t>
      </w:r>
      <w:r>
        <w:rPr>
          <w:color w:val="auto"/>
          <w:szCs w:val="21"/>
          <w:highlight w:val="none"/>
        </w:rPr>
        <w:t>文件存在歧义、重大缺陷导致评</w:t>
      </w:r>
      <w:r>
        <w:rPr>
          <w:rFonts w:hint="eastAsia"/>
          <w:color w:val="auto"/>
          <w:szCs w:val="21"/>
          <w:highlight w:val="none"/>
        </w:rPr>
        <w:t>审</w:t>
      </w:r>
      <w:r>
        <w:rPr>
          <w:color w:val="auto"/>
          <w:szCs w:val="21"/>
          <w:highlight w:val="none"/>
        </w:rPr>
        <w:t>工作无法进行，或者</w:t>
      </w:r>
      <w:r>
        <w:rPr>
          <w:rFonts w:hint="eastAsia"/>
          <w:color w:val="auto"/>
          <w:szCs w:val="21"/>
          <w:highlight w:val="none"/>
        </w:rPr>
        <w:t>招标</w:t>
      </w:r>
      <w:r>
        <w:rPr>
          <w:color w:val="auto"/>
          <w:szCs w:val="21"/>
          <w:highlight w:val="none"/>
        </w:rPr>
        <w:t>文件内容违反国家有关强制性规定的，应当停止评</w:t>
      </w:r>
      <w:r>
        <w:rPr>
          <w:rFonts w:hint="eastAsia"/>
          <w:color w:val="auto"/>
          <w:szCs w:val="21"/>
          <w:highlight w:val="none"/>
        </w:rPr>
        <w:t>审</w:t>
      </w:r>
      <w:r>
        <w:rPr>
          <w:color w:val="auto"/>
          <w:szCs w:val="21"/>
          <w:highlight w:val="none"/>
        </w:rPr>
        <w:t>工作，与</w:t>
      </w:r>
      <w:r>
        <w:rPr>
          <w:rFonts w:hint="eastAsia"/>
          <w:color w:val="auto"/>
          <w:szCs w:val="21"/>
          <w:highlight w:val="none"/>
          <w:lang w:eastAsia="zh-CN"/>
        </w:rPr>
        <w:t>代理机构</w:t>
      </w:r>
      <w:r>
        <w:rPr>
          <w:color w:val="auto"/>
          <w:szCs w:val="21"/>
          <w:highlight w:val="none"/>
        </w:rPr>
        <w:t>沟通并作书面记录。</w:t>
      </w:r>
      <w:r>
        <w:rPr>
          <w:rFonts w:hint="eastAsia"/>
          <w:color w:val="auto"/>
          <w:szCs w:val="21"/>
          <w:highlight w:val="none"/>
        </w:rPr>
        <w:t>经</w:t>
      </w:r>
      <w:r>
        <w:rPr>
          <w:color w:val="auto"/>
          <w:szCs w:val="21"/>
          <w:highlight w:val="none"/>
        </w:rPr>
        <w:t>确认后，</w:t>
      </w:r>
      <w:r>
        <w:rPr>
          <w:rFonts w:hint="eastAsia"/>
          <w:color w:val="auto"/>
          <w:szCs w:val="21"/>
          <w:highlight w:val="none"/>
        </w:rPr>
        <w:t>项目</w:t>
      </w:r>
      <w:r>
        <w:rPr>
          <w:color w:val="auto"/>
          <w:szCs w:val="21"/>
          <w:highlight w:val="none"/>
        </w:rPr>
        <w:t>应当修改</w:t>
      </w:r>
      <w:r>
        <w:rPr>
          <w:rFonts w:hint="eastAsia"/>
          <w:color w:val="auto"/>
          <w:szCs w:val="21"/>
          <w:highlight w:val="none"/>
        </w:rPr>
        <w:t>招标</w:t>
      </w:r>
      <w:r>
        <w:rPr>
          <w:color w:val="auto"/>
          <w:szCs w:val="21"/>
          <w:highlight w:val="none"/>
        </w:rPr>
        <w:t>文件，重新组织采购活动。</w:t>
      </w:r>
    </w:p>
    <w:p w14:paraId="35E316D9">
      <w:pPr>
        <w:pageBreakBefore w:val="0"/>
        <w:kinsoku/>
        <w:overflowPunct/>
        <w:topLinePunct w:val="0"/>
        <w:bidi w:val="0"/>
        <w:spacing w:line="360" w:lineRule="auto"/>
        <w:ind w:firstLine="420" w:firstLineChars="200"/>
        <w:rPr>
          <w:rFonts w:ascii="宋体" w:hAnsi="宋体"/>
          <w:color w:val="auto"/>
          <w:szCs w:val="21"/>
          <w:highlight w:val="none"/>
        </w:rPr>
      </w:pPr>
      <w:r>
        <w:rPr>
          <w:rFonts w:ascii="宋体" w:hAnsi="宋体"/>
          <w:color w:val="auto"/>
          <w:szCs w:val="21"/>
          <w:highlight w:val="none"/>
        </w:rPr>
        <w:t>33.3</w:t>
      </w:r>
      <w:r>
        <w:rPr>
          <w:rFonts w:hint="eastAsia" w:ascii="宋体" w:hAnsi="宋体"/>
          <w:color w:val="auto"/>
          <w:szCs w:val="21"/>
          <w:highlight w:val="none"/>
        </w:rPr>
        <w:t>对于投标文件中含义不明确、同类问题表述不一致或者有明显文字和计算错误的内容，评审委员会应当以书面形式要求投标人作出必要的澄清、说明或者补正。</w:t>
      </w:r>
    </w:p>
    <w:p w14:paraId="4EE8F6EB">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7201F725">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根据本通用条款第34条，凡属于评审委员会在评审中发现的算术错误进行核实的修改不在此列。</w:t>
      </w:r>
    </w:p>
    <w:p w14:paraId="721DE602">
      <w:pPr>
        <w:pageBreakBefore w:val="0"/>
        <w:kinsoku/>
        <w:overflowPunct/>
        <w:topLinePunct w:val="0"/>
        <w:bidi w:val="0"/>
        <w:spacing w:line="360" w:lineRule="auto"/>
        <w:ind w:firstLine="420" w:firstLineChars="200"/>
        <w:rPr>
          <w:rFonts w:ascii="黑体" w:hAnsi="宋体" w:eastAsia="黑体"/>
          <w:color w:val="auto"/>
          <w:szCs w:val="21"/>
          <w:highlight w:val="none"/>
        </w:rPr>
      </w:pPr>
      <w:bookmarkStart w:id="61" w:name="_Toc73517673"/>
      <w:bookmarkStart w:id="62" w:name="_Toc73521581"/>
      <w:bookmarkStart w:id="63" w:name="_Toc73518151"/>
      <w:bookmarkStart w:id="64" w:name="_Toc73521669"/>
      <w:bookmarkStart w:id="65" w:name="_Toc100052400"/>
      <w:r>
        <w:rPr>
          <w:rFonts w:hint="eastAsia" w:ascii="黑体" w:hAnsi="宋体" w:eastAsia="黑体"/>
          <w:color w:val="auto"/>
          <w:szCs w:val="21"/>
          <w:highlight w:val="none"/>
        </w:rPr>
        <w:t>34．错误的修正</w:t>
      </w:r>
      <w:bookmarkEnd w:id="61"/>
      <w:bookmarkEnd w:id="62"/>
      <w:bookmarkEnd w:id="63"/>
      <w:bookmarkEnd w:id="64"/>
      <w:bookmarkEnd w:id="65"/>
    </w:p>
    <w:p w14:paraId="180A29F8">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投标文件报价出现前后不一致的，除专用条款另有规定外，按照下列规定修正：</w:t>
      </w:r>
    </w:p>
    <w:p w14:paraId="627C889F">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34.1投标文件中开标一览表投标报价内容与投标文件中投标报价相应内容不一致的，以开标一览表为准；</w:t>
      </w:r>
    </w:p>
    <w:p w14:paraId="3EA8A368">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34.2大写金额和小写金额不一致的，以大写金额为准；</w:t>
      </w:r>
    </w:p>
    <w:p w14:paraId="4E4AB959">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34.3单价金额小数点或者百分比有明显错位，以开标一览表的总价为准，并修改单价；</w:t>
      </w:r>
    </w:p>
    <w:p w14:paraId="3B641BB6">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34.4总价金额与按单价汇总金额不一致的，以单价金额计算结果为准。</w:t>
      </w:r>
    </w:p>
    <w:p w14:paraId="46CFAEC1">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34.5同时出现两种以上不一致的，按照前款规定的顺序修正。修正后的报价按照本通用条款33条的规定，经投标人确认后产生约束力，投标人不确认的，其投标无效。</w:t>
      </w:r>
    </w:p>
    <w:p w14:paraId="7E8715F7">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35．投标文件的比较与评价</w:t>
      </w:r>
    </w:p>
    <w:p w14:paraId="2F64992B">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286D0534">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评审委员会成员对需要共同认定的事项存在争议的，应当按照少数服从多数的原则作出结论。持不同意见的评审委员会成员应当书面作出说明，否则视为无异议。</w:t>
      </w:r>
    </w:p>
    <w:p w14:paraId="4A9FEC3E">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36. 实地考察或资料查验</w:t>
      </w:r>
    </w:p>
    <w:p w14:paraId="76E838DB">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36.1在评审过程中，评审委员会有权决定是否对本项目投标人进行实地考察或资料查验（原件）。投标人应随时做好接受实地考察或资料查验的准备。</w:t>
      </w:r>
    </w:p>
    <w:p w14:paraId="0652FE4E">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37．评审方法</w:t>
      </w:r>
    </w:p>
    <w:p w14:paraId="1BDC8009">
      <w:pPr>
        <w:pageBreakBefore w:val="0"/>
        <w:kinsoku/>
        <w:overflowPunct/>
        <w:topLinePunct w:val="0"/>
        <w:bidi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37.1.1最低价法</w:t>
      </w:r>
    </w:p>
    <w:p w14:paraId="0B4CE94D">
      <w:pPr>
        <w:pageBreakBefore w:val="0"/>
        <w:kinsoku/>
        <w:overflowPunct/>
        <w:topLinePunct w:val="0"/>
        <w:bidi w:val="0"/>
        <w:spacing w:line="360" w:lineRule="auto"/>
        <w:ind w:firstLine="420" w:firstLineChars="200"/>
        <w:rPr>
          <w:rFonts w:hint="eastAsia" w:ascii="ˎ̥" w:hAnsi="ˎ̥"/>
          <w:color w:val="auto"/>
          <w:szCs w:val="21"/>
          <w:highlight w:val="none"/>
        </w:rPr>
      </w:pPr>
      <w:bookmarkStart w:id="66" w:name="_Hlk72438142"/>
      <w:r>
        <w:rPr>
          <w:rFonts w:ascii="ˎ̥" w:hAnsi="ˎ̥"/>
          <w:color w:val="auto"/>
          <w:szCs w:val="21"/>
          <w:highlight w:val="none"/>
        </w:rPr>
        <w:t>最低价法，是指</w:t>
      </w:r>
      <w:r>
        <w:rPr>
          <w:rFonts w:hint="eastAsia" w:ascii="ˎ̥" w:hAnsi="ˎ̥"/>
          <w:color w:val="auto"/>
          <w:szCs w:val="21"/>
          <w:highlight w:val="none"/>
        </w:rPr>
        <w:t>完全</w:t>
      </w:r>
      <w:r>
        <w:rPr>
          <w:rFonts w:ascii="ˎ̥" w:hAnsi="ˎ̥"/>
          <w:color w:val="auto"/>
          <w:szCs w:val="21"/>
          <w:highlight w:val="none"/>
        </w:rPr>
        <w:t>满足</w:t>
      </w:r>
      <w:r>
        <w:rPr>
          <w:rFonts w:hint="eastAsia" w:ascii="ˎ̥" w:hAnsi="ˎ̥"/>
          <w:color w:val="auto"/>
          <w:szCs w:val="21"/>
          <w:highlight w:val="none"/>
        </w:rPr>
        <w:t>招标</w:t>
      </w:r>
      <w:r>
        <w:rPr>
          <w:rFonts w:ascii="ˎ̥" w:hAnsi="ˎ̥"/>
          <w:color w:val="auto"/>
          <w:szCs w:val="21"/>
          <w:highlight w:val="none"/>
        </w:rPr>
        <w:t>文件实质性要求，</w:t>
      </w:r>
      <w:r>
        <w:rPr>
          <w:rFonts w:hint="eastAsia" w:ascii="ˎ̥" w:hAnsi="ˎ̥"/>
          <w:color w:val="auto"/>
          <w:szCs w:val="21"/>
          <w:highlight w:val="none"/>
        </w:rPr>
        <w:t>按照报价由低到高的顺序，依据招标文件中规定的数量或者比例推荐候选中标供应商。</w:t>
      </w:r>
    </w:p>
    <w:p w14:paraId="1D622C84">
      <w:pPr>
        <w:pageBreakBefore w:val="0"/>
        <w:kinsoku/>
        <w:overflowPunct/>
        <w:topLinePunct w:val="0"/>
        <w:bidi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37.1.2综合评分法</w:t>
      </w:r>
    </w:p>
    <w:p w14:paraId="3E0592F5">
      <w:pPr>
        <w:pageBreakBefore w:val="0"/>
        <w:kinsoku/>
        <w:overflowPunct/>
        <w:topLinePunct w:val="0"/>
        <w:bidi w:val="0"/>
        <w:spacing w:line="360" w:lineRule="auto"/>
        <w:ind w:firstLine="420" w:firstLineChars="200"/>
        <w:rPr>
          <w:rFonts w:hint="eastAsia" w:ascii="ˎ̥" w:hAnsi="ˎ̥"/>
          <w:color w:val="auto"/>
          <w:szCs w:val="21"/>
          <w:highlight w:val="none"/>
        </w:rPr>
      </w:pPr>
      <w:r>
        <w:rPr>
          <w:rFonts w:ascii="ˎ̥" w:hAnsi="ˎ̥"/>
          <w:color w:val="auto"/>
          <w:szCs w:val="21"/>
          <w:highlight w:val="none"/>
        </w:rPr>
        <w:t>综合评分法，是指</w:t>
      </w:r>
      <w:r>
        <w:rPr>
          <w:rFonts w:hint="eastAsia" w:ascii="ˎ̥" w:hAnsi="ˎ̥"/>
          <w:color w:val="auto"/>
          <w:szCs w:val="21"/>
          <w:highlight w:val="none"/>
        </w:rPr>
        <w:t>在</w:t>
      </w:r>
      <w:r>
        <w:rPr>
          <w:rFonts w:ascii="ˎ̥" w:hAnsi="ˎ̥"/>
          <w:color w:val="auto"/>
          <w:szCs w:val="21"/>
          <w:highlight w:val="none"/>
        </w:rPr>
        <w:t>满足</w:t>
      </w:r>
      <w:r>
        <w:rPr>
          <w:rFonts w:hint="eastAsia" w:ascii="ˎ̥" w:hAnsi="ˎ̥"/>
          <w:color w:val="auto"/>
          <w:szCs w:val="21"/>
          <w:highlight w:val="none"/>
        </w:rPr>
        <w:t>招标</w:t>
      </w:r>
      <w:r>
        <w:rPr>
          <w:rFonts w:ascii="ˎ̥" w:hAnsi="ˎ̥"/>
          <w:color w:val="auto"/>
          <w:szCs w:val="21"/>
          <w:highlight w:val="none"/>
        </w:rPr>
        <w:t>文件全部实质性要求</w:t>
      </w:r>
      <w:r>
        <w:rPr>
          <w:rFonts w:hint="eastAsia" w:ascii="ˎ̥" w:hAnsi="ˎ̥"/>
          <w:color w:val="auto"/>
          <w:szCs w:val="21"/>
          <w:highlight w:val="none"/>
        </w:rPr>
        <w:t>的前提下</w:t>
      </w:r>
      <w:r>
        <w:rPr>
          <w:rFonts w:ascii="ˎ̥" w:hAnsi="ˎ̥"/>
          <w:color w:val="auto"/>
          <w:szCs w:val="21"/>
          <w:highlight w:val="none"/>
        </w:rPr>
        <w:t>，</w:t>
      </w:r>
      <w:r>
        <w:rPr>
          <w:rFonts w:hint="eastAsia" w:ascii="ˎ̥" w:hAnsi="ˎ̥"/>
          <w:color w:val="auto"/>
          <w:szCs w:val="21"/>
          <w:highlight w:val="none"/>
        </w:rPr>
        <w:t>按照招标文件中规定的各项因素进行综合评审，评审总得分排名前列的投标人，作为推荐的候选中标供应商。</w:t>
      </w:r>
      <w:bookmarkEnd w:id="66"/>
      <w:r>
        <w:rPr>
          <w:rFonts w:hint="eastAsia" w:ascii="宋体" w:hAnsi="宋体"/>
          <w:bCs/>
          <w:color w:val="auto"/>
          <w:szCs w:val="21"/>
          <w:highlight w:val="none"/>
        </w:rPr>
        <w:t xml:space="preserve">                                                                                                                                                                                                                                                                                                                                                                                                                                                                                                                                                                                                                                                                                                                                                                                                                                                                                                                                                                                                                                                                                                                                                                                                                                                                                                                                                                                                                                                                                                                                                                                                                                                                                                                                                                                                                                                                                                                                                                                                                                                                                                                                                                                                                                                                                                                                                                                                                                                                                                                                                                                                                                                                                                                                                                                                                                                                                                                                                                                                                             </w:t>
      </w:r>
    </w:p>
    <w:p w14:paraId="150A2F89">
      <w:pPr>
        <w:pageBreakBefore w:val="0"/>
        <w:kinsoku/>
        <w:overflowPunct/>
        <w:topLinePunct w:val="0"/>
        <w:bidi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37.2 本项目采用的评审方法见本项目招标文件第一册“专用条款”的相关内容。</w:t>
      </w:r>
    </w:p>
    <w:p w14:paraId="19377D0B">
      <w:pPr>
        <w:pageBreakBefore w:val="0"/>
        <w:kinsoku/>
        <w:overflowPunct/>
        <w:topLinePunct w:val="0"/>
        <w:bidi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37.3重新评审的情形</w:t>
      </w:r>
    </w:p>
    <w:p w14:paraId="76102D76">
      <w:pPr>
        <w:pageBreakBefore w:val="0"/>
        <w:kinsoku/>
        <w:overflowPunct/>
        <w:topLinePunct w:val="0"/>
        <w:bidi w:val="0"/>
        <w:spacing w:line="360" w:lineRule="auto"/>
        <w:ind w:firstLine="420" w:firstLineChars="200"/>
        <w:rPr>
          <w:rFonts w:ascii="宋体" w:hAnsi="宋体"/>
          <w:b/>
          <w:bCs/>
          <w:color w:val="auto"/>
          <w:szCs w:val="21"/>
          <w:highlight w:val="none"/>
        </w:rPr>
      </w:pPr>
      <w:r>
        <w:rPr>
          <w:rFonts w:hint="eastAsia" w:ascii="宋体" w:hAnsi="宋体" w:cs="宋体"/>
          <w:color w:val="auto"/>
          <w:kern w:val="0"/>
          <w:szCs w:val="21"/>
          <w:highlight w:val="none"/>
        </w:rPr>
        <w:t>评审结果汇总完成后，除下列情形外，任何人不得修改评审结果：</w:t>
      </w:r>
    </w:p>
    <w:p w14:paraId="56403BE6">
      <w:pPr>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37.3.1分值汇总计算错误的；</w:t>
      </w:r>
    </w:p>
    <w:p w14:paraId="50AB59BE">
      <w:pPr>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37.3.2分项评分超出评分标准范围的；</w:t>
      </w:r>
    </w:p>
    <w:p w14:paraId="7DACC127">
      <w:pPr>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37.3.3评审委员会成员对客观评审因素评分不一致的；</w:t>
      </w:r>
    </w:p>
    <w:p w14:paraId="6F6F7566">
      <w:pPr>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37.3.4经评审委员会认定评分畸高、畸低的。</w:t>
      </w:r>
    </w:p>
    <w:p w14:paraId="494F1D62">
      <w:pPr>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36BAA4F6">
      <w:pPr>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投标人对本条第一款情形提出质疑的，采购人或者采购代理机构可以组织原评审委员会进行重新评审，重新评审改变评审结果的，应当书面报告本级财政部门。</w:t>
      </w:r>
    </w:p>
    <w:p w14:paraId="3BF663CB">
      <w:pPr>
        <w:pageBreakBefore w:val="0"/>
        <w:kinsoku/>
        <w:overflowPunct/>
        <w:topLinePunct w:val="0"/>
        <w:bidi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 xml:space="preserve"> 37.4重新组建评审委员会的情形</w:t>
      </w:r>
    </w:p>
    <w:p w14:paraId="34987F9C">
      <w:pPr>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评审委员会或者其成员存在下列情形导致评审结果无效的，重新组建评审委员会进行评标，并书面报告本级财政部门：</w:t>
      </w:r>
    </w:p>
    <w:p w14:paraId="374C2235">
      <w:pPr>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37.4.1评审委员会组成不符合《政府采购货物和服务招标投标管理办法》规定的；</w:t>
      </w:r>
    </w:p>
    <w:p w14:paraId="0A7EE69F">
      <w:pPr>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37.4.2有《政府采购货物和服务招标投标管理办法》第六十二条第一至五项情形的；</w:t>
      </w:r>
    </w:p>
    <w:p w14:paraId="105EF7CD">
      <w:pPr>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37.4.3评审委员会及其成员独立评标受到非法干预的；</w:t>
      </w:r>
    </w:p>
    <w:p w14:paraId="02FCDED4">
      <w:pPr>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37.4.4有政府采购法实施条例第七十五条规定的违法行为的。</w:t>
      </w:r>
    </w:p>
    <w:p w14:paraId="2128098B">
      <w:pPr>
        <w:pageBreakBefore w:val="0"/>
        <w:kinsoku/>
        <w:overflowPunct/>
        <w:topLinePunct w:val="0"/>
        <w:bidi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有违法违规行为的原评审委员会成员不得参加重新组建的评审委员会。</w:t>
      </w:r>
    </w:p>
    <w:p w14:paraId="29BB2548">
      <w:pPr>
        <w:pageBreakBefore w:val="0"/>
        <w:kinsoku/>
        <w:overflowPunct/>
        <w:topLinePunct w:val="0"/>
        <w:bidi w:val="0"/>
        <w:spacing w:line="360" w:lineRule="auto"/>
        <w:ind w:firstLine="411" w:firstLineChars="196"/>
        <w:rPr>
          <w:rFonts w:ascii="宋体" w:hAnsi="宋体"/>
          <w:color w:val="auto"/>
          <w:szCs w:val="21"/>
          <w:highlight w:val="none"/>
        </w:rPr>
      </w:pPr>
    </w:p>
    <w:p w14:paraId="1E9AAB95">
      <w:pPr>
        <w:pStyle w:val="81"/>
        <w:keepNext/>
        <w:keepLines/>
        <w:pageBreakBefore w:val="0"/>
        <w:numPr>
          <w:ilvl w:val="0"/>
          <w:numId w:val="11"/>
        </w:numPr>
        <w:tabs>
          <w:tab w:val="left" w:pos="720"/>
        </w:tabs>
        <w:kinsoku/>
        <w:overflowPunct/>
        <w:topLinePunct w:val="0"/>
        <w:bidi w:val="0"/>
        <w:adjustRightInd w:val="0"/>
        <w:spacing w:before="120" w:beforeLines="50" w:after="120" w:afterLines="50" w:line="360" w:lineRule="auto"/>
        <w:ind w:firstLineChars="0"/>
        <w:jc w:val="center"/>
        <w:textAlignment w:val="baseline"/>
        <w:outlineLvl w:val="1"/>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定标及公示</w:t>
      </w:r>
    </w:p>
    <w:p w14:paraId="7AEAB069">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38．定标方法</w:t>
      </w:r>
    </w:p>
    <w:p w14:paraId="35198E60">
      <w:pPr>
        <w:pageBreakBefore w:val="0"/>
        <w:kinsoku/>
        <w:overflowPunct/>
        <w:topLinePunct w:val="0"/>
        <w:bidi w:val="0"/>
        <w:spacing w:line="360" w:lineRule="auto"/>
        <w:ind w:firstLine="420" w:firstLineChars="200"/>
        <w:rPr>
          <w:rFonts w:ascii="宋体" w:hAnsi="宋体"/>
          <w:color w:val="auto"/>
          <w:szCs w:val="21"/>
          <w:highlight w:val="none"/>
        </w:rPr>
      </w:pPr>
      <w:bookmarkStart w:id="67" w:name="_Hlk73782795"/>
      <w:r>
        <w:rPr>
          <w:rFonts w:hint="eastAsia" w:ascii="宋体" w:hAnsi="宋体"/>
          <w:color w:val="auto"/>
          <w:szCs w:val="21"/>
          <w:highlight w:val="none"/>
        </w:rPr>
        <w:t>38.1非评定分离项目定标方法</w:t>
      </w:r>
    </w:p>
    <w:p w14:paraId="3F10F18F">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38</w:t>
      </w:r>
      <w:r>
        <w:rPr>
          <w:rFonts w:ascii="宋体" w:hAnsi="宋体"/>
          <w:color w:val="auto"/>
          <w:szCs w:val="21"/>
          <w:highlight w:val="none"/>
        </w:rPr>
        <w:t>.</w:t>
      </w:r>
      <w:r>
        <w:rPr>
          <w:rFonts w:hint="eastAsia" w:ascii="宋体" w:hAnsi="宋体"/>
          <w:color w:val="auto"/>
          <w:szCs w:val="21"/>
          <w:highlight w:val="none"/>
        </w:rPr>
        <w:t>1.1评审委员会依据本项目招标文件所约定的评审方法进行评审和比较，向</w:t>
      </w:r>
      <w:r>
        <w:rPr>
          <w:rFonts w:hint="eastAsia" w:ascii="宋体" w:hAnsi="宋体"/>
          <w:color w:val="auto"/>
          <w:szCs w:val="21"/>
          <w:highlight w:val="none"/>
          <w:lang w:eastAsia="zh-CN"/>
        </w:rPr>
        <w:t>代理机构</w:t>
      </w:r>
      <w:r>
        <w:rPr>
          <w:rFonts w:hint="eastAsia" w:ascii="宋体" w:hAnsi="宋体"/>
          <w:color w:val="auto"/>
          <w:szCs w:val="21"/>
          <w:highlight w:val="none"/>
        </w:rPr>
        <w:t>提交书面评审报告，并根据评审方法比较评价结果从优到劣进行排序，确定候选中标供应商。</w:t>
      </w:r>
    </w:p>
    <w:p w14:paraId="7E12DD66">
      <w:pPr>
        <w:pageBreakBefore w:val="0"/>
        <w:kinsoku/>
        <w:overflowPunct/>
        <w:topLinePunct w:val="0"/>
        <w:bidi w:val="0"/>
        <w:spacing w:line="360" w:lineRule="auto"/>
        <w:ind w:firstLine="420" w:firstLineChars="200"/>
        <w:rPr>
          <w:rFonts w:hint="eastAsia" w:ascii="ˎ̥" w:hAnsi="ˎ̥"/>
          <w:color w:val="auto"/>
          <w:szCs w:val="21"/>
          <w:highlight w:val="none"/>
        </w:rPr>
      </w:pPr>
      <w:r>
        <w:rPr>
          <w:rFonts w:hint="eastAsia" w:ascii="宋体" w:hAnsi="宋体"/>
          <w:color w:val="auto"/>
          <w:szCs w:val="21"/>
          <w:highlight w:val="none"/>
        </w:rPr>
        <w:t>38</w:t>
      </w:r>
      <w:r>
        <w:rPr>
          <w:rFonts w:ascii="宋体" w:hAnsi="宋体"/>
          <w:color w:val="auto"/>
          <w:szCs w:val="21"/>
          <w:highlight w:val="none"/>
        </w:rPr>
        <w:t>.</w:t>
      </w:r>
      <w:r>
        <w:rPr>
          <w:rFonts w:hint="eastAsia" w:ascii="宋体" w:hAnsi="宋体"/>
          <w:color w:val="auto"/>
          <w:szCs w:val="21"/>
          <w:highlight w:val="none"/>
        </w:rPr>
        <w:t>1.2</w:t>
      </w:r>
      <w:r>
        <w:rPr>
          <w:rFonts w:ascii="ˎ̥" w:hAnsi="ˎ̥"/>
          <w:color w:val="auto"/>
          <w:szCs w:val="21"/>
          <w:highlight w:val="none"/>
        </w:rPr>
        <w:t>采用最低价法的，评</w:t>
      </w:r>
      <w:r>
        <w:rPr>
          <w:rFonts w:hint="eastAsia" w:ascii="ˎ̥" w:hAnsi="ˎ̥"/>
          <w:color w:val="auto"/>
          <w:szCs w:val="21"/>
          <w:highlight w:val="none"/>
        </w:rPr>
        <w:t>审</w:t>
      </w:r>
      <w:r>
        <w:rPr>
          <w:rFonts w:ascii="ˎ̥" w:hAnsi="ˎ̥"/>
          <w:color w:val="auto"/>
          <w:szCs w:val="21"/>
          <w:highlight w:val="none"/>
        </w:rPr>
        <w:t>结果按投标报价由低到高顺序排列。投标报价相同的并列。投标文件满足</w:t>
      </w:r>
      <w:r>
        <w:rPr>
          <w:rFonts w:hint="eastAsia" w:ascii="ˎ̥" w:hAnsi="ˎ̥"/>
          <w:color w:val="auto"/>
          <w:szCs w:val="21"/>
          <w:highlight w:val="none"/>
        </w:rPr>
        <w:t>招标</w:t>
      </w:r>
      <w:r>
        <w:rPr>
          <w:rFonts w:ascii="ˎ̥" w:hAnsi="ˎ̥"/>
          <w:color w:val="auto"/>
          <w:szCs w:val="21"/>
          <w:highlight w:val="none"/>
        </w:rPr>
        <w:t>文件全部实质性要求且投标报价最低的</w:t>
      </w:r>
      <w:r>
        <w:rPr>
          <w:rFonts w:hint="eastAsia" w:ascii="ˎ̥" w:hAnsi="ˎ̥"/>
          <w:color w:val="auto"/>
          <w:szCs w:val="21"/>
          <w:highlight w:val="none"/>
        </w:rPr>
        <w:t>投标人为</w:t>
      </w:r>
      <w:bookmarkStart w:id="68" w:name="_Hlk73821177"/>
      <w:r>
        <w:rPr>
          <w:rFonts w:hint="eastAsia" w:ascii="ˎ̥" w:hAnsi="ˎ̥"/>
          <w:color w:val="auto"/>
          <w:szCs w:val="21"/>
          <w:highlight w:val="none"/>
        </w:rPr>
        <w:t>唯一候选中标供应商</w:t>
      </w:r>
      <w:bookmarkEnd w:id="68"/>
      <w:r>
        <w:rPr>
          <w:rFonts w:ascii="ˎ̥" w:hAnsi="ˎ̥"/>
          <w:color w:val="auto"/>
          <w:szCs w:val="21"/>
          <w:highlight w:val="none"/>
        </w:rPr>
        <w:t>。</w:t>
      </w:r>
    </w:p>
    <w:p w14:paraId="253B88BC">
      <w:pPr>
        <w:pageBreakBefore w:val="0"/>
        <w:kinsoku/>
        <w:overflowPunct/>
        <w:topLinePunct w:val="0"/>
        <w:bidi w:val="0"/>
        <w:spacing w:line="360" w:lineRule="auto"/>
        <w:ind w:firstLine="420" w:firstLineChars="200"/>
        <w:rPr>
          <w:rFonts w:hint="eastAsia" w:ascii="ˎ̥" w:hAnsi="ˎ̥" w:eastAsiaTheme="minorEastAsia"/>
          <w:color w:val="auto"/>
          <w:szCs w:val="21"/>
          <w:highlight w:val="none"/>
        </w:rPr>
      </w:pPr>
      <w:r>
        <w:rPr>
          <w:rFonts w:hint="eastAsia" w:ascii="宋体" w:hAnsi="宋体"/>
          <w:color w:val="auto"/>
          <w:szCs w:val="21"/>
          <w:highlight w:val="none"/>
        </w:rPr>
        <w:t>38</w:t>
      </w:r>
      <w:r>
        <w:rPr>
          <w:rFonts w:ascii="宋体" w:hAnsi="宋体"/>
          <w:color w:val="auto"/>
          <w:szCs w:val="21"/>
          <w:highlight w:val="none"/>
        </w:rPr>
        <w:t>.</w:t>
      </w:r>
      <w:r>
        <w:rPr>
          <w:rFonts w:hint="eastAsia" w:ascii="宋体" w:hAnsi="宋体"/>
          <w:color w:val="auto"/>
          <w:szCs w:val="21"/>
          <w:highlight w:val="none"/>
        </w:rPr>
        <w:t>1.3</w:t>
      </w:r>
      <w:r>
        <w:rPr>
          <w:rFonts w:ascii="宋体" w:hAnsi="宋体"/>
          <w:color w:val="auto"/>
          <w:szCs w:val="21"/>
          <w:highlight w:val="none"/>
        </w:rPr>
        <w:t>采</w:t>
      </w:r>
      <w:r>
        <w:rPr>
          <w:rFonts w:ascii="ˎ̥" w:hAnsi="ˎ̥"/>
          <w:color w:val="auto"/>
          <w:szCs w:val="21"/>
          <w:highlight w:val="none"/>
        </w:rPr>
        <w:t>用综合评分法的，评标结果按评审后得分由高到低顺序排列。得分相同的，按投标报价由低到高顺序排列。得分且投标报价相同的并列。投标文件满足</w:t>
      </w:r>
      <w:r>
        <w:rPr>
          <w:rFonts w:hint="eastAsia" w:ascii="ˎ̥" w:hAnsi="ˎ̥"/>
          <w:color w:val="auto"/>
          <w:szCs w:val="21"/>
          <w:highlight w:val="none"/>
        </w:rPr>
        <w:t>招标</w:t>
      </w:r>
      <w:r>
        <w:rPr>
          <w:rFonts w:ascii="ˎ̥" w:hAnsi="ˎ̥"/>
          <w:color w:val="auto"/>
          <w:szCs w:val="21"/>
          <w:highlight w:val="none"/>
        </w:rPr>
        <w:t>文件全部实质性要求，且按照评审因素的量化指标评审得分最高的投标人</w:t>
      </w:r>
      <w:r>
        <w:rPr>
          <w:rFonts w:hint="eastAsia" w:ascii="ˎ̥" w:hAnsi="ˎ̥"/>
          <w:color w:val="auto"/>
          <w:szCs w:val="21"/>
          <w:highlight w:val="none"/>
        </w:rPr>
        <w:t>为唯一候选中标供应商</w:t>
      </w:r>
      <w:r>
        <w:rPr>
          <w:rFonts w:ascii="ˎ̥" w:hAnsi="ˎ̥"/>
          <w:color w:val="auto"/>
          <w:szCs w:val="21"/>
          <w:highlight w:val="none"/>
        </w:rPr>
        <w:t>。</w:t>
      </w:r>
      <w:r>
        <w:rPr>
          <w:rFonts w:hint="eastAsia" w:ascii="ˎ̥" w:hAnsi="ˎ̥"/>
          <w:color w:val="auto"/>
          <w:szCs w:val="21"/>
          <w:highlight w:val="none"/>
        </w:rPr>
        <w:t>出现</w:t>
      </w:r>
      <w:r>
        <w:rPr>
          <w:rFonts w:ascii="ˎ̥" w:hAnsi="ˎ̥"/>
          <w:color w:val="auto"/>
          <w:szCs w:val="21"/>
          <w:highlight w:val="none"/>
        </w:rPr>
        <w:t>得分且投标报价相同的并列</w:t>
      </w:r>
      <w:r>
        <w:rPr>
          <w:rFonts w:hint="eastAsia" w:ascii="ˎ̥" w:hAnsi="ˎ̥"/>
          <w:color w:val="auto"/>
          <w:szCs w:val="21"/>
          <w:highlight w:val="none"/>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45D1FA5C">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38.2评定分离项目定标方法</w:t>
      </w:r>
    </w:p>
    <w:p w14:paraId="173E133B">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0DC7823C">
      <w:pPr>
        <w:pageBreakBefore w:val="0"/>
        <w:kinsoku/>
        <w:overflowPunct/>
        <w:topLinePunct w:val="0"/>
        <w:bidi w:val="0"/>
        <w:spacing w:line="360" w:lineRule="auto"/>
        <w:ind w:firstLine="420" w:firstLineChars="200"/>
        <w:rPr>
          <w:color w:val="auto"/>
          <w:szCs w:val="21"/>
          <w:highlight w:val="none"/>
        </w:rPr>
      </w:pPr>
      <w:r>
        <w:rPr>
          <w:rFonts w:ascii="宋体" w:hAnsi="宋体"/>
          <w:color w:val="auto"/>
          <w:szCs w:val="21"/>
          <w:highlight w:val="none"/>
        </w:rPr>
        <w:t xml:space="preserve">38.2.2 </w:t>
      </w:r>
      <w:bookmarkStart w:id="69" w:name="_Hlk71469733"/>
      <w:r>
        <w:rPr>
          <w:color w:val="auto"/>
          <w:szCs w:val="21"/>
          <w:highlight w:val="none"/>
        </w:rPr>
        <w:t>适用评定分离的</w:t>
      </w:r>
      <w:r>
        <w:rPr>
          <w:rFonts w:hint="eastAsia"/>
          <w:color w:val="auto"/>
          <w:szCs w:val="21"/>
          <w:highlight w:val="none"/>
          <w:lang w:eastAsia="zh-CN"/>
        </w:rPr>
        <w:t>采购</w:t>
      </w:r>
      <w:r>
        <w:rPr>
          <w:color w:val="auto"/>
          <w:szCs w:val="21"/>
          <w:highlight w:val="none"/>
        </w:rPr>
        <w:t>项目，采用综合评分法评</w:t>
      </w:r>
      <w:r>
        <w:rPr>
          <w:rFonts w:hint="eastAsia"/>
          <w:color w:val="auto"/>
          <w:szCs w:val="21"/>
          <w:highlight w:val="none"/>
        </w:rPr>
        <w:t>审。</w:t>
      </w:r>
      <w:r>
        <w:rPr>
          <w:rFonts w:hint="eastAsia" w:ascii="宋体" w:hAnsi="宋体"/>
          <w:color w:val="auto"/>
          <w:szCs w:val="21"/>
          <w:highlight w:val="none"/>
        </w:rPr>
        <w:t>评审委员会按照评审结果，推荐</w:t>
      </w:r>
      <w:r>
        <w:rPr>
          <w:color w:val="auto"/>
          <w:szCs w:val="21"/>
          <w:highlight w:val="none"/>
        </w:rPr>
        <w:t>三个合格的候选中标供应商。</w:t>
      </w:r>
    </w:p>
    <w:p w14:paraId="5EB061E8">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38.2.3</w:t>
      </w:r>
      <w:bookmarkStart w:id="70" w:name="_Hlk71469688"/>
      <w:r>
        <w:rPr>
          <w:color w:val="auto"/>
          <w:szCs w:val="21"/>
          <w:highlight w:val="none"/>
        </w:rPr>
        <w:t>适用评定分离的</w:t>
      </w:r>
      <w:r>
        <w:rPr>
          <w:rFonts w:hint="eastAsia"/>
          <w:color w:val="auto"/>
          <w:szCs w:val="21"/>
          <w:highlight w:val="none"/>
          <w:lang w:eastAsia="zh-CN"/>
        </w:rPr>
        <w:t>采购</w:t>
      </w:r>
      <w:r>
        <w:rPr>
          <w:color w:val="auto"/>
          <w:szCs w:val="21"/>
          <w:highlight w:val="none"/>
        </w:rPr>
        <w:t>项目，</w:t>
      </w:r>
      <w:r>
        <w:rPr>
          <w:rFonts w:hint="eastAsia" w:ascii="宋体" w:hAnsi="宋体"/>
          <w:color w:val="auto"/>
          <w:szCs w:val="21"/>
          <w:highlight w:val="none"/>
        </w:rPr>
        <w:t>按照自定法确定中标供应商：自定法是指采购人组织定标委员会，由定标委员会在三家候选中标供应商中确定中标供应商。</w:t>
      </w:r>
      <w:bookmarkEnd w:id="69"/>
      <w:bookmarkEnd w:id="70"/>
    </w:p>
    <w:p w14:paraId="00CFD016">
      <w:pPr>
        <w:pageBreakBefore w:val="0"/>
        <w:kinsoku/>
        <w:overflowPunct/>
        <w:topLinePunct w:val="0"/>
        <w:bidi w:val="0"/>
        <w:spacing w:line="360" w:lineRule="auto"/>
        <w:ind w:firstLine="420" w:firstLineChars="200"/>
        <w:rPr>
          <w:rFonts w:ascii="宋体" w:hAnsi="宋体"/>
          <w:color w:val="auto"/>
          <w:szCs w:val="21"/>
          <w:highlight w:val="none"/>
        </w:rPr>
      </w:pPr>
      <w:r>
        <w:rPr>
          <w:rFonts w:ascii="宋体" w:hAnsi="宋体"/>
          <w:color w:val="auto"/>
          <w:szCs w:val="21"/>
          <w:highlight w:val="none"/>
        </w:rPr>
        <w:t>38.2.4</w:t>
      </w:r>
      <w:r>
        <w:rPr>
          <w:rFonts w:hint="eastAsia" w:ascii="宋体" w:hAnsi="宋体"/>
          <w:color w:val="auto"/>
          <w:szCs w:val="21"/>
          <w:highlight w:val="none"/>
          <w:lang w:eastAsia="zh-CN"/>
        </w:rPr>
        <w:t>代理机构</w:t>
      </w:r>
      <w:r>
        <w:rPr>
          <w:color w:val="auto"/>
          <w:szCs w:val="21"/>
          <w:highlight w:val="none"/>
        </w:rPr>
        <w:t>应当自评审结束之日起两个工作日内将候选中标供应商名单及其投标文件、评审报告送交采购人</w:t>
      </w:r>
      <w:r>
        <w:rPr>
          <w:rFonts w:hint="eastAsia" w:ascii="宋体" w:hAnsi="宋体"/>
          <w:color w:val="auto"/>
          <w:szCs w:val="21"/>
          <w:highlight w:val="none"/>
        </w:rPr>
        <w:t>。</w:t>
      </w:r>
      <w:r>
        <w:rPr>
          <w:color w:val="auto"/>
          <w:szCs w:val="21"/>
          <w:highlight w:val="none"/>
        </w:rPr>
        <w:t>采购人应当安排专人对定标过程进行书面记录，形成定标报告，作为采购文件的组成部分存档，并及时将定标结果反馈</w:t>
      </w:r>
      <w:r>
        <w:rPr>
          <w:rFonts w:hint="eastAsia"/>
          <w:color w:val="auto"/>
          <w:szCs w:val="21"/>
          <w:highlight w:val="none"/>
          <w:lang w:eastAsia="zh-CN"/>
        </w:rPr>
        <w:t>代理机构</w:t>
      </w:r>
      <w:r>
        <w:rPr>
          <w:rFonts w:hint="eastAsia"/>
          <w:color w:val="auto"/>
          <w:szCs w:val="21"/>
          <w:highlight w:val="none"/>
        </w:rPr>
        <w:t>。具体定标程序及相关要求以</w:t>
      </w:r>
      <w:r>
        <w:rPr>
          <w:rFonts w:hint="eastAsia"/>
          <w:color w:val="auto"/>
          <w:szCs w:val="21"/>
          <w:highlight w:val="none"/>
          <w:lang w:val="en-US" w:eastAsia="zh-CN"/>
        </w:rPr>
        <w:t>参</w:t>
      </w:r>
      <w:r>
        <w:rPr>
          <w:rFonts w:hint="eastAsia"/>
          <w:color w:val="auto"/>
          <w:szCs w:val="21"/>
          <w:highlight w:val="none"/>
        </w:rPr>
        <w:t>照《</w:t>
      </w:r>
      <w:r>
        <w:rPr>
          <w:color w:val="auto"/>
          <w:szCs w:val="21"/>
          <w:highlight w:val="none"/>
        </w:rPr>
        <w:t>深圳市财政局关于印发</w:t>
      </w:r>
      <w:r>
        <w:rPr>
          <w:rFonts w:hint="eastAsia" w:ascii="宋体" w:hAnsi="宋体"/>
          <w:color w:val="auto"/>
          <w:szCs w:val="21"/>
          <w:highlight w:val="none"/>
        </w:rPr>
        <w:t>〈</w:t>
      </w:r>
      <w:r>
        <w:rPr>
          <w:color w:val="auto"/>
          <w:szCs w:val="21"/>
          <w:highlight w:val="none"/>
        </w:rPr>
        <w:t>深圳市政府采购评标定标分离管理办法</w:t>
      </w:r>
      <w:r>
        <w:rPr>
          <w:rFonts w:hint="eastAsia" w:ascii="宋体" w:hAnsi="宋体"/>
          <w:color w:val="auto"/>
          <w:szCs w:val="21"/>
          <w:highlight w:val="none"/>
        </w:rPr>
        <w:t>〉</w:t>
      </w:r>
      <w:r>
        <w:rPr>
          <w:color w:val="auto"/>
          <w:szCs w:val="21"/>
          <w:highlight w:val="none"/>
        </w:rPr>
        <w:t>的通知</w:t>
      </w:r>
      <w:r>
        <w:rPr>
          <w:rFonts w:hint="eastAsia"/>
          <w:color w:val="auto"/>
          <w:szCs w:val="21"/>
          <w:highlight w:val="none"/>
        </w:rPr>
        <w:t>》（深财规【2</w:t>
      </w:r>
      <w:r>
        <w:rPr>
          <w:color w:val="auto"/>
          <w:szCs w:val="21"/>
          <w:highlight w:val="none"/>
        </w:rPr>
        <w:t>020</w:t>
      </w:r>
      <w:r>
        <w:rPr>
          <w:rFonts w:hint="eastAsia"/>
          <w:color w:val="auto"/>
          <w:szCs w:val="21"/>
          <w:highlight w:val="none"/>
        </w:rPr>
        <w:t>】1号）执行。</w:t>
      </w:r>
    </w:p>
    <w:p w14:paraId="596ABD62">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说明：采购人及投标供应商应按照上述方法提前做好相关准备。</w:t>
      </w:r>
    </w:p>
    <w:p w14:paraId="15174854">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38.3专用条款另有规定的，按专用条款相关要求定标。</w:t>
      </w:r>
      <w:bookmarkEnd w:id="67"/>
    </w:p>
    <w:p w14:paraId="128F6A92">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39．编写评审报告</w:t>
      </w:r>
    </w:p>
    <w:p w14:paraId="79990F25">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5F81F67D">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40．中标公告</w:t>
      </w:r>
    </w:p>
    <w:p w14:paraId="00B1962D">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40.1</w:t>
      </w:r>
      <w:bookmarkStart w:id="71" w:name="_Hlk72438709"/>
      <w:r>
        <w:rPr>
          <w:rFonts w:hint="eastAsia" w:ascii="宋体" w:hAnsi="宋体"/>
          <w:color w:val="auto"/>
          <w:szCs w:val="21"/>
          <w:highlight w:val="none"/>
        </w:rPr>
        <w:t>为体现“公开、公平、公正”的原则，评审结束后经采购人确认（确定）评审结果，</w:t>
      </w:r>
      <w:r>
        <w:rPr>
          <w:rFonts w:hint="eastAsia" w:ascii="宋体" w:hAnsi="宋体"/>
          <w:color w:val="auto"/>
          <w:szCs w:val="21"/>
          <w:highlight w:val="none"/>
          <w:lang w:eastAsia="zh-CN"/>
        </w:rPr>
        <w:t>代理机构</w:t>
      </w:r>
      <w:r>
        <w:rPr>
          <w:rFonts w:hint="eastAsia" w:ascii="宋体" w:hAnsi="宋体"/>
          <w:color w:val="auto"/>
          <w:szCs w:val="21"/>
          <w:highlight w:val="none"/>
        </w:rPr>
        <w:t>将在</w:t>
      </w:r>
      <w:r>
        <w:rPr>
          <w:rFonts w:hint="eastAsia" w:ascii="宋体" w:hAnsi="宋体"/>
          <w:color w:val="auto"/>
          <w:szCs w:val="21"/>
          <w:highlight w:val="none"/>
          <w:lang w:val="en-US" w:eastAsia="zh-CN"/>
        </w:rPr>
        <w:t>深圳交易集团（深圳公共资源交易中心）官网</w:t>
      </w:r>
      <w:r>
        <w:rPr>
          <w:rFonts w:hint="eastAsia" w:ascii="宋体" w:hAnsi="宋体"/>
          <w:b/>
          <w:bCs/>
          <w:color w:val="auto"/>
          <w:szCs w:val="21"/>
          <w:highlight w:val="none"/>
        </w:rPr>
        <w:t>https://www.szexgrp.com/jyfw/zfcg-view.html?id=zfcg</w:t>
      </w:r>
      <w:r>
        <w:rPr>
          <w:rFonts w:hint="eastAsia" w:ascii="宋体" w:hAnsi="宋体"/>
          <w:color w:val="auto"/>
          <w:szCs w:val="21"/>
          <w:highlight w:val="none"/>
        </w:rPr>
        <w:t>上发布中标结果公告。</w:t>
      </w:r>
      <w:bookmarkEnd w:id="71"/>
      <w:bookmarkStart w:id="72" w:name="_Hlk72438751"/>
      <w:r>
        <w:rPr>
          <w:rFonts w:hint="eastAsia" w:ascii="宋体" w:hAnsi="宋体"/>
          <w:color w:val="auto"/>
          <w:szCs w:val="21"/>
          <w:highlight w:val="none"/>
        </w:rPr>
        <w:t>供应商如对评审结果有异议，</w:t>
      </w:r>
      <w:r>
        <w:rPr>
          <w:rFonts w:ascii="宋体" w:hAnsi="宋体"/>
          <w:color w:val="auto"/>
          <w:szCs w:val="21"/>
          <w:highlight w:val="none"/>
        </w:rPr>
        <w:t>可在发布公示日期起</w:t>
      </w:r>
      <w:r>
        <w:rPr>
          <w:rFonts w:hint="eastAsia" w:ascii="宋体" w:hAnsi="宋体"/>
          <w:color w:val="auto"/>
          <w:szCs w:val="21"/>
          <w:highlight w:val="none"/>
        </w:rPr>
        <w:t>七</w:t>
      </w:r>
      <w:r>
        <w:rPr>
          <w:rFonts w:ascii="宋体" w:hAnsi="宋体"/>
          <w:color w:val="auto"/>
          <w:szCs w:val="21"/>
          <w:highlight w:val="none"/>
        </w:rPr>
        <w:t>个工作日内向</w:t>
      </w:r>
      <w:r>
        <w:rPr>
          <w:rFonts w:hint="eastAsia" w:ascii="宋体" w:hAnsi="宋体"/>
          <w:color w:val="auto"/>
          <w:szCs w:val="21"/>
          <w:highlight w:val="none"/>
          <w:lang w:eastAsia="zh-CN"/>
        </w:rPr>
        <w:t>代理机构</w:t>
      </w:r>
      <w:r>
        <w:rPr>
          <w:rFonts w:ascii="宋体" w:hAnsi="宋体"/>
          <w:color w:val="auto"/>
          <w:szCs w:val="21"/>
          <w:highlight w:val="none"/>
        </w:rPr>
        <w:t xml:space="preserve">提出。 </w:t>
      </w:r>
      <w:r>
        <w:rPr>
          <w:rFonts w:hint="eastAsia" w:ascii="宋体" w:hAnsi="宋体"/>
          <w:color w:val="auto"/>
          <w:szCs w:val="21"/>
          <w:highlight w:val="none"/>
        </w:rPr>
        <w:t xml:space="preserve"> 监督电话：</w:t>
      </w:r>
      <w:r>
        <w:rPr>
          <w:rFonts w:hint="eastAsia" w:ascii="宋体" w:hAnsi="宋体"/>
          <w:b/>
          <w:bCs/>
          <w:color w:val="auto"/>
          <w:szCs w:val="21"/>
          <w:highlight w:val="none"/>
        </w:rPr>
        <w:t>0755-22965602、0755-86660475。</w:t>
      </w:r>
      <w:r>
        <w:rPr>
          <w:rFonts w:ascii="宋体" w:hAnsi="宋体"/>
          <w:color w:val="auto"/>
          <w:szCs w:val="21"/>
          <w:highlight w:val="none"/>
        </w:rPr>
        <w:t>。</w:t>
      </w:r>
      <w:r>
        <w:rPr>
          <w:rFonts w:hint="eastAsia" w:ascii="宋体" w:hAnsi="宋体"/>
          <w:color w:val="auto"/>
          <w:szCs w:val="21"/>
          <w:highlight w:val="none"/>
        </w:rPr>
        <w:t>若在公示期内未提出质疑，则视为认同该评审结果。</w:t>
      </w:r>
    </w:p>
    <w:bookmarkEnd w:id="72"/>
    <w:p w14:paraId="0413F3CE">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40.2质疑、投诉供应商应保证质疑、投诉内容的真实性和可靠性，并承担相应的法律责任。</w:t>
      </w:r>
    </w:p>
    <w:p w14:paraId="31EEB214">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41．中标通知书</w:t>
      </w:r>
    </w:p>
    <w:p w14:paraId="54E82BDF">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w:t>
      </w:r>
      <w:r>
        <w:rPr>
          <w:rFonts w:hint="eastAsia" w:ascii="宋体" w:hAnsi="宋体"/>
          <w:color w:val="auto"/>
          <w:szCs w:val="21"/>
          <w:highlight w:val="none"/>
        </w:rPr>
        <w:t>1</w:t>
      </w:r>
      <w:bookmarkStart w:id="73" w:name="_Hlk72438863"/>
      <w:r>
        <w:rPr>
          <w:rFonts w:hint="eastAsia" w:ascii="宋体" w:hAnsi="宋体"/>
          <w:color w:val="auto"/>
          <w:szCs w:val="21"/>
          <w:highlight w:val="none"/>
        </w:rPr>
        <w:t>中标公告公布以后无异常的情况下,中标供应商和采购人可自行在</w:t>
      </w:r>
      <w:r>
        <w:rPr>
          <w:rFonts w:hint="eastAsia" w:ascii="宋体" w:hAnsi="宋体"/>
          <w:b/>
          <w:bCs/>
          <w:color w:val="auto"/>
          <w:szCs w:val="21"/>
          <w:highlight w:val="none"/>
        </w:rPr>
        <w:t>“</w:t>
      </w:r>
      <w:r>
        <w:rPr>
          <w:rFonts w:hint="eastAsia" w:ascii="宋体" w:hAnsi="宋体"/>
          <w:color w:val="auto"/>
          <w:szCs w:val="21"/>
          <w:highlight w:val="none"/>
        </w:rPr>
        <w:t>深圳市自行采购系统（https://trade.szggzy.com/ggzy/center/#/login）</w:t>
      </w:r>
      <w:r>
        <w:rPr>
          <w:rFonts w:hint="eastAsia" w:ascii="宋体" w:hAnsi="宋体"/>
          <w:b/>
          <w:bCs/>
          <w:color w:val="auto"/>
          <w:szCs w:val="21"/>
          <w:highlight w:val="none"/>
        </w:rPr>
        <w:t>”</w:t>
      </w:r>
      <w:r>
        <w:rPr>
          <w:rFonts w:hint="eastAsia" w:ascii="宋体" w:hAnsi="宋体"/>
          <w:color w:val="auto"/>
          <w:szCs w:val="21"/>
          <w:highlight w:val="none"/>
        </w:rPr>
        <w:t>上打印</w:t>
      </w:r>
      <w:r>
        <w:rPr>
          <w:rFonts w:hint="eastAsia" w:ascii="宋体" w:hAnsi="宋体"/>
          <w:b/>
          <w:color w:val="auto"/>
          <w:szCs w:val="21"/>
          <w:highlight w:val="none"/>
        </w:rPr>
        <w:t>《数字中标通知书》</w:t>
      </w:r>
      <w:r>
        <w:rPr>
          <w:rFonts w:hint="eastAsia" w:ascii="宋体" w:hAnsi="宋体"/>
          <w:color w:val="auto"/>
          <w:szCs w:val="21"/>
          <w:highlight w:val="none"/>
        </w:rPr>
        <w:t>。</w:t>
      </w:r>
      <w:bookmarkEnd w:id="73"/>
    </w:p>
    <w:p w14:paraId="1E2795B5">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.2</w:t>
      </w:r>
      <w:r>
        <w:rPr>
          <w:rFonts w:hint="eastAsia" w:ascii="宋体" w:hAnsi="宋体"/>
          <w:color w:val="auto"/>
          <w:szCs w:val="21"/>
          <w:highlight w:val="none"/>
        </w:rPr>
        <w:t>中标通知书是合同的重要组成部分。</w:t>
      </w:r>
    </w:p>
    <w:p w14:paraId="2F981234">
      <w:pPr>
        <w:pageBreakBefore w:val="0"/>
        <w:kinsoku/>
        <w:overflowPunct/>
        <w:topLinePunct w:val="0"/>
        <w:bidi w:val="0"/>
        <w:spacing w:line="360" w:lineRule="auto"/>
        <w:ind w:firstLine="420" w:firstLineChars="200"/>
        <w:rPr>
          <w:rFonts w:ascii="宋体" w:hAnsi="宋体"/>
          <w:color w:val="auto"/>
          <w:szCs w:val="21"/>
          <w:highlight w:val="none"/>
        </w:rPr>
      </w:pPr>
      <w:bookmarkStart w:id="74" w:name="_Hlk71407340"/>
      <w:r>
        <w:rPr>
          <w:rFonts w:hint="eastAsia" w:ascii="宋体" w:hAnsi="宋体"/>
          <w:color w:val="auto"/>
          <w:szCs w:val="21"/>
          <w:highlight w:val="none"/>
        </w:rPr>
        <w:t>41.3因质疑投诉或</w:t>
      </w:r>
      <w:r>
        <w:rPr>
          <w:rFonts w:hint="eastAsia" w:ascii="宋体" w:hAnsi="宋体"/>
          <w:color w:val="auto"/>
          <w:szCs w:val="21"/>
          <w:highlight w:val="none"/>
          <w:lang w:eastAsia="zh-CN"/>
        </w:rPr>
        <w:t>其他</w:t>
      </w:r>
      <w:r>
        <w:rPr>
          <w:rFonts w:hint="eastAsia" w:ascii="宋体" w:hAnsi="宋体"/>
          <w:color w:val="auto"/>
          <w:szCs w:val="21"/>
          <w:highlight w:val="none"/>
        </w:rPr>
        <w:t>原因导致项目结果变更或采购终止的，</w:t>
      </w:r>
      <w:r>
        <w:rPr>
          <w:rFonts w:hint="eastAsia" w:ascii="宋体" w:hAnsi="宋体"/>
          <w:color w:val="auto"/>
          <w:szCs w:val="21"/>
          <w:highlight w:val="none"/>
          <w:lang w:eastAsia="zh-CN"/>
        </w:rPr>
        <w:t>代理机构</w:t>
      </w:r>
      <w:r>
        <w:rPr>
          <w:rFonts w:hint="eastAsia" w:ascii="宋体" w:hAnsi="宋体"/>
          <w:color w:val="auto"/>
          <w:szCs w:val="21"/>
          <w:highlight w:val="none"/>
        </w:rPr>
        <w:t>有权吊销中标通知书。</w:t>
      </w:r>
    </w:p>
    <w:bookmarkEnd w:id="74"/>
    <w:p w14:paraId="5F904212">
      <w:pPr>
        <w:pageBreakBefore w:val="0"/>
        <w:kinsoku/>
        <w:overflowPunct/>
        <w:topLinePunct w:val="0"/>
        <w:bidi w:val="0"/>
        <w:spacing w:line="360" w:lineRule="auto"/>
        <w:ind w:firstLine="411" w:firstLineChars="196"/>
        <w:rPr>
          <w:rFonts w:ascii="宋体" w:hAnsi="宋体"/>
          <w:color w:val="auto"/>
          <w:szCs w:val="21"/>
          <w:highlight w:val="none"/>
        </w:rPr>
      </w:pPr>
    </w:p>
    <w:p w14:paraId="4AE82C56">
      <w:pPr>
        <w:pStyle w:val="81"/>
        <w:keepNext/>
        <w:keepLines/>
        <w:pageBreakBefore w:val="0"/>
        <w:numPr>
          <w:ilvl w:val="0"/>
          <w:numId w:val="11"/>
        </w:numPr>
        <w:tabs>
          <w:tab w:val="left" w:pos="720"/>
        </w:tabs>
        <w:kinsoku/>
        <w:overflowPunct/>
        <w:topLinePunct w:val="0"/>
        <w:bidi w:val="0"/>
        <w:adjustRightInd w:val="0"/>
        <w:spacing w:before="120" w:beforeLines="50" w:after="120" w:afterLines="50" w:line="360" w:lineRule="auto"/>
        <w:ind w:firstLineChars="0"/>
        <w:jc w:val="center"/>
        <w:textAlignment w:val="baseline"/>
        <w:outlineLvl w:val="1"/>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公开招标失败的后续处理</w:t>
      </w:r>
    </w:p>
    <w:p w14:paraId="50EC3425">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42．公开招标失败的处理</w:t>
      </w:r>
    </w:p>
    <w:p w14:paraId="3CCC0B41">
      <w:pPr>
        <w:pageBreakBefore w:val="0"/>
        <w:kinsoku/>
        <w:overflowPunct/>
        <w:topLinePunct w:val="0"/>
        <w:bidi w:val="0"/>
        <w:spacing w:line="360" w:lineRule="auto"/>
        <w:ind w:firstLine="411" w:firstLineChars="196"/>
        <w:rPr>
          <w:rFonts w:ascii="宋体" w:hAnsi="宋体"/>
          <w:color w:val="auto"/>
          <w:highlight w:val="none"/>
        </w:rPr>
      </w:pPr>
      <w:r>
        <w:rPr>
          <w:rFonts w:hint="eastAsia" w:ascii="宋体" w:hAnsi="宋体"/>
          <w:color w:val="auto"/>
          <w:szCs w:val="21"/>
          <w:highlight w:val="none"/>
        </w:rPr>
        <w:t>42.1本项目公开招标过程中若由于投标截止后</w:t>
      </w:r>
      <w:r>
        <w:rPr>
          <w:rFonts w:hint="eastAsia" w:ascii="宋体" w:hAnsi="宋体"/>
          <w:color w:val="auto"/>
          <w:highlight w:val="none"/>
        </w:rPr>
        <w:t>实际递交</w:t>
      </w:r>
      <w:r>
        <w:rPr>
          <w:rFonts w:ascii="宋体" w:hAnsi="宋体"/>
          <w:color w:val="auto"/>
          <w:highlight w:val="none"/>
        </w:rPr>
        <w:t>投标</w:t>
      </w:r>
      <w:r>
        <w:rPr>
          <w:rFonts w:hint="eastAsia" w:ascii="宋体" w:hAnsi="宋体"/>
          <w:color w:val="auto"/>
          <w:highlight w:val="none"/>
        </w:rPr>
        <w:t>文件的供应商数量不足、经</w:t>
      </w:r>
      <w:r>
        <w:rPr>
          <w:rFonts w:hint="eastAsia" w:ascii="宋体" w:hAnsi="宋体"/>
          <w:color w:val="auto"/>
          <w:szCs w:val="21"/>
          <w:highlight w:val="none"/>
        </w:rPr>
        <w:t>评审委员会</w:t>
      </w:r>
      <w:r>
        <w:rPr>
          <w:rFonts w:hint="eastAsia" w:ascii="宋体" w:hAnsi="宋体"/>
          <w:color w:val="auto"/>
          <w:highlight w:val="none"/>
        </w:rPr>
        <w:t>评审对招标文件作实质响应的供应商不足等原因造成公开招标失败，可由</w:t>
      </w:r>
      <w:r>
        <w:rPr>
          <w:rFonts w:hint="eastAsia" w:ascii="宋体" w:hAnsi="宋体" w:cs="宋体"/>
          <w:color w:val="auto"/>
          <w:highlight w:val="none"/>
          <w:lang w:eastAsia="zh-CN"/>
        </w:rPr>
        <w:t>代理机构</w:t>
      </w:r>
      <w:r>
        <w:rPr>
          <w:rFonts w:hint="eastAsia" w:ascii="宋体" w:hAnsi="宋体"/>
          <w:color w:val="auto"/>
          <w:highlight w:val="none"/>
        </w:rPr>
        <w:t>重新组织采购。</w:t>
      </w:r>
    </w:p>
    <w:p w14:paraId="28D15CFA">
      <w:pPr>
        <w:pageBreakBefore w:val="0"/>
        <w:kinsoku/>
        <w:overflowPunct/>
        <w:topLinePunct w:val="0"/>
        <w:bidi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42.2对公开招标失败的项目，评审委员会在出具该项目招标失败结论的同时，可以提出重新采购组织形式的建议，以及进一步完善招标文件的资格、技术、商务要求的修改建议。</w:t>
      </w:r>
    </w:p>
    <w:p w14:paraId="2CCC5355">
      <w:pPr>
        <w:pageBreakBefore w:val="0"/>
        <w:kinsoku/>
        <w:overflowPunct/>
        <w:topLinePunct w:val="0"/>
        <w:bidi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42.3重新组织采购有以下两种组织形式：</w:t>
      </w:r>
    </w:p>
    <w:p w14:paraId="67C2254A">
      <w:pPr>
        <w:pageBreakBefore w:val="0"/>
        <w:kinsoku/>
        <w:overflowPunct/>
        <w:topLinePunct w:val="0"/>
        <w:bidi w:val="0"/>
        <w:spacing w:line="360" w:lineRule="auto"/>
        <w:ind w:firstLine="411" w:firstLineChars="196"/>
        <w:rPr>
          <w:rFonts w:ascii="宋体" w:hAnsi="宋体"/>
          <w:color w:val="auto"/>
          <w:highlight w:val="none"/>
        </w:rPr>
      </w:pPr>
      <w:r>
        <w:rPr>
          <w:rFonts w:hint="eastAsia" w:ascii="宋体" w:hAnsi="宋体"/>
          <w:color w:val="auto"/>
          <w:highlight w:val="none"/>
        </w:rPr>
        <w:t>（1）由</w:t>
      </w:r>
      <w:r>
        <w:rPr>
          <w:rFonts w:hint="eastAsia" w:ascii="宋体" w:hAnsi="宋体"/>
          <w:color w:val="auto"/>
          <w:highlight w:val="none"/>
          <w:lang w:eastAsia="zh-CN"/>
        </w:rPr>
        <w:t>代理机构</w:t>
      </w:r>
      <w:r>
        <w:rPr>
          <w:rFonts w:hint="eastAsia" w:ascii="宋体" w:hAnsi="宋体"/>
          <w:color w:val="auto"/>
          <w:highlight w:val="none"/>
        </w:rPr>
        <w:t>重新组织公开招标；</w:t>
      </w:r>
    </w:p>
    <w:p w14:paraId="14934D31">
      <w:pPr>
        <w:pageBreakBefore w:val="0"/>
        <w:kinsoku/>
        <w:overflowPunct/>
        <w:topLinePunct w:val="0"/>
        <w:bidi w:val="0"/>
        <w:spacing w:line="360" w:lineRule="auto"/>
        <w:ind w:firstLine="411" w:firstLineChars="196"/>
        <w:rPr>
          <w:rFonts w:ascii="宋体" w:hAnsi="宋体"/>
          <w:color w:val="auto"/>
          <w:highlight w:val="none"/>
        </w:rPr>
      </w:pPr>
      <w:r>
        <w:rPr>
          <w:rFonts w:hint="eastAsia" w:ascii="宋体" w:hAnsi="宋体"/>
          <w:color w:val="auto"/>
          <w:highlight w:val="none"/>
        </w:rPr>
        <w:t>（2）根据实际情况需要向采购人主管部门提出非公开招标方式申请，经采购人主管部门批准，公开招标失败采购项目可转为竞争性谈判或单一来源谈判方式采购。</w:t>
      </w:r>
    </w:p>
    <w:p w14:paraId="096578B5">
      <w:pPr>
        <w:pageBreakBefore w:val="0"/>
        <w:kinsoku/>
        <w:overflowPunct/>
        <w:topLinePunct w:val="0"/>
        <w:bidi w:val="0"/>
        <w:spacing w:line="360" w:lineRule="auto"/>
        <w:ind w:firstLine="411" w:firstLineChars="196"/>
        <w:rPr>
          <w:rFonts w:ascii="宋体" w:hAnsi="宋体"/>
          <w:color w:val="auto"/>
          <w:highlight w:val="none"/>
        </w:rPr>
      </w:pPr>
      <w:r>
        <w:rPr>
          <w:rFonts w:hint="eastAsia" w:ascii="宋体" w:hAnsi="宋体"/>
          <w:color w:val="auto"/>
          <w:highlight w:val="none"/>
        </w:rPr>
        <w:t>42.4公开招标失败的采购项目重新组织公开招标，由</w:t>
      </w:r>
      <w:r>
        <w:rPr>
          <w:rFonts w:hint="eastAsia" w:ascii="宋体" w:hAnsi="宋体"/>
          <w:color w:val="auto"/>
          <w:highlight w:val="none"/>
          <w:lang w:eastAsia="zh-CN"/>
        </w:rPr>
        <w:t>代理机构</w:t>
      </w:r>
      <w:r>
        <w:rPr>
          <w:rFonts w:hint="eastAsia" w:ascii="宋体" w:hAnsi="宋体"/>
          <w:color w:val="auto"/>
          <w:highlight w:val="none"/>
        </w:rPr>
        <w:t>重新按公开招标流程组织采购活动。</w:t>
      </w:r>
    </w:p>
    <w:p w14:paraId="72A11C6D">
      <w:pPr>
        <w:pageBreakBefore w:val="0"/>
        <w:kinsoku/>
        <w:overflowPunct/>
        <w:topLinePunct w:val="0"/>
        <w:bidi w:val="0"/>
        <w:spacing w:line="360" w:lineRule="auto"/>
        <w:ind w:firstLine="420" w:firstLineChars="200"/>
        <w:rPr>
          <w:rFonts w:ascii="黑体" w:hAnsi="宋体" w:eastAsia="黑体"/>
          <w:color w:val="auto"/>
          <w:sz w:val="24"/>
          <w:highlight w:val="none"/>
        </w:rPr>
      </w:pPr>
      <w:r>
        <w:rPr>
          <w:rFonts w:hint="eastAsia" w:ascii="宋体" w:hAnsi="宋体"/>
          <w:color w:val="auto"/>
          <w:highlight w:val="none"/>
        </w:rPr>
        <w:t>42.5公开招标失败的采购项目经采购人主管部门批准转为竞争性谈判或单一来源谈判方式采购的，按规定要求组织自行采购工作。</w:t>
      </w:r>
    </w:p>
    <w:p w14:paraId="3ED229B1">
      <w:pPr>
        <w:pageBreakBefore w:val="0"/>
        <w:kinsoku/>
        <w:overflowPunct/>
        <w:topLinePunct w:val="0"/>
        <w:bidi w:val="0"/>
        <w:spacing w:line="360" w:lineRule="auto"/>
        <w:ind w:firstLine="420" w:firstLineChars="200"/>
        <w:rPr>
          <w:rFonts w:ascii="宋体" w:hAnsi="宋体"/>
          <w:color w:val="auto"/>
          <w:szCs w:val="21"/>
          <w:highlight w:val="none"/>
        </w:rPr>
      </w:pPr>
    </w:p>
    <w:p w14:paraId="55D65421">
      <w:pPr>
        <w:pageBreakBefore w:val="0"/>
        <w:kinsoku/>
        <w:overflowPunct/>
        <w:topLinePunct w:val="0"/>
        <w:bidi w:val="0"/>
        <w:spacing w:line="360" w:lineRule="auto"/>
        <w:rPr>
          <w:rFonts w:ascii="黑体" w:hAnsi="宋体" w:eastAsia="黑体"/>
          <w:color w:val="auto"/>
          <w:sz w:val="24"/>
          <w:highlight w:val="none"/>
        </w:rPr>
      </w:pPr>
    </w:p>
    <w:p w14:paraId="0305CF20">
      <w:pPr>
        <w:pStyle w:val="81"/>
        <w:keepNext/>
        <w:keepLines/>
        <w:pageBreakBefore w:val="0"/>
        <w:numPr>
          <w:ilvl w:val="0"/>
          <w:numId w:val="11"/>
        </w:numPr>
        <w:tabs>
          <w:tab w:val="left" w:pos="720"/>
        </w:tabs>
        <w:kinsoku/>
        <w:overflowPunct/>
        <w:topLinePunct w:val="0"/>
        <w:bidi w:val="0"/>
        <w:adjustRightInd w:val="0"/>
        <w:spacing w:before="120" w:beforeLines="50" w:after="120" w:afterLines="50" w:line="360" w:lineRule="auto"/>
        <w:ind w:firstLineChars="0"/>
        <w:jc w:val="center"/>
        <w:textAlignment w:val="baseline"/>
        <w:outlineLvl w:val="1"/>
        <w:rPr>
          <w:rFonts w:asciiTheme="majorHAnsi" w:hAnsiTheme="majorHAnsi" w:eastAsiaTheme="majorEastAsia" w:cstheme="majorBidi"/>
          <w:b/>
          <w:bCs/>
          <w:color w:val="auto"/>
          <w:sz w:val="28"/>
          <w:szCs w:val="28"/>
          <w:highlight w:val="none"/>
        </w:rPr>
      </w:pPr>
      <w:bookmarkStart w:id="75" w:name="_Hlk72439043"/>
      <w:r>
        <w:rPr>
          <w:rFonts w:hint="eastAsia" w:asciiTheme="majorHAnsi" w:hAnsiTheme="majorHAnsi" w:eastAsiaTheme="majorEastAsia" w:cstheme="majorBidi"/>
          <w:b/>
          <w:bCs/>
          <w:color w:val="auto"/>
          <w:sz w:val="28"/>
          <w:szCs w:val="28"/>
          <w:highlight w:val="none"/>
        </w:rPr>
        <w:t>合同的授予与备案</w:t>
      </w:r>
      <w:bookmarkEnd w:id="75"/>
    </w:p>
    <w:p w14:paraId="27C6077D">
      <w:pPr>
        <w:pageBreakBefore w:val="0"/>
        <w:kinsoku/>
        <w:overflowPunct/>
        <w:topLinePunct w:val="0"/>
        <w:bidi w:val="0"/>
        <w:spacing w:line="360" w:lineRule="auto"/>
        <w:ind w:firstLine="420" w:firstLineChars="200"/>
        <w:rPr>
          <w:rFonts w:ascii="黑体" w:hAnsi="宋体" w:eastAsia="黑体"/>
          <w:color w:val="auto"/>
          <w:szCs w:val="21"/>
          <w:highlight w:val="none"/>
        </w:rPr>
      </w:pPr>
      <w:bookmarkStart w:id="76" w:name="_Toc73517679"/>
      <w:bookmarkStart w:id="77" w:name="_Toc73521586"/>
      <w:bookmarkStart w:id="78" w:name="_Toc73521674"/>
      <w:bookmarkStart w:id="79" w:name="_Toc100052408"/>
      <w:bookmarkStart w:id="80" w:name="_Toc73518157"/>
      <w:bookmarkStart w:id="81" w:name="_Hlk72439088"/>
      <w:r>
        <w:rPr>
          <w:rFonts w:hint="eastAsia" w:ascii="黑体" w:hAnsi="宋体" w:eastAsia="黑体"/>
          <w:color w:val="auto"/>
          <w:szCs w:val="21"/>
          <w:highlight w:val="none"/>
        </w:rPr>
        <w:t>43．合同授予标准</w:t>
      </w:r>
      <w:bookmarkEnd w:id="76"/>
      <w:bookmarkEnd w:id="77"/>
      <w:bookmarkEnd w:id="78"/>
      <w:bookmarkEnd w:id="79"/>
      <w:bookmarkEnd w:id="80"/>
    </w:p>
    <w:p w14:paraId="237CFE87">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本项目的合同将授予经本招标文件规定评审确定的中标供应商。</w:t>
      </w:r>
    </w:p>
    <w:p w14:paraId="0C272C21">
      <w:pPr>
        <w:pageBreakBefore w:val="0"/>
        <w:kinsoku/>
        <w:overflowPunct/>
        <w:topLinePunct w:val="0"/>
        <w:bidi w:val="0"/>
        <w:spacing w:line="360" w:lineRule="auto"/>
        <w:ind w:firstLine="420" w:firstLineChars="200"/>
        <w:rPr>
          <w:rFonts w:ascii="黑体" w:hAnsi="宋体" w:eastAsia="黑体"/>
          <w:color w:val="auto"/>
          <w:szCs w:val="21"/>
          <w:highlight w:val="none"/>
        </w:rPr>
      </w:pPr>
      <w:bookmarkStart w:id="82" w:name="_Toc73521587"/>
      <w:bookmarkStart w:id="83" w:name="_Toc73518158"/>
      <w:bookmarkStart w:id="84" w:name="_Toc73521675"/>
      <w:bookmarkStart w:id="85" w:name="_Toc73517680"/>
      <w:bookmarkStart w:id="86" w:name="_Toc100052409"/>
      <w:r>
        <w:rPr>
          <w:rFonts w:hint="eastAsia" w:ascii="黑体" w:hAnsi="宋体" w:eastAsia="黑体"/>
          <w:color w:val="auto"/>
          <w:szCs w:val="21"/>
          <w:highlight w:val="none"/>
        </w:rPr>
        <w:t>44．</w:t>
      </w:r>
      <w:bookmarkEnd w:id="82"/>
      <w:bookmarkEnd w:id="83"/>
      <w:bookmarkEnd w:id="84"/>
      <w:bookmarkEnd w:id="85"/>
      <w:bookmarkEnd w:id="86"/>
      <w:r>
        <w:rPr>
          <w:rFonts w:hint="eastAsia" w:ascii="黑体" w:hAnsi="宋体" w:eastAsia="黑体"/>
          <w:color w:val="auto"/>
          <w:szCs w:val="21"/>
          <w:highlight w:val="none"/>
        </w:rPr>
        <w:t>接受和拒绝任何或所有投标的权力</w:t>
      </w:r>
    </w:p>
    <w:p w14:paraId="4BE11E27">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代理机构</w:t>
      </w:r>
      <w:r>
        <w:rPr>
          <w:rFonts w:hint="eastAsia" w:ascii="宋体" w:hAnsi="宋体"/>
          <w:color w:val="auto"/>
          <w:szCs w:val="21"/>
          <w:highlight w:val="none"/>
        </w:rPr>
        <w:t>和采购人保留在投标之前任何时候接受或拒绝任何投标或所有投标，以及宣布招标无效的权力，对受影响的投标人不承担任何责任，也无义务向受影响的投标人解释采取这一行动的理由。</w:t>
      </w:r>
    </w:p>
    <w:p w14:paraId="32F96F80">
      <w:pPr>
        <w:pageBreakBefore w:val="0"/>
        <w:kinsoku/>
        <w:overflowPunct/>
        <w:topLinePunct w:val="0"/>
        <w:bidi w:val="0"/>
        <w:spacing w:line="360" w:lineRule="auto"/>
        <w:ind w:firstLine="420" w:firstLineChars="200"/>
        <w:rPr>
          <w:rFonts w:ascii="黑体" w:hAnsi="宋体" w:eastAsia="黑体"/>
          <w:color w:val="auto"/>
          <w:szCs w:val="21"/>
          <w:highlight w:val="none"/>
        </w:rPr>
      </w:pPr>
      <w:bookmarkStart w:id="87" w:name="_Toc73518160"/>
      <w:bookmarkStart w:id="88" w:name="_Toc73517682"/>
      <w:bookmarkStart w:id="89" w:name="_Toc100052410"/>
      <w:bookmarkStart w:id="90" w:name="_Toc73521589"/>
      <w:bookmarkStart w:id="91" w:name="_Toc73521677"/>
      <w:r>
        <w:rPr>
          <w:rFonts w:hint="eastAsia" w:ascii="黑体" w:hAnsi="宋体" w:eastAsia="黑体"/>
          <w:color w:val="auto"/>
          <w:szCs w:val="21"/>
          <w:highlight w:val="none"/>
        </w:rPr>
        <w:t>45．合同的签订</w:t>
      </w:r>
      <w:bookmarkEnd w:id="87"/>
      <w:bookmarkEnd w:id="88"/>
      <w:bookmarkEnd w:id="89"/>
      <w:bookmarkEnd w:id="90"/>
      <w:bookmarkEnd w:id="91"/>
    </w:p>
    <w:p w14:paraId="5F44B201">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45.1中标人将于中标通知书发出之日起十个工作日内，按照采购文件（招标文件和投标文件等）内容与采购人签订采购合同；合同的实质性内容应当符合招标文件的规定；</w:t>
      </w:r>
    </w:p>
    <w:p w14:paraId="06DC11D7">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45.2中标人如不按本通用条款第45</w:t>
      </w:r>
      <w:r>
        <w:rPr>
          <w:rFonts w:ascii="宋体" w:hAnsi="宋体"/>
          <w:color w:val="auto"/>
          <w:szCs w:val="21"/>
          <w:highlight w:val="none"/>
        </w:rPr>
        <w:t>.1</w:t>
      </w:r>
      <w:r>
        <w:rPr>
          <w:rFonts w:hint="eastAsia" w:ascii="宋体" w:hAnsi="宋体"/>
          <w:color w:val="auto"/>
          <w:szCs w:val="21"/>
          <w:highlight w:val="none"/>
        </w:rPr>
        <w:t>款的规定与采购人签订合同，</w:t>
      </w:r>
      <w:r>
        <w:rPr>
          <w:rFonts w:ascii="宋体" w:hAnsi="宋体" w:cs="宋体"/>
          <w:color w:val="auto"/>
          <w:kern w:val="0"/>
          <w:szCs w:val="21"/>
          <w:highlight w:val="none"/>
        </w:rPr>
        <w:t>情节严重的，由</w:t>
      </w:r>
      <w:r>
        <w:rPr>
          <w:rFonts w:hint="eastAsia" w:ascii="宋体" w:hAnsi="宋体" w:cs="宋体"/>
          <w:color w:val="auto"/>
          <w:kern w:val="0"/>
          <w:szCs w:val="21"/>
          <w:highlight w:val="none"/>
        </w:rPr>
        <w:t>同级财政</w:t>
      </w:r>
      <w:r>
        <w:rPr>
          <w:rFonts w:ascii="宋体" w:hAnsi="宋体" w:cs="宋体"/>
          <w:color w:val="auto"/>
          <w:kern w:val="0"/>
          <w:szCs w:val="21"/>
          <w:highlight w:val="none"/>
        </w:rPr>
        <w:t>部门记入供应商诚信档案，予以通报</w:t>
      </w:r>
      <w:r>
        <w:rPr>
          <w:rFonts w:hint="eastAsia" w:ascii="宋体" w:hAnsi="宋体"/>
          <w:color w:val="auto"/>
          <w:szCs w:val="21"/>
          <w:highlight w:val="none"/>
        </w:rPr>
        <w:t>；</w:t>
      </w:r>
    </w:p>
    <w:p w14:paraId="16F5FC77">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45.3中标人应当按照合同约定履行义务，完成中标项目，不得将中标项目转让（转包）给他人。</w:t>
      </w:r>
    </w:p>
    <w:p w14:paraId="04DC5CFA">
      <w:pPr>
        <w:pageBreakBefore w:val="0"/>
        <w:kinsoku/>
        <w:overflowPunct/>
        <w:topLinePunct w:val="0"/>
        <w:bidi w:val="0"/>
        <w:spacing w:line="360" w:lineRule="auto"/>
        <w:ind w:firstLine="420" w:firstLineChars="200"/>
        <w:rPr>
          <w:rFonts w:ascii="黑体" w:hAnsi="宋体" w:eastAsia="黑体"/>
          <w:color w:val="auto"/>
          <w:szCs w:val="21"/>
          <w:highlight w:val="none"/>
        </w:rPr>
      </w:pPr>
      <w:bookmarkStart w:id="92" w:name="_Toc100052411"/>
      <w:bookmarkStart w:id="93" w:name="_Toc73521590"/>
      <w:bookmarkStart w:id="94" w:name="_Toc73521678"/>
      <w:bookmarkStart w:id="95" w:name="_Toc73518161"/>
      <w:bookmarkStart w:id="96" w:name="_Toc73517683"/>
      <w:r>
        <w:rPr>
          <w:rFonts w:hint="eastAsia" w:ascii="黑体" w:hAnsi="宋体" w:eastAsia="黑体"/>
          <w:color w:val="auto"/>
          <w:szCs w:val="21"/>
          <w:highlight w:val="none"/>
        </w:rPr>
        <w:t>46．履约担保</w:t>
      </w:r>
      <w:bookmarkEnd w:id="92"/>
      <w:bookmarkEnd w:id="93"/>
      <w:bookmarkEnd w:id="94"/>
      <w:bookmarkEnd w:id="95"/>
      <w:bookmarkEnd w:id="96"/>
    </w:p>
    <w:p w14:paraId="404D091C">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46.1在签订项目合同的同时，中标人应按“对通用条款的补充内容”中规定的金额向采购人提交履约担保；</w:t>
      </w:r>
    </w:p>
    <w:p w14:paraId="2143FE3D">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46.2，允许供应商自主选择以支票、汇票、本票、保函等非现金方式提交履约担保；</w:t>
      </w:r>
      <w:r>
        <w:rPr>
          <w:color w:val="auto"/>
          <w:szCs w:val="21"/>
          <w:highlight w:val="none"/>
        </w:rPr>
        <w:t>中标</w:t>
      </w:r>
      <w:r>
        <w:rPr>
          <w:rFonts w:hint="eastAsia"/>
          <w:color w:val="auto"/>
          <w:szCs w:val="21"/>
          <w:highlight w:val="none"/>
        </w:rPr>
        <w:t>人</w:t>
      </w:r>
      <w:r>
        <w:rPr>
          <w:color w:val="auto"/>
          <w:szCs w:val="21"/>
          <w:highlight w:val="none"/>
        </w:rPr>
        <w:t>提交履约</w:t>
      </w:r>
      <w:r>
        <w:rPr>
          <w:rFonts w:hint="eastAsia"/>
          <w:color w:val="auto"/>
          <w:szCs w:val="21"/>
          <w:highlight w:val="none"/>
        </w:rPr>
        <w:t>担保不是</w:t>
      </w:r>
      <w:r>
        <w:rPr>
          <w:color w:val="auto"/>
          <w:szCs w:val="21"/>
          <w:highlight w:val="none"/>
        </w:rPr>
        <w:t>合同签订的</w:t>
      </w:r>
      <w:r>
        <w:rPr>
          <w:rFonts w:hint="eastAsia"/>
          <w:color w:val="auto"/>
          <w:szCs w:val="21"/>
          <w:highlight w:val="none"/>
        </w:rPr>
        <w:t>前提</w:t>
      </w:r>
      <w:r>
        <w:rPr>
          <w:color w:val="auto"/>
          <w:szCs w:val="21"/>
          <w:highlight w:val="none"/>
        </w:rPr>
        <w:t>条件，不要求中标</w:t>
      </w:r>
      <w:r>
        <w:rPr>
          <w:rFonts w:hint="eastAsia"/>
          <w:color w:val="auto"/>
          <w:szCs w:val="21"/>
          <w:highlight w:val="none"/>
        </w:rPr>
        <w:t>人</w:t>
      </w:r>
      <w:r>
        <w:rPr>
          <w:color w:val="auto"/>
          <w:szCs w:val="21"/>
          <w:highlight w:val="none"/>
        </w:rPr>
        <w:t>提供除法律、法规明确规定外的其他担保</w:t>
      </w:r>
      <w:r>
        <w:rPr>
          <w:rFonts w:hint="eastAsia"/>
          <w:color w:val="auto"/>
          <w:szCs w:val="21"/>
          <w:highlight w:val="none"/>
        </w:rPr>
        <w:t>。</w:t>
      </w:r>
    </w:p>
    <w:p w14:paraId="1D3490CF">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47. 合同备案</w:t>
      </w:r>
    </w:p>
    <w:p w14:paraId="764F15AD">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Hans"/>
        </w:rPr>
        <w:t>采购人与中标供应商自中标通知书发出之日起10个工作日内签订采购合同，</w:t>
      </w:r>
      <w:r>
        <w:rPr>
          <w:rFonts w:hint="eastAsia" w:ascii="宋体" w:hAnsi="宋体"/>
          <w:color w:val="auto"/>
          <w:szCs w:val="21"/>
          <w:highlight w:val="none"/>
        </w:rPr>
        <w:t>并按采购人内控制度规定提交备案。</w:t>
      </w:r>
    </w:p>
    <w:p w14:paraId="4CF68B0F">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48. 合同变更</w:t>
      </w:r>
    </w:p>
    <w:p w14:paraId="6029D070">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合同变更事宜参照《深圳市财政局关于优化政府采购合同备案的通知》（深财发保〔2022〕2号）相关规定，按采购人内控制度执行。</w:t>
      </w:r>
    </w:p>
    <w:p w14:paraId="559C8A8C">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49. 项目验收</w:t>
      </w:r>
    </w:p>
    <w:p w14:paraId="5A9C09EA">
      <w:pPr>
        <w:pageBreakBefore w:val="0"/>
        <w:widowControl/>
        <w:kinsoku/>
        <w:overflowPunct/>
        <w:topLinePunct w:val="0"/>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49.1采购人应当按照招标文件和合同规定的标准和方法，及时组织验收。</w:t>
      </w:r>
      <w:r>
        <w:rPr>
          <w:rFonts w:ascii="宋体" w:hAnsi="宋体"/>
          <w:color w:val="auto"/>
          <w:szCs w:val="21"/>
          <w:highlight w:val="none"/>
        </w:rPr>
        <w:t xml:space="preserve"> </w:t>
      </w:r>
    </w:p>
    <w:p w14:paraId="2AEBA1CA">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50. 宣传</w:t>
      </w:r>
    </w:p>
    <w:p w14:paraId="18B91B73">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凡与采购活动有关的宣传或广告，若当中提及本项目采购，必须事先将具体对外宣传方案报采购人预算主管部门，并征得其同意。对外市场宣传包括但不限于以下形式：</w:t>
      </w:r>
    </w:p>
    <w:p w14:paraId="7BF216B1">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a.名片、宣传册、广告标语等；</w:t>
      </w:r>
    </w:p>
    <w:p w14:paraId="63AA8A30">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b.案例介绍、推广等；</w:t>
      </w:r>
    </w:p>
    <w:p w14:paraId="58E08C73">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c.工作人员向其他消费群体宣传。</w:t>
      </w:r>
    </w:p>
    <w:p w14:paraId="612E14CB">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51. 供应商违法责任</w:t>
      </w:r>
    </w:p>
    <w:p w14:paraId="56A60B54">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1.1</w:t>
      </w:r>
      <w:r>
        <w:rPr>
          <w:rFonts w:hint="eastAsia" w:ascii="宋体" w:hAnsi="宋体"/>
          <w:color w:val="auto"/>
          <w:szCs w:val="21"/>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D3A648B">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（1）在采购活动中应当回避而未回避的；</w:t>
      </w:r>
    </w:p>
    <w:p w14:paraId="3FC84233">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（2）未按本条例规定签订、履行采购合同，造成严重后果的；</w:t>
      </w:r>
    </w:p>
    <w:p w14:paraId="225F719D">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（3）隐瞒真实情况，提供虚假资料的；</w:t>
      </w:r>
    </w:p>
    <w:p w14:paraId="2526735F">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（4）以非法手段排斥其他供应商参与竞争的；</w:t>
      </w:r>
    </w:p>
    <w:p w14:paraId="3D365488">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（5）与其他采购参加人串通投标的；</w:t>
      </w:r>
    </w:p>
    <w:p w14:paraId="0241A24F">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（6）恶意投诉的；</w:t>
      </w:r>
    </w:p>
    <w:p w14:paraId="61E8173E">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（7）向采购项目相关人行贿或者提供其他不当利益的；</w:t>
      </w:r>
    </w:p>
    <w:p w14:paraId="2F5963D9">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（8）阻碍、抗拒主管部门监督检查的；</w:t>
      </w:r>
    </w:p>
    <w:p w14:paraId="79845D31">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（9）其他违反本条例规定的行为。</w:t>
      </w:r>
    </w:p>
    <w:p w14:paraId="7666B641">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 xml:space="preserve">1.2 </w:t>
      </w:r>
      <w:r>
        <w:rPr>
          <w:rFonts w:hint="eastAsia" w:ascii="宋体" w:hAnsi="宋体"/>
          <w:color w:val="auto"/>
          <w:szCs w:val="21"/>
          <w:highlight w:val="none"/>
        </w:rPr>
        <w:t>根据《深圳市财政局关于调整政府采购投标（响应）保证金管理政策的通知 》（深财购〔2021〕51 号）的要求，供应商在</w:t>
      </w:r>
      <w:r>
        <w:rPr>
          <w:rFonts w:hint="eastAsia" w:ascii="宋体" w:hAnsi="宋体"/>
          <w:color w:val="auto"/>
          <w:szCs w:val="21"/>
          <w:highlight w:val="none"/>
          <w:lang w:eastAsia="zh-CN"/>
        </w:rPr>
        <w:t>采购</w:t>
      </w:r>
      <w:r>
        <w:rPr>
          <w:rFonts w:hint="eastAsia" w:ascii="宋体" w:hAnsi="宋体"/>
          <w:color w:val="auto"/>
          <w:szCs w:val="21"/>
          <w:highlight w:val="none"/>
        </w:rPr>
        <w:t>活动中出现《深圳经济特区政府采购条例实施细则》第八十条所列情形的，</w:t>
      </w:r>
      <w:bookmarkStart w:id="97" w:name="_Hlk72440769"/>
      <w:r>
        <w:rPr>
          <w:rFonts w:hint="eastAsia" w:ascii="宋体" w:hAnsi="宋体"/>
          <w:color w:val="auto"/>
          <w:szCs w:val="21"/>
          <w:highlight w:val="none"/>
          <w:lang w:eastAsia="zh-CN"/>
        </w:rPr>
        <w:t>代理机构</w:t>
      </w:r>
      <w:r>
        <w:rPr>
          <w:rFonts w:hint="eastAsia" w:ascii="宋体" w:hAnsi="宋体"/>
          <w:color w:val="auto"/>
          <w:szCs w:val="21"/>
          <w:highlight w:val="none"/>
        </w:rPr>
        <w:t>或采购人不予退还其交纳的谈判保证金，情节严重的，并由主管部门</w:t>
      </w:r>
      <w:bookmarkEnd w:id="97"/>
      <w:r>
        <w:rPr>
          <w:rFonts w:hint="eastAsia" w:ascii="宋体" w:hAnsi="宋体"/>
          <w:color w:val="auto"/>
          <w:szCs w:val="21"/>
          <w:highlight w:val="none"/>
        </w:rPr>
        <w:t>记入供应商诚信档案，予以通报：</w:t>
      </w:r>
    </w:p>
    <w:p w14:paraId="4B58D013">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）投标截止后，撤销投标的；</w:t>
      </w:r>
    </w:p>
    <w:p w14:paraId="052904CB">
      <w:pPr>
        <w:pageBreakBefore w:val="0"/>
        <w:kinsoku/>
        <w:overflowPunct/>
        <w:topLinePunct w:val="0"/>
        <w:bidi w:val="0"/>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）中标后无正当理由未在规定期限内签订合同的；</w:t>
      </w:r>
    </w:p>
    <w:p w14:paraId="7244A056">
      <w:pPr>
        <w:pageBreakBefore w:val="0"/>
        <w:kinsoku/>
        <w:overflowPunct/>
        <w:topLinePunct w:val="0"/>
        <w:bidi w:val="0"/>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）将中标项目转让给他人、或者在投标文件中未说明且未经采购人、采购</w:t>
      </w:r>
      <w:r>
        <w:rPr>
          <w:rFonts w:hint="eastAsia" w:ascii="宋体" w:hAnsi="宋体"/>
          <w:color w:val="auto"/>
          <w:szCs w:val="21"/>
          <w:highlight w:val="none"/>
        </w:rPr>
        <w:t>招标</w:t>
      </w:r>
      <w:r>
        <w:rPr>
          <w:rFonts w:ascii="宋体" w:hAnsi="宋体"/>
          <w:color w:val="auto"/>
          <w:szCs w:val="21"/>
          <w:highlight w:val="none"/>
        </w:rPr>
        <w:t>机构同意，将中标项目分包给他人的；</w:t>
      </w:r>
    </w:p>
    <w:p w14:paraId="2DA5CDBD">
      <w:pPr>
        <w:pageBreakBefore w:val="0"/>
        <w:kinsoku/>
        <w:overflowPunct/>
        <w:topLinePunct w:val="0"/>
        <w:bidi w:val="0"/>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）拒绝履行合同义务的</w:t>
      </w:r>
      <w:r>
        <w:rPr>
          <w:rFonts w:hint="eastAsia" w:ascii="宋体" w:hAnsi="宋体"/>
          <w:color w:val="auto"/>
          <w:szCs w:val="21"/>
          <w:highlight w:val="none"/>
        </w:rPr>
        <w:t>。</w:t>
      </w:r>
    </w:p>
    <w:p w14:paraId="77A65B48">
      <w:pPr>
        <w:pStyle w:val="8"/>
        <w:pageBreakBefore w:val="0"/>
        <w:kinsoku/>
        <w:overflowPunct/>
        <w:topLinePunct w:val="0"/>
        <w:bidi w:val="0"/>
        <w:spacing w:line="360" w:lineRule="auto"/>
        <w:rPr>
          <w:rFonts w:hint="eastAsia"/>
          <w:color w:val="auto"/>
          <w:highlight w:val="none"/>
        </w:rPr>
      </w:pPr>
    </w:p>
    <w:bookmarkEnd w:id="81"/>
    <w:p w14:paraId="49CE6512">
      <w:pPr>
        <w:pStyle w:val="81"/>
        <w:keepNext/>
        <w:keepLines/>
        <w:pageBreakBefore w:val="0"/>
        <w:numPr>
          <w:ilvl w:val="0"/>
          <w:numId w:val="11"/>
        </w:numPr>
        <w:tabs>
          <w:tab w:val="left" w:pos="720"/>
        </w:tabs>
        <w:kinsoku/>
        <w:overflowPunct/>
        <w:topLinePunct w:val="0"/>
        <w:bidi w:val="0"/>
        <w:adjustRightInd w:val="0"/>
        <w:spacing w:before="120" w:beforeLines="50" w:after="120" w:afterLines="50" w:line="360" w:lineRule="auto"/>
        <w:ind w:firstLineChars="0"/>
        <w:jc w:val="center"/>
        <w:textAlignment w:val="baseline"/>
        <w:outlineLvl w:val="1"/>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质疑处理</w:t>
      </w:r>
    </w:p>
    <w:p w14:paraId="52FCD48E">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52.质疑提出与答复</w:t>
      </w:r>
    </w:p>
    <w:p w14:paraId="7E488961">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52.1提出质疑</w:t>
      </w:r>
    </w:p>
    <w:p w14:paraId="7C80FEB9">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参与采购活动的供应商认为自己的权益在采购活动中受到损害的，应当自知道或者应当知道其权益受到损害之日起七个工作日内向采购人、</w:t>
      </w:r>
      <w:r>
        <w:rPr>
          <w:rFonts w:hint="eastAsia" w:ascii="宋体" w:hAnsi="宋体"/>
          <w:color w:val="auto"/>
          <w:szCs w:val="21"/>
          <w:highlight w:val="none"/>
          <w:lang w:eastAsia="zh-CN"/>
        </w:rPr>
        <w:t>代理机构</w:t>
      </w:r>
      <w:r>
        <w:rPr>
          <w:rFonts w:hint="eastAsia" w:ascii="宋体" w:hAnsi="宋体"/>
          <w:color w:val="auto"/>
          <w:szCs w:val="21"/>
          <w:highlight w:val="none"/>
        </w:rPr>
        <w:t>以书面形式提出质疑。</w:t>
      </w:r>
    </w:p>
    <w:p w14:paraId="2B5AD001">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52.2</w:t>
      </w:r>
      <w:r>
        <w:rPr>
          <w:rFonts w:ascii="宋体" w:hAnsi="宋体"/>
          <w:color w:val="auto"/>
          <w:szCs w:val="21"/>
          <w:highlight w:val="none"/>
        </w:rPr>
        <w:t>法律依据</w:t>
      </w:r>
    </w:p>
    <w:p w14:paraId="0B94B574">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《中华人民共和国政府采购法》、《中华人民共和国政府采购法实施条例》、</w:t>
      </w:r>
      <w:r>
        <w:rPr>
          <w:rFonts w:ascii="宋体" w:hAnsi="宋体"/>
          <w:color w:val="auto"/>
          <w:szCs w:val="21"/>
          <w:highlight w:val="none"/>
        </w:rPr>
        <w:t>《</w:t>
      </w:r>
      <w:r>
        <w:rPr>
          <w:rFonts w:hint="eastAsia" w:ascii="宋体" w:hAnsi="宋体"/>
          <w:color w:val="auto"/>
          <w:szCs w:val="21"/>
          <w:highlight w:val="none"/>
        </w:rPr>
        <w:t>深圳经济特区政府采购</w:t>
      </w:r>
      <w:r>
        <w:rPr>
          <w:rFonts w:ascii="宋体" w:hAnsi="宋体"/>
          <w:color w:val="auto"/>
          <w:szCs w:val="21"/>
          <w:highlight w:val="none"/>
        </w:rPr>
        <w:t>条例</w:t>
      </w:r>
      <w:r>
        <w:rPr>
          <w:rFonts w:hint="eastAsia" w:ascii="宋体" w:hAnsi="宋体"/>
          <w:color w:val="auto"/>
          <w:szCs w:val="21"/>
          <w:highlight w:val="none"/>
        </w:rPr>
        <w:t>》、《深圳经济特区政府采购条例实施细则》、《政府采购质疑和投诉办法》（财政部令第94号）和其他有关法律法规规定。</w:t>
      </w:r>
    </w:p>
    <w:p w14:paraId="4EC0E725">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52.3质疑条件</w:t>
      </w:r>
    </w:p>
    <w:p w14:paraId="17A1A903">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52.3.1提出质疑的供应商应当是参与所质疑项目采购活动的供应商；</w:t>
      </w:r>
      <w:bookmarkStart w:id="98" w:name="_Hlk75374941"/>
      <w:r>
        <w:rPr>
          <w:rFonts w:hint="eastAsia" w:ascii="宋体" w:hAnsi="宋体"/>
          <w:color w:val="auto"/>
          <w:szCs w:val="21"/>
          <w:highlight w:val="none"/>
        </w:rPr>
        <w:t>以联合体形式参与的，质疑应当由组成联合体的所有成员共同提出</w:t>
      </w:r>
      <w:bookmarkEnd w:id="98"/>
      <w:r>
        <w:rPr>
          <w:rFonts w:hint="eastAsia" w:ascii="宋体" w:hAnsi="宋体"/>
          <w:color w:val="auto"/>
          <w:szCs w:val="21"/>
          <w:highlight w:val="none"/>
        </w:rPr>
        <w:t>；</w:t>
      </w:r>
    </w:p>
    <w:p w14:paraId="7ADC15B5">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391A0479">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52.3.3应提交书面质疑函，质疑函应当包括以下内容：</w:t>
      </w:r>
      <w:r>
        <w:rPr>
          <w:rFonts w:ascii="宋体" w:hAnsi="宋体"/>
          <w:color w:val="auto"/>
          <w:szCs w:val="21"/>
          <w:highlight w:val="none"/>
        </w:rPr>
        <w:t xml:space="preserve"> </w:t>
      </w:r>
    </w:p>
    <w:p w14:paraId="2CE01605">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（1）供应商的名称（或者姓名）、地址、邮编、邮箱、联系人及联系电话；</w:t>
      </w:r>
    </w:p>
    <w:p w14:paraId="7AAF97B3">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（2）质疑项目的名称、编号；</w:t>
      </w:r>
    </w:p>
    <w:p w14:paraId="26D9F986">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（3）具体、明确的质疑对象、质疑事项和质疑请求；</w:t>
      </w:r>
    </w:p>
    <w:p w14:paraId="0AC02F7B">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（4）因质疑事项而受损害的权益；</w:t>
      </w:r>
    </w:p>
    <w:p w14:paraId="76457588">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（5）事实依据；</w:t>
      </w:r>
    </w:p>
    <w:p w14:paraId="14052287">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（6）必要的法律依据；</w:t>
      </w:r>
    </w:p>
    <w:p w14:paraId="770112CC">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（7）提出质疑的日期。</w:t>
      </w:r>
    </w:p>
    <w:p w14:paraId="550391A4">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供应商为自然人的，应当由本人签字；供应商为法人或者其他组织的，应当由法定代表人（负责人），或者其授权代理人签字或者盖章，并加盖公章。</w:t>
      </w:r>
    </w:p>
    <w:p w14:paraId="564EAAC2">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52.4提交</w:t>
      </w:r>
      <w:r>
        <w:rPr>
          <w:rFonts w:ascii="宋体" w:hAnsi="宋体"/>
          <w:color w:val="auto"/>
          <w:szCs w:val="21"/>
          <w:highlight w:val="none"/>
        </w:rPr>
        <w:t>材料</w:t>
      </w:r>
    </w:p>
    <w:p w14:paraId="66742330">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供应商质疑实行实名制。供应商为自然人的，应当提交本人身份证复印件；供应商为法人或者其他组织的，应当根据自身性质提交营业执照复印件或者其他证明文件（如事业单位法人证书等）复印件。</w:t>
      </w:r>
    </w:p>
    <w:p w14:paraId="60AB2771">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供应商可以委托代理人进行质疑。</w:t>
      </w:r>
      <w:r>
        <w:rPr>
          <w:rFonts w:ascii="宋体" w:hAnsi="宋体"/>
          <w:color w:val="auto"/>
          <w:szCs w:val="21"/>
          <w:highlight w:val="none"/>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95343DB">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52.5收文地点</w:t>
      </w:r>
    </w:p>
    <w:p w14:paraId="5C1AC53A">
      <w:pPr>
        <w:pageBreakBefore w:val="0"/>
        <w:kinsoku/>
        <w:overflowPunct/>
        <w:topLinePunct w:val="0"/>
        <w:bidi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地址：</w:t>
      </w:r>
      <w:r>
        <w:rPr>
          <w:rFonts w:hint="eastAsia" w:ascii="宋体" w:hAnsi="宋体"/>
          <w:b/>
          <w:bCs/>
          <w:color w:val="auto"/>
          <w:szCs w:val="21"/>
          <w:highlight w:val="none"/>
          <w:lang w:eastAsia="zh-CN"/>
        </w:rPr>
        <w:t>深圳交易集团总部大楼</w:t>
      </w:r>
      <w:r>
        <w:rPr>
          <w:rFonts w:hint="eastAsia" w:ascii="宋体" w:hAnsi="宋体"/>
          <w:b/>
          <w:bCs/>
          <w:color w:val="auto"/>
          <w:szCs w:val="21"/>
          <w:highlight w:val="none"/>
        </w:rPr>
        <w:t>2</w:t>
      </w:r>
      <w:r>
        <w:rPr>
          <w:rFonts w:hint="eastAsia" w:ascii="宋体" w:hAnsi="宋体"/>
          <w:b/>
          <w:bCs/>
          <w:color w:val="auto"/>
          <w:szCs w:val="21"/>
          <w:highlight w:val="none"/>
          <w:lang w:val="en-US" w:eastAsia="zh-CN"/>
        </w:rPr>
        <w:t>1/25</w:t>
      </w:r>
      <w:r>
        <w:rPr>
          <w:rFonts w:hint="eastAsia" w:ascii="宋体" w:hAnsi="宋体"/>
          <w:b/>
          <w:bCs/>
          <w:color w:val="auto"/>
          <w:szCs w:val="21"/>
          <w:highlight w:val="none"/>
        </w:rPr>
        <w:t>楼，质疑咨询电话：0755-22965602、0755-86660475。</w:t>
      </w:r>
    </w:p>
    <w:p w14:paraId="360C9508">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52.6收文办理</w:t>
      </w:r>
      <w:r>
        <w:rPr>
          <w:rFonts w:ascii="宋体" w:hAnsi="宋体"/>
          <w:color w:val="auto"/>
          <w:szCs w:val="21"/>
          <w:highlight w:val="none"/>
        </w:rPr>
        <w:t>程序</w:t>
      </w:r>
    </w:p>
    <w:p w14:paraId="7B12D112">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52.6.1供应商提交的质疑符合受理条件的，</w:t>
      </w:r>
      <w:r>
        <w:rPr>
          <w:rFonts w:hint="eastAsia" w:ascii="宋体" w:hAnsi="宋体"/>
          <w:color w:val="auto"/>
          <w:szCs w:val="21"/>
          <w:highlight w:val="none"/>
          <w:lang w:eastAsia="zh-CN"/>
        </w:rPr>
        <w:t>代理机构</w:t>
      </w:r>
      <w:r>
        <w:rPr>
          <w:rFonts w:hint="eastAsia" w:ascii="宋体" w:hAnsi="宋体"/>
          <w:color w:val="auto"/>
          <w:szCs w:val="21"/>
          <w:highlight w:val="none"/>
        </w:rPr>
        <w:t>自收到质疑材料之日起即为受理，应当向供应商出具质疑函收文回执并可以要求其递交质疑的法定代表人（负责人）或者授权代理人签署质疑文书送达地址确认书。</w:t>
      </w:r>
    </w:p>
    <w:p w14:paraId="5B009148">
      <w:pPr>
        <w:pageBreakBefore w:val="0"/>
        <w:kinsoku/>
        <w:overflowPunct/>
        <w:topLinePunct w:val="0"/>
        <w:bidi w:val="0"/>
        <w:spacing w:line="360" w:lineRule="auto"/>
        <w:ind w:firstLine="420" w:firstLineChars="200"/>
        <w:rPr>
          <w:rFonts w:ascii="仿宋" w:hAnsi="仿宋" w:eastAsia="仿宋"/>
          <w:color w:val="auto"/>
          <w:szCs w:val="21"/>
          <w:highlight w:val="none"/>
        </w:rPr>
      </w:pPr>
      <w:r>
        <w:rPr>
          <w:rFonts w:hint="eastAsia" w:ascii="宋体" w:hAnsi="宋体"/>
          <w:color w:val="auto"/>
          <w:szCs w:val="21"/>
          <w:highlight w:val="none"/>
        </w:rPr>
        <w:t>52.6.2供应商提交的质疑材料不符合质疑条件的，视情况处理：</w:t>
      </w:r>
    </w:p>
    <w:p w14:paraId="23EB9AFA">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供应商提交的质疑材料不全或者未按要求签字或者盖章的，</w:t>
      </w:r>
      <w:r>
        <w:rPr>
          <w:rFonts w:hint="eastAsia" w:ascii="宋体" w:hAnsi="宋体"/>
          <w:color w:val="auto"/>
          <w:szCs w:val="21"/>
          <w:highlight w:val="none"/>
          <w:lang w:eastAsia="zh-CN"/>
        </w:rPr>
        <w:t>代理机构</w:t>
      </w:r>
      <w:r>
        <w:rPr>
          <w:rFonts w:hint="eastAsia" w:ascii="宋体" w:hAnsi="宋体"/>
          <w:color w:val="auto"/>
          <w:szCs w:val="21"/>
          <w:highlight w:val="none"/>
        </w:rPr>
        <w:t>应当一次性告知供应商需补正的内容和补正期限。</w:t>
      </w:r>
    </w:p>
    <w:p w14:paraId="4E3A6994">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供应商提交的质疑存在下列情形之一的，不予受理：</w:t>
      </w:r>
    </w:p>
    <w:p w14:paraId="2653F0E6">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（1）质疑主体不满足要求的；</w:t>
      </w:r>
    </w:p>
    <w:p w14:paraId="29788DDD">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（2）供应商自身权益未受到损害的；</w:t>
      </w:r>
    </w:p>
    <w:p w14:paraId="0E501B20">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（3）供应商未在法定质疑期限内提出质疑的；</w:t>
      </w:r>
    </w:p>
    <w:p w14:paraId="6F27D612">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（4）质疑材料不全或者未按要求签字或者盖章的情况下，要求补正后，逾期未补正或者补正后仍不符合规定的；</w:t>
      </w:r>
    </w:p>
    <w:p w14:paraId="33E083DE">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（5）其他不符合受理条件情形的。</w:t>
      </w:r>
    </w:p>
    <w:p w14:paraId="4B7C2A29">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质疑事项不予受理的，</w:t>
      </w:r>
      <w:r>
        <w:rPr>
          <w:rFonts w:hint="eastAsia" w:ascii="宋体" w:hAnsi="宋体"/>
          <w:color w:val="auto"/>
          <w:szCs w:val="21"/>
          <w:highlight w:val="none"/>
          <w:lang w:eastAsia="zh-CN"/>
        </w:rPr>
        <w:t>代理机构</w:t>
      </w:r>
      <w:r>
        <w:rPr>
          <w:rFonts w:hint="eastAsia" w:ascii="宋体" w:hAnsi="宋体"/>
          <w:color w:val="auto"/>
          <w:szCs w:val="21"/>
          <w:highlight w:val="none"/>
        </w:rPr>
        <w:t>应当向供应商出具不符合质疑条件告知书。</w:t>
      </w:r>
    </w:p>
    <w:p w14:paraId="794F64B6">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52.7质疑答复时限</w:t>
      </w:r>
    </w:p>
    <w:p w14:paraId="332A834B">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自收文之日起七个工作日内。</w:t>
      </w:r>
    </w:p>
    <w:p w14:paraId="142F8167">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52.8投诉</w:t>
      </w:r>
    </w:p>
    <w:p w14:paraId="22729127">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对质疑答复不满意或者未在规定时间内答复的，提出质疑的供应商可以在答复期满后15个工作日内向本项目预算主管单位投诉。</w:t>
      </w:r>
    </w:p>
    <w:p w14:paraId="60B3692A">
      <w:pPr>
        <w:pageBreakBefore w:val="0"/>
        <w:kinsoku/>
        <w:overflowPunct/>
        <w:topLinePunct w:val="0"/>
        <w:bidi w:val="0"/>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53. 质疑后续处理</w:t>
      </w:r>
    </w:p>
    <w:p w14:paraId="4225277C">
      <w:pPr>
        <w:pageBreakBefore w:val="0"/>
        <w:kinsoku/>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53.1供应商质疑不成立，或者成立但未对中标、成交结果构成影响的，继续开展采购活动。</w:t>
      </w:r>
    </w:p>
    <w:p w14:paraId="7B08D197">
      <w:pPr>
        <w:pageBreakBefore w:val="0"/>
        <w:kinsoku/>
        <w:overflowPunct/>
        <w:topLinePunct w:val="0"/>
        <w:bidi w:val="0"/>
        <w:spacing w:line="360" w:lineRule="auto"/>
        <w:ind w:firstLine="420" w:firstLineChars="200"/>
        <w:jc w:val="left"/>
        <w:rPr>
          <w:color w:val="auto"/>
          <w:szCs w:val="21"/>
          <w:highlight w:val="none"/>
        </w:rPr>
      </w:pPr>
      <w:r>
        <w:rPr>
          <w:rFonts w:hint="eastAsia" w:ascii="宋体" w:hAnsi="宋体"/>
          <w:color w:val="auto"/>
          <w:szCs w:val="21"/>
          <w:highlight w:val="none"/>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4A9220F1">
      <w:pPr>
        <w:pageBreakBefore w:val="0"/>
        <w:kinsoku/>
        <w:overflowPunct/>
        <w:topLinePunct w:val="0"/>
        <w:bidi w:val="0"/>
        <w:spacing w:line="360" w:lineRule="auto"/>
        <w:jc w:val="center"/>
        <w:rPr>
          <w:color w:val="auto"/>
          <w:highlight w:val="none"/>
        </w:rPr>
      </w:pPr>
      <w:r>
        <w:rPr>
          <w:color w:val="auto"/>
          <w:highlight w:val="none"/>
        </w:rPr>
        <w:t>---- END ----</w:t>
      </w:r>
      <w:bookmarkEnd w:id="44"/>
    </w:p>
    <w:p w14:paraId="1BD614CC">
      <w:pPr>
        <w:pageBreakBefore w:val="0"/>
        <w:kinsoku/>
        <w:overflowPunct/>
        <w:topLinePunct w:val="0"/>
        <w:bidi w:val="0"/>
        <w:spacing w:line="360" w:lineRule="auto"/>
        <w:rPr>
          <w:rFonts w:ascii="宋体" w:hAnsi="宋体"/>
          <w:color w:val="auto"/>
          <w:szCs w:val="21"/>
          <w:highlight w:val="none"/>
        </w:rPr>
      </w:pPr>
    </w:p>
    <w:sectPr>
      <w:headerReference r:id="rId4" w:type="first"/>
      <w:footerReference r:id="rId6" w:type="first"/>
      <w:headerReference r:id="rId3" w:type="default"/>
      <w:footerReference r:id="rId5" w:type="default"/>
      <w:pgSz w:w="11907" w:h="16840"/>
      <w:pgMar w:top="1134" w:right="1797" w:bottom="1134" w:left="1797" w:header="851" w:footer="992" w:gutter="0"/>
      <w:pgBorders>
        <w:top w:val="none" w:sz="0" w:space="0"/>
        <w:left w:val="none" w:sz="0" w:space="0"/>
        <w:bottom w:val="none" w:sz="0" w:space="0"/>
        <w:right w:val="none" w:sz="0" w:space="0"/>
      </w:pgBorders>
      <w:pgNumType w:fmt="decimal" w:start="1"/>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
    <w:altName w:val="Arial Unicode MS"/>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B0B2C">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23296">
                          <w:pPr>
                            <w:pStyle w:val="28"/>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423296">
                    <w:pPr>
                      <w:pStyle w:val="28"/>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44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63BA3">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E89706">
                          <w:pPr>
                            <w:pStyle w:val="28"/>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CE89706">
                    <w:pPr>
                      <w:pStyle w:val="28"/>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23833">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43502">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4">
    <w:nsid w:val="12503483"/>
    <w:multiLevelType w:val="multilevel"/>
    <w:tmpl w:val="12503483"/>
    <w:lvl w:ilvl="0" w:tentative="0">
      <w:start w:val="1"/>
      <w:numFmt w:val="bullet"/>
      <w:pStyle w:val="115"/>
      <w:lvlText w:val=""/>
      <w:lvlJc w:val="left"/>
      <w:pPr>
        <w:tabs>
          <w:tab w:val="left" w:pos="420"/>
        </w:tabs>
        <w:ind w:left="420" w:hanging="420"/>
      </w:pPr>
      <w:rPr>
        <w:rFonts w:hint="default" w:ascii="Wingdings" w:hAnsi="Wingdings"/>
      </w:rPr>
    </w:lvl>
    <w:lvl w:ilvl="1" w:tentative="0">
      <w:start w:val="1"/>
      <w:numFmt w:val="bullet"/>
      <w:pStyle w:val="11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60D20D0"/>
    <w:multiLevelType w:val="multilevel"/>
    <w:tmpl w:val="160D20D0"/>
    <w:lvl w:ilvl="0" w:tentative="0">
      <w:start w:val="1"/>
      <w:numFmt w:val="bullet"/>
      <w:pStyle w:val="83"/>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F395B7B"/>
    <w:multiLevelType w:val="multilevel"/>
    <w:tmpl w:val="2F395B7B"/>
    <w:lvl w:ilvl="0" w:tentative="0">
      <w:start w:val="1"/>
      <w:numFmt w:val="bullet"/>
      <w:pStyle w:val="17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38A4792"/>
    <w:multiLevelType w:val="singleLevel"/>
    <w:tmpl w:val="538A4792"/>
    <w:lvl w:ilvl="0" w:tentative="0">
      <w:start w:val="1"/>
      <w:numFmt w:val="decimal"/>
      <w:lvlText w:val="%1."/>
      <w:lvlJc w:val="left"/>
      <w:pPr>
        <w:ind w:left="425" w:hanging="425"/>
      </w:pPr>
      <w:rPr>
        <w:rFonts w:hint="default"/>
      </w:rPr>
    </w:lvl>
  </w:abstractNum>
  <w:abstractNum w:abstractNumId="9">
    <w:nsid w:val="59B03DFB"/>
    <w:multiLevelType w:val="singleLevel"/>
    <w:tmpl w:val="59B03DFB"/>
    <w:lvl w:ilvl="0" w:tentative="0">
      <w:start w:val="1"/>
      <w:numFmt w:val="decimal"/>
      <w:suff w:val="space"/>
      <w:lvlText w:val="(%1)"/>
      <w:lvlJc w:val="left"/>
      <w:pPr>
        <w:ind w:left="0" w:leftChars="0" w:firstLine="0" w:firstLineChars="0"/>
      </w:pPr>
      <w:rPr>
        <w:rFonts w:hint="default"/>
      </w:rPr>
    </w:lvl>
  </w:abstractNum>
  <w:abstractNum w:abstractNumId="10">
    <w:nsid w:val="7AEF7716"/>
    <w:multiLevelType w:val="multilevel"/>
    <w:tmpl w:val="7AEF7716"/>
    <w:lvl w:ilvl="0" w:tentative="0">
      <w:start w:val="1"/>
      <w:numFmt w:val="chineseCountingThousand"/>
      <w:pStyle w:val="128"/>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5"/>
  </w:num>
  <w:num w:numId="4">
    <w:abstractNumId w:val="4"/>
  </w:num>
  <w:num w:numId="5">
    <w:abstractNumId w:val="10"/>
  </w:num>
  <w:num w:numId="6">
    <w:abstractNumId w:val="6"/>
  </w:num>
  <w:num w:numId="7">
    <w:abstractNumId w:val="0"/>
  </w:num>
  <w:num w:numId="8">
    <w:abstractNumId w:val="8"/>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wNWIxZTg3YzE0MjE3OTJmNGVkZjY2MjNjZjJlNzcifQ=="/>
    <w:docVar w:name="KSO_WPS_MARK_KEY" w:val="8054f385-3163-4a52-8fcf-791e5de8c924"/>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6B6D"/>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A37"/>
    <w:rsid w:val="001B4BB2"/>
    <w:rsid w:val="001B6FAD"/>
    <w:rsid w:val="001C04B2"/>
    <w:rsid w:val="001C13DE"/>
    <w:rsid w:val="001C1FDE"/>
    <w:rsid w:val="001C2063"/>
    <w:rsid w:val="001C21E1"/>
    <w:rsid w:val="001C3426"/>
    <w:rsid w:val="001C4768"/>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DD5"/>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0D"/>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4E3D"/>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4E83"/>
    <w:rsid w:val="00D35189"/>
    <w:rsid w:val="00D352D0"/>
    <w:rsid w:val="00D35F44"/>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753"/>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5AF"/>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4C2F15"/>
    <w:rsid w:val="015804E1"/>
    <w:rsid w:val="01A36859"/>
    <w:rsid w:val="01B70F10"/>
    <w:rsid w:val="02084511"/>
    <w:rsid w:val="021967E1"/>
    <w:rsid w:val="025556FC"/>
    <w:rsid w:val="026D327B"/>
    <w:rsid w:val="027A77D7"/>
    <w:rsid w:val="02B23EDB"/>
    <w:rsid w:val="02DF78C5"/>
    <w:rsid w:val="02F54FC6"/>
    <w:rsid w:val="030D7E3E"/>
    <w:rsid w:val="0334205E"/>
    <w:rsid w:val="034856A5"/>
    <w:rsid w:val="03AE29CF"/>
    <w:rsid w:val="03D07714"/>
    <w:rsid w:val="03DB5FF9"/>
    <w:rsid w:val="03F3534A"/>
    <w:rsid w:val="0414771C"/>
    <w:rsid w:val="04161698"/>
    <w:rsid w:val="045B6255"/>
    <w:rsid w:val="04D84975"/>
    <w:rsid w:val="04EB39F0"/>
    <w:rsid w:val="050956A8"/>
    <w:rsid w:val="05646337"/>
    <w:rsid w:val="058F7376"/>
    <w:rsid w:val="05B1769D"/>
    <w:rsid w:val="05C634D0"/>
    <w:rsid w:val="05D11D1B"/>
    <w:rsid w:val="05D26723"/>
    <w:rsid w:val="05FA7789"/>
    <w:rsid w:val="06042961"/>
    <w:rsid w:val="062A31D9"/>
    <w:rsid w:val="06342B3D"/>
    <w:rsid w:val="064876CF"/>
    <w:rsid w:val="067D4F9E"/>
    <w:rsid w:val="071C6FC5"/>
    <w:rsid w:val="07AF301F"/>
    <w:rsid w:val="08197C5E"/>
    <w:rsid w:val="08204893"/>
    <w:rsid w:val="083018E4"/>
    <w:rsid w:val="08353C6C"/>
    <w:rsid w:val="086F7E62"/>
    <w:rsid w:val="08D767A2"/>
    <w:rsid w:val="08E27D9B"/>
    <w:rsid w:val="08E37AC3"/>
    <w:rsid w:val="08E72291"/>
    <w:rsid w:val="08F651E1"/>
    <w:rsid w:val="091B5B83"/>
    <w:rsid w:val="093A1D5C"/>
    <w:rsid w:val="094A2487"/>
    <w:rsid w:val="09745617"/>
    <w:rsid w:val="099512B1"/>
    <w:rsid w:val="099877B9"/>
    <w:rsid w:val="09C275CF"/>
    <w:rsid w:val="09DD6D71"/>
    <w:rsid w:val="09E47FAE"/>
    <w:rsid w:val="09F07824"/>
    <w:rsid w:val="0A40746F"/>
    <w:rsid w:val="0B0104DC"/>
    <w:rsid w:val="0B5C3E34"/>
    <w:rsid w:val="0B60651B"/>
    <w:rsid w:val="0B676EEA"/>
    <w:rsid w:val="0B6E4346"/>
    <w:rsid w:val="0B81527B"/>
    <w:rsid w:val="0B9340C0"/>
    <w:rsid w:val="0BA2713F"/>
    <w:rsid w:val="0BAF4EB4"/>
    <w:rsid w:val="0BB26C18"/>
    <w:rsid w:val="0BDF6813"/>
    <w:rsid w:val="0BE328AE"/>
    <w:rsid w:val="0BED55CD"/>
    <w:rsid w:val="0C55738E"/>
    <w:rsid w:val="0C5D0E4C"/>
    <w:rsid w:val="0C7156BE"/>
    <w:rsid w:val="0C976BC5"/>
    <w:rsid w:val="0CBA3508"/>
    <w:rsid w:val="0D1077DD"/>
    <w:rsid w:val="0D32334D"/>
    <w:rsid w:val="0D646E2A"/>
    <w:rsid w:val="0D847D44"/>
    <w:rsid w:val="0D9D24E2"/>
    <w:rsid w:val="0DA6139D"/>
    <w:rsid w:val="0DA67C51"/>
    <w:rsid w:val="0DDD134E"/>
    <w:rsid w:val="0E266D33"/>
    <w:rsid w:val="0E2D3866"/>
    <w:rsid w:val="0ECD6BB9"/>
    <w:rsid w:val="0ED4462A"/>
    <w:rsid w:val="0F3D3F7D"/>
    <w:rsid w:val="0F505939"/>
    <w:rsid w:val="0F5170F1"/>
    <w:rsid w:val="0F6E49D4"/>
    <w:rsid w:val="0F7934BE"/>
    <w:rsid w:val="0FBB2283"/>
    <w:rsid w:val="102A1CBB"/>
    <w:rsid w:val="106C1285"/>
    <w:rsid w:val="107C061C"/>
    <w:rsid w:val="109C2F25"/>
    <w:rsid w:val="10F71999"/>
    <w:rsid w:val="111451B1"/>
    <w:rsid w:val="11205904"/>
    <w:rsid w:val="112134CD"/>
    <w:rsid w:val="11490230"/>
    <w:rsid w:val="114A387E"/>
    <w:rsid w:val="11543BAC"/>
    <w:rsid w:val="11A5684D"/>
    <w:rsid w:val="12042B30"/>
    <w:rsid w:val="120C3937"/>
    <w:rsid w:val="120E7E09"/>
    <w:rsid w:val="123C6DB8"/>
    <w:rsid w:val="123D4E07"/>
    <w:rsid w:val="12B82329"/>
    <w:rsid w:val="130A7C63"/>
    <w:rsid w:val="13467394"/>
    <w:rsid w:val="1355638C"/>
    <w:rsid w:val="137D5290"/>
    <w:rsid w:val="139768AD"/>
    <w:rsid w:val="13EA2A63"/>
    <w:rsid w:val="13F74556"/>
    <w:rsid w:val="144B01ED"/>
    <w:rsid w:val="1485141B"/>
    <w:rsid w:val="14B85A81"/>
    <w:rsid w:val="14CA7197"/>
    <w:rsid w:val="14D21ECB"/>
    <w:rsid w:val="14F90946"/>
    <w:rsid w:val="150337D5"/>
    <w:rsid w:val="151469B7"/>
    <w:rsid w:val="152850C5"/>
    <w:rsid w:val="152A473F"/>
    <w:rsid w:val="154126EF"/>
    <w:rsid w:val="15956C4F"/>
    <w:rsid w:val="159F2DAC"/>
    <w:rsid w:val="168C45E3"/>
    <w:rsid w:val="16B94475"/>
    <w:rsid w:val="16DF591A"/>
    <w:rsid w:val="171825A5"/>
    <w:rsid w:val="17383D36"/>
    <w:rsid w:val="174F7669"/>
    <w:rsid w:val="17853B61"/>
    <w:rsid w:val="178D6C6A"/>
    <w:rsid w:val="17BE3B06"/>
    <w:rsid w:val="17D03B35"/>
    <w:rsid w:val="17E64809"/>
    <w:rsid w:val="17E70F2A"/>
    <w:rsid w:val="18167AE2"/>
    <w:rsid w:val="182E55FF"/>
    <w:rsid w:val="18622C44"/>
    <w:rsid w:val="18860743"/>
    <w:rsid w:val="18A24ECC"/>
    <w:rsid w:val="18C35823"/>
    <w:rsid w:val="19006747"/>
    <w:rsid w:val="19061883"/>
    <w:rsid w:val="19203509"/>
    <w:rsid w:val="196C7EDF"/>
    <w:rsid w:val="19C71013"/>
    <w:rsid w:val="19EA6260"/>
    <w:rsid w:val="1A081E0F"/>
    <w:rsid w:val="1A4474E8"/>
    <w:rsid w:val="1AEF6A73"/>
    <w:rsid w:val="1AFB05F2"/>
    <w:rsid w:val="1AFC4CEC"/>
    <w:rsid w:val="1BCD0202"/>
    <w:rsid w:val="1BCE272A"/>
    <w:rsid w:val="1C284013"/>
    <w:rsid w:val="1C735482"/>
    <w:rsid w:val="1C7B1D3F"/>
    <w:rsid w:val="1CFA525B"/>
    <w:rsid w:val="1D2B1804"/>
    <w:rsid w:val="1D3C7381"/>
    <w:rsid w:val="1DC33333"/>
    <w:rsid w:val="1E3950C5"/>
    <w:rsid w:val="1E4808ED"/>
    <w:rsid w:val="1E5174BB"/>
    <w:rsid w:val="1E5507DD"/>
    <w:rsid w:val="1E714261"/>
    <w:rsid w:val="1E7A2AF8"/>
    <w:rsid w:val="1E9B3AFC"/>
    <w:rsid w:val="1ECB2EF5"/>
    <w:rsid w:val="1F216A47"/>
    <w:rsid w:val="1F9A16D4"/>
    <w:rsid w:val="1FE46AA9"/>
    <w:rsid w:val="20166C70"/>
    <w:rsid w:val="20457135"/>
    <w:rsid w:val="20476A09"/>
    <w:rsid w:val="206E0C49"/>
    <w:rsid w:val="20905E5B"/>
    <w:rsid w:val="20F67D0B"/>
    <w:rsid w:val="21D63523"/>
    <w:rsid w:val="21D64592"/>
    <w:rsid w:val="21F77FBB"/>
    <w:rsid w:val="226E2A42"/>
    <w:rsid w:val="22AF4D3A"/>
    <w:rsid w:val="22E67766"/>
    <w:rsid w:val="22F716CB"/>
    <w:rsid w:val="22FE1EA1"/>
    <w:rsid w:val="23286980"/>
    <w:rsid w:val="23486984"/>
    <w:rsid w:val="234C1912"/>
    <w:rsid w:val="239202FD"/>
    <w:rsid w:val="23DA5DE6"/>
    <w:rsid w:val="23FF13A9"/>
    <w:rsid w:val="245E4A59"/>
    <w:rsid w:val="24802739"/>
    <w:rsid w:val="25184241"/>
    <w:rsid w:val="252D64F0"/>
    <w:rsid w:val="25445C0D"/>
    <w:rsid w:val="25705762"/>
    <w:rsid w:val="25A0381A"/>
    <w:rsid w:val="25D43A4F"/>
    <w:rsid w:val="25E22D55"/>
    <w:rsid w:val="260E7FC9"/>
    <w:rsid w:val="26284DDB"/>
    <w:rsid w:val="26580CD4"/>
    <w:rsid w:val="26915BFB"/>
    <w:rsid w:val="27242053"/>
    <w:rsid w:val="27676541"/>
    <w:rsid w:val="27BF3329"/>
    <w:rsid w:val="27D72D69"/>
    <w:rsid w:val="27EE1A8D"/>
    <w:rsid w:val="282769AB"/>
    <w:rsid w:val="28AA5F10"/>
    <w:rsid w:val="28BB104C"/>
    <w:rsid w:val="28C768EF"/>
    <w:rsid w:val="28D00996"/>
    <w:rsid w:val="28DD6E23"/>
    <w:rsid w:val="28E00AB1"/>
    <w:rsid w:val="29422464"/>
    <w:rsid w:val="2976210D"/>
    <w:rsid w:val="29B7308B"/>
    <w:rsid w:val="29BB32A5"/>
    <w:rsid w:val="2A31206B"/>
    <w:rsid w:val="2AB5191D"/>
    <w:rsid w:val="2ACE1AD5"/>
    <w:rsid w:val="2B75339C"/>
    <w:rsid w:val="2B9C7E34"/>
    <w:rsid w:val="2BA96061"/>
    <w:rsid w:val="2C6037EE"/>
    <w:rsid w:val="2C835CA7"/>
    <w:rsid w:val="2CB87690"/>
    <w:rsid w:val="2CED6C3A"/>
    <w:rsid w:val="2D0C788F"/>
    <w:rsid w:val="2D295F9A"/>
    <w:rsid w:val="2D3F140C"/>
    <w:rsid w:val="2D4F1763"/>
    <w:rsid w:val="2D5D07A6"/>
    <w:rsid w:val="2D8A6187"/>
    <w:rsid w:val="2DDC297F"/>
    <w:rsid w:val="2E2B27AB"/>
    <w:rsid w:val="2E921DA5"/>
    <w:rsid w:val="2EBB09DD"/>
    <w:rsid w:val="2EEA15D4"/>
    <w:rsid w:val="30006A18"/>
    <w:rsid w:val="30045057"/>
    <w:rsid w:val="30667B76"/>
    <w:rsid w:val="307410C2"/>
    <w:rsid w:val="307D149D"/>
    <w:rsid w:val="30F45845"/>
    <w:rsid w:val="30F878AC"/>
    <w:rsid w:val="31121029"/>
    <w:rsid w:val="313C5E2A"/>
    <w:rsid w:val="316B6538"/>
    <w:rsid w:val="31857392"/>
    <w:rsid w:val="31A901D2"/>
    <w:rsid w:val="31B9543F"/>
    <w:rsid w:val="325A299E"/>
    <w:rsid w:val="32911D66"/>
    <w:rsid w:val="33052E4F"/>
    <w:rsid w:val="331E4081"/>
    <w:rsid w:val="33477DBB"/>
    <w:rsid w:val="34435D28"/>
    <w:rsid w:val="348F558D"/>
    <w:rsid w:val="34991CDD"/>
    <w:rsid w:val="34CC52D7"/>
    <w:rsid w:val="34FF745B"/>
    <w:rsid w:val="354F34AA"/>
    <w:rsid w:val="35804720"/>
    <w:rsid w:val="35AF558A"/>
    <w:rsid w:val="35D73946"/>
    <w:rsid w:val="360C78CF"/>
    <w:rsid w:val="36140CE4"/>
    <w:rsid w:val="36211653"/>
    <w:rsid w:val="36485076"/>
    <w:rsid w:val="36487767"/>
    <w:rsid w:val="364A5420"/>
    <w:rsid w:val="36714404"/>
    <w:rsid w:val="36913B20"/>
    <w:rsid w:val="36AE0F79"/>
    <w:rsid w:val="36B46E0B"/>
    <w:rsid w:val="36CD7356"/>
    <w:rsid w:val="370074BA"/>
    <w:rsid w:val="370E3A55"/>
    <w:rsid w:val="378B7ED8"/>
    <w:rsid w:val="37EA3D4B"/>
    <w:rsid w:val="37FA3B07"/>
    <w:rsid w:val="38125841"/>
    <w:rsid w:val="381742D4"/>
    <w:rsid w:val="38F2046B"/>
    <w:rsid w:val="393435C0"/>
    <w:rsid w:val="396E7A6D"/>
    <w:rsid w:val="39851D3C"/>
    <w:rsid w:val="39FF7EFD"/>
    <w:rsid w:val="3A522760"/>
    <w:rsid w:val="3A660185"/>
    <w:rsid w:val="3AA54031"/>
    <w:rsid w:val="3B1705E5"/>
    <w:rsid w:val="3B20637D"/>
    <w:rsid w:val="3B5A188F"/>
    <w:rsid w:val="3B847DCB"/>
    <w:rsid w:val="3B9F061F"/>
    <w:rsid w:val="3BA71887"/>
    <w:rsid w:val="3BB47700"/>
    <w:rsid w:val="3BDD4E74"/>
    <w:rsid w:val="3BE9676F"/>
    <w:rsid w:val="3BF16943"/>
    <w:rsid w:val="3C060233"/>
    <w:rsid w:val="3C1D1CD3"/>
    <w:rsid w:val="3C254167"/>
    <w:rsid w:val="3C54617F"/>
    <w:rsid w:val="3CD02094"/>
    <w:rsid w:val="3D5440BC"/>
    <w:rsid w:val="3D671B1D"/>
    <w:rsid w:val="3D7E6DE1"/>
    <w:rsid w:val="3D9C10CD"/>
    <w:rsid w:val="3DC6005E"/>
    <w:rsid w:val="3DF02037"/>
    <w:rsid w:val="3E0170E6"/>
    <w:rsid w:val="3E2C0B4B"/>
    <w:rsid w:val="3E734A16"/>
    <w:rsid w:val="3E80785E"/>
    <w:rsid w:val="3ECD2378"/>
    <w:rsid w:val="3EDE6333"/>
    <w:rsid w:val="3F35286E"/>
    <w:rsid w:val="3F5E56C6"/>
    <w:rsid w:val="3F864BA4"/>
    <w:rsid w:val="3FA34647"/>
    <w:rsid w:val="3FAD606F"/>
    <w:rsid w:val="3FAE03FB"/>
    <w:rsid w:val="3FE27CD3"/>
    <w:rsid w:val="40467726"/>
    <w:rsid w:val="40621142"/>
    <w:rsid w:val="408B1A3B"/>
    <w:rsid w:val="40977E02"/>
    <w:rsid w:val="409E01F5"/>
    <w:rsid w:val="40C335CB"/>
    <w:rsid w:val="40C70CC3"/>
    <w:rsid w:val="40F17322"/>
    <w:rsid w:val="41075F3F"/>
    <w:rsid w:val="411529FB"/>
    <w:rsid w:val="413F6A87"/>
    <w:rsid w:val="41BF2588"/>
    <w:rsid w:val="41CA2D0D"/>
    <w:rsid w:val="41CF23DC"/>
    <w:rsid w:val="41DB399D"/>
    <w:rsid w:val="421942AE"/>
    <w:rsid w:val="42344C92"/>
    <w:rsid w:val="42380E02"/>
    <w:rsid w:val="424F287C"/>
    <w:rsid w:val="42733098"/>
    <w:rsid w:val="42894808"/>
    <w:rsid w:val="428B0805"/>
    <w:rsid w:val="42A11473"/>
    <w:rsid w:val="42B77DB9"/>
    <w:rsid w:val="433C0D29"/>
    <w:rsid w:val="43D61CCF"/>
    <w:rsid w:val="43F97758"/>
    <w:rsid w:val="4427077C"/>
    <w:rsid w:val="44730AE3"/>
    <w:rsid w:val="448329EF"/>
    <w:rsid w:val="4495288B"/>
    <w:rsid w:val="44CF290F"/>
    <w:rsid w:val="454C7069"/>
    <w:rsid w:val="45637592"/>
    <w:rsid w:val="45790CC6"/>
    <w:rsid w:val="457B1BF8"/>
    <w:rsid w:val="458F0387"/>
    <w:rsid w:val="45E17242"/>
    <w:rsid w:val="45F6531C"/>
    <w:rsid w:val="465B03FE"/>
    <w:rsid w:val="46634A89"/>
    <w:rsid w:val="46B11B10"/>
    <w:rsid w:val="46BE3798"/>
    <w:rsid w:val="4723347D"/>
    <w:rsid w:val="473A6059"/>
    <w:rsid w:val="47462CC7"/>
    <w:rsid w:val="474F7251"/>
    <w:rsid w:val="4764220C"/>
    <w:rsid w:val="47833F1C"/>
    <w:rsid w:val="47A808CC"/>
    <w:rsid w:val="47B6656B"/>
    <w:rsid w:val="47C40755"/>
    <w:rsid w:val="47F22E4F"/>
    <w:rsid w:val="48522F43"/>
    <w:rsid w:val="487A6F98"/>
    <w:rsid w:val="48A860F7"/>
    <w:rsid w:val="48DF3CF4"/>
    <w:rsid w:val="493C508A"/>
    <w:rsid w:val="4961269A"/>
    <w:rsid w:val="49D04732"/>
    <w:rsid w:val="49F76548"/>
    <w:rsid w:val="4A4200BE"/>
    <w:rsid w:val="4A6A177C"/>
    <w:rsid w:val="4A7C0DFC"/>
    <w:rsid w:val="4A8907BB"/>
    <w:rsid w:val="4A9A05E4"/>
    <w:rsid w:val="4AB74242"/>
    <w:rsid w:val="4B110B90"/>
    <w:rsid w:val="4B125CE2"/>
    <w:rsid w:val="4B706C92"/>
    <w:rsid w:val="4B843E18"/>
    <w:rsid w:val="4BE668F2"/>
    <w:rsid w:val="4C2149E6"/>
    <w:rsid w:val="4D387149"/>
    <w:rsid w:val="4D986247"/>
    <w:rsid w:val="4DA1334D"/>
    <w:rsid w:val="4DA44BEC"/>
    <w:rsid w:val="4DAD0AEE"/>
    <w:rsid w:val="4DBB64C9"/>
    <w:rsid w:val="4DE33966"/>
    <w:rsid w:val="4E501797"/>
    <w:rsid w:val="4E573A0C"/>
    <w:rsid w:val="4E593C28"/>
    <w:rsid w:val="4E8135B3"/>
    <w:rsid w:val="4ECC7F56"/>
    <w:rsid w:val="4F151107"/>
    <w:rsid w:val="4F267444"/>
    <w:rsid w:val="4F7A20A8"/>
    <w:rsid w:val="4F8C0C60"/>
    <w:rsid w:val="4FA0501B"/>
    <w:rsid w:val="500B63DD"/>
    <w:rsid w:val="503C40AD"/>
    <w:rsid w:val="506805DE"/>
    <w:rsid w:val="5072077F"/>
    <w:rsid w:val="508D27A6"/>
    <w:rsid w:val="51387B25"/>
    <w:rsid w:val="51506839"/>
    <w:rsid w:val="51AE7DE7"/>
    <w:rsid w:val="51C4760A"/>
    <w:rsid w:val="5219148B"/>
    <w:rsid w:val="5294186D"/>
    <w:rsid w:val="52C72798"/>
    <w:rsid w:val="53083749"/>
    <w:rsid w:val="5315394E"/>
    <w:rsid w:val="53775BA0"/>
    <w:rsid w:val="53EA7C0E"/>
    <w:rsid w:val="540F4B3B"/>
    <w:rsid w:val="544B3A05"/>
    <w:rsid w:val="546A5834"/>
    <w:rsid w:val="5524472E"/>
    <w:rsid w:val="55297C80"/>
    <w:rsid w:val="552C6190"/>
    <w:rsid w:val="55A01BF8"/>
    <w:rsid w:val="55B84EAE"/>
    <w:rsid w:val="56382C47"/>
    <w:rsid w:val="564F0D35"/>
    <w:rsid w:val="56576550"/>
    <w:rsid w:val="56612A75"/>
    <w:rsid w:val="56734A93"/>
    <w:rsid w:val="56AD3263"/>
    <w:rsid w:val="57472A51"/>
    <w:rsid w:val="57611BEC"/>
    <w:rsid w:val="576447B7"/>
    <w:rsid w:val="57D37FA3"/>
    <w:rsid w:val="588C1257"/>
    <w:rsid w:val="58937D37"/>
    <w:rsid w:val="58A50BE6"/>
    <w:rsid w:val="58AB631C"/>
    <w:rsid w:val="58CA5BB2"/>
    <w:rsid w:val="58F4011B"/>
    <w:rsid w:val="58F76019"/>
    <w:rsid w:val="58FE78A6"/>
    <w:rsid w:val="590D2309"/>
    <w:rsid w:val="590E1869"/>
    <w:rsid w:val="59171178"/>
    <w:rsid w:val="597B4491"/>
    <w:rsid w:val="59A57D21"/>
    <w:rsid w:val="5A0E6AAE"/>
    <w:rsid w:val="5A2D06BD"/>
    <w:rsid w:val="5A7B0A82"/>
    <w:rsid w:val="5A816726"/>
    <w:rsid w:val="5A9B6510"/>
    <w:rsid w:val="5AA77AC9"/>
    <w:rsid w:val="5B077FC9"/>
    <w:rsid w:val="5B110297"/>
    <w:rsid w:val="5B2A2A5F"/>
    <w:rsid w:val="5B663938"/>
    <w:rsid w:val="5B6854AA"/>
    <w:rsid w:val="5B7D48A5"/>
    <w:rsid w:val="5BCC0610"/>
    <w:rsid w:val="5BD3529A"/>
    <w:rsid w:val="5C1B17B8"/>
    <w:rsid w:val="5C8A1451"/>
    <w:rsid w:val="5CA145D4"/>
    <w:rsid w:val="5CE11669"/>
    <w:rsid w:val="5CE13766"/>
    <w:rsid w:val="5D0A42CB"/>
    <w:rsid w:val="5D5624F1"/>
    <w:rsid w:val="5D58292A"/>
    <w:rsid w:val="5D595B2D"/>
    <w:rsid w:val="5D6F1F4C"/>
    <w:rsid w:val="5DF74937"/>
    <w:rsid w:val="5EB37FD7"/>
    <w:rsid w:val="5ED8763C"/>
    <w:rsid w:val="5F091832"/>
    <w:rsid w:val="5F0C67BE"/>
    <w:rsid w:val="5F0E70B0"/>
    <w:rsid w:val="5F4D0A01"/>
    <w:rsid w:val="5F6D308F"/>
    <w:rsid w:val="5F7D0CF4"/>
    <w:rsid w:val="5FA60AA8"/>
    <w:rsid w:val="5FBE6A00"/>
    <w:rsid w:val="5FC47C57"/>
    <w:rsid w:val="5FFC7D0A"/>
    <w:rsid w:val="60363DC9"/>
    <w:rsid w:val="60515EE8"/>
    <w:rsid w:val="607D5554"/>
    <w:rsid w:val="608A3F50"/>
    <w:rsid w:val="61080DC0"/>
    <w:rsid w:val="61130118"/>
    <w:rsid w:val="612375DA"/>
    <w:rsid w:val="61250170"/>
    <w:rsid w:val="61436FDD"/>
    <w:rsid w:val="61603C1A"/>
    <w:rsid w:val="61733CD6"/>
    <w:rsid w:val="61910E2C"/>
    <w:rsid w:val="61BC3E5A"/>
    <w:rsid w:val="61BE4401"/>
    <w:rsid w:val="62324D67"/>
    <w:rsid w:val="62854069"/>
    <w:rsid w:val="62A241F2"/>
    <w:rsid w:val="63331D15"/>
    <w:rsid w:val="634E3EBD"/>
    <w:rsid w:val="638C5AAE"/>
    <w:rsid w:val="63B514A9"/>
    <w:rsid w:val="63D05674"/>
    <w:rsid w:val="63D80CF3"/>
    <w:rsid w:val="63E27A90"/>
    <w:rsid w:val="64220BB4"/>
    <w:rsid w:val="64590086"/>
    <w:rsid w:val="646E73CF"/>
    <w:rsid w:val="64850E7B"/>
    <w:rsid w:val="64C878F9"/>
    <w:rsid w:val="64D41471"/>
    <w:rsid w:val="64F40429"/>
    <w:rsid w:val="64FD4A44"/>
    <w:rsid w:val="651E6376"/>
    <w:rsid w:val="65C52414"/>
    <w:rsid w:val="65E971E8"/>
    <w:rsid w:val="65EC479C"/>
    <w:rsid w:val="660D7080"/>
    <w:rsid w:val="6658788B"/>
    <w:rsid w:val="66651758"/>
    <w:rsid w:val="6666735E"/>
    <w:rsid w:val="669E605D"/>
    <w:rsid w:val="6723796C"/>
    <w:rsid w:val="67297071"/>
    <w:rsid w:val="674A63F3"/>
    <w:rsid w:val="675A522E"/>
    <w:rsid w:val="67A55622"/>
    <w:rsid w:val="67AE2497"/>
    <w:rsid w:val="67E1648C"/>
    <w:rsid w:val="6817003C"/>
    <w:rsid w:val="681A01F7"/>
    <w:rsid w:val="681E0BBB"/>
    <w:rsid w:val="685272C6"/>
    <w:rsid w:val="687D6EB3"/>
    <w:rsid w:val="688E20AC"/>
    <w:rsid w:val="68C446B9"/>
    <w:rsid w:val="68DC0EE7"/>
    <w:rsid w:val="695E7DBC"/>
    <w:rsid w:val="696F433E"/>
    <w:rsid w:val="69A9410F"/>
    <w:rsid w:val="69B00BB8"/>
    <w:rsid w:val="69CF6758"/>
    <w:rsid w:val="69D749EB"/>
    <w:rsid w:val="6A0D5B9B"/>
    <w:rsid w:val="6A217DF6"/>
    <w:rsid w:val="6A371DEF"/>
    <w:rsid w:val="6A4F18F3"/>
    <w:rsid w:val="6A59237F"/>
    <w:rsid w:val="6A8E48A3"/>
    <w:rsid w:val="6A971BB3"/>
    <w:rsid w:val="6AF7061D"/>
    <w:rsid w:val="6B100175"/>
    <w:rsid w:val="6B122952"/>
    <w:rsid w:val="6B2F5477"/>
    <w:rsid w:val="6B37721A"/>
    <w:rsid w:val="6BB543DB"/>
    <w:rsid w:val="6BD07984"/>
    <w:rsid w:val="6BEB3CFE"/>
    <w:rsid w:val="6C1B1754"/>
    <w:rsid w:val="6C4B4333"/>
    <w:rsid w:val="6C662F7C"/>
    <w:rsid w:val="6C804AB4"/>
    <w:rsid w:val="6CA51DCA"/>
    <w:rsid w:val="6CB34EB3"/>
    <w:rsid w:val="6CE010CE"/>
    <w:rsid w:val="6D1C4347"/>
    <w:rsid w:val="6D556AAD"/>
    <w:rsid w:val="6D761CA9"/>
    <w:rsid w:val="6D764863"/>
    <w:rsid w:val="6D975BA0"/>
    <w:rsid w:val="6DB05031"/>
    <w:rsid w:val="6DE55656"/>
    <w:rsid w:val="6DFD472A"/>
    <w:rsid w:val="6E261BA7"/>
    <w:rsid w:val="6E6A63D0"/>
    <w:rsid w:val="6E780D5B"/>
    <w:rsid w:val="6EC31360"/>
    <w:rsid w:val="6EC76544"/>
    <w:rsid w:val="6F2A4AF9"/>
    <w:rsid w:val="6F375468"/>
    <w:rsid w:val="6F463865"/>
    <w:rsid w:val="6F836F22"/>
    <w:rsid w:val="700607AF"/>
    <w:rsid w:val="70455778"/>
    <w:rsid w:val="705F07D2"/>
    <w:rsid w:val="70847674"/>
    <w:rsid w:val="70ED68DD"/>
    <w:rsid w:val="71A578C7"/>
    <w:rsid w:val="71DB657E"/>
    <w:rsid w:val="7245221F"/>
    <w:rsid w:val="729D3834"/>
    <w:rsid w:val="72E12FB0"/>
    <w:rsid w:val="731978D5"/>
    <w:rsid w:val="732E2E41"/>
    <w:rsid w:val="734D01E9"/>
    <w:rsid w:val="736D5536"/>
    <w:rsid w:val="73762E92"/>
    <w:rsid w:val="738F426F"/>
    <w:rsid w:val="740C3A73"/>
    <w:rsid w:val="74A379A0"/>
    <w:rsid w:val="74B75416"/>
    <w:rsid w:val="74CC3CF4"/>
    <w:rsid w:val="74F94C9D"/>
    <w:rsid w:val="751050E8"/>
    <w:rsid w:val="751A7EE5"/>
    <w:rsid w:val="752B200B"/>
    <w:rsid w:val="755C3876"/>
    <w:rsid w:val="755C4484"/>
    <w:rsid w:val="75C15E43"/>
    <w:rsid w:val="75EC246C"/>
    <w:rsid w:val="760F4F05"/>
    <w:rsid w:val="764C5C54"/>
    <w:rsid w:val="76884D79"/>
    <w:rsid w:val="768C6099"/>
    <w:rsid w:val="76A01F07"/>
    <w:rsid w:val="76B178AE"/>
    <w:rsid w:val="76B81326"/>
    <w:rsid w:val="76FC5F09"/>
    <w:rsid w:val="77652032"/>
    <w:rsid w:val="77736FF8"/>
    <w:rsid w:val="77DC4DFE"/>
    <w:rsid w:val="784576F8"/>
    <w:rsid w:val="78610894"/>
    <w:rsid w:val="78686007"/>
    <w:rsid w:val="786A5B72"/>
    <w:rsid w:val="78767A5E"/>
    <w:rsid w:val="78866B18"/>
    <w:rsid w:val="78BD69BA"/>
    <w:rsid w:val="79153629"/>
    <w:rsid w:val="79610342"/>
    <w:rsid w:val="79960562"/>
    <w:rsid w:val="79EE6813"/>
    <w:rsid w:val="79FA5A10"/>
    <w:rsid w:val="7A2307C6"/>
    <w:rsid w:val="7A4303D2"/>
    <w:rsid w:val="7A54626B"/>
    <w:rsid w:val="7B170503"/>
    <w:rsid w:val="7B590846"/>
    <w:rsid w:val="7BC02F34"/>
    <w:rsid w:val="7BF02C60"/>
    <w:rsid w:val="7BF23437"/>
    <w:rsid w:val="7C050DEC"/>
    <w:rsid w:val="7C8D66C7"/>
    <w:rsid w:val="7D0050EB"/>
    <w:rsid w:val="7D3C6306"/>
    <w:rsid w:val="7D444E12"/>
    <w:rsid w:val="7D697134"/>
    <w:rsid w:val="7DBC518B"/>
    <w:rsid w:val="7DC05A88"/>
    <w:rsid w:val="7DE0123D"/>
    <w:rsid w:val="7DFD76C5"/>
    <w:rsid w:val="7DFF53A3"/>
    <w:rsid w:val="7E705C9C"/>
    <w:rsid w:val="7E816BC7"/>
    <w:rsid w:val="7EA459AB"/>
    <w:rsid w:val="7ECA59B1"/>
    <w:rsid w:val="7ECB47EC"/>
    <w:rsid w:val="7EE02EA6"/>
    <w:rsid w:val="7F6C2EA6"/>
    <w:rsid w:val="7FAC50B6"/>
    <w:rsid w:val="7FC90658"/>
    <w:rsid w:val="7FD558D4"/>
    <w:rsid w:val="7FFB298F"/>
    <w:rsid w:val="C7CB64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99"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4"/>
    <w:qFormat/>
    <w:uiPriority w:val="0"/>
    <w:pPr>
      <w:spacing w:before="340" w:after="330" w:line="360" w:lineRule="auto"/>
      <w:jc w:val="center"/>
      <w:outlineLvl w:val="0"/>
    </w:pPr>
    <w:rPr>
      <w:rFonts w:eastAsia="黑体"/>
      <w:kern w:val="44"/>
      <w:szCs w:val="44"/>
    </w:rPr>
  </w:style>
  <w:style w:type="paragraph" w:styleId="5">
    <w:name w:val="heading 2"/>
    <w:basedOn w:val="1"/>
    <w:next w:val="1"/>
    <w:link w:val="79"/>
    <w:qFormat/>
    <w:uiPriority w:val="0"/>
    <w:pPr>
      <w:adjustRightInd w:val="0"/>
      <w:jc w:val="center"/>
      <w:textAlignment w:val="baseline"/>
      <w:outlineLvl w:val="1"/>
    </w:pPr>
    <w:rPr>
      <w:kern w:val="0"/>
      <w:sz w:val="24"/>
      <w:szCs w:val="20"/>
    </w:rPr>
  </w:style>
  <w:style w:type="paragraph" w:styleId="3">
    <w:name w:val="heading 3"/>
    <w:basedOn w:val="4"/>
    <w:next w:val="1"/>
    <w:link w:val="63"/>
    <w:qFormat/>
    <w:uiPriority w:val="9"/>
    <w:pPr>
      <w:spacing w:before="260" w:after="260" w:line="240" w:lineRule="auto"/>
      <w:outlineLvl w:val="2"/>
    </w:pPr>
    <w:rPr>
      <w:rFonts w:ascii="宋体" w:hAnsi="宋体" w:eastAsia="宋体"/>
      <w:szCs w:val="32"/>
    </w:rPr>
  </w:style>
  <w:style w:type="paragraph" w:styleId="4">
    <w:name w:val="heading 4"/>
    <w:basedOn w:val="1"/>
    <w:next w:val="1"/>
    <w:link w:val="61"/>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88"/>
    <w:qFormat/>
    <w:uiPriority w:val="0"/>
    <w:pPr>
      <w:keepNext/>
      <w:keepLines/>
      <w:spacing w:before="280" w:after="290" w:line="376" w:lineRule="auto"/>
      <w:outlineLvl w:val="4"/>
    </w:pPr>
    <w:rPr>
      <w:b/>
      <w:sz w:val="28"/>
      <w:szCs w:val="20"/>
    </w:rPr>
  </w:style>
  <w:style w:type="paragraph" w:styleId="9">
    <w:name w:val="heading 6"/>
    <w:basedOn w:val="1"/>
    <w:next w:val="7"/>
    <w:link w:val="91"/>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7"/>
    <w:link w:val="92"/>
    <w:qFormat/>
    <w:uiPriority w:val="0"/>
    <w:pPr>
      <w:keepNext/>
      <w:keepLines/>
      <w:spacing w:before="240" w:after="64" w:line="320" w:lineRule="auto"/>
      <w:outlineLvl w:val="6"/>
    </w:pPr>
    <w:rPr>
      <w:b/>
      <w:sz w:val="24"/>
      <w:szCs w:val="20"/>
    </w:rPr>
  </w:style>
  <w:style w:type="paragraph" w:styleId="11">
    <w:name w:val="heading 8"/>
    <w:basedOn w:val="1"/>
    <w:next w:val="7"/>
    <w:link w:val="93"/>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7"/>
    <w:link w:val="94"/>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link w:val="65"/>
    <w:qFormat/>
    <w:uiPriority w:val="0"/>
    <w:pPr>
      <w:ind w:firstLine="420"/>
    </w:pPr>
    <w:rPr>
      <w:szCs w:val="20"/>
    </w:rPr>
  </w:style>
  <w:style w:type="paragraph" w:styleId="8">
    <w:name w:val="Body Text"/>
    <w:basedOn w:val="1"/>
    <w:next w:val="1"/>
    <w:link w:val="100"/>
    <w:qFormat/>
    <w:uiPriority w:val="0"/>
    <w:pPr>
      <w:spacing w:line="360" w:lineRule="auto"/>
    </w:pPr>
    <w:rPr>
      <w:b/>
      <w:bCs/>
      <w:sz w:val="24"/>
    </w:rPr>
  </w:style>
  <w:style w:type="paragraph" w:styleId="13">
    <w:name w:val="toc 7"/>
    <w:basedOn w:val="1"/>
    <w:next w:val="1"/>
    <w:semiHidden/>
    <w:qFormat/>
    <w:uiPriority w:val="0"/>
    <w:pPr>
      <w:ind w:left="1260"/>
      <w:jc w:val="left"/>
    </w:pPr>
    <w:rPr>
      <w:szCs w:val="21"/>
    </w:rPr>
  </w:style>
  <w:style w:type="paragraph" w:styleId="14">
    <w:name w:val="index 8"/>
    <w:basedOn w:val="1"/>
    <w:next w:val="1"/>
    <w:semiHidden/>
    <w:unhideWhenUsed/>
    <w:qFormat/>
    <w:uiPriority w:val="99"/>
    <w:pPr>
      <w:ind w:left="1400" w:leftChars="1400"/>
    </w:p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92"/>
    <w:qFormat/>
    <w:uiPriority w:val="0"/>
    <w:pPr>
      <w:autoSpaceDE w:val="0"/>
      <w:autoSpaceDN w:val="0"/>
      <w:adjustRightInd w:val="0"/>
      <w:jc w:val="left"/>
      <w:textAlignment w:val="baseline"/>
    </w:pPr>
    <w:rPr>
      <w:rFonts w:ascii="宋体"/>
      <w:kern w:val="0"/>
      <w:sz w:val="34"/>
      <w:szCs w:val="20"/>
    </w:rPr>
  </w:style>
  <w:style w:type="paragraph" w:styleId="19">
    <w:name w:val="Body Text 3"/>
    <w:basedOn w:val="1"/>
    <w:link w:val="106"/>
    <w:qFormat/>
    <w:uiPriority w:val="0"/>
    <w:pPr>
      <w:spacing w:after="120"/>
    </w:pPr>
    <w:rPr>
      <w:sz w:val="16"/>
      <w:szCs w:val="16"/>
    </w:rPr>
  </w:style>
  <w:style w:type="paragraph" w:styleId="20">
    <w:name w:val="Body Text Indent"/>
    <w:basedOn w:val="1"/>
    <w:link w:val="87"/>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8"/>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6"/>
    <w:qFormat/>
    <w:uiPriority w:val="0"/>
    <w:rPr>
      <w:rFonts w:ascii="宋体" w:hAnsi="Courier New"/>
      <w:sz w:val="32"/>
      <w:szCs w:val="20"/>
    </w:rPr>
  </w:style>
  <w:style w:type="paragraph" w:styleId="26">
    <w:name w:val="Body Text Indent 2"/>
    <w:basedOn w:val="1"/>
    <w:link w:val="101"/>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7"/>
    <w:semiHidden/>
    <w:qFormat/>
    <w:uiPriority w:val="99"/>
    <w:rPr>
      <w:sz w:val="18"/>
      <w:szCs w:val="18"/>
    </w:rPr>
  </w:style>
  <w:style w:type="paragraph" w:styleId="28">
    <w:name w:val="footer"/>
    <w:basedOn w:val="1"/>
    <w:link w:val="105"/>
    <w:qFormat/>
    <w:uiPriority w:val="0"/>
    <w:pPr>
      <w:tabs>
        <w:tab w:val="center" w:pos="4153"/>
        <w:tab w:val="right" w:pos="8306"/>
      </w:tabs>
      <w:snapToGrid w:val="0"/>
      <w:jc w:val="left"/>
    </w:pPr>
    <w:rPr>
      <w:sz w:val="18"/>
      <w:szCs w:val="18"/>
    </w:rPr>
  </w:style>
  <w:style w:type="paragraph" w:styleId="29">
    <w:name w:val="header"/>
    <w:basedOn w:val="1"/>
    <w:link w:val="102"/>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3"/>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104"/>
    <w:qFormat/>
    <w:uiPriority w:val="0"/>
    <w:pPr>
      <w:spacing w:line="360" w:lineRule="auto"/>
    </w:pPr>
    <w:rPr>
      <w:sz w:val="24"/>
    </w:rPr>
  </w:style>
  <w:style w:type="paragraph" w:styleId="37">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link w:val="198"/>
    <w:qFormat/>
    <w:uiPriority w:val="99"/>
    <w:rPr>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next w:val="1"/>
    <w:link w:val="95"/>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8"/>
    <w:next w:val="18"/>
    <w:link w:val="193"/>
    <w:qFormat/>
    <w:uiPriority w:val="99"/>
    <w:pPr>
      <w:autoSpaceDE/>
      <w:autoSpaceDN/>
      <w:adjustRightInd/>
      <w:textAlignment w:val="auto"/>
    </w:pPr>
    <w:rPr>
      <w:rFonts w:ascii="Times New Roman"/>
      <w:b/>
      <w:bCs/>
      <w:kern w:val="2"/>
      <w:sz w:val="21"/>
      <w:szCs w:val="24"/>
    </w:rPr>
  </w:style>
  <w:style w:type="paragraph" w:styleId="42">
    <w:name w:val="Body Text First Indent"/>
    <w:basedOn w:val="8"/>
    <w:link w:val="138"/>
    <w:qFormat/>
    <w:uiPriority w:val="0"/>
    <w:pPr>
      <w:spacing w:after="120" w:line="240" w:lineRule="auto"/>
      <w:ind w:firstLine="420" w:firstLineChars="100"/>
    </w:pPr>
    <w:rPr>
      <w:sz w:val="21"/>
    </w:rPr>
  </w:style>
  <w:style w:type="paragraph" w:styleId="43">
    <w:name w:val="Body Text First Indent 2"/>
    <w:basedOn w:val="20"/>
    <w:unhideWhenUsed/>
    <w:qFormat/>
    <w:uiPriority w:val="99"/>
    <w:pPr>
      <w:ind w:firstLine="420" w:firstLineChars="20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HTML Definition"/>
    <w:basedOn w:val="46"/>
    <w:semiHidden/>
    <w:unhideWhenUsed/>
    <w:qFormat/>
    <w:uiPriority w:val="0"/>
  </w:style>
  <w:style w:type="character" w:styleId="51">
    <w:name w:val="HTML Typewriter"/>
    <w:basedOn w:val="46"/>
    <w:semiHidden/>
    <w:unhideWhenUsed/>
    <w:qFormat/>
    <w:uiPriority w:val="0"/>
    <w:rPr>
      <w:rFonts w:hint="default" w:ascii="monospace" w:hAnsi="monospace" w:eastAsia="monospace" w:cs="monospace"/>
      <w:sz w:val="20"/>
    </w:rPr>
  </w:style>
  <w:style w:type="character" w:styleId="52">
    <w:name w:val="HTML Acronym"/>
    <w:basedOn w:val="46"/>
    <w:semiHidden/>
    <w:unhideWhenUsed/>
    <w:qFormat/>
    <w:uiPriority w:val="0"/>
  </w:style>
  <w:style w:type="character" w:styleId="53">
    <w:name w:val="HTML Variable"/>
    <w:basedOn w:val="46"/>
    <w:semiHidden/>
    <w:unhideWhenUsed/>
    <w:qFormat/>
    <w:uiPriority w:val="0"/>
  </w:style>
  <w:style w:type="character" w:styleId="54">
    <w:name w:val="Hyperlink"/>
    <w:qFormat/>
    <w:uiPriority w:val="0"/>
    <w:rPr>
      <w:color w:val="0000FF"/>
      <w:u w:val="single"/>
    </w:rPr>
  </w:style>
  <w:style w:type="character" w:styleId="55">
    <w:name w:val="HTML Code"/>
    <w:basedOn w:val="46"/>
    <w:semiHidden/>
    <w:unhideWhenUsed/>
    <w:qFormat/>
    <w:uiPriority w:val="0"/>
    <w:rPr>
      <w:rFonts w:hint="default" w:ascii="monospace" w:hAnsi="monospace" w:eastAsia="monospace" w:cs="monospace"/>
      <w:sz w:val="20"/>
    </w:rPr>
  </w:style>
  <w:style w:type="character" w:styleId="56">
    <w:name w:val="annotation reference"/>
    <w:basedOn w:val="46"/>
    <w:qFormat/>
    <w:uiPriority w:val="99"/>
    <w:rPr>
      <w:sz w:val="21"/>
      <w:szCs w:val="21"/>
    </w:rPr>
  </w:style>
  <w:style w:type="character" w:styleId="57">
    <w:name w:val="HTML Cite"/>
    <w:basedOn w:val="46"/>
    <w:semiHidden/>
    <w:unhideWhenUsed/>
    <w:qFormat/>
    <w:uiPriority w:val="0"/>
  </w:style>
  <w:style w:type="character" w:styleId="58">
    <w:name w:val="HTML Keyboard"/>
    <w:basedOn w:val="46"/>
    <w:semiHidden/>
    <w:unhideWhenUsed/>
    <w:qFormat/>
    <w:uiPriority w:val="0"/>
    <w:rPr>
      <w:rFonts w:hint="default" w:ascii="monospace" w:hAnsi="monospace" w:eastAsia="monospace" w:cs="monospace"/>
      <w:sz w:val="20"/>
    </w:rPr>
  </w:style>
  <w:style w:type="character" w:styleId="59">
    <w:name w:val="HTML Sample"/>
    <w:basedOn w:val="46"/>
    <w:semiHidden/>
    <w:unhideWhenUsed/>
    <w:qFormat/>
    <w:uiPriority w:val="0"/>
    <w:rPr>
      <w:rFonts w:ascii="monospace" w:hAnsi="monospace" w:eastAsia="monospace" w:cs="monospace"/>
    </w:rPr>
  </w:style>
  <w:style w:type="paragraph" w:customStyle="1" w:styleId="60">
    <w:name w:val="表格文字"/>
    <w:basedOn w:val="1"/>
    <w:qFormat/>
    <w:uiPriority w:val="99"/>
    <w:pPr>
      <w:spacing w:before="25" w:after="25"/>
    </w:pPr>
    <w:rPr>
      <w:spacing w:val="10"/>
      <w:sz w:val="24"/>
    </w:rPr>
  </w:style>
  <w:style w:type="character" w:customStyle="1" w:styleId="61">
    <w:name w:val="标题 4 字符"/>
    <w:link w:val="4"/>
    <w:qFormat/>
    <w:uiPriority w:val="9"/>
    <w:rPr>
      <w:rFonts w:ascii="Arial" w:hAnsi="Arial" w:eastAsia="黑体"/>
      <w:b/>
      <w:bCs/>
      <w:kern w:val="2"/>
      <w:sz w:val="28"/>
      <w:szCs w:val="28"/>
      <w:lang w:val="en-US" w:eastAsia="zh-CN" w:bidi="ar-SA"/>
    </w:rPr>
  </w:style>
  <w:style w:type="paragraph" w:customStyle="1" w:styleId="6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3">
    <w:name w:val="标题 3 字符"/>
    <w:link w:val="3"/>
    <w:qFormat/>
    <w:uiPriority w:val="9"/>
    <w:rPr>
      <w:rFonts w:ascii="宋体" w:hAnsi="宋体" w:eastAsia="宋体"/>
      <w:b/>
      <w:bCs/>
      <w:kern w:val="2"/>
      <w:sz w:val="28"/>
      <w:szCs w:val="32"/>
      <w:lang w:val="en-US" w:eastAsia="zh-CN" w:bidi="ar-SA"/>
    </w:rPr>
  </w:style>
  <w:style w:type="character" w:customStyle="1" w:styleId="64">
    <w:name w:val="标题 1 字符"/>
    <w:link w:val="2"/>
    <w:qFormat/>
    <w:uiPriority w:val="0"/>
    <w:rPr>
      <w:rFonts w:ascii="宋体" w:hAnsi="宋体" w:eastAsia="黑体"/>
      <w:b/>
      <w:bCs/>
      <w:kern w:val="44"/>
      <w:sz w:val="28"/>
      <w:szCs w:val="44"/>
      <w:lang w:val="en-US" w:eastAsia="zh-CN" w:bidi="ar-SA"/>
    </w:rPr>
  </w:style>
  <w:style w:type="character" w:customStyle="1" w:styleId="65">
    <w:name w:val="正文缩进 字符"/>
    <w:link w:val="7"/>
    <w:qFormat/>
    <w:uiPriority w:val="0"/>
    <w:rPr>
      <w:rFonts w:eastAsia="宋体"/>
      <w:kern w:val="2"/>
      <w:sz w:val="21"/>
      <w:lang w:val="en-US" w:eastAsia="zh-CN" w:bidi="ar-SA"/>
    </w:rPr>
  </w:style>
  <w:style w:type="character" w:customStyle="1" w:styleId="66">
    <w:name w:val="标题 3 Char"/>
    <w:qFormat/>
    <w:uiPriority w:val="0"/>
    <w:rPr>
      <w:rFonts w:ascii="黑体" w:eastAsia="黑体"/>
      <w:bCs/>
      <w:sz w:val="30"/>
    </w:rPr>
  </w:style>
  <w:style w:type="paragraph" w:customStyle="1" w:styleId="67">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7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
    <w:name w:val="自定义正文"/>
    <w:basedOn w:val="1"/>
    <w:qFormat/>
    <w:uiPriority w:val="0"/>
    <w:pPr>
      <w:spacing w:afterLines="50"/>
      <w:ind w:left="600" w:leftChars="600"/>
    </w:pPr>
  </w:style>
  <w:style w:type="paragraph" w:customStyle="1" w:styleId="75">
    <w:name w:val="Char Char Char Char Char"/>
    <w:basedOn w:val="1"/>
    <w:qFormat/>
    <w:uiPriority w:val="0"/>
    <w:rPr>
      <w:rFonts w:ascii="Tahoma" w:hAnsi="Tahoma"/>
      <w:sz w:val="24"/>
      <w:szCs w:val="20"/>
    </w:rPr>
  </w:style>
  <w:style w:type="paragraph" w:customStyle="1" w:styleId="7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7">
    <w:name w:val="Char Char"/>
    <w:basedOn w:val="1"/>
    <w:qFormat/>
    <w:uiPriority w:val="0"/>
    <w:rPr>
      <w:rFonts w:ascii="Tahoma" w:hAnsi="Tahoma"/>
      <w:sz w:val="24"/>
      <w:szCs w:val="20"/>
    </w:rPr>
  </w:style>
  <w:style w:type="paragraph" w:customStyle="1" w:styleId="78">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9">
    <w:name w:val="标题 2 字符"/>
    <w:link w:val="5"/>
    <w:qFormat/>
    <w:uiPriority w:val="0"/>
    <w:rPr>
      <w:rFonts w:ascii="宋体" w:hAnsi="宋体" w:eastAsia="宋体"/>
      <w:b/>
      <w:bCs/>
      <w:sz w:val="24"/>
      <w:lang w:val="en-US" w:eastAsia="zh-CN" w:bidi="ar-SA"/>
    </w:rPr>
  </w:style>
  <w:style w:type="paragraph" w:customStyle="1" w:styleId="8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81">
    <w:name w:val="List Paragraph"/>
    <w:basedOn w:val="1"/>
    <w:qFormat/>
    <w:uiPriority w:val="34"/>
    <w:pPr>
      <w:ind w:firstLine="420" w:firstLineChars="200"/>
    </w:pPr>
    <w:rPr>
      <w:rFonts w:ascii="Calibri" w:hAnsi="Calibri"/>
      <w:szCs w:val="22"/>
    </w:rPr>
  </w:style>
  <w:style w:type="paragraph" w:customStyle="1" w:styleId="82">
    <w:name w:val="USE 1"/>
    <w:basedOn w:val="1"/>
    <w:qFormat/>
    <w:uiPriority w:val="0"/>
    <w:pPr>
      <w:spacing w:line="200" w:lineRule="atLeast"/>
      <w:jc w:val="left"/>
    </w:pPr>
    <w:rPr>
      <w:rFonts w:ascii="宋体" w:hAnsi="宋体"/>
      <w:b/>
      <w:sz w:val="24"/>
      <w:szCs w:val="28"/>
    </w:rPr>
  </w:style>
  <w:style w:type="paragraph" w:customStyle="1" w:styleId="83">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4">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5">
    <w:name w:val="样式 标题 2 + 段前: 13 磅 段后: 13 磅 行距: 单倍行距"/>
    <w:basedOn w:val="5"/>
    <w:qFormat/>
    <w:uiPriority w:val="0"/>
    <w:pPr>
      <w:adjustRightInd/>
      <w:jc w:val="both"/>
      <w:textAlignment w:val="auto"/>
    </w:pPr>
    <w:rPr>
      <w:rFonts w:ascii="Cambria" w:hAnsi="Cambria" w:cs="宋体"/>
      <w:kern w:val="2"/>
      <w:sz w:val="32"/>
    </w:rPr>
  </w:style>
  <w:style w:type="character" w:customStyle="1" w:styleId="86">
    <w:name w:val="H4 Char2"/>
    <w:qFormat/>
    <w:uiPriority w:val="0"/>
    <w:rPr>
      <w:rFonts w:ascii="Arial" w:hAnsi="Arial" w:eastAsia="黑体"/>
      <w:b/>
      <w:bCs/>
      <w:kern w:val="2"/>
      <w:sz w:val="28"/>
      <w:szCs w:val="28"/>
      <w:lang w:val="en-US" w:eastAsia="zh-CN" w:bidi="ar-SA"/>
    </w:rPr>
  </w:style>
  <w:style w:type="character" w:customStyle="1" w:styleId="87">
    <w:name w:val="正文文本缩进 字符"/>
    <w:link w:val="20"/>
    <w:qFormat/>
    <w:uiPriority w:val="0"/>
    <w:rPr>
      <w:rFonts w:eastAsia="宋体"/>
      <w:kern w:val="2"/>
      <w:sz w:val="21"/>
      <w:szCs w:val="24"/>
      <w:lang w:val="en-US" w:eastAsia="zh-CN" w:bidi="ar-SA"/>
    </w:rPr>
  </w:style>
  <w:style w:type="character" w:customStyle="1" w:styleId="88">
    <w:name w:val="标题 5 字符"/>
    <w:link w:val="6"/>
    <w:qFormat/>
    <w:uiPriority w:val="0"/>
    <w:rPr>
      <w:rFonts w:eastAsia="宋体"/>
      <w:b/>
      <w:kern w:val="2"/>
      <w:sz w:val="28"/>
      <w:lang w:val="en-US" w:eastAsia="zh-CN" w:bidi="ar-SA"/>
    </w:rPr>
  </w:style>
  <w:style w:type="character" w:customStyle="1" w:styleId="89">
    <w:name w:val="第*章 Char"/>
    <w:qFormat/>
    <w:uiPriority w:val="0"/>
    <w:rPr>
      <w:rFonts w:ascii="Arial" w:hAnsi="Arial" w:eastAsia="黑体"/>
      <w:b/>
      <w:bCs/>
      <w:kern w:val="2"/>
      <w:sz w:val="32"/>
      <w:szCs w:val="32"/>
    </w:rPr>
  </w:style>
  <w:style w:type="character" w:customStyle="1" w:styleId="90">
    <w:name w:val="章标题1 Char"/>
    <w:qFormat/>
    <w:uiPriority w:val="0"/>
    <w:rPr>
      <w:rFonts w:eastAsia="宋体"/>
      <w:b/>
      <w:bCs/>
      <w:kern w:val="2"/>
      <w:sz w:val="32"/>
      <w:szCs w:val="32"/>
      <w:lang w:val="en-US" w:eastAsia="zh-CN" w:bidi="ar-SA"/>
    </w:rPr>
  </w:style>
  <w:style w:type="character" w:customStyle="1" w:styleId="91">
    <w:name w:val="标题 6 字符"/>
    <w:link w:val="9"/>
    <w:qFormat/>
    <w:uiPriority w:val="0"/>
    <w:rPr>
      <w:rFonts w:ascii="Arial" w:hAnsi="Arial" w:eastAsia="黑体"/>
      <w:b/>
      <w:kern w:val="2"/>
      <w:sz w:val="24"/>
      <w:lang w:val="en-US" w:eastAsia="zh-CN" w:bidi="ar-SA"/>
    </w:rPr>
  </w:style>
  <w:style w:type="character" w:customStyle="1" w:styleId="92">
    <w:name w:val="标题 7 字符"/>
    <w:link w:val="10"/>
    <w:qFormat/>
    <w:uiPriority w:val="0"/>
    <w:rPr>
      <w:rFonts w:eastAsia="宋体"/>
      <w:b/>
      <w:kern w:val="2"/>
      <w:sz w:val="24"/>
      <w:lang w:val="en-US" w:eastAsia="zh-CN" w:bidi="ar-SA"/>
    </w:rPr>
  </w:style>
  <w:style w:type="character" w:customStyle="1" w:styleId="93">
    <w:name w:val="标题 8 字符"/>
    <w:link w:val="11"/>
    <w:qFormat/>
    <w:uiPriority w:val="0"/>
    <w:rPr>
      <w:rFonts w:ascii="Arial" w:hAnsi="Arial" w:eastAsia="黑体"/>
      <w:kern w:val="2"/>
      <w:sz w:val="24"/>
      <w:lang w:val="en-US" w:eastAsia="zh-CN" w:bidi="ar-SA"/>
    </w:rPr>
  </w:style>
  <w:style w:type="character" w:customStyle="1" w:styleId="94">
    <w:name w:val="标题 9 字符"/>
    <w:link w:val="12"/>
    <w:qFormat/>
    <w:uiPriority w:val="0"/>
    <w:rPr>
      <w:rFonts w:ascii="Arial" w:hAnsi="Arial" w:eastAsia="黑体"/>
      <w:kern w:val="2"/>
      <w:sz w:val="21"/>
      <w:lang w:val="en-US" w:eastAsia="zh-CN" w:bidi="ar-SA"/>
    </w:rPr>
  </w:style>
  <w:style w:type="character" w:customStyle="1" w:styleId="95">
    <w:name w:val="标题 字符"/>
    <w:link w:val="40"/>
    <w:qFormat/>
    <w:uiPriority w:val="0"/>
    <w:rPr>
      <w:rFonts w:ascii="Arial" w:hAnsi="Arial" w:eastAsia="隶书" w:cs="Arial"/>
      <w:b/>
      <w:bCs/>
      <w:kern w:val="2"/>
      <w:sz w:val="32"/>
      <w:szCs w:val="32"/>
      <w:lang w:val="en-US" w:eastAsia="zh-CN" w:bidi="ar-SA"/>
    </w:rPr>
  </w:style>
  <w:style w:type="character" w:customStyle="1" w:styleId="96">
    <w:name w:val="日期 字符"/>
    <w:link w:val="25"/>
    <w:qFormat/>
    <w:uiPriority w:val="0"/>
    <w:rPr>
      <w:rFonts w:ascii="宋体" w:hAnsi="Courier New" w:eastAsia="宋体"/>
      <w:kern w:val="2"/>
      <w:sz w:val="32"/>
      <w:lang w:val="en-US" w:eastAsia="zh-CN" w:bidi="ar-SA"/>
    </w:rPr>
  </w:style>
  <w:style w:type="character" w:customStyle="1" w:styleId="97">
    <w:name w:val="HTML 预设格式 字符"/>
    <w:link w:val="37"/>
    <w:qFormat/>
    <w:uiPriority w:val="0"/>
    <w:rPr>
      <w:rFonts w:ascii="Arial Unicode MS" w:hAnsi="Arial Unicode MS" w:eastAsia="Arial Unicode MS"/>
      <w:color w:val="000000"/>
      <w:lang w:val="en-US" w:eastAsia="zh-CN" w:bidi="ar-SA"/>
    </w:rPr>
  </w:style>
  <w:style w:type="character" w:customStyle="1" w:styleId="98">
    <w:name w:val="纯文本 字符"/>
    <w:link w:val="23"/>
    <w:qFormat/>
    <w:uiPriority w:val="0"/>
    <w:rPr>
      <w:rFonts w:ascii="宋体" w:hAnsi="Courier New" w:eastAsia="宋体"/>
      <w:kern w:val="2"/>
      <w:sz w:val="21"/>
      <w:lang w:val="en-US" w:eastAsia="zh-CN" w:bidi="ar-SA"/>
    </w:rPr>
  </w:style>
  <w:style w:type="character" w:customStyle="1" w:styleId="99">
    <w:name w:val="正文文字首行缩进 Char"/>
    <w:qFormat/>
    <w:uiPriority w:val="0"/>
    <w:rPr>
      <w:kern w:val="2"/>
      <w:sz w:val="21"/>
      <w:szCs w:val="24"/>
    </w:rPr>
  </w:style>
  <w:style w:type="character" w:customStyle="1" w:styleId="100">
    <w:name w:val="正文文本 字符"/>
    <w:link w:val="8"/>
    <w:qFormat/>
    <w:uiPriority w:val="0"/>
    <w:rPr>
      <w:rFonts w:eastAsia="宋体"/>
      <w:b/>
      <w:bCs/>
      <w:kern w:val="2"/>
      <w:sz w:val="24"/>
      <w:szCs w:val="24"/>
      <w:lang w:val="en-US" w:eastAsia="zh-CN" w:bidi="ar-SA"/>
    </w:rPr>
  </w:style>
  <w:style w:type="character" w:customStyle="1" w:styleId="101">
    <w:name w:val="正文文本缩进 2 字符"/>
    <w:link w:val="26"/>
    <w:qFormat/>
    <w:uiPriority w:val="0"/>
    <w:rPr>
      <w:rFonts w:ascii="宋体" w:hAnsi="宋体" w:eastAsia="宋体"/>
      <w:kern w:val="2"/>
      <w:sz w:val="21"/>
      <w:szCs w:val="24"/>
      <w:lang w:val="en-US" w:eastAsia="zh-CN" w:bidi="ar-SA"/>
    </w:rPr>
  </w:style>
  <w:style w:type="character" w:customStyle="1" w:styleId="102">
    <w:name w:val="页眉 字符"/>
    <w:link w:val="29"/>
    <w:qFormat/>
    <w:uiPriority w:val="99"/>
    <w:rPr>
      <w:rFonts w:eastAsia="宋体"/>
      <w:kern w:val="2"/>
      <w:sz w:val="18"/>
      <w:szCs w:val="18"/>
      <w:lang w:val="en-US" w:eastAsia="zh-CN" w:bidi="ar-SA"/>
    </w:rPr>
  </w:style>
  <w:style w:type="character" w:customStyle="1" w:styleId="103">
    <w:name w:val="正文文本缩进 3 字符"/>
    <w:link w:val="33"/>
    <w:qFormat/>
    <w:uiPriority w:val="0"/>
    <w:rPr>
      <w:rFonts w:ascii="宋体" w:eastAsia="宋体"/>
      <w:b/>
      <w:bCs/>
      <w:kern w:val="2"/>
      <w:sz w:val="24"/>
      <w:szCs w:val="24"/>
      <w:lang w:val="en-US" w:eastAsia="zh-CN" w:bidi="ar-SA"/>
    </w:rPr>
  </w:style>
  <w:style w:type="character" w:customStyle="1" w:styleId="104">
    <w:name w:val="正文文本 2 字符"/>
    <w:link w:val="36"/>
    <w:qFormat/>
    <w:uiPriority w:val="0"/>
    <w:rPr>
      <w:rFonts w:eastAsia="宋体"/>
      <w:kern w:val="2"/>
      <w:sz w:val="24"/>
      <w:szCs w:val="24"/>
      <w:lang w:val="en-US" w:eastAsia="zh-CN" w:bidi="ar-SA"/>
    </w:rPr>
  </w:style>
  <w:style w:type="character" w:customStyle="1" w:styleId="105">
    <w:name w:val="页脚 字符"/>
    <w:link w:val="28"/>
    <w:qFormat/>
    <w:uiPriority w:val="0"/>
    <w:rPr>
      <w:rFonts w:eastAsia="宋体"/>
      <w:kern w:val="2"/>
      <w:sz w:val="18"/>
      <w:szCs w:val="18"/>
      <w:lang w:val="en-US" w:eastAsia="zh-CN" w:bidi="ar-SA"/>
    </w:rPr>
  </w:style>
  <w:style w:type="character" w:customStyle="1" w:styleId="106">
    <w:name w:val="正文文本 3 字符"/>
    <w:link w:val="19"/>
    <w:qFormat/>
    <w:uiPriority w:val="0"/>
    <w:rPr>
      <w:rFonts w:eastAsia="宋体"/>
      <w:kern w:val="2"/>
      <w:sz w:val="16"/>
      <w:szCs w:val="16"/>
      <w:lang w:val="en-US" w:eastAsia="zh-CN" w:bidi="ar-SA"/>
    </w:rPr>
  </w:style>
  <w:style w:type="character" w:customStyle="1" w:styleId="107">
    <w:name w:val="批注框文本 字符"/>
    <w:link w:val="27"/>
    <w:semiHidden/>
    <w:qFormat/>
    <w:uiPriority w:val="99"/>
    <w:rPr>
      <w:rFonts w:eastAsia="宋体"/>
      <w:kern w:val="2"/>
      <w:sz w:val="18"/>
      <w:szCs w:val="18"/>
      <w:lang w:val="en-US" w:eastAsia="zh-CN" w:bidi="ar-SA"/>
    </w:rPr>
  </w:style>
  <w:style w:type="paragraph" w:customStyle="1" w:styleId="108">
    <w:name w:val="样式1"/>
    <w:basedOn w:val="40"/>
    <w:qFormat/>
    <w:uiPriority w:val="0"/>
    <w:pPr>
      <w:spacing w:before="120" w:after="120"/>
    </w:pPr>
    <w:rPr>
      <w:rFonts w:eastAsia="黑体"/>
      <w:b w:val="0"/>
      <w:sz w:val="30"/>
      <w:szCs w:val="21"/>
    </w:rPr>
  </w:style>
  <w:style w:type="paragraph" w:customStyle="1" w:styleId="109">
    <w:name w:val="样式2"/>
    <w:basedOn w:val="40"/>
    <w:next w:val="108"/>
    <w:qFormat/>
    <w:uiPriority w:val="0"/>
    <w:pPr>
      <w:spacing w:before="120" w:after="120"/>
    </w:pPr>
    <w:rPr>
      <w:rFonts w:eastAsia="黑体"/>
      <w:b w:val="0"/>
      <w:sz w:val="30"/>
      <w:szCs w:val="30"/>
    </w:rPr>
  </w:style>
  <w:style w:type="character" w:customStyle="1" w:styleId="110">
    <w:name w:val="标题 3 Char Char"/>
    <w:qFormat/>
    <w:uiPriority w:val="0"/>
    <w:rPr>
      <w:rFonts w:eastAsia="宋体"/>
      <w:b/>
      <w:bCs/>
      <w:kern w:val="2"/>
      <w:sz w:val="32"/>
      <w:szCs w:val="32"/>
      <w:lang w:val="en-US" w:eastAsia="zh-CN" w:bidi="ar-SA"/>
    </w:rPr>
  </w:style>
  <w:style w:type="paragraph" w:customStyle="1" w:styleId="111">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2">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3">
    <w:name w:val="--规划正文"/>
    <w:basedOn w:val="1"/>
    <w:qFormat/>
    <w:uiPriority w:val="0"/>
    <w:pPr>
      <w:spacing w:line="360" w:lineRule="auto"/>
      <w:ind w:firstLine="200" w:firstLineChars="200"/>
    </w:pPr>
    <w:rPr>
      <w:szCs w:val="20"/>
    </w:rPr>
  </w:style>
  <w:style w:type="paragraph" w:customStyle="1" w:styleId="114">
    <w:name w:val="设计依据"/>
    <w:basedOn w:val="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5">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6">
    <w:name w:val="样式4"/>
    <w:basedOn w:val="1"/>
    <w:qFormat/>
    <w:uiPriority w:val="0"/>
    <w:pPr>
      <w:tabs>
        <w:tab w:val="left" w:pos="842"/>
      </w:tabs>
      <w:spacing w:line="360" w:lineRule="auto"/>
      <w:ind w:left="842" w:hanging="420"/>
    </w:pPr>
    <w:rPr>
      <w:sz w:val="24"/>
    </w:rPr>
  </w:style>
  <w:style w:type="paragraph" w:customStyle="1" w:styleId="117">
    <w:name w:val="文字"/>
    <w:basedOn w:val="1"/>
    <w:qFormat/>
    <w:uiPriority w:val="0"/>
    <w:pPr>
      <w:tabs>
        <w:tab w:val="left" w:pos="8520"/>
      </w:tabs>
      <w:spacing w:line="312" w:lineRule="auto"/>
      <w:ind w:right="-210" w:firstLine="556"/>
    </w:pPr>
    <w:rPr>
      <w:rFonts w:ascii="宋体"/>
      <w:sz w:val="28"/>
      <w:szCs w:val="20"/>
    </w:rPr>
  </w:style>
  <w:style w:type="paragraph" w:customStyle="1" w:styleId="118">
    <w:name w:val="--规划-表格-居左"/>
    <w:basedOn w:val="113"/>
    <w:qFormat/>
    <w:uiPriority w:val="0"/>
    <w:pPr>
      <w:spacing w:line="240" w:lineRule="auto"/>
      <w:ind w:firstLine="0" w:firstLineChars="0"/>
    </w:pPr>
    <w:rPr>
      <w:sz w:val="20"/>
    </w:rPr>
  </w:style>
  <w:style w:type="paragraph" w:customStyle="1" w:styleId="119">
    <w:name w:val="--规划-表格-居中"/>
    <w:basedOn w:val="113"/>
    <w:qFormat/>
    <w:uiPriority w:val="0"/>
    <w:pPr>
      <w:spacing w:line="240" w:lineRule="auto"/>
      <w:ind w:firstLine="0" w:firstLineChars="0"/>
      <w:jc w:val="center"/>
    </w:pPr>
    <w:rPr>
      <w:sz w:val="20"/>
    </w:rPr>
  </w:style>
  <w:style w:type="paragraph" w:customStyle="1" w:styleId="120">
    <w:name w:val="--编号内缩进"/>
    <w:basedOn w:val="1"/>
    <w:qFormat/>
    <w:uiPriority w:val="0"/>
    <w:pPr>
      <w:spacing w:line="360" w:lineRule="auto"/>
      <w:ind w:left="420" w:firstLine="200" w:firstLineChars="200"/>
    </w:pPr>
    <w:rPr>
      <w:szCs w:val="21"/>
    </w:rPr>
  </w:style>
  <w:style w:type="paragraph" w:customStyle="1" w:styleId="121">
    <w:name w:val="--规划-题注"/>
    <w:basedOn w:val="1"/>
    <w:next w:val="113"/>
    <w:qFormat/>
    <w:uiPriority w:val="0"/>
    <w:pPr>
      <w:spacing w:line="360" w:lineRule="auto"/>
      <w:jc w:val="center"/>
    </w:pPr>
    <w:rPr>
      <w:rFonts w:eastAsia="黑体"/>
    </w:rPr>
  </w:style>
  <w:style w:type="paragraph" w:customStyle="1" w:styleId="122">
    <w:name w:val="--规划-图和表"/>
    <w:next w:val="113"/>
    <w:qFormat/>
    <w:uiPriority w:val="0"/>
    <w:pPr>
      <w:jc w:val="center"/>
    </w:pPr>
    <w:rPr>
      <w:rFonts w:ascii="Times New Roman" w:hAnsi="Times New Roman" w:eastAsia="宋体" w:cs="Times New Roman"/>
      <w:kern w:val="2"/>
      <w:sz w:val="21"/>
      <w:lang w:val="en-US" w:eastAsia="zh-CN" w:bidi="ar-SA"/>
    </w:rPr>
  </w:style>
  <w:style w:type="paragraph" w:customStyle="1" w:styleId="123">
    <w:name w:val="--规划-小标题"/>
    <w:basedOn w:val="1"/>
    <w:next w:val="113"/>
    <w:qFormat/>
    <w:uiPriority w:val="0"/>
    <w:pPr>
      <w:keepNext/>
      <w:keepLines/>
      <w:spacing w:line="360" w:lineRule="auto"/>
      <w:outlineLvl w:val="4"/>
    </w:pPr>
    <w:rPr>
      <w:rFonts w:eastAsia="黑体"/>
    </w:rPr>
  </w:style>
  <w:style w:type="paragraph" w:customStyle="1" w:styleId="124">
    <w:name w:val="--规划正文 Char"/>
    <w:basedOn w:val="1"/>
    <w:qFormat/>
    <w:uiPriority w:val="0"/>
    <w:pPr>
      <w:spacing w:line="360" w:lineRule="auto"/>
      <w:ind w:firstLine="200" w:firstLineChars="200"/>
    </w:pPr>
    <w:rPr>
      <w:sz w:val="24"/>
    </w:rPr>
  </w:style>
  <w:style w:type="paragraph" w:customStyle="1" w:styleId="125">
    <w:name w:val="缺省文本"/>
    <w:basedOn w:val="1"/>
    <w:qFormat/>
    <w:uiPriority w:val="0"/>
    <w:pPr>
      <w:autoSpaceDE w:val="0"/>
      <w:autoSpaceDN w:val="0"/>
      <w:adjustRightInd w:val="0"/>
      <w:jc w:val="left"/>
    </w:pPr>
    <w:rPr>
      <w:kern w:val="0"/>
    </w:rPr>
  </w:style>
  <w:style w:type="paragraph" w:customStyle="1" w:styleId="126">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7">
    <w:name w:val="--规划正文 Char Char"/>
    <w:qFormat/>
    <w:uiPriority w:val="0"/>
    <w:rPr>
      <w:rFonts w:eastAsia="宋体"/>
      <w:kern w:val="2"/>
      <w:sz w:val="24"/>
      <w:szCs w:val="24"/>
      <w:lang w:val="en-US" w:eastAsia="zh-CN" w:bidi="ar-SA"/>
    </w:rPr>
  </w:style>
  <w:style w:type="paragraph" w:customStyle="1" w:styleId="128">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9">
    <w:name w:val="--规划正文 Char1"/>
    <w:qFormat/>
    <w:uiPriority w:val="0"/>
    <w:rPr>
      <w:rFonts w:eastAsia="宋体"/>
      <w:kern w:val="2"/>
      <w:sz w:val="21"/>
      <w:lang w:val="en-US" w:eastAsia="zh-CN" w:bidi="ar-SA"/>
    </w:rPr>
  </w:style>
  <w:style w:type="paragraph" w:customStyle="1" w:styleId="13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31">
    <w:name w:val="列表项目"/>
    <w:basedOn w:val="1"/>
    <w:qFormat/>
    <w:uiPriority w:val="0"/>
    <w:pPr>
      <w:tabs>
        <w:tab w:val="left" w:pos="420"/>
        <w:tab w:val="left" w:pos="1080"/>
      </w:tabs>
      <w:spacing w:line="288" w:lineRule="auto"/>
      <w:ind w:left="1080" w:hanging="360"/>
    </w:pPr>
    <w:rPr>
      <w:sz w:val="24"/>
      <w:szCs w:val="20"/>
    </w:rPr>
  </w:style>
  <w:style w:type="character" w:customStyle="1" w:styleId="132">
    <w:name w:val="content1"/>
    <w:qFormat/>
    <w:uiPriority w:val="0"/>
    <w:rPr>
      <w:rFonts w:hint="default" w:ascii="??" w:hAnsi="??"/>
      <w:sz w:val="16"/>
      <w:szCs w:val="16"/>
      <w:u w:val="none"/>
    </w:rPr>
  </w:style>
  <w:style w:type="character" w:customStyle="1" w:styleId="133">
    <w:name w:val="unnamed4"/>
    <w:basedOn w:val="46"/>
    <w:qFormat/>
    <w:uiPriority w:val="0"/>
  </w:style>
  <w:style w:type="character" w:customStyle="1" w:styleId="134">
    <w:name w:val="font2"/>
    <w:basedOn w:val="46"/>
    <w:qFormat/>
    <w:uiPriority w:val="0"/>
  </w:style>
  <w:style w:type="character" w:customStyle="1" w:styleId="135">
    <w:name w:val="font41"/>
    <w:qFormat/>
    <w:uiPriority w:val="0"/>
    <w:rPr>
      <w:color w:val="000000"/>
      <w:spacing w:val="260"/>
      <w:sz w:val="18"/>
      <w:szCs w:val="18"/>
      <w:u w:val="none"/>
    </w:rPr>
  </w:style>
  <w:style w:type="paragraph" w:customStyle="1" w:styleId="136">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7">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8">
    <w:name w:val="正文文本首行缩进 字符"/>
    <w:link w:val="42"/>
    <w:qFormat/>
    <w:uiPriority w:val="0"/>
    <w:rPr>
      <w:rFonts w:eastAsia="宋体"/>
      <w:b/>
      <w:bCs/>
      <w:kern w:val="2"/>
      <w:sz w:val="21"/>
      <w:szCs w:val="24"/>
      <w:lang w:val="en-US" w:eastAsia="zh-CN" w:bidi="ar-SA"/>
    </w:rPr>
  </w:style>
  <w:style w:type="paragraph" w:customStyle="1" w:styleId="139">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40">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41">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2">
    <w:name w:val="mode"/>
    <w:basedOn w:val="46"/>
    <w:qFormat/>
    <w:uiPriority w:val="0"/>
  </w:style>
  <w:style w:type="paragraph" w:customStyle="1" w:styleId="143">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44">
    <w:name w:val="unnamed3"/>
    <w:basedOn w:val="46"/>
    <w:qFormat/>
    <w:uiPriority w:val="0"/>
  </w:style>
  <w:style w:type="paragraph" w:customStyle="1" w:styleId="145">
    <w:name w:val="8"/>
    <w:basedOn w:val="1"/>
    <w:next w:val="20"/>
    <w:qFormat/>
    <w:uiPriority w:val="0"/>
    <w:pPr>
      <w:spacing w:after="120"/>
      <w:ind w:left="420" w:leftChars="200"/>
    </w:pPr>
  </w:style>
  <w:style w:type="paragraph" w:customStyle="1" w:styleId="14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7">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8">
    <w:name w:val="5"/>
    <w:basedOn w:val="1"/>
    <w:qFormat/>
    <w:uiPriority w:val="0"/>
    <w:pPr>
      <w:autoSpaceDE w:val="0"/>
      <w:autoSpaceDN w:val="0"/>
      <w:adjustRightInd w:val="0"/>
      <w:jc w:val="left"/>
    </w:pPr>
    <w:rPr>
      <w:rFonts w:ascii="宋体"/>
      <w:b/>
      <w:bCs/>
      <w:kern w:val="0"/>
      <w:sz w:val="18"/>
      <w:szCs w:val="18"/>
    </w:rPr>
  </w:style>
  <w:style w:type="paragraph" w:customStyle="1" w:styleId="149">
    <w:name w:val="6"/>
    <w:basedOn w:val="148"/>
    <w:qFormat/>
    <w:uiPriority w:val="0"/>
    <w:pPr>
      <w:spacing w:line="270" w:lineRule="atLeast"/>
      <w:jc w:val="both"/>
    </w:pPr>
    <w:rPr>
      <w:b w:val="0"/>
      <w:bCs w:val="0"/>
    </w:rPr>
  </w:style>
  <w:style w:type="paragraph" w:customStyle="1" w:styleId="150">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51">
    <w:name w:val="姜文清定义的正文"/>
    <w:basedOn w:val="1"/>
    <w:qFormat/>
    <w:uiPriority w:val="0"/>
    <w:pPr>
      <w:spacing w:line="240" w:lineRule="atLeast"/>
      <w:ind w:firstLine="567"/>
    </w:pPr>
    <w:rPr>
      <w:szCs w:val="20"/>
    </w:rPr>
  </w:style>
  <w:style w:type="paragraph" w:customStyle="1" w:styleId="15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3">
    <w:name w:val="CM2"/>
    <w:basedOn w:val="152"/>
    <w:next w:val="152"/>
    <w:qFormat/>
    <w:uiPriority w:val="0"/>
    <w:pPr>
      <w:spacing w:line="200" w:lineRule="atLeast"/>
    </w:pPr>
    <w:rPr>
      <w:rFonts w:ascii="Arial" w:hAnsi="Arial" w:eastAsia="宋体" w:cs="Times New Roman"/>
      <w:color w:val="auto"/>
    </w:rPr>
  </w:style>
  <w:style w:type="paragraph" w:customStyle="1" w:styleId="154">
    <w:name w:val="Normal Paragraph"/>
    <w:basedOn w:val="1"/>
    <w:qFormat/>
    <w:uiPriority w:val="0"/>
    <w:pPr>
      <w:widowControl/>
      <w:spacing w:before="120" w:line="360" w:lineRule="auto"/>
      <w:ind w:firstLine="425"/>
    </w:pPr>
    <w:rPr>
      <w:kern w:val="0"/>
      <w:sz w:val="24"/>
    </w:rPr>
  </w:style>
  <w:style w:type="character" w:customStyle="1" w:styleId="155">
    <w:name w:val="blue"/>
    <w:basedOn w:val="46"/>
    <w:qFormat/>
    <w:uiPriority w:val="0"/>
  </w:style>
  <w:style w:type="paragraph" w:customStyle="1" w:styleId="156">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7">
    <w:name w:val="font"/>
    <w:basedOn w:val="46"/>
    <w:qFormat/>
    <w:uiPriority w:val="0"/>
  </w:style>
  <w:style w:type="character" w:customStyle="1" w:styleId="158">
    <w:name w:val="font11"/>
    <w:qFormat/>
    <w:uiPriority w:val="0"/>
    <w:rPr>
      <w:rFonts w:hint="default" w:ascii="ˎ̥" w:hAnsi="ˎ̥"/>
    </w:rPr>
  </w:style>
  <w:style w:type="paragraph" w:customStyle="1" w:styleId="159">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60">
    <w:name w:val="proddescription"/>
    <w:basedOn w:val="46"/>
    <w:qFormat/>
    <w:uiPriority w:val="0"/>
  </w:style>
  <w:style w:type="character" w:customStyle="1" w:styleId="161">
    <w:name w:val="prodheadlines"/>
    <w:basedOn w:val="46"/>
    <w:qFormat/>
    <w:uiPriority w:val="0"/>
  </w:style>
  <w:style w:type="character" w:customStyle="1" w:styleId="162">
    <w:name w:val="text"/>
    <w:basedOn w:val="46"/>
    <w:qFormat/>
    <w:uiPriority w:val="0"/>
  </w:style>
  <w:style w:type="paragraph" w:customStyle="1" w:styleId="163">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5">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6">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8">
    <w:name w:val="段落正文"/>
    <w:basedOn w:val="23"/>
    <w:qFormat/>
    <w:uiPriority w:val="0"/>
    <w:pPr>
      <w:ind w:firstLine="560" w:firstLineChars="200"/>
    </w:pPr>
    <w:rPr>
      <w:sz w:val="28"/>
    </w:rPr>
  </w:style>
  <w:style w:type="character" w:customStyle="1" w:styleId="169">
    <w:name w:val="gray6"/>
    <w:basedOn w:val="46"/>
    <w:qFormat/>
    <w:uiPriority w:val="0"/>
  </w:style>
  <w:style w:type="character" w:customStyle="1" w:styleId="170">
    <w:name w:val="style9"/>
    <w:basedOn w:val="46"/>
    <w:qFormat/>
    <w:uiPriority w:val="0"/>
  </w:style>
  <w:style w:type="paragraph" w:customStyle="1" w:styleId="17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72">
    <w:name w:val="grame"/>
    <w:basedOn w:val="46"/>
    <w:qFormat/>
    <w:uiPriority w:val="0"/>
  </w:style>
  <w:style w:type="paragraph" w:customStyle="1" w:styleId="173">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4">
    <w:name w:val="Char1"/>
    <w:basedOn w:val="1"/>
    <w:qFormat/>
    <w:uiPriority w:val="0"/>
    <w:pPr>
      <w:jc w:val="left"/>
    </w:pPr>
    <w:rPr>
      <w:rFonts w:ascii="Tahoma" w:hAnsi="Tahoma"/>
      <w:sz w:val="24"/>
      <w:szCs w:val="20"/>
    </w:rPr>
  </w:style>
  <w:style w:type="paragraph" w:customStyle="1" w:styleId="175">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6">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9">
    <w:name w:val="font6"/>
    <w:basedOn w:val="1"/>
    <w:qFormat/>
    <w:uiPriority w:val="0"/>
    <w:pPr>
      <w:widowControl/>
      <w:spacing w:before="100" w:beforeAutospacing="1" w:after="100" w:afterAutospacing="1"/>
      <w:jc w:val="left"/>
    </w:pPr>
    <w:rPr>
      <w:kern w:val="0"/>
      <w:sz w:val="24"/>
    </w:rPr>
  </w:style>
  <w:style w:type="paragraph" w:customStyle="1" w:styleId="1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2">
    <w:name w:val="表格字"/>
    <w:basedOn w:val="1"/>
    <w:qFormat/>
    <w:uiPriority w:val="0"/>
    <w:pPr>
      <w:adjustRightInd w:val="0"/>
      <w:jc w:val="center"/>
    </w:pPr>
    <w:rPr>
      <w:rFonts w:ascii="宋体"/>
      <w:sz w:val="24"/>
      <w:szCs w:val="20"/>
    </w:rPr>
  </w:style>
  <w:style w:type="character" w:customStyle="1" w:styleId="183">
    <w:name w:val="样式 小三 加粗"/>
    <w:qFormat/>
    <w:uiPriority w:val="0"/>
    <w:rPr>
      <w:rFonts w:eastAsia="宋体"/>
      <w:b/>
      <w:bCs/>
      <w:sz w:val="32"/>
    </w:rPr>
  </w:style>
  <w:style w:type="paragraph" w:customStyle="1" w:styleId="18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6">
    <w:name w:val="Char Char Char"/>
    <w:basedOn w:val="1"/>
    <w:qFormat/>
    <w:uiPriority w:val="0"/>
    <w:rPr>
      <w:rFonts w:ascii="Tahoma" w:hAnsi="Tahoma"/>
      <w:sz w:val="24"/>
      <w:szCs w:val="20"/>
    </w:rPr>
  </w:style>
  <w:style w:type="paragraph" w:customStyle="1" w:styleId="187">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8">
    <w:name w:val="info4"/>
    <w:basedOn w:val="46"/>
    <w:qFormat/>
    <w:uiPriority w:val="0"/>
  </w:style>
  <w:style w:type="paragraph" w:customStyle="1" w:styleId="189">
    <w:name w:val="缩进正文"/>
    <w:basedOn w:val="1"/>
    <w:link w:val="190"/>
    <w:qFormat/>
    <w:uiPriority w:val="0"/>
    <w:pPr>
      <w:ind w:firstLine="560" w:firstLineChars="200"/>
    </w:pPr>
    <w:rPr>
      <w:rFonts w:eastAsia="仿宋_GB2312" w:cs="宋体"/>
      <w:sz w:val="28"/>
      <w:szCs w:val="20"/>
    </w:rPr>
  </w:style>
  <w:style w:type="character" w:customStyle="1" w:styleId="190">
    <w:name w:val="缩进正文 Char"/>
    <w:link w:val="189"/>
    <w:qFormat/>
    <w:uiPriority w:val="0"/>
    <w:rPr>
      <w:rFonts w:eastAsia="仿宋_GB2312" w:cs="宋体"/>
      <w:kern w:val="2"/>
      <w:sz w:val="28"/>
      <w:lang w:val="en-US" w:eastAsia="zh-CN" w:bidi="ar-SA"/>
    </w:rPr>
  </w:style>
  <w:style w:type="paragraph" w:customStyle="1" w:styleId="191">
    <w:name w:val="列出段落1"/>
    <w:basedOn w:val="1"/>
    <w:qFormat/>
    <w:uiPriority w:val="0"/>
    <w:pPr>
      <w:ind w:firstLine="420" w:firstLineChars="200"/>
    </w:pPr>
    <w:rPr>
      <w:rFonts w:ascii="Calibri" w:hAnsi="Calibri" w:cs="Calibri"/>
      <w:szCs w:val="21"/>
    </w:rPr>
  </w:style>
  <w:style w:type="character" w:customStyle="1" w:styleId="192">
    <w:name w:val="批注文字 字符"/>
    <w:basedOn w:val="46"/>
    <w:link w:val="18"/>
    <w:qFormat/>
    <w:uiPriority w:val="0"/>
    <w:rPr>
      <w:rFonts w:ascii="宋体"/>
      <w:sz w:val="34"/>
    </w:rPr>
  </w:style>
  <w:style w:type="character" w:customStyle="1" w:styleId="193">
    <w:name w:val="批注主题 字符"/>
    <w:basedOn w:val="192"/>
    <w:link w:val="41"/>
    <w:qFormat/>
    <w:uiPriority w:val="99"/>
    <w:rPr>
      <w:rFonts w:ascii="宋体"/>
      <w:sz w:val="34"/>
    </w:rPr>
  </w:style>
  <w:style w:type="paragraph" w:customStyle="1" w:styleId="194">
    <w:name w:val="评价"/>
    <w:basedOn w:val="1"/>
    <w:qFormat/>
    <w:uiPriority w:val="0"/>
    <w:pPr>
      <w:spacing w:afterLines="20"/>
      <w:ind w:firstLine="1446" w:firstLineChars="200"/>
    </w:pPr>
    <w:rPr>
      <w:rFonts w:ascii="Calibri" w:hAnsi="Calibri"/>
      <w:sz w:val="24"/>
    </w:rPr>
  </w:style>
  <w:style w:type="paragraph" w:customStyle="1" w:styleId="19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6">
    <w:name w:val="alt-edited1"/>
    <w:qFormat/>
    <w:uiPriority w:val="0"/>
    <w:rPr>
      <w:color w:val="4D90F0"/>
    </w:rPr>
  </w:style>
  <w:style w:type="character" w:customStyle="1" w:styleId="197">
    <w:name w:val="body text Char1"/>
    <w:qFormat/>
    <w:uiPriority w:val="0"/>
    <w:rPr>
      <w:rFonts w:eastAsia="宋体"/>
      <w:kern w:val="2"/>
      <w:sz w:val="21"/>
      <w:lang w:val="en-US" w:eastAsia="zh-CN" w:bidi="ar-SA"/>
    </w:rPr>
  </w:style>
  <w:style w:type="character" w:customStyle="1" w:styleId="198">
    <w:name w:val="普通(网站) 字符"/>
    <w:link w:val="38"/>
    <w:qFormat/>
    <w:uiPriority w:val="0"/>
    <w:rPr>
      <w:kern w:val="2"/>
      <w:sz w:val="24"/>
      <w:szCs w:val="24"/>
    </w:rPr>
  </w:style>
  <w:style w:type="character" w:customStyle="1" w:styleId="199">
    <w:name w:val="批注文字 Char1"/>
    <w:qFormat/>
    <w:uiPriority w:val="99"/>
    <w:rPr>
      <w:rFonts w:ascii="宋体"/>
      <w:sz w:val="34"/>
    </w:rPr>
  </w:style>
  <w:style w:type="character" w:customStyle="1" w:styleId="200">
    <w:name w:val="正文缩进 Char1"/>
    <w:qFormat/>
    <w:uiPriority w:val="0"/>
    <w:rPr>
      <w:rFonts w:eastAsia="宋体"/>
      <w:kern w:val="2"/>
      <w:sz w:val="21"/>
      <w:lang w:val="en-US" w:eastAsia="zh-CN" w:bidi="ar-SA"/>
    </w:rPr>
  </w:style>
  <w:style w:type="character" w:customStyle="1" w:styleId="201">
    <w:name w:val="layui-this"/>
    <w:basedOn w:val="46"/>
    <w:qFormat/>
    <w:uiPriority w:val="0"/>
    <w:rPr>
      <w:bdr w:val="single" w:color="EEEEEE" w:sz="4" w:space="0"/>
      <w:shd w:val="clear" w:color="auto" w:fill="FFFFFF"/>
    </w:rPr>
  </w:style>
  <w:style w:type="character" w:customStyle="1" w:styleId="202">
    <w:name w:val="first-child"/>
    <w:basedOn w:val="46"/>
    <w:qFormat/>
    <w:uiPriority w:val="0"/>
  </w:style>
  <w:style w:type="paragraph" w:customStyle="1" w:styleId="203">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4">
    <w:name w:val="网格型1"/>
    <w:basedOn w:val="44"/>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5">
    <w:name w:val="*正文"/>
    <w:basedOn w:val="1"/>
    <w:qFormat/>
    <w:uiPriority w:val="0"/>
    <w:pPr>
      <w:spacing w:line="360" w:lineRule="auto"/>
      <w:ind w:firstLine="480"/>
    </w:pPr>
    <w:rPr>
      <w:rFonts w:ascii="宋体" w:hAnsi="宋体"/>
      <w:szCs w:val="22"/>
    </w:rPr>
  </w:style>
  <w:style w:type="paragraph" w:customStyle="1" w:styleId="206">
    <w:name w:val="正文格式"/>
    <w:basedOn w:val="1"/>
    <w:qFormat/>
    <w:uiPriority w:val="0"/>
    <w:pPr>
      <w:adjustRightInd w:val="0"/>
      <w:snapToGrid w:val="0"/>
      <w:spacing w:line="360" w:lineRule="auto"/>
      <w:ind w:firstLine="200" w:firstLineChars="200"/>
    </w:pPr>
    <w:rPr>
      <w:rFonts w:ascii="宋体" w:hAnsi="宋体" w:cstheme="minorBidi"/>
      <w:sz w:val="24"/>
      <w:lang w:val="en-GB"/>
    </w:rPr>
  </w:style>
  <w:style w:type="paragraph" w:customStyle="1" w:styleId="207">
    <w:name w:val="初设正文"/>
    <w:basedOn w:val="1"/>
    <w:qFormat/>
    <w:uiPriority w:val="0"/>
    <w:pPr>
      <w:spacing w:line="360" w:lineRule="auto"/>
      <w:ind w:firstLine="200" w:firstLineChars="200"/>
      <w:jc w:val="left"/>
    </w:pPr>
    <w:rPr>
      <w:rFonts w:ascii="Times New Roman" w:hAnsi="Times New Roman"/>
      <w:sz w:val="24"/>
      <w:szCs w:val="22"/>
    </w:rPr>
  </w:style>
  <w:style w:type="paragraph" w:customStyle="1" w:styleId="208">
    <w:name w:val="强调正文"/>
    <w:basedOn w:val="207"/>
    <w:qFormat/>
    <w:uiPriority w:val="0"/>
    <w:pPr>
      <w:ind w:firstLine="482"/>
    </w:pPr>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61</Pages>
  <Words>2512</Words>
  <Characters>2565</Characters>
  <Lines>339</Lines>
  <Paragraphs>95</Paragraphs>
  <TotalTime>12</TotalTime>
  <ScaleCrop>false</ScaleCrop>
  <LinksUpToDate>false</LinksUpToDate>
  <CharactersWithSpaces>2585</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2024-06-27T09:45:00Z</dcterms:created>
  <dc:creator>thsware</dc:creator>
  <cp:lastModifiedBy>王文乐</cp:lastModifiedBy>
  <cp:lastPrinted>2021-05-09T16:02:00Z</cp:lastPrinted>
  <dcterms:modified xsi:type="dcterms:W3CDTF">2025-02-07T08:24:40Z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563C86EFBCE4485BA9C061BA2DC14B03_13</vt:lpwstr>
  </property>
  <property fmtid="{D5CDD505-2E9C-101B-9397-08002B2CF9AE}" pid="4" name="KSOTemplateDocerSaveRecord">
    <vt:lpwstr>eyJoZGlkIjoiMWUwNWIxZTg3YzE0MjE3OTJmNGVkZjY2MjNjZjJlNzciLCJ1c2VySWQiOiIxNDg2ODI2Mzg2In0=</vt:lpwstr>
  </property>
</Properties>
</file>