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912AB2">
      <w:pPr>
        <w:pStyle w:val="38"/>
        <w:widowControl/>
        <w:jc w:val="center"/>
        <w:outlineLvl w:val="1"/>
        <w:rPr>
          <w:rFonts w:ascii="黑体" w:hAnsi="宋体" w:eastAsia="黑体" w:cs="黑体"/>
          <w:sz w:val="40"/>
          <w:szCs w:val="40"/>
        </w:rPr>
      </w:pPr>
      <w:bookmarkStart w:id="0" w:name="_Hlk71456902"/>
      <w:r>
        <w:rPr>
          <w:rFonts w:hint="eastAsia" w:ascii="黑体" w:hAnsi="宋体" w:eastAsia="黑体" w:cs="黑体"/>
          <w:sz w:val="40"/>
          <w:szCs w:val="40"/>
        </w:rPr>
        <w:t>招标文件信息</w:t>
      </w:r>
    </w:p>
    <w:tbl>
      <w:tblPr>
        <w:tblStyle w:val="43"/>
        <w:tblW w:w="7943" w:type="dxa"/>
        <w:jc w:val="center"/>
        <w:tblCellSpacing w:w="0" w:type="dxa"/>
        <w:tblLayout w:type="fixed"/>
        <w:tblCellMar>
          <w:top w:w="45" w:type="dxa"/>
          <w:left w:w="45" w:type="dxa"/>
          <w:bottom w:w="45" w:type="dxa"/>
          <w:right w:w="45" w:type="dxa"/>
        </w:tblCellMar>
      </w:tblPr>
      <w:tblGrid>
        <w:gridCol w:w="2723"/>
        <w:gridCol w:w="5220"/>
      </w:tblGrid>
      <w:tr w14:paraId="5A0E3823">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14:paraId="6EF16E52">
            <w:pPr>
              <w:widowControl/>
              <w:jc w:val="right"/>
              <w:rPr>
                <w:sz w:val="30"/>
                <w:szCs w:val="30"/>
              </w:rPr>
            </w:pPr>
            <w:r>
              <w:rPr>
                <w:rFonts w:ascii="宋体" w:hAnsi="宋体" w:cs="宋体"/>
                <w:kern w:val="0"/>
                <w:sz w:val="30"/>
                <w:szCs w:val="30"/>
                <w:lang w:bidi="ar"/>
              </w:rPr>
              <w:t>项目编号：</w:t>
            </w:r>
          </w:p>
        </w:tc>
        <w:tc>
          <w:tcPr>
            <w:tcW w:w="5220" w:type="dxa"/>
            <w:shd w:val="clear" w:color="auto" w:fill="auto"/>
            <w:vAlign w:val="center"/>
          </w:tcPr>
          <w:p w14:paraId="288BBB83">
            <w:pPr>
              <w:widowControl/>
              <w:jc w:val="left"/>
              <w:rPr>
                <w:sz w:val="30"/>
                <w:szCs w:val="30"/>
              </w:rPr>
            </w:pPr>
            <w:r>
              <w:rPr>
                <w:rFonts w:hint="eastAsia"/>
                <w:sz w:val="30"/>
                <w:szCs w:val="30"/>
              </w:rPr>
              <w:t>PSZXCG-2025-00067</w:t>
            </w:r>
          </w:p>
        </w:tc>
      </w:tr>
      <w:tr w14:paraId="481FB82D">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14:paraId="7A4B816C">
            <w:pPr>
              <w:widowControl/>
              <w:jc w:val="right"/>
              <w:rPr>
                <w:sz w:val="30"/>
                <w:szCs w:val="30"/>
              </w:rPr>
            </w:pPr>
            <w:r>
              <w:rPr>
                <w:rFonts w:ascii="宋体" w:hAnsi="宋体" w:cs="宋体"/>
                <w:kern w:val="0"/>
                <w:sz w:val="30"/>
                <w:szCs w:val="30"/>
                <w:lang w:bidi="ar"/>
              </w:rPr>
              <w:t>项目名称：</w:t>
            </w:r>
          </w:p>
        </w:tc>
        <w:tc>
          <w:tcPr>
            <w:tcW w:w="5220" w:type="dxa"/>
            <w:shd w:val="clear" w:color="auto" w:fill="auto"/>
            <w:vAlign w:val="center"/>
          </w:tcPr>
          <w:p w14:paraId="73DCA1D7">
            <w:pPr>
              <w:widowControl/>
              <w:jc w:val="left"/>
              <w:rPr>
                <w:rFonts w:hint="eastAsia" w:eastAsia="宋体"/>
                <w:sz w:val="30"/>
                <w:szCs w:val="30"/>
                <w:lang w:eastAsia="zh-CN"/>
              </w:rPr>
            </w:pPr>
            <w:r>
              <w:rPr>
                <w:rFonts w:hint="eastAsia"/>
                <w:sz w:val="30"/>
                <w:szCs w:val="30"/>
                <w:lang w:eastAsia="zh-CN"/>
              </w:rPr>
              <w:t>深圳市坪山区同育幼儿园钢琴采购</w:t>
            </w:r>
          </w:p>
        </w:tc>
      </w:tr>
      <w:tr w14:paraId="3FD9F499">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14:paraId="4C580637">
            <w:pPr>
              <w:widowControl/>
              <w:jc w:val="right"/>
              <w:rPr>
                <w:sz w:val="30"/>
                <w:szCs w:val="30"/>
              </w:rPr>
            </w:pPr>
            <w:r>
              <w:rPr>
                <w:rFonts w:ascii="宋体" w:hAnsi="宋体" w:cs="宋体"/>
                <w:kern w:val="0"/>
                <w:sz w:val="30"/>
                <w:szCs w:val="30"/>
                <w:lang w:bidi="ar"/>
              </w:rPr>
              <w:t xml:space="preserve">包 </w:t>
            </w:r>
            <w:r>
              <w:rPr>
                <w:rFonts w:hint="eastAsia" w:ascii="宋体" w:hAnsi="宋体" w:cs="宋体"/>
                <w:kern w:val="0"/>
                <w:sz w:val="30"/>
                <w:szCs w:val="30"/>
                <w:lang w:bidi="ar"/>
              </w:rPr>
              <w:t xml:space="preserve">   </w:t>
            </w:r>
            <w:r>
              <w:rPr>
                <w:rFonts w:ascii="宋体" w:hAnsi="宋体" w:cs="宋体"/>
                <w:kern w:val="0"/>
                <w:sz w:val="30"/>
                <w:szCs w:val="30"/>
                <w:lang w:bidi="ar"/>
              </w:rPr>
              <w:t>号：</w:t>
            </w:r>
          </w:p>
        </w:tc>
        <w:tc>
          <w:tcPr>
            <w:tcW w:w="5220" w:type="dxa"/>
            <w:shd w:val="clear" w:color="auto" w:fill="auto"/>
            <w:vAlign w:val="center"/>
          </w:tcPr>
          <w:p w14:paraId="4FA85FBD">
            <w:pPr>
              <w:widowControl/>
              <w:jc w:val="left"/>
              <w:rPr>
                <w:sz w:val="30"/>
                <w:szCs w:val="30"/>
              </w:rPr>
            </w:pPr>
            <w:r>
              <w:rPr>
                <w:rFonts w:ascii="宋体" w:hAnsi="宋体" w:cs="宋体"/>
                <w:kern w:val="0"/>
                <w:sz w:val="30"/>
                <w:szCs w:val="30"/>
                <w:lang w:bidi="ar"/>
              </w:rPr>
              <w:t>A</w:t>
            </w:r>
          </w:p>
        </w:tc>
      </w:tr>
      <w:tr w14:paraId="7D63539C">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14:paraId="0DAF6C61">
            <w:pPr>
              <w:widowControl/>
              <w:jc w:val="right"/>
              <w:rPr>
                <w:sz w:val="30"/>
                <w:szCs w:val="30"/>
              </w:rPr>
            </w:pPr>
            <w:r>
              <w:rPr>
                <w:rFonts w:ascii="宋体" w:hAnsi="宋体" w:cs="宋体"/>
                <w:kern w:val="0"/>
                <w:sz w:val="30"/>
                <w:szCs w:val="30"/>
                <w:lang w:bidi="ar"/>
              </w:rPr>
              <w:t>项目类型：</w:t>
            </w:r>
          </w:p>
        </w:tc>
        <w:tc>
          <w:tcPr>
            <w:tcW w:w="5220" w:type="dxa"/>
            <w:shd w:val="clear" w:color="auto" w:fill="auto"/>
            <w:vAlign w:val="center"/>
          </w:tcPr>
          <w:p w14:paraId="436911B2">
            <w:pPr>
              <w:widowControl/>
              <w:jc w:val="left"/>
              <w:rPr>
                <w:sz w:val="30"/>
                <w:szCs w:val="30"/>
              </w:rPr>
            </w:pPr>
            <w:r>
              <w:rPr>
                <w:rFonts w:ascii="宋体" w:hAnsi="宋体" w:cs="宋体"/>
                <w:kern w:val="0"/>
                <w:sz w:val="30"/>
                <w:szCs w:val="30"/>
                <w:lang w:bidi="ar"/>
              </w:rPr>
              <w:t>货物类</w:t>
            </w:r>
          </w:p>
        </w:tc>
      </w:tr>
      <w:tr w14:paraId="26F2DCA4">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14:paraId="228613BA">
            <w:pPr>
              <w:widowControl/>
              <w:jc w:val="right"/>
              <w:rPr>
                <w:sz w:val="30"/>
                <w:szCs w:val="30"/>
              </w:rPr>
            </w:pPr>
            <w:r>
              <w:rPr>
                <w:rFonts w:ascii="宋体" w:hAnsi="宋体" w:cs="宋体"/>
                <w:kern w:val="0"/>
                <w:sz w:val="30"/>
                <w:szCs w:val="30"/>
                <w:lang w:bidi="ar"/>
              </w:rPr>
              <w:t>采购方式：</w:t>
            </w:r>
          </w:p>
        </w:tc>
        <w:tc>
          <w:tcPr>
            <w:tcW w:w="5220" w:type="dxa"/>
            <w:shd w:val="clear" w:color="auto" w:fill="auto"/>
            <w:vAlign w:val="center"/>
          </w:tcPr>
          <w:p w14:paraId="71BD9CE4">
            <w:pPr>
              <w:widowControl/>
              <w:jc w:val="left"/>
              <w:rPr>
                <w:sz w:val="30"/>
                <w:szCs w:val="30"/>
              </w:rPr>
            </w:pPr>
            <w:r>
              <w:rPr>
                <w:rFonts w:ascii="宋体" w:hAnsi="宋体" w:cs="宋体"/>
                <w:kern w:val="0"/>
                <w:sz w:val="30"/>
                <w:szCs w:val="30"/>
                <w:lang w:bidi="ar"/>
              </w:rPr>
              <w:t>公开招标</w:t>
            </w:r>
          </w:p>
        </w:tc>
      </w:tr>
      <w:tr w14:paraId="4BCCDF74">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14:paraId="697F709C">
            <w:pPr>
              <w:widowControl/>
              <w:jc w:val="right"/>
              <w:rPr>
                <w:sz w:val="30"/>
                <w:szCs w:val="30"/>
              </w:rPr>
            </w:pPr>
            <w:r>
              <w:rPr>
                <w:rFonts w:ascii="宋体" w:hAnsi="宋体" w:cs="宋体"/>
                <w:kern w:val="0"/>
                <w:sz w:val="30"/>
                <w:szCs w:val="30"/>
                <w:lang w:bidi="ar"/>
              </w:rPr>
              <w:t>货币类型：</w:t>
            </w:r>
          </w:p>
        </w:tc>
        <w:tc>
          <w:tcPr>
            <w:tcW w:w="5220" w:type="dxa"/>
            <w:shd w:val="clear" w:color="auto" w:fill="auto"/>
            <w:vAlign w:val="center"/>
          </w:tcPr>
          <w:p w14:paraId="248A35D5">
            <w:pPr>
              <w:widowControl/>
              <w:jc w:val="left"/>
              <w:rPr>
                <w:sz w:val="30"/>
                <w:szCs w:val="30"/>
              </w:rPr>
            </w:pPr>
            <w:r>
              <w:rPr>
                <w:rFonts w:ascii="宋体" w:hAnsi="宋体" w:cs="宋体"/>
                <w:kern w:val="0"/>
                <w:sz w:val="30"/>
                <w:szCs w:val="30"/>
                <w:lang w:bidi="ar"/>
              </w:rPr>
              <w:t>人民币</w:t>
            </w:r>
          </w:p>
        </w:tc>
      </w:tr>
      <w:tr w14:paraId="6AA12076">
        <w:tblPrEx>
          <w:tblCellMar>
            <w:top w:w="45" w:type="dxa"/>
            <w:left w:w="45" w:type="dxa"/>
            <w:bottom w:w="45" w:type="dxa"/>
            <w:right w:w="45" w:type="dxa"/>
          </w:tblCellMar>
        </w:tblPrEx>
        <w:trPr>
          <w:trHeight w:val="738" w:hRule="atLeast"/>
          <w:tblCellSpacing w:w="0" w:type="dxa"/>
          <w:jc w:val="center"/>
        </w:trPr>
        <w:tc>
          <w:tcPr>
            <w:tcW w:w="2723" w:type="dxa"/>
            <w:shd w:val="clear" w:color="auto" w:fill="auto"/>
            <w:vAlign w:val="center"/>
          </w:tcPr>
          <w:p w14:paraId="749CC483">
            <w:pPr>
              <w:widowControl/>
              <w:jc w:val="right"/>
              <w:rPr>
                <w:sz w:val="30"/>
                <w:szCs w:val="30"/>
              </w:rPr>
            </w:pPr>
            <w:r>
              <w:rPr>
                <w:rFonts w:ascii="宋体" w:hAnsi="宋体" w:cs="宋体"/>
                <w:kern w:val="0"/>
                <w:sz w:val="30"/>
                <w:szCs w:val="30"/>
                <w:lang w:bidi="ar"/>
              </w:rPr>
              <w:t>评标方法：</w:t>
            </w:r>
          </w:p>
        </w:tc>
        <w:tc>
          <w:tcPr>
            <w:tcW w:w="5220" w:type="dxa"/>
            <w:shd w:val="clear" w:color="auto" w:fill="auto"/>
            <w:vAlign w:val="center"/>
          </w:tcPr>
          <w:p w14:paraId="7A0CDFE9">
            <w:pPr>
              <w:widowControl/>
              <w:jc w:val="left"/>
              <w:rPr>
                <w:sz w:val="30"/>
                <w:szCs w:val="30"/>
              </w:rPr>
            </w:pPr>
            <w:r>
              <w:rPr>
                <w:rFonts w:ascii="宋体" w:hAnsi="宋体" w:cs="宋体"/>
                <w:kern w:val="0"/>
                <w:sz w:val="30"/>
                <w:szCs w:val="30"/>
                <w:lang w:bidi="ar"/>
              </w:rPr>
              <w:t>综合评分法</w:t>
            </w:r>
          </w:p>
        </w:tc>
      </w:tr>
      <w:bookmarkEnd w:id="0"/>
    </w:tbl>
    <w:p w14:paraId="1DF34B75">
      <w:pPr>
        <w:pStyle w:val="38"/>
        <w:widowControl/>
        <w:jc w:val="center"/>
        <w:outlineLvl w:val="1"/>
        <w:rPr>
          <w:rFonts w:ascii="黑体" w:hAnsi="宋体" w:eastAsia="黑体" w:cs="黑体"/>
          <w:sz w:val="40"/>
          <w:szCs w:val="40"/>
        </w:rPr>
        <w:sectPr>
          <w:headerReference r:id="rId3" w:type="first"/>
          <w:footerReference r:id="rId4" w:type="default"/>
          <w:pgSz w:w="11907" w:h="16840"/>
          <w:pgMar w:top="1497" w:right="1418" w:bottom="1440" w:left="1531" w:header="851" w:footer="992" w:gutter="0"/>
          <w:cols w:space="425" w:num="1"/>
          <w:titlePg/>
          <w:docGrid w:linePitch="462" w:charSpace="0"/>
        </w:sectPr>
      </w:pPr>
    </w:p>
    <w:p w14:paraId="3C71A11F">
      <w:pPr>
        <w:pStyle w:val="38"/>
        <w:widowControl/>
        <w:jc w:val="center"/>
        <w:outlineLvl w:val="1"/>
        <w:rPr>
          <w:rFonts w:ascii="黑体" w:hAnsi="宋体" w:eastAsia="黑体" w:cs="黑体"/>
          <w:sz w:val="40"/>
          <w:szCs w:val="40"/>
        </w:rPr>
      </w:pPr>
      <w:r>
        <w:rPr>
          <w:rFonts w:hint="eastAsia" w:ascii="黑体" w:hAnsi="宋体" w:eastAsia="黑体" w:cs="黑体"/>
          <w:sz w:val="40"/>
          <w:szCs w:val="40"/>
        </w:rPr>
        <w:t>资格性审查表</w:t>
      </w:r>
    </w:p>
    <w:tbl>
      <w:tblPr>
        <w:tblStyle w:val="43"/>
        <w:tblW w:w="9078"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20" w:type="dxa"/>
          <w:left w:w="108" w:type="dxa"/>
          <w:bottom w:w="20" w:type="dxa"/>
          <w:right w:w="108" w:type="dxa"/>
        </w:tblCellMar>
      </w:tblPr>
      <w:tblGrid>
        <w:gridCol w:w="794"/>
        <w:gridCol w:w="8284"/>
      </w:tblGrid>
      <w:tr w14:paraId="52CFD7D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7F6586EA">
            <w:pPr>
              <w:widowControl/>
              <w:jc w:val="center"/>
              <w:rPr>
                <w:sz w:val="28"/>
                <w:szCs w:val="28"/>
              </w:rPr>
            </w:pPr>
            <w:r>
              <w:rPr>
                <w:rFonts w:ascii="宋体" w:hAnsi="宋体" w:cs="宋体"/>
                <w:kern w:val="0"/>
                <w:sz w:val="28"/>
                <w:szCs w:val="28"/>
                <w:lang w:bidi="ar"/>
              </w:rPr>
              <w:t>序号</w:t>
            </w:r>
          </w:p>
        </w:tc>
        <w:tc>
          <w:tcPr>
            <w:tcW w:w="8284"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5F3FAF14">
            <w:pPr>
              <w:widowControl/>
              <w:jc w:val="center"/>
              <w:rPr>
                <w:sz w:val="28"/>
                <w:szCs w:val="28"/>
              </w:rPr>
            </w:pPr>
            <w:r>
              <w:rPr>
                <w:rFonts w:ascii="宋体" w:hAnsi="宋体" w:cs="宋体"/>
                <w:kern w:val="0"/>
                <w:sz w:val="28"/>
                <w:szCs w:val="28"/>
                <w:lang w:bidi="ar"/>
              </w:rPr>
              <w:t>内容</w:t>
            </w:r>
          </w:p>
        </w:tc>
      </w:tr>
      <w:tr w14:paraId="32FCA6A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tcPr>
          <w:p w14:paraId="64463856">
            <w:pPr>
              <w:widowControl/>
              <w:jc w:val="center"/>
              <w:textAlignment w:val="top"/>
              <w:rPr>
                <w:szCs w:val="21"/>
              </w:rPr>
            </w:pPr>
            <w:r>
              <w:rPr>
                <w:rFonts w:ascii="宋体" w:hAnsi="宋体" w:cs="宋体"/>
                <w:kern w:val="0"/>
                <w:szCs w:val="21"/>
                <w:lang w:bidi="ar"/>
              </w:rPr>
              <w:t>1</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2973E6C4">
            <w:pPr>
              <w:widowControl/>
              <w:jc w:val="left"/>
              <w:textAlignment w:val="top"/>
              <w:rPr>
                <w:szCs w:val="21"/>
              </w:rPr>
            </w:pPr>
            <w:r>
              <w:rPr>
                <w:rFonts w:ascii="宋体" w:hAnsi="宋体" w:cs="宋体"/>
                <w:kern w:val="0"/>
                <w:szCs w:val="21"/>
                <w:lang w:bidi="ar"/>
              </w:rPr>
              <w:t>投标人不</w:t>
            </w:r>
            <w:r>
              <w:rPr>
                <w:rFonts w:hint="eastAsia" w:ascii="宋体" w:hAnsi="宋体" w:cs="宋体"/>
                <w:kern w:val="0"/>
                <w:szCs w:val="21"/>
                <w:lang w:bidi="ar"/>
              </w:rPr>
              <w:t>符合</w:t>
            </w:r>
            <w:r>
              <w:rPr>
                <w:rFonts w:ascii="宋体" w:hAnsi="宋体" w:cs="宋体"/>
                <w:kern w:val="0"/>
                <w:szCs w:val="21"/>
                <w:lang w:bidi="ar"/>
              </w:rPr>
              <w:t>资格要求，或未提交相应的资格证明资料（详见招标公告</w:t>
            </w:r>
            <w:r>
              <w:rPr>
                <w:rFonts w:hint="eastAsia" w:ascii="宋体" w:hAnsi="宋体"/>
                <w:szCs w:val="21"/>
              </w:rPr>
              <w:t>投标人资格要求，即申请人的资格要求</w:t>
            </w:r>
            <w:r>
              <w:rPr>
                <w:rFonts w:ascii="宋体" w:hAnsi="宋体" w:cs="宋体"/>
                <w:kern w:val="0"/>
                <w:szCs w:val="21"/>
                <w:lang w:bidi="ar"/>
              </w:rPr>
              <w:t>）</w:t>
            </w:r>
          </w:p>
        </w:tc>
      </w:tr>
    </w:tbl>
    <w:p w14:paraId="50322309">
      <w:pPr>
        <w:pStyle w:val="38"/>
        <w:widowControl/>
        <w:spacing w:before="280" w:beforeAutospacing="0"/>
        <w:jc w:val="center"/>
        <w:outlineLvl w:val="1"/>
        <w:rPr>
          <w:rFonts w:ascii="黑体" w:hAnsi="宋体" w:eastAsia="黑体" w:cs="黑体"/>
          <w:sz w:val="40"/>
          <w:szCs w:val="40"/>
        </w:rPr>
      </w:pPr>
      <w:r>
        <w:rPr>
          <w:rFonts w:hint="eastAsia" w:ascii="黑体" w:hAnsi="宋体" w:eastAsia="黑体" w:cs="黑体"/>
          <w:sz w:val="40"/>
          <w:szCs w:val="40"/>
        </w:rPr>
        <w:t>符合性审查表</w:t>
      </w:r>
    </w:p>
    <w:tbl>
      <w:tblPr>
        <w:tblStyle w:val="43"/>
        <w:tblW w:w="9078"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20" w:type="dxa"/>
          <w:left w:w="108" w:type="dxa"/>
          <w:bottom w:w="20" w:type="dxa"/>
          <w:right w:w="108" w:type="dxa"/>
        </w:tblCellMar>
      </w:tblPr>
      <w:tblGrid>
        <w:gridCol w:w="794"/>
        <w:gridCol w:w="8284"/>
      </w:tblGrid>
      <w:tr w14:paraId="35769A8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55D60E0C">
            <w:pPr>
              <w:widowControl/>
              <w:jc w:val="center"/>
              <w:rPr>
                <w:sz w:val="28"/>
                <w:szCs w:val="28"/>
              </w:rPr>
            </w:pPr>
            <w:r>
              <w:rPr>
                <w:rFonts w:ascii="宋体" w:hAnsi="宋体" w:cs="宋体"/>
                <w:kern w:val="0"/>
                <w:sz w:val="28"/>
                <w:szCs w:val="28"/>
                <w:lang w:bidi="ar"/>
              </w:rPr>
              <w:t>序号</w:t>
            </w:r>
          </w:p>
        </w:tc>
        <w:tc>
          <w:tcPr>
            <w:tcW w:w="8284"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505009B2">
            <w:pPr>
              <w:widowControl/>
              <w:jc w:val="center"/>
              <w:rPr>
                <w:sz w:val="28"/>
                <w:szCs w:val="28"/>
              </w:rPr>
            </w:pPr>
            <w:r>
              <w:rPr>
                <w:rFonts w:ascii="宋体" w:hAnsi="宋体" w:cs="宋体"/>
                <w:kern w:val="0"/>
                <w:sz w:val="28"/>
                <w:szCs w:val="28"/>
                <w:lang w:bidi="ar"/>
              </w:rPr>
              <w:t>内容</w:t>
            </w:r>
          </w:p>
        </w:tc>
      </w:tr>
      <w:tr w14:paraId="27A4E76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318CC7B">
            <w:pPr>
              <w:widowControl/>
              <w:jc w:val="center"/>
              <w:textAlignment w:val="top"/>
              <w:rPr>
                <w:szCs w:val="21"/>
              </w:rPr>
            </w:pPr>
            <w:r>
              <w:rPr>
                <w:rFonts w:ascii="宋体" w:hAnsi="宋体" w:cs="宋体"/>
                <w:kern w:val="0"/>
                <w:szCs w:val="21"/>
                <w:lang w:bidi="ar"/>
              </w:rPr>
              <w:t>1</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3BF01DB4">
            <w:pPr>
              <w:widowControl/>
              <w:jc w:val="left"/>
              <w:textAlignment w:val="top"/>
              <w:rPr>
                <w:szCs w:val="21"/>
              </w:rPr>
            </w:pPr>
            <w:r>
              <w:rPr>
                <w:rFonts w:hint="eastAsia"/>
              </w:rPr>
              <w:t>不得将一个包的内容拆开投标；</w:t>
            </w:r>
          </w:p>
        </w:tc>
      </w:tr>
      <w:tr w14:paraId="3D177E9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2CEAD9F">
            <w:pPr>
              <w:widowControl/>
              <w:jc w:val="center"/>
              <w:textAlignment w:val="top"/>
              <w:rPr>
                <w:szCs w:val="21"/>
              </w:rPr>
            </w:pPr>
            <w:r>
              <w:rPr>
                <w:rFonts w:ascii="宋体" w:hAnsi="宋体" w:cs="宋体"/>
                <w:kern w:val="0"/>
                <w:szCs w:val="21"/>
                <w:lang w:bidi="ar"/>
              </w:rPr>
              <w:t>2</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3E6C7681">
            <w:pPr>
              <w:widowControl/>
              <w:jc w:val="left"/>
              <w:textAlignment w:val="top"/>
              <w:rPr>
                <w:szCs w:val="21"/>
              </w:rPr>
            </w:pPr>
            <w:r>
              <w:rPr>
                <w:rFonts w:hint="eastAsia"/>
              </w:rPr>
              <w:t>对同一项目投标时，不得提供两套以上的投标方案（招标文件另有规定的除外）；</w:t>
            </w:r>
          </w:p>
        </w:tc>
      </w:tr>
      <w:tr w14:paraId="6A49BBC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AD2B92D">
            <w:pPr>
              <w:widowControl/>
              <w:jc w:val="center"/>
              <w:textAlignment w:val="top"/>
              <w:rPr>
                <w:szCs w:val="21"/>
              </w:rPr>
            </w:pPr>
            <w:r>
              <w:rPr>
                <w:rFonts w:ascii="宋体" w:hAnsi="宋体" w:cs="宋体"/>
                <w:kern w:val="0"/>
                <w:szCs w:val="21"/>
                <w:lang w:bidi="ar"/>
              </w:rPr>
              <w:t>3</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41C4002D">
            <w:pPr>
              <w:widowControl/>
              <w:jc w:val="left"/>
              <w:textAlignment w:val="top"/>
              <w:rPr>
                <w:szCs w:val="21"/>
              </w:rPr>
            </w:pPr>
            <w:r>
              <w:rPr>
                <w:rFonts w:hint="eastAsia"/>
              </w:rPr>
              <w:t>分项报价或投标总价不得高于</w:t>
            </w:r>
            <w:bookmarkStart w:id="1" w:name="_Hlk71832186"/>
            <w:r>
              <w:rPr>
                <w:rFonts w:hint="eastAsia"/>
              </w:rPr>
              <w:t>相应预算金额（或设定的预算金额下的最高限价）</w:t>
            </w:r>
            <w:bookmarkEnd w:id="1"/>
            <w:r>
              <w:rPr>
                <w:rFonts w:hint="eastAsia"/>
              </w:rPr>
              <w:t>；</w:t>
            </w:r>
          </w:p>
        </w:tc>
      </w:tr>
      <w:tr w14:paraId="4E898A9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BCA841D">
            <w:pPr>
              <w:widowControl/>
              <w:jc w:val="center"/>
              <w:textAlignment w:val="top"/>
              <w:rPr>
                <w:szCs w:val="21"/>
              </w:rPr>
            </w:pPr>
            <w:r>
              <w:rPr>
                <w:rFonts w:ascii="宋体" w:hAnsi="宋体" w:cs="宋体"/>
                <w:kern w:val="0"/>
                <w:szCs w:val="21"/>
                <w:lang w:bidi="ar"/>
              </w:rPr>
              <w:t>4</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647F2239">
            <w:pPr>
              <w:widowControl/>
              <w:jc w:val="left"/>
              <w:textAlignment w:val="top"/>
              <w:rPr>
                <w:szCs w:val="21"/>
              </w:rPr>
            </w:pPr>
            <w:r>
              <w:rPr>
                <w:rFonts w:hint="eastAsia"/>
              </w:rPr>
              <w:t>评审委员会认为投标人的报价明显低于其他通过符合性审查投标人的报价，有可能影响产品质量或者不能诚信履约的，应当要求其在评审现场合理的时间内提供书面说明，必要时提交相关证明材料；在此情况下，投标人仍不能证明其报价合理性的（评审委员会成员对投标人提供的说明材料判断不一致的，按照“少数服从多数”的原则确定评审委员会的意见）；</w:t>
            </w:r>
          </w:p>
        </w:tc>
      </w:tr>
      <w:tr w14:paraId="435E9A0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6652CF3">
            <w:pPr>
              <w:widowControl/>
              <w:jc w:val="center"/>
              <w:textAlignment w:val="top"/>
              <w:rPr>
                <w:szCs w:val="21"/>
              </w:rPr>
            </w:pPr>
            <w:r>
              <w:rPr>
                <w:rFonts w:ascii="宋体" w:hAnsi="宋体" w:cs="宋体"/>
                <w:kern w:val="0"/>
                <w:szCs w:val="21"/>
                <w:lang w:bidi="ar"/>
              </w:rPr>
              <w:t>5</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5C9BD5DD">
            <w:pPr>
              <w:widowControl/>
              <w:jc w:val="left"/>
              <w:textAlignment w:val="top"/>
              <w:rPr>
                <w:szCs w:val="21"/>
              </w:rPr>
            </w:pPr>
            <w:r>
              <w:rPr>
                <w:rFonts w:hint="eastAsia"/>
              </w:rPr>
              <w:t>所投货物、服务在技术、商务等方面没有实质性满足招标文件要求的（是否实质性满足招标文件要求，由评审委员会根据实质性条款响应情况做出评判；若招标文件未设置实质性条款，不得据此做投标无效处理）；</w:t>
            </w:r>
          </w:p>
        </w:tc>
      </w:tr>
      <w:tr w14:paraId="6249384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0D6017D">
            <w:pPr>
              <w:widowControl/>
              <w:jc w:val="center"/>
              <w:textAlignment w:val="top"/>
              <w:rPr>
                <w:szCs w:val="21"/>
              </w:rPr>
            </w:pPr>
            <w:r>
              <w:rPr>
                <w:rFonts w:ascii="宋体" w:hAnsi="宋体" w:cs="宋体"/>
                <w:kern w:val="0"/>
                <w:szCs w:val="21"/>
                <w:lang w:bidi="ar"/>
              </w:rPr>
              <w:t>6</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7E8222D7">
            <w:pPr>
              <w:widowControl/>
              <w:jc w:val="left"/>
              <w:textAlignment w:val="top"/>
              <w:rPr>
                <w:szCs w:val="21"/>
              </w:rPr>
            </w:pPr>
            <w:r>
              <w:rPr>
                <w:rFonts w:hint="eastAsia"/>
              </w:rPr>
              <w:t>未按招标文件所提供的样式填写《投标函》；未按招标文件所提供的《采购投标及履约承诺函》进行承诺；未按招标文件对投标文件组成的要求提供投标文件；</w:t>
            </w:r>
          </w:p>
        </w:tc>
      </w:tr>
      <w:tr w14:paraId="66BFEF0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D6F6EF3">
            <w:pPr>
              <w:widowControl/>
              <w:jc w:val="center"/>
              <w:textAlignment w:val="top"/>
            </w:pPr>
            <w:r>
              <w:rPr>
                <w:rFonts w:hint="eastAsia"/>
              </w:rPr>
              <w:t>7</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0BA7DA98">
            <w:pPr>
              <w:widowControl/>
              <w:jc w:val="left"/>
              <w:textAlignment w:val="top"/>
            </w:pPr>
            <w:r>
              <w:rPr>
                <w:rFonts w:hint="eastAsia"/>
              </w:rPr>
              <w:t>采购标的/所投产品/货物清单/报价等任意一类有缺漏项或响应不全，或者对招标文件规定的项目需求内容或者需求数量进行修改，评审委员会判定投标响应不满足采购需求；</w:t>
            </w:r>
          </w:p>
        </w:tc>
      </w:tr>
      <w:tr w14:paraId="02C10E7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9409BCB">
            <w:pPr>
              <w:widowControl/>
              <w:jc w:val="center"/>
              <w:textAlignment w:val="top"/>
              <w:rPr>
                <w:szCs w:val="21"/>
              </w:rPr>
            </w:pPr>
            <w:r>
              <w:rPr>
                <w:rFonts w:hint="eastAsia" w:ascii="宋体" w:hAnsi="宋体" w:cs="宋体"/>
                <w:kern w:val="0"/>
                <w:szCs w:val="21"/>
                <w:lang w:bidi="ar"/>
              </w:rPr>
              <w:t>8</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00BA8125">
            <w:pPr>
              <w:widowControl/>
              <w:jc w:val="left"/>
              <w:textAlignment w:val="top"/>
              <w:rPr>
                <w:szCs w:val="21"/>
              </w:rPr>
            </w:pPr>
            <w:r>
              <w:rPr>
                <w:rFonts w:hint="eastAsia"/>
              </w:rPr>
              <w:t>投标文件电子文档不得带病毒；</w:t>
            </w:r>
          </w:p>
        </w:tc>
      </w:tr>
      <w:tr w14:paraId="51DDB19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280" w:hRule="atLeast"/>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7D36F3A">
            <w:pPr>
              <w:widowControl/>
              <w:jc w:val="center"/>
              <w:textAlignment w:val="top"/>
              <w:rPr>
                <w:rFonts w:ascii="宋体" w:hAnsi="宋体" w:cs="宋体"/>
              </w:rPr>
            </w:pPr>
            <w:r>
              <w:rPr>
                <w:rFonts w:hint="eastAsia" w:ascii="宋体" w:hAnsi="宋体" w:cs="宋体"/>
              </w:rPr>
              <w:t>9</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560A733A">
            <w:pPr>
              <w:widowControl/>
              <w:jc w:val="left"/>
              <w:textAlignment w:val="top"/>
            </w:pPr>
            <w:r>
              <w:rPr>
                <w:rFonts w:hint="eastAsia"/>
              </w:rPr>
              <w:t>不同投标供应商投标文件“文件制作机器码”一致；</w:t>
            </w:r>
          </w:p>
        </w:tc>
      </w:tr>
      <w:tr w14:paraId="04E00FE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0D9DD52">
            <w:pPr>
              <w:widowControl/>
              <w:jc w:val="center"/>
              <w:textAlignment w:val="top"/>
              <w:rPr>
                <w:rFonts w:ascii="宋体" w:hAnsi="宋体" w:cs="宋体"/>
              </w:rPr>
            </w:pPr>
            <w:r>
              <w:rPr>
                <w:rFonts w:hint="eastAsia" w:ascii="宋体" w:hAnsi="宋体" w:cs="宋体"/>
              </w:rPr>
              <w:t>10</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0021C5CE">
            <w:pPr>
              <w:widowControl/>
              <w:jc w:val="left"/>
              <w:textAlignment w:val="top"/>
            </w:pPr>
            <w:r>
              <w:rPr>
                <w:rFonts w:hint="eastAsia"/>
              </w:rPr>
              <w:t>不同投标供应商投标文件“文件创建标识码”一致；</w:t>
            </w:r>
          </w:p>
        </w:tc>
      </w:tr>
      <w:tr w14:paraId="36695F6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40DC45E">
            <w:pPr>
              <w:widowControl/>
              <w:jc w:val="center"/>
              <w:textAlignment w:val="top"/>
              <w:rPr>
                <w:szCs w:val="21"/>
              </w:rPr>
            </w:pPr>
            <w:r>
              <w:rPr>
                <w:rFonts w:hint="eastAsia" w:ascii="宋体" w:hAnsi="宋体" w:cs="宋体"/>
                <w:kern w:val="0"/>
                <w:szCs w:val="21"/>
                <w:lang w:bidi="ar"/>
              </w:rPr>
              <w:t>11</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3696B8B6">
            <w:pPr>
              <w:widowControl/>
              <w:jc w:val="left"/>
              <w:textAlignment w:val="top"/>
              <w:rPr>
                <w:szCs w:val="21"/>
              </w:rPr>
            </w:pPr>
            <w:r>
              <w:rPr>
                <w:rFonts w:hint="eastAsia"/>
              </w:rPr>
              <w:t>法律、法规、规章、规范性文件规定的其他情形。</w:t>
            </w:r>
          </w:p>
        </w:tc>
      </w:tr>
    </w:tbl>
    <w:p w14:paraId="332E3C7B">
      <w:pPr>
        <w:pStyle w:val="38"/>
        <w:widowControl/>
        <w:jc w:val="center"/>
        <w:outlineLvl w:val="1"/>
        <w:rPr>
          <w:rFonts w:ascii="黑体" w:hAnsi="宋体" w:eastAsia="黑体" w:cs="黑体"/>
          <w:sz w:val="40"/>
          <w:szCs w:val="40"/>
        </w:rPr>
        <w:sectPr>
          <w:pgSz w:w="11907" w:h="16840"/>
          <w:pgMar w:top="1440" w:right="1418" w:bottom="1440" w:left="1418" w:header="851" w:footer="992" w:gutter="0"/>
          <w:cols w:space="425" w:num="1"/>
          <w:titlePg/>
          <w:docGrid w:linePitch="462" w:charSpace="0"/>
        </w:sectPr>
      </w:pPr>
    </w:p>
    <w:p w14:paraId="61B88D11">
      <w:pPr>
        <w:pStyle w:val="38"/>
        <w:widowControl/>
        <w:jc w:val="center"/>
        <w:outlineLvl w:val="1"/>
        <w:rPr>
          <w:rFonts w:ascii="黑体" w:hAnsi="宋体" w:eastAsia="黑体" w:cs="黑体"/>
          <w:sz w:val="40"/>
          <w:szCs w:val="40"/>
        </w:rPr>
      </w:pPr>
      <w:r>
        <w:rPr>
          <w:rFonts w:hint="eastAsia" w:ascii="黑体" w:hAnsi="宋体" w:eastAsia="黑体" w:cs="黑体"/>
          <w:sz w:val="40"/>
          <w:szCs w:val="40"/>
        </w:rPr>
        <w:t>评标信息</w:t>
      </w:r>
    </w:p>
    <w:tbl>
      <w:tblPr>
        <w:tblStyle w:val="43"/>
        <w:tblW w:w="9141" w:type="dxa"/>
        <w:jc w:val="center"/>
        <w:tblCellSpacing w:w="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45" w:type="dxa"/>
          <w:left w:w="45" w:type="dxa"/>
          <w:bottom w:w="45" w:type="dxa"/>
          <w:right w:w="45" w:type="dxa"/>
        </w:tblCellMar>
      </w:tblPr>
      <w:tblGrid>
        <w:gridCol w:w="63"/>
        <w:gridCol w:w="618"/>
        <w:gridCol w:w="681"/>
        <w:gridCol w:w="2837"/>
        <w:gridCol w:w="681"/>
        <w:gridCol w:w="4198"/>
        <w:gridCol w:w="63"/>
      </w:tblGrid>
      <w:tr w14:paraId="64AE57F8">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45" w:type="dxa"/>
            <w:left w:w="45" w:type="dxa"/>
            <w:bottom w:w="45" w:type="dxa"/>
            <w:right w:w="45" w:type="dxa"/>
          </w:tblCellMar>
        </w:tblPrEx>
        <w:trPr>
          <w:gridBefore w:val="1"/>
          <w:wBefore w:w="63" w:type="dxa"/>
          <w:tblCellSpacing w:w="0" w:type="dxa"/>
          <w:jc w:val="center"/>
        </w:trPr>
        <w:tc>
          <w:tcPr>
            <w:tcW w:w="9078" w:type="dxa"/>
            <w:gridSpan w:val="6"/>
            <w:shd w:val="clear" w:color="auto" w:fill="auto"/>
            <w:vAlign w:val="center"/>
          </w:tcPr>
          <w:p w14:paraId="15CA8A7B">
            <w:pPr>
              <w:jc w:val="left"/>
              <w:rPr>
                <w:rFonts w:ascii="宋体"/>
                <w:b/>
                <w:bCs/>
                <w:szCs w:val="21"/>
              </w:rPr>
            </w:pPr>
            <w:r>
              <w:rPr>
                <w:b/>
                <w:bCs/>
                <w:szCs w:val="21"/>
              </w:rPr>
              <w:t>评标方法：综合评分法</w:t>
            </w:r>
          </w:p>
        </w:tc>
      </w:tr>
      <w:tr w14:paraId="59EA0606">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45" w:type="dxa"/>
            <w:left w:w="45" w:type="dxa"/>
            <w:bottom w:w="45" w:type="dxa"/>
            <w:right w:w="45" w:type="dxa"/>
          </w:tblCellMar>
        </w:tblPrEx>
        <w:trPr>
          <w:gridBefore w:val="1"/>
          <w:wBefore w:w="63" w:type="dxa"/>
          <w:tblCellSpacing w:w="0" w:type="dxa"/>
          <w:jc w:val="center"/>
        </w:trPr>
        <w:tc>
          <w:tcPr>
            <w:tcW w:w="9078" w:type="dxa"/>
            <w:gridSpan w:val="6"/>
            <w:shd w:val="clear" w:color="auto" w:fill="auto"/>
            <w:vAlign w:val="center"/>
          </w:tcPr>
          <w:p w14:paraId="3AB40A88">
            <w:pPr>
              <w:ind w:firstLine="420"/>
              <w:rPr>
                <w:szCs w:val="21"/>
              </w:rPr>
            </w:pPr>
            <w:r>
              <w:rPr>
                <w:szCs w:val="21"/>
              </w:rPr>
              <w:t>综合评分法，</w:t>
            </w:r>
            <w:r>
              <w:rPr>
                <w:rFonts w:hint="eastAsia"/>
                <w:szCs w:val="21"/>
              </w:rPr>
              <w:t>是指投标文件满足招标文件全部实质性要求，且按照评审因素的量化指标评审得分排名前列</w:t>
            </w:r>
            <w:r>
              <w:rPr>
                <w:szCs w:val="21"/>
              </w:rPr>
              <w:t>的投标人为中标候选人的评标方法。</w:t>
            </w:r>
          </w:p>
          <w:p w14:paraId="3695582B">
            <w:pPr>
              <w:ind w:firstLine="420"/>
              <w:rPr>
                <w:szCs w:val="21"/>
              </w:rPr>
            </w:pPr>
          </w:p>
          <w:p w14:paraId="70E4CE6D">
            <w:pPr>
              <w:ind w:firstLine="420"/>
              <w:rPr>
                <w:szCs w:val="21"/>
              </w:rPr>
            </w:pPr>
            <w:r>
              <w:rPr>
                <w:szCs w:val="21"/>
              </w:rPr>
              <w:t>价格分计算方法：</w:t>
            </w:r>
          </w:p>
          <w:p w14:paraId="5EE832DF">
            <w:pPr>
              <w:pStyle w:val="38"/>
              <w:widowControl/>
              <w:spacing w:beforeAutospacing="0" w:afterAutospacing="0"/>
              <w:ind w:left="420"/>
              <w:rPr>
                <w:kern w:val="2"/>
                <w:sz w:val="21"/>
                <w:szCs w:val="21"/>
              </w:rPr>
            </w:pPr>
            <w:r>
              <w:rPr>
                <w:kern w:val="2"/>
                <w:sz w:val="21"/>
                <w:szCs w:val="21"/>
              </w:rPr>
              <w:t xml:space="preserve">采用低价优先法计算，即满足招标文件要求且投标价格最低的投标报价为评标基准价，其价格分为满分。其他投标人的价格分统一按照下列公式计算： </w:t>
            </w:r>
          </w:p>
          <w:p w14:paraId="2A7ADCBE">
            <w:pPr>
              <w:pStyle w:val="38"/>
              <w:widowControl/>
              <w:spacing w:beforeAutospacing="0" w:afterAutospacing="0"/>
              <w:ind w:left="420"/>
              <w:rPr>
                <w:kern w:val="2"/>
                <w:sz w:val="21"/>
                <w:szCs w:val="21"/>
              </w:rPr>
            </w:pPr>
            <w:r>
              <w:rPr>
                <w:kern w:val="2"/>
                <w:sz w:val="21"/>
                <w:szCs w:val="21"/>
              </w:rPr>
              <w:t xml:space="preserve">投标报价得分=(评标基准价／投标报价)×100 </w:t>
            </w:r>
          </w:p>
          <w:p w14:paraId="7C7D3706">
            <w:pPr>
              <w:pStyle w:val="38"/>
              <w:widowControl/>
              <w:spacing w:beforeAutospacing="0" w:afterAutospacing="0"/>
              <w:ind w:left="420"/>
              <w:rPr>
                <w:kern w:val="2"/>
                <w:sz w:val="21"/>
                <w:szCs w:val="21"/>
              </w:rPr>
            </w:pPr>
            <w:r>
              <w:rPr>
                <w:kern w:val="2"/>
                <w:sz w:val="21"/>
                <w:szCs w:val="21"/>
              </w:rPr>
              <w:t xml:space="preserve">评标总得分＝F1×A1＋F2×A2＋……＋Fn×An </w:t>
            </w:r>
          </w:p>
          <w:p w14:paraId="09BD6EDE">
            <w:pPr>
              <w:pStyle w:val="38"/>
              <w:widowControl/>
              <w:spacing w:beforeAutospacing="0" w:afterAutospacing="0"/>
              <w:ind w:left="420"/>
              <w:rPr>
                <w:kern w:val="2"/>
                <w:sz w:val="21"/>
                <w:szCs w:val="21"/>
              </w:rPr>
            </w:pPr>
            <w:r>
              <w:rPr>
                <w:kern w:val="2"/>
                <w:sz w:val="21"/>
                <w:szCs w:val="21"/>
              </w:rPr>
              <w:t xml:space="preserve">F1、F2……Fn分别为各项评审因素的得分； </w:t>
            </w:r>
          </w:p>
          <w:p w14:paraId="1E9EBFC7">
            <w:pPr>
              <w:pStyle w:val="38"/>
              <w:widowControl/>
              <w:spacing w:beforeAutospacing="0" w:afterAutospacing="0"/>
              <w:ind w:left="420"/>
              <w:rPr>
                <w:kern w:val="2"/>
                <w:sz w:val="21"/>
                <w:szCs w:val="21"/>
              </w:rPr>
            </w:pPr>
            <w:r>
              <w:rPr>
                <w:kern w:val="2"/>
                <w:sz w:val="21"/>
                <w:szCs w:val="21"/>
              </w:rPr>
              <w:t xml:space="preserve">A1、A2、……An 分别为各项评审因素所占的权重(A1＋A2＋……＋An＝1)。 </w:t>
            </w:r>
          </w:p>
          <w:p w14:paraId="28514DD1">
            <w:pPr>
              <w:pStyle w:val="38"/>
              <w:widowControl/>
              <w:spacing w:beforeAutospacing="0" w:afterAutospacing="0"/>
              <w:ind w:left="420"/>
              <w:rPr>
                <w:kern w:val="2"/>
                <w:sz w:val="21"/>
                <w:szCs w:val="21"/>
              </w:rPr>
            </w:pPr>
            <w:r>
              <w:rPr>
                <w:kern w:val="2"/>
                <w:sz w:val="21"/>
                <w:szCs w:val="21"/>
              </w:rPr>
              <w:t>评标过程中，不得去掉报价中的最高报价和最低报价。</w:t>
            </w:r>
          </w:p>
          <w:p w14:paraId="03650D19">
            <w:pPr>
              <w:pStyle w:val="38"/>
              <w:widowControl/>
              <w:spacing w:beforeAutospacing="0" w:afterAutospacing="0"/>
              <w:ind w:left="420"/>
              <w:rPr>
                <w:kern w:val="2"/>
                <w:sz w:val="21"/>
                <w:szCs w:val="21"/>
              </w:rPr>
            </w:pPr>
            <w:r>
              <w:rPr>
                <w:rFonts w:hint="eastAsia"/>
                <w:kern w:val="2"/>
                <w:sz w:val="21"/>
                <w:szCs w:val="21"/>
              </w:rPr>
              <w:t>因落实政府采购政策进行价格调整的，以调整后的价格计算评标基准价和投标报价。</w:t>
            </w:r>
          </w:p>
          <w:p w14:paraId="0346FFE5">
            <w:pPr>
              <w:pStyle w:val="38"/>
              <w:widowControl/>
              <w:spacing w:beforeAutospacing="0" w:afterAutospacing="0"/>
              <w:rPr>
                <w:sz w:val="21"/>
                <w:szCs w:val="21"/>
              </w:rPr>
            </w:pPr>
          </w:p>
        </w:tc>
      </w:tr>
      <w:tr w14:paraId="7C5FCD3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63" w:type="dxa"/>
          <w:trHeight w:val="90" w:hRule="atLeast"/>
          <w:tblCellSpacing w:w="0" w:type="dxa"/>
          <w:jc w:val="center"/>
        </w:trPr>
        <w:tc>
          <w:tcPr>
            <w:tcW w:w="681" w:type="dxa"/>
            <w:gridSpan w:val="2"/>
            <w:tcBorders>
              <w:top w:val="single" w:color="000000" w:sz="8" w:space="0"/>
              <w:left w:val="single" w:color="000000" w:sz="8" w:space="0"/>
              <w:bottom w:val="single" w:color="000000" w:sz="8" w:space="0"/>
              <w:right w:val="single" w:color="000000" w:sz="8" w:space="0"/>
            </w:tcBorders>
            <w:shd w:val="clear" w:color="auto" w:fill="E6EFFA"/>
            <w:vAlign w:val="center"/>
          </w:tcPr>
          <w:p w14:paraId="476C26C0">
            <w:pPr>
              <w:widowControl/>
              <w:wordWrap w:val="0"/>
              <w:jc w:val="center"/>
              <w:rPr>
                <w:b/>
                <w:bCs/>
                <w:szCs w:val="21"/>
              </w:rPr>
            </w:pPr>
            <w:bookmarkStart w:id="2" w:name="_Hlk72360569"/>
            <w:r>
              <w:rPr>
                <w:rFonts w:ascii="宋体" w:hAnsi="宋体" w:cs="宋体"/>
                <w:b/>
                <w:bCs/>
                <w:kern w:val="0"/>
                <w:szCs w:val="21"/>
                <w:lang w:bidi="ar"/>
              </w:rPr>
              <w:t>序号</w:t>
            </w:r>
          </w:p>
        </w:tc>
        <w:tc>
          <w:tcPr>
            <w:tcW w:w="4199" w:type="dxa"/>
            <w:gridSpan w:val="3"/>
            <w:tcBorders>
              <w:top w:val="single" w:color="000000" w:sz="8" w:space="0"/>
              <w:left w:val="single" w:color="000000" w:sz="8" w:space="0"/>
              <w:bottom w:val="single" w:color="000000" w:sz="8" w:space="0"/>
              <w:right w:val="single" w:color="000000" w:sz="8" w:space="0"/>
            </w:tcBorders>
            <w:shd w:val="clear" w:color="auto" w:fill="E6EFFA"/>
            <w:vAlign w:val="center"/>
          </w:tcPr>
          <w:p w14:paraId="3560BB92">
            <w:pPr>
              <w:widowControl/>
              <w:wordWrap w:val="0"/>
              <w:jc w:val="center"/>
              <w:rPr>
                <w:b/>
                <w:bCs/>
                <w:szCs w:val="21"/>
              </w:rPr>
            </w:pPr>
            <w:r>
              <w:rPr>
                <w:rFonts w:ascii="宋体" w:hAnsi="宋体" w:cs="宋体"/>
                <w:b/>
                <w:bCs/>
                <w:kern w:val="0"/>
                <w:szCs w:val="21"/>
                <w:lang w:bidi="ar"/>
              </w:rPr>
              <w:t>评分项</w:t>
            </w:r>
          </w:p>
        </w:tc>
        <w:tc>
          <w:tcPr>
            <w:tcW w:w="4198"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31B8D252">
            <w:pPr>
              <w:widowControl/>
              <w:wordWrap w:val="0"/>
              <w:jc w:val="center"/>
              <w:rPr>
                <w:b/>
                <w:bCs/>
                <w:szCs w:val="21"/>
              </w:rPr>
            </w:pPr>
            <w:r>
              <w:rPr>
                <w:rFonts w:ascii="宋体" w:hAnsi="宋体" w:cs="宋体"/>
                <w:b/>
                <w:bCs/>
                <w:kern w:val="0"/>
                <w:szCs w:val="21"/>
                <w:lang w:bidi="ar"/>
              </w:rPr>
              <w:t>权重(%)</w:t>
            </w:r>
          </w:p>
        </w:tc>
      </w:tr>
      <w:tr w14:paraId="4883E09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63" w:type="dxa"/>
          <w:tblCellSpacing w:w="0" w:type="dxa"/>
          <w:jc w:val="center"/>
        </w:trPr>
        <w:tc>
          <w:tcPr>
            <w:tcW w:w="681"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14:paraId="656A2C04">
            <w:pPr>
              <w:widowControl/>
              <w:wordWrap w:val="0"/>
              <w:jc w:val="center"/>
              <w:rPr>
                <w:b/>
                <w:bCs/>
                <w:color w:val="0000FF"/>
                <w:szCs w:val="21"/>
              </w:rPr>
            </w:pPr>
            <w:r>
              <w:rPr>
                <w:rFonts w:ascii="宋体" w:hAnsi="宋体" w:cs="宋体"/>
                <w:b/>
                <w:bCs/>
                <w:color w:val="0000FF"/>
                <w:kern w:val="0"/>
                <w:szCs w:val="21"/>
                <w:lang w:bidi="ar"/>
              </w:rPr>
              <w:t>1</w:t>
            </w:r>
          </w:p>
        </w:tc>
        <w:tc>
          <w:tcPr>
            <w:tcW w:w="4199" w:type="dxa"/>
            <w:gridSpan w:val="3"/>
            <w:tcBorders>
              <w:top w:val="single" w:color="000000" w:sz="8" w:space="0"/>
              <w:left w:val="single" w:color="000000" w:sz="8" w:space="0"/>
              <w:bottom w:val="single" w:color="000000" w:sz="8" w:space="0"/>
              <w:right w:val="single" w:color="000000" w:sz="8" w:space="0"/>
            </w:tcBorders>
            <w:shd w:val="clear" w:color="auto" w:fill="auto"/>
            <w:vAlign w:val="center"/>
          </w:tcPr>
          <w:p w14:paraId="4B94A1DB">
            <w:pPr>
              <w:widowControl/>
              <w:wordWrap w:val="0"/>
              <w:jc w:val="center"/>
              <w:rPr>
                <w:b/>
                <w:bCs/>
                <w:color w:val="0000FF"/>
                <w:szCs w:val="21"/>
              </w:rPr>
            </w:pPr>
            <w:r>
              <w:rPr>
                <w:rFonts w:ascii="宋体" w:hAnsi="宋体" w:cs="宋体"/>
                <w:b/>
                <w:bCs/>
                <w:color w:val="0000FF"/>
                <w:kern w:val="0"/>
                <w:szCs w:val="21"/>
                <w:lang w:bidi="ar"/>
              </w:rPr>
              <w:t>价格</w:t>
            </w:r>
          </w:p>
        </w:tc>
        <w:tc>
          <w:tcPr>
            <w:tcW w:w="41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1479836">
            <w:pPr>
              <w:widowControl/>
              <w:wordWrap w:val="0"/>
              <w:jc w:val="center"/>
              <w:rPr>
                <w:b/>
                <w:bCs/>
                <w:color w:val="0000FF"/>
                <w:szCs w:val="21"/>
              </w:rPr>
            </w:pPr>
            <w:r>
              <w:rPr>
                <w:rFonts w:ascii="宋体" w:hAnsi="宋体" w:cs="宋体"/>
                <w:b/>
                <w:bCs/>
                <w:color w:val="0000FF"/>
                <w:kern w:val="0"/>
                <w:szCs w:val="21"/>
                <w:lang w:bidi="ar"/>
              </w:rPr>
              <w:t>30</w:t>
            </w:r>
          </w:p>
        </w:tc>
      </w:tr>
      <w:tr w14:paraId="54B3577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63" w:type="dxa"/>
          <w:tblCellSpacing w:w="0" w:type="dxa"/>
          <w:jc w:val="center"/>
        </w:trPr>
        <w:tc>
          <w:tcPr>
            <w:tcW w:w="681" w:type="dxa"/>
            <w:gridSpan w:val="2"/>
            <w:vMerge w:val="restart"/>
            <w:tcBorders>
              <w:top w:val="single" w:color="000000" w:sz="8" w:space="0"/>
              <w:left w:val="single" w:color="000000" w:sz="8" w:space="0"/>
              <w:right w:val="single" w:color="000000" w:sz="8" w:space="0"/>
            </w:tcBorders>
            <w:shd w:val="clear" w:color="auto" w:fill="auto"/>
            <w:vAlign w:val="center"/>
          </w:tcPr>
          <w:p w14:paraId="33B9876E">
            <w:pPr>
              <w:widowControl/>
              <w:wordWrap w:val="0"/>
              <w:jc w:val="center"/>
              <w:rPr>
                <w:b/>
                <w:bCs/>
                <w:color w:val="0000FF"/>
                <w:szCs w:val="21"/>
              </w:rPr>
            </w:pPr>
            <w:r>
              <w:rPr>
                <w:rFonts w:ascii="宋体" w:hAnsi="宋体" w:cs="宋体"/>
                <w:b/>
                <w:bCs/>
                <w:color w:val="0000FF"/>
                <w:kern w:val="0"/>
                <w:szCs w:val="21"/>
                <w:lang w:bidi="ar"/>
              </w:rPr>
              <w:t>2</w:t>
            </w:r>
          </w:p>
        </w:tc>
        <w:tc>
          <w:tcPr>
            <w:tcW w:w="4199" w:type="dxa"/>
            <w:gridSpan w:val="3"/>
            <w:tcBorders>
              <w:top w:val="single" w:color="000000" w:sz="8" w:space="0"/>
              <w:left w:val="single" w:color="000000" w:sz="8" w:space="0"/>
              <w:bottom w:val="single" w:color="000000" w:sz="8" w:space="0"/>
              <w:right w:val="single" w:color="000000" w:sz="8" w:space="0"/>
            </w:tcBorders>
            <w:shd w:val="clear" w:color="auto" w:fill="auto"/>
            <w:vAlign w:val="center"/>
          </w:tcPr>
          <w:p w14:paraId="626C4C45">
            <w:pPr>
              <w:widowControl/>
              <w:wordWrap w:val="0"/>
              <w:jc w:val="center"/>
              <w:rPr>
                <w:b/>
                <w:bCs/>
                <w:color w:val="0000FF"/>
                <w:szCs w:val="21"/>
              </w:rPr>
            </w:pPr>
            <w:r>
              <w:rPr>
                <w:rFonts w:ascii="宋体" w:hAnsi="宋体" w:cs="宋体"/>
                <w:b/>
                <w:bCs/>
                <w:color w:val="0000FF"/>
                <w:kern w:val="0"/>
                <w:szCs w:val="21"/>
                <w:lang w:bidi="ar"/>
              </w:rPr>
              <w:t>技术部分</w:t>
            </w:r>
          </w:p>
        </w:tc>
        <w:tc>
          <w:tcPr>
            <w:tcW w:w="41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119F9B6">
            <w:pPr>
              <w:widowControl/>
              <w:wordWrap w:val="0"/>
              <w:jc w:val="center"/>
              <w:rPr>
                <w:b/>
                <w:bCs/>
                <w:color w:val="0000FF"/>
                <w:szCs w:val="21"/>
              </w:rPr>
            </w:pPr>
            <w:r>
              <w:rPr>
                <w:rFonts w:hint="eastAsia"/>
                <w:b/>
                <w:bCs/>
                <w:color w:val="0000FF"/>
                <w:szCs w:val="21"/>
              </w:rPr>
              <w:t>61</w:t>
            </w:r>
          </w:p>
        </w:tc>
      </w:tr>
      <w:tr w14:paraId="46EA03A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63" w:type="dxa"/>
          <w:tblCellSpacing w:w="0" w:type="dxa"/>
          <w:jc w:val="center"/>
        </w:trPr>
        <w:tc>
          <w:tcPr>
            <w:tcW w:w="681" w:type="dxa"/>
            <w:gridSpan w:val="2"/>
            <w:vMerge w:val="continue"/>
            <w:tcBorders>
              <w:left w:val="single" w:color="000000" w:sz="8" w:space="0"/>
              <w:right w:val="single" w:color="000000" w:sz="8" w:space="0"/>
            </w:tcBorders>
            <w:shd w:val="clear" w:color="auto" w:fill="E6EFFA"/>
            <w:vAlign w:val="center"/>
          </w:tcPr>
          <w:p w14:paraId="68879569">
            <w:pPr>
              <w:jc w:val="center"/>
              <w:rPr>
                <w:rFonts w:ascii="宋体"/>
                <w:b/>
                <w:bCs/>
                <w:color w:val="0000FF"/>
                <w:szCs w:val="21"/>
              </w:rPr>
            </w:pPr>
          </w:p>
        </w:tc>
        <w:tc>
          <w:tcPr>
            <w:tcW w:w="681"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4DBA8EC0">
            <w:pPr>
              <w:widowControl/>
              <w:wordWrap w:val="0"/>
              <w:jc w:val="center"/>
              <w:rPr>
                <w:szCs w:val="21"/>
              </w:rPr>
            </w:pPr>
            <w:r>
              <w:rPr>
                <w:rFonts w:ascii="宋体" w:hAnsi="宋体" w:cs="宋体"/>
                <w:kern w:val="0"/>
                <w:szCs w:val="21"/>
                <w:lang w:bidi="ar"/>
              </w:rPr>
              <w:t>序号</w:t>
            </w:r>
          </w:p>
        </w:tc>
        <w:tc>
          <w:tcPr>
            <w:tcW w:w="2837"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5F801244">
            <w:pPr>
              <w:widowControl/>
              <w:wordWrap w:val="0"/>
              <w:jc w:val="center"/>
              <w:rPr>
                <w:szCs w:val="21"/>
              </w:rPr>
            </w:pPr>
            <w:r>
              <w:rPr>
                <w:rFonts w:ascii="宋体" w:hAnsi="宋体" w:cs="宋体"/>
                <w:kern w:val="0"/>
                <w:szCs w:val="21"/>
                <w:lang w:bidi="ar"/>
              </w:rPr>
              <w:t>评分因素</w:t>
            </w:r>
          </w:p>
        </w:tc>
        <w:tc>
          <w:tcPr>
            <w:tcW w:w="681"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53E6738B">
            <w:pPr>
              <w:widowControl/>
              <w:wordWrap w:val="0"/>
              <w:jc w:val="center"/>
              <w:rPr>
                <w:szCs w:val="21"/>
              </w:rPr>
            </w:pPr>
            <w:r>
              <w:rPr>
                <w:rFonts w:ascii="宋体" w:hAnsi="宋体" w:cs="宋体"/>
                <w:kern w:val="0"/>
                <w:szCs w:val="21"/>
                <w:lang w:bidi="ar"/>
              </w:rPr>
              <w:t>权重(%)</w:t>
            </w:r>
          </w:p>
        </w:tc>
        <w:tc>
          <w:tcPr>
            <w:tcW w:w="4198"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0CF0F486">
            <w:pPr>
              <w:widowControl/>
              <w:wordWrap w:val="0"/>
              <w:jc w:val="center"/>
              <w:rPr>
                <w:szCs w:val="21"/>
              </w:rPr>
            </w:pPr>
            <w:r>
              <w:rPr>
                <w:rFonts w:ascii="宋体" w:hAnsi="宋体" w:cs="宋体"/>
                <w:kern w:val="0"/>
                <w:szCs w:val="21"/>
                <w:lang w:bidi="ar"/>
              </w:rPr>
              <w:t>评分准则</w:t>
            </w:r>
          </w:p>
        </w:tc>
      </w:tr>
      <w:tr w14:paraId="0837D27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63" w:type="dxa"/>
          <w:tblCellSpacing w:w="0" w:type="dxa"/>
          <w:jc w:val="center"/>
        </w:trPr>
        <w:tc>
          <w:tcPr>
            <w:tcW w:w="681" w:type="dxa"/>
            <w:gridSpan w:val="2"/>
            <w:vMerge w:val="continue"/>
            <w:tcBorders>
              <w:left w:val="single" w:color="000000" w:sz="8" w:space="0"/>
              <w:right w:val="single" w:color="000000" w:sz="8" w:space="0"/>
            </w:tcBorders>
            <w:shd w:val="clear" w:color="auto" w:fill="auto"/>
            <w:vAlign w:val="center"/>
          </w:tcPr>
          <w:p w14:paraId="44C6ED72">
            <w:pPr>
              <w:jc w:val="center"/>
              <w:rPr>
                <w:rFonts w:ascii="宋体"/>
                <w:b/>
                <w:bCs/>
                <w:color w:val="0000FF"/>
                <w:szCs w:val="21"/>
              </w:rPr>
            </w:pP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D8720CE">
            <w:pPr>
              <w:widowControl/>
              <w:wordWrap w:val="0"/>
              <w:jc w:val="center"/>
              <w:textAlignment w:val="top"/>
              <w:rPr>
                <w:szCs w:val="21"/>
              </w:rPr>
            </w:pPr>
            <w:r>
              <w:rPr>
                <w:rFonts w:hint="eastAsia" w:ascii="宋体" w:hAnsi="宋体" w:cs="宋体"/>
                <w:kern w:val="0"/>
                <w:szCs w:val="21"/>
                <w:lang w:bidi="ar"/>
              </w:rPr>
              <w:t>1</w:t>
            </w:r>
          </w:p>
        </w:tc>
        <w:tc>
          <w:tcPr>
            <w:tcW w:w="283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C700063">
            <w:pPr>
              <w:widowControl/>
              <w:wordWrap w:val="0"/>
              <w:jc w:val="center"/>
              <w:textAlignment w:val="top"/>
              <w:rPr>
                <w:szCs w:val="21"/>
              </w:rPr>
            </w:pPr>
            <w:r>
              <w:rPr>
                <w:rFonts w:hint="eastAsia"/>
                <w:szCs w:val="21"/>
              </w:rPr>
              <w:t>所投产品▲参数响应情况评价</w:t>
            </w: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9F05959">
            <w:pPr>
              <w:widowControl/>
              <w:wordWrap w:val="0"/>
              <w:jc w:val="center"/>
              <w:textAlignment w:val="top"/>
              <w:rPr>
                <w:szCs w:val="21"/>
              </w:rPr>
            </w:pPr>
            <w:r>
              <w:rPr>
                <w:rFonts w:hint="eastAsia"/>
                <w:szCs w:val="21"/>
              </w:rPr>
              <w:t>2</w:t>
            </w:r>
            <w:r>
              <w:rPr>
                <w:szCs w:val="21"/>
              </w:rPr>
              <w:t>0</w:t>
            </w:r>
          </w:p>
        </w:tc>
        <w:tc>
          <w:tcPr>
            <w:tcW w:w="41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4C1784D">
            <w:pPr>
              <w:widowControl/>
              <w:wordWrap w:val="0"/>
              <w:jc w:val="left"/>
              <w:textAlignment w:val="top"/>
              <w:rPr>
                <w:szCs w:val="21"/>
              </w:rPr>
            </w:pPr>
            <w:r>
              <w:rPr>
                <w:rFonts w:hint="eastAsia"/>
                <w:szCs w:val="21"/>
              </w:rPr>
              <w:t>（一）评分内容：</w:t>
            </w:r>
          </w:p>
          <w:p w14:paraId="66A50C96">
            <w:pPr>
              <w:widowControl/>
              <w:wordWrap w:val="0"/>
              <w:jc w:val="left"/>
              <w:textAlignment w:val="top"/>
              <w:rPr>
                <w:szCs w:val="21"/>
              </w:rPr>
            </w:pPr>
            <w:r>
              <w:rPr>
                <w:rFonts w:hint="eastAsia"/>
                <w:szCs w:val="21"/>
              </w:rPr>
              <w:t>所投产品▲符号技术参数响应情况，全部满足得100分；有负偏离的，每负偏离一条扣</w:t>
            </w:r>
            <w:r>
              <w:rPr>
                <w:szCs w:val="21"/>
              </w:rPr>
              <w:t>12.5</w:t>
            </w:r>
            <w:r>
              <w:rPr>
                <w:rFonts w:hint="eastAsia"/>
                <w:szCs w:val="21"/>
              </w:rPr>
              <w:t>分，扣完为止。</w:t>
            </w:r>
          </w:p>
          <w:p w14:paraId="0C8D77D4">
            <w:pPr>
              <w:widowControl/>
              <w:wordWrap w:val="0"/>
              <w:jc w:val="left"/>
              <w:textAlignment w:val="top"/>
              <w:rPr>
                <w:szCs w:val="21"/>
              </w:rPr>
            </w:pPr>
            <w:r>
              <w:rPr>
                <w:rFonts w:hint="eastAsia"/>
                <w:szCs w:val="21"/>
              </w:rPr>
              <w:t>（二）评分依据：</w:t>
            </w:r>
          </w:p>
          <w:p w14:paraId="58C75C51">
            <w:pPr>
              <w:widowControl/>
              <w:wordWrap w:val="0"/>
              <w:jc w:val="left"/>
              <w:textAlignment w:val="top"/>
              <w:rPr>
                <w:szCs w:val="21"/>
              </w:rPr>
            </w:pPr>
            <w:r>
              <w:rPr>
                <w:rFonts w:hint="eastAsia"/>
                <w:szCs w:val="21"/>
              </w:rPr>
              <w:t>提供《技术要求偏离表》，如有要求提供证明资料的按照招标文件的要求提供相关证明资料。投标人未提供相关证明材料或者提供的证明材料不符合要求的或提供的证明材料不清晰评审专家无法辨认的，该项参数按照负偏离处理，扣除相应分值。</w:t>
            </w:r>
          </w:p>
        </w:tc>
      </w:tr>
      <w:tr w14:paraId="2D336A5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63" w:type="dxa"/>
          <w:tblCellSpacing w:w="0" w:type="dxa"/>
          <w:jc w:val="center"/>
        </w:trPr>
        <w:tc>
          <w:tcPr>
            <w:tcW w:w="681" w:type="dxa"/>
            <w:gridSpan w:val="2"/>
            <w:vMerge w:val="continue"/>
            <w:tcBorders>
              <w:left w:val="single" w:color="000000" w:sz="8" w:space="0"/>
              <w:right w:val="single" w:color="000000" w:sz="8" w:space="0"/>
            </w:tcBorders>
            <w:shd w:val="clear" w:color="auto" w:fill="auto"/>
            <w:vAlign w:val="center"/>
          </w:tcPr>
          <w:p w14:paraId="410D35BD">
            <w:pPr>
              <w:jc w:val="center"/>
              <w:rPr>
                <w:rFonts w:ascii="宋体"/>
                <w:b/>
                <w:bCs/>
                <w:color w:val="0000FF"/>
                <w:szCs w:val="21"/>
              </w:rPr>
            </w:pP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9EFE6D4">
            <w:pPr>
              <w:widowControl/>
              <w:wordWrap w:val="0"/>
              <w:jc w:val="center"/>
              <w:textAlignment w:val="top"/>
              <w:rPr>
                <w:rFonts w:ascii="宋体" w:hAnsi="宋体" w:cs="宋体"/>
                <w:kern w:val="0"/>
                <w:szCs w:val="21"/>
                <w:lang w:bidi="ar"/>
              </w:rPr>
            </w:pPr>
            <w:r>
              <w:rPr>
                <w:rFonts w:hint="eastAsia" w:ascii="宋体" w:hAnsi="宋体" w:cs="宋体"/>
                <w:kern w:val="0"/>
                <w:szCs w:val="21"/>
                <w:lang w:bidi="ar"/>
              </w:rPr>
              <w:t>2</w:t>
            </w:r>
          </w:p>
        </w:tc>
        <w:tc>
          <w:tcPr>
            <w:tcW w:w="283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89BD8C1">
            <w:pPr>
              <w:widowControl/>
              <w:wordWrap w:val="0"/>
              <w:jc w:val="center"/>
              <w:textAlignment w:val="top"/>
              <w:rPr>
                <w:szCs w:val="21"/>
              </w:rPr>
            </w:pPr>
            <w:r>
              <w:rPr>
                <w:rFonts w:hint="eastAsia"/>
                <w:szCs w:val="21"/>
              </w:rPr>
              <w:t>所投产品一般技术参数（非▲参数）响应情况评价</w:t>
            </w: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B227CE5">
            <w:pPr>
              <w:widowControl/>
              <w:wordWrap w:val="0"/>
              <w:jc w:val="center"/>
              <w:textAlignment w:val="top"/>
              <w:rPr>
                <w:szCs w:val="21"/>
              </w:rPr>
            </w:pPr>
            <w:r>
              <w:rPr>
                <w:szCs w:val="21"/>
              </w:rPr>
              <w:t>6</w:t>
            </w:r>
          </w:p>
        </w:tc>
        <w:tc>
          <w:tcPr>
            <w:tcW w:w="41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1C39B21">
            <w:pPr>
              <w:widowControl/>
              <w:wordWrap w:val="0"/>
              <w:jc w:val="left"/>
              <w:textAlignment w:val="top"/>
              <w:rPr>
                <w:szCs w:val="21"/>
              </w:rPr>
            </w:pPr>
            <w:r>
              <w:rPr>
                <w:rFonts w:hint="eastAsia"/>
                <w:szCs w:val="21"/>
              </w:rPr>
              <w:t>（一）评分内容：</w:t>
            </w:r>
          </w:p>
          <w:p w14:paraId="25BE0FBC">
            <w:pPr>
              <w:widowControl/>
              <w:wordWrap w:val="0"/>
              <w:jc w:val="left"/>
              <w:textAlignment w:val="top"/>
              <w:rPr>
                <w:szCs w:val="21"/>
              </w:rPr>
            </w:pPr>
            <w:r>
              <w:rPr>
                <w:rFonts w:hint="eastAsia"/>
                <w:szCs w:val="21"/>
              </w:rPr>
              <w:t>所投产品一般技术参数响应情况，全部满足得100分；有负偏离的，每负偏离一条扣</w:t>
            </w:r>
            <w:r>
              <w:rPr>
                <w:szCs w:val="21"/>
              </w:rPr>
              <w:t>4.35</w:t>
            </w:r>
            <w:r>
              <w:rPr>
                <w:rFonts w:hint="eastAsia"/>
                <w:szCs w:val="21"/>
              </w:rPr>
              <w:t>分，扣完为止。</w:t>
            </w:r>
          </w:p>
          <w:p w14:paraId="32DF628B">
            <w:pPr>
              <w:widowControl/>
              <w:wordWrap w:val="0"/>
              <w:jc w:val="left"/>
              <w:textAlignment w:val="top"/>
              <w:rPr>
                <w:szCs w:val="21"/>
              </w:rPr>
            </w:pPr>
            <w:r>
              <w:rPr>
                <w:rFonts w:hint="eastAsia"/>
                <w:szCs w:val="21"/>
              </w:rPr>
              <w:t>（二）评分依据：</w:t>
            </w:r>
          </w:p>
          <w:p w14:paraId="28505EB0">
            <w:pPr>
              <w:widowControl/>
              <w:wordWrap w:val="0"/>
              <w:jc w:val="left"/>
              <w:textAlignment w:val="top"/>
              <w:rPr>
                <w:szCs w:val="21"/>
              </w:rPr>
            </w:pPr>
            <w:r>
              <w:rPr>
                <w:rFonts w:hint="eastAsia"/>
                <w:szCs w:val="21"/>
              </w:rPr>
              <w:t>提供《技术要求偏离表》，如有要求提供证明资料的按照招标文件的要求提供相关证明资料。投标人未提供相关证明材料或者提供的证明材料不符合要求的或提供的证明材料不清晰评审专家无法辨认的，该项参数按照负偏离处理，扣除相应分值。</w:t>
            </w:r>
          </w:p>
        </w:tc>
      </w:tr>
      <w:tr w14:paraId="70C6D94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63" w:type="dxa"/>
          <w:tblCellSpacing w:w="0" w:type="dxa"/>
          <w:jc w:val="center"/>
        </w:trPr>
        <w:tc>
          <w:tcPr>
            <w:tcW w:w="681" w:type="dxa"/>
            <w:gridSpan w:val="2"/>
            <w:vMerge w:val="continue"/>
            <w:tcBorders>
              <w:left w:val="single" w:color="000000" w:sz="8" w:space="0"/>
              <w:right w:val="single" w:color="000000" w:sz="8" w:space="0"/>
            </w:tcBorders>
            <w:shd w:val="clear" w:color="auto" w:fill="auto"/>
            <w:vAlign w:val="center"/>
          </w:tcPr>
          <w:p w14:paraId="15CD5655">
            <w:pPr>
              <w:jc w:val="center"/>
              <w:rPr>
                <w:rFonts w:ascii="宋体"/>
                <w:b/>
                <w:bCs/>
                <w:color w:val="0000FF"/>
                <w:szCs w:val="21"/>
              </w:rPr>
            </w:pP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49AAB73">
            <w:pPr>
              <w:widowControl/>
              <w:wordWrap w:val="0"/>
              <w:jc w:val="center"/>
              <w:textAlignment w:val="top"/>
              <w:rPr>
                <w:rFonts w:ascii="宋体" w:hAnsi="宋体" w:cs="宋体"/>
                <w:kern w:val="0"/>
                <w:szCs w:val="21"/>
                <w:lang w:bidi="ar"/>
              </w:rPr>
            </w:pPr>
            <w:r>
              <w:rPr>
                <w:rFonts w:hint="eastAsia" w:ascii="宋体" w:hAnsi="宋体" w:cs="宋体"/>
                <w:kern w:val="0"/>
                <w:szCs w:val="21"/>
                <w:lang w:bidi="ar"/>
              </w:rPr>
              <w:t>3</w:t>
            </w:r>
          </w:p>
        </w:tc>
        <w:tc>
          <w:tcPr>
            <w:tcW w:w="283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F2293D1">
            <w:pPr>
              <w:widowControl/>
              <w:wordWrap w:val="0"/>
              <w:jc w:val="center"/>
              <w:textAlignment w:val="top"/>
              <w:rPr>
                <w:szCs w:val="21"/>
              </w:rPr>
            </w:pPr>
            <w:r>
              <w:rPr>
                <w:rFonts w:hint="eastAsia" w:ascii="宋体" w:hAnsi="宋体" w:cs="宋体"/>
                <w:kern w:val="0"/>
                <w:szCs w:val="21"/>
              </w:rPr>
              <w:t>组织实施方案</w:t>
            </w: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D9D17E9">
            <w:pPr>
              <w:widowControl/>
              <w:wordWrap w:val="0"/>
              <w:jc w:val="center"/>
              <w:textAlignment w:val="top"/>
              <w:rPr>
                <w:szCs w:val="21"/>
              </w:rPr>
            </w:pPr>
            <w:r>
              <w:rPr>
                <w:rFonts w:hint="eastAsia"/>
                <w:szCs w:val="21"/>
              </w:rPr>
              <w:t>1</w:t>
            </w:r>
            <w:r>
              <w:rPr>
                <w:szCs w:val="21"/>
              </w:rPr>
              <w:t>0</w:t>
            </w:r>
          </w:p>
        </w:tc>
        <w:tc>
          <w:tcPr>
            <w:tcW w:w="41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4A012F7">
            <w:pPr>
              <w:jc w:val="left"/>
              <w:rPr>
                <w:rFonts w:ascii="宋体" w:hAnsi="宋体" w:cs="宋体"/>
                <w:b/>
                <w:szCs w:val="21"/>
                <w:lang w:val="zh-CN"/>
              </w:rPr>
            </w:pPr>
            <w:r>
              <w:rPr>
                <w:rFonts w:hint="eastAsia" w:ascii="宋体" w:hAnsi="宋体" w:cs="宋体"/>
                <w:b/>
                <w:szCs w:val="21"/>
                <w:lang w:val="zh-CN"/>
              </w:rPr>
              <w:t>（一）评分内容：</w:t>
            </w:r>
          </w:p>
          <w:p w14:paraId="21A25A61">
            <w:pPr>
              <w:jc w:val="left"/>
              <w:rPr>
                <w:rFonts w:ascii="宋体" w:hAnsi="宋体" w:cs="宋体"/>
                <w:szCs w:val="21"/>
                <w:lang w:val="zh-CN"/>
              </w:rPr>
            </w:pPr>
            <w:r>
              <w:rPr>
                <w:rFonts w:hint="eastAsia" w:ascii="宋体" w:hAnsi="宋体" w:cs="宋体"/>
                <w:szCs w:val="21"/>
                <w:lang w:val="zh-CN"/>
              </w:rPr>
              <w:t>投标人针对本项目的需求制定项目组织实施方案，内容包含</w:t>
            </w:r>
            <w:r>
              <w:rPr>
                <w:rFonts w:hint="eastAsia" w:ascii="宋体" w:hAnsi="宋体" w:cs="宋体"/>
                <w:szCs w:val="21"/>
              </w:rPr>
              <w:t>但不限于</w:t>
            </w:r>
            <w:r>
              <w:rPr>
                <w:rFonts w:hint="eastAsia" w:ascii="宋体" w:hAnsi="宋体" w:cs="宋体"/>
                <w:szCs w:val="21"/>
                <w:lang w:val="zh-CN"/>
              </w:rPr>
              <w:t>：</w:t>
            </w:r>
          </w:p>
          <w:p w14:paraId="6E9DC803">
            <w:pPr>
              <w:jc w:val="left"/>
              <w:rPr>
                <w:rFonts w:ascii="宋体" w:hAnsi="宋体" w:cs="宋体"/>
                <w:szCs w:val="21"/>
                <w:lang w:val="zh-CN"/>
              </w:rPr>
            </w:pPr>
            <w:r>
              <w:rPr>
                <w:rFonts w:hint="eastAsia" w:ascii="宋体" w:hAnsi="宋体" w:cs="宋体"/>
                <w:szCs w:val="21"/>
                <w:lang w:val="zh-CN"/>
              </w:rPr>
              <w:t>1.工期的保证措施；</w:t>
            </w:r>
          </w:p>
          <w:p w14:paraId="13BE17C7">
            <w:pPr>
              <w:jc w:val="left"/>
              <w:rPr>
                <w:rFonts w:ascii="宋体" w:hAnsi="宋体" w:cs="宋体"/>
                <w:szCs w:val="21"/>
              </w:rPr>
            </w:pPr>
            <w:r>
              <w:rPr>
                <w:rFonts w:hint="eastAsia" w:ascii="宋体" w:hAnsi="宋体" w:cs="宋体"/>
                <w:szCs w:val="21"/>
              </w:rPr>
              <w:t>2.</w:t>
            </w:r>
            <w:r>
              <w:rPr>
                <w:rFonts w:hint="eastAsia"/>
                <w:szCs w:val="21"/>
              </w:rPr>
              <w:t>安装调试方案；</w:t>
            </w:r>
          </w:p>
          <w:p w14:paraId="697CD84B">
            <w:pPr>
              <w:jc w:val="left"/>
              <w:rPr>
                <w:rFonts w:ascii="宋体" w:hAnsi="宋体" w:cs="宋体"/>
                <w:szCs w:val="21"/>
                <w:lang w:val="zh-CN"/>
              </w:rPr>
            </w:pPr>
            <w:r>
              <w:rPr>
                <w:rFonts w:hint="eastAsia" w:ascii="宋体" w:hAnsi="宋体" w:cs="宋体"/>
                <w:szCs w:val="21"/>
              </w:rPr>
              <w:t>3</w:t>
            </w:r>
            <w:r>
              <w:rPr>
                <w:rFonts w:hint="eastAsia" w:ascii="宋体" w:hAnsi="宋体" w:cs="宋体"/>
                <w:szCs w:val="21"/>
                <w:lang w:val="zh-CN"/>
              </w:rPr>
              <w:t>.验收方案。</w:t>
            </w:r>
          </w:p>
          <w:p w14:paraId="1300197B">
            <w:pPr>
              <w:jc w:val="left"/>
              <w:rPr>
                <w:rFonts w:ascii="宋体" w:hAnsi="宋体" w:cs="宋体"/>
                <w:b/>
                <w:szCs w:val="21"/>
                <w:lang w:val="zh-CN"/>
              </w:rPr>
            </w:pPr>
            <w:r>
              <w:rPr>
                <w:rFonts w:hint="eastAsia" w:ascii="宋体" w:hAnsi="宋体" w:cs="宋体"/>
                <w:b/>
                <w:szCs w:val="21"/>
                <w:lang w:val="zh-CN"/>
              </w:rPr>
              <w:t>（二）评分标准：</w:t>
            </w:r>
          </w:p>
          <w:p w14:paraId="24C252B2">
            <w:pPr>
              <w:jc w:val="left"/>
              <w:rPr>
                <w:rFonts w:ascii="宋体" w:hAnsi="宋体" w:cs="宋体"/>
                <w:szCs w:val="21"/>
                <w:lang w:val="zh-CN"/>
              </w:rPr>
            </w:pPr>
            <w:r>
              <w:rPr>
                <w:rFonts w:hint="eastAsia" w:ascii="宋体" w:hAnsi="宋体" w:cs="宋体"/>
                <w:szCs w:val="21"/>
                <w:lang w:val="zh-CN"/>
              </w:rPr>
              <w:t>1.以上内容每满足一点得1</w:t>
            </w:r>
            <w:r>
              <w:rPr>
                <w:rFonts w:ascii="宋体" w:hAnsi="宋体" w:cs="宋体"/>
                <w:szCs w:val="21"/>
                <w:lang w:val="zh-CN"/>
              </w:rPr>
              <w:t>0</w:t>
            </w:r>
            <w:r>
              <w:rPr>
                <w:rFonts w:hint="eastAsia" w:ascii="宋体" w:hAnsi="宋体" w:cs="宋体"/>
                <w:szCs w:val="21"/>
                <w:lang w:val="zh-CN"/>
              </w:rPr>
              <w:t>分，最高得3</w:t>
            </w:r>
            <w:r>
              <w:rPr>
                <w:rFonts w:ascii="宋体" w:hAnsi="宋体" w:cs="宋体"/>
                <w:szCs w:val="21"/>
                <w:lang w:val="zh-CN"/>
              </w:rPr>
              <w:t>0</w:t>
            </w:r>
            <w:r>
              <w:rPr>
                <w:rFonts w:hint="eastAsia" w:ascii="宋体" w:hAnsi="宋体" w:cs="宋体"/>
                <w:szCs w:val="21"/>
                <w:lang w:val="zh-CN"/>
              </w:rPr>
              <w:t>分，不满足不得分。</w:t>
            </w:r>
          </w:p>
          <w:p w14:paraId="6D339512">
            <w:pPr>
              <w:jc w:val="left"/>
              <w:rPr>
                <w:rFonts w:ascii="宋体" w:hAnsi="宋体" w:cs="宋体"/>
                <w:szCs w:val="21"/>
                <w:lang w:val="zh-CN"/>
              </w:rPr>
            </w:pPr>
            <w:r>
              <w:rPr>
                <w:rFonts w:hint="eastAsia" w:ascii="宋体" w:hAnsi="宋体" w:cs="宋体"/>
                <w:szCs w:val="21"/>
                <w:lang w:val="zh-CN"/>
              </w:rPr>
              <w:t>2.在此基础上，根据组织实施方案响应内容进行评分，满分为</w:t>
            </w:r>
            <w:r>
              <w:rPr>
                <w:rFonts w:ascii="宋体" w:hAnsi="宋体" w:cs="宋体"/>
                <w:szCs w:val="21"/>
                <w:lang w:val="zh-CN"/>
              </w:rPr>
              <w:t>70</w:t>
            </w:r>
            <w:r>
              <w:rPr>
                <w:rFonts w:hint="eastAsia" w:ascii="宋体" w:hAnsi="宋体" w:cs="宋体"/>
                <w:szCs w:val="21"/>
                <w:lang w:val="zh-CN"/>
              </w:rPr>
              <w:t>分。</w:t>
            </w:r>
          </w:p>
          <w:p w14:paraId="34ED9472">
            <w:pPr>
              <w:jc w:val="left"/>
              <w:rPr>
                <w:rFonts w:ascii="宋体" w:hAnsi="宋体" w:cs="宋体"/>
                <w:szCs w:val="21"/>
                <w:lang w:val="zh-CN"/>
              </w:rPr>
            </w:pPr>
            <w:r>
              <w:rPr>
                <w:rFonts w:hint="eastAsia" w:ascii="宋体" w:hAnsi="宋体" w:cs="宋体"/>
                <w:szCs w:val="21"/>
                <w:lang w:val="zh-CN"/>
              </w:rPr>
              <w:t>（1）响应内容</w:t>
            </w:r>
            <w:r>
              <w:rPr>
                <w:rFonts w:hint="eastAsia" w:ascii="宋体" w:hAnsi="宋体" w:cs="宋体"/>
                <w:szCs w:val="21"/>
              </w:rPr>
              <w:t>逻辑性强</w:t>
            </w:r>
            <w:r>
              <w:rPr>
                <w:rFonts w:hint="eastAsia" w:ascii="宋体" w:hAnsi="宋体" w:cs="宋体"/>
                <w:szCs w:val="21"/>
                <w:lang w:val="zh-CN"/>
              </w:rPr>
              <w:t>；</w:t>
            </w:r>
          </w:p>
          <w:p w14:paraId="073463F9">
            <w:pPr>
              <w:jc w:val="left"/>
              <w:rPr>
                <w:rFonts w:ascii="宋体" w:hAnsi="宋体" w:cs="宋体"/>
                <w:szCs w:val="21"/>
                <w:lang w:val="zh-CN"/>
              </w:rPr>
            </w:pPr>
            <w:r>
              <w:rPr>
                <w:rFonts w:hint="eastAsia" w:ascii="宋体" w:hAnsi="宋体" w:cs="宋体"/>
                <w:szCs w:val="21"/>
                <w:lang w:val="zh-CN"/>
              </w:rPr>
              <w:t>（2）响应内容具体；</w:t>
            </w:r>
          </w:p>
          <w:p w14:paraId="46A6B947">
            <w:pPr>
              <w:jc w:val="left"/>
              <w:rPr>
                <w:rFonts w:ascii="宋体" w:hAnsi="宋体" w:cs="宋体"/>
                <w:szCs w:val="21"/>
                <w:lang w:val="zh-CN"/>
              </w:rPr>
            </w:pPr>
            <w:r>
              <w:rPr>
                <w:rFonts w:hint="eastAsia" w:ascii="宋体" w:hAnsi="宋体" w:cs="宋体"/>
                <w:szCs w:val="21"/>
                <w:lang w:val="zh-CN"/>
              </w:rPr>
              <w:t>（3）响应内容科学合理；</w:t>
            </w:r>
          </w:p>
          <w:p w14:paraId="4E2617D3">
            <w:pPr>
              <w:jc w:val="left"/>
              <w:rPr>
                <w:rFonts w:ascii="宋体" w:hAnsi="宋体" w:cs="宋体"/>
                <w:szCs w:val="21"/>
                <w:lang w:val="zh-CN"/>
              </w:rPr>
            </w:pPr>
            <w:r>
              <w:rPr>
                <w:rFonts w:hint="eastAsia" w:ascii="宋体" w:hAnsi="宋体" w:cs="宋体"/>
                <w:szCs w:val="21"/>
                <w:lang w:val="zh-CN"/>
              </w:rPr>
              <w:t>（4）响应内容针对性强；</w:t>
            </w:r>
          </w:p>
          <w:p w14:paraId="62B941EE">
            <w:pPr>
              <w:jc w:val="left"/>
              <w:rPr>
                <w:rFonts w:ascii="宋体" w:hAnsi="宋体" w:cs="宋体"/>
                <w:szCs w:val="21"/>
                <w:lang w:val="zh-CN"/>
              </w:rPr>
            </w:pPr>
            <w:r>
              <w:rPr>
                <w:rFonts w:hint="eastAsia" w:ascii="宋体" w:hAnsi="宋体" w:cs="宋体"/>
                <w:szCs w:val="21"/>
                <w:lang w:val="zh-CN"/>
              </w:rPr>
              <w:t>（5）响应内容可操作性强。</w:t>
            </w:r>
          </w:p>
          <w:p w14:paraId="28251B28">
            <w:pPr>
              <w:jc w:val="left"/>
              <w:rPr>
                <w:rFonts w:ascii="宋体" w:hAnsi="宋体" w:cs="宋体"/>
                <w:szCs w:val="21"/>
                <w:lang w:val="zh-CN"/>
              </w:rPr>
            </w:pPr>
            <w:r>
              <w:rPr>
                <w:rFonts w:hint="eastAsia" w:ascii="宋体" w:hAnsi="宋体" w:cs="宋体"/>
                <w:szCs w:val="21"/>
                <w:lang w:val="zh-CN"/>
              </w:rPr>
              <w:t>满足以上五项要求的评价为优，得</w:t>
            </w:r>
            <w:r>
              <w:rPr>
                <w:rFonts w:ascii="宋体" w:hAnsi="宋体" w:cs="宋体"/>
                <w:szCs w:val="21"/>
                <w:lang w:val="zh-CN"/>
              </w:rPr>
              <w:t>7</w:t>
            </w:r>
            <w:r>
              <w:rPr>
                <w:rFonts w:hint="eastAsia" w:ascii="宋体" w:hAnsi="宋体" w:cs="宋体"/>
                <w:szCs w:val="21"/>
                <w:lang w:val="zh-CN"/>
              </w:rPr>
              <w:t>0分；</w:t>
            </w:r>
          </w:p>
          <w:p w14:paraId="3E60C810">
            <w:pPr>
              <w:jc w:val="left"/>
              <w:rPr>
                <w:rFonts w:ascii="宋体" w:hAnsi="宋体" w:cs="宋体"/>
                <w:szCs w:val="21"/>
                <w:lang w:val="zh-CN"/>
              </w:rPr>
            </w:pPr>
            <w:r>
              <w:rPr>
                <w:rFonts w:hint="eastAsia" w:ascii="宋体" w:hAnsi="宋体" w:cs="宋体"/>
                <w:szCs w:val="21"/>
                <w:lang w:val="zh-CN"/>
              </w:rPr>
              <w:t>满足以上任意四项要求的评价为良，得</w:t>
            </w:r>
            <w:r>
              <w:rPr>
                <w:rFonts w:ascii="宋体" w:hAnsi="宋体" w:cs="宋体"/>
                <w:szCs w:val="21"/>
                <w:lang w:val="zh-CN"/>
              </w:rPr>
              <w:t>30</w:t>
            </w:r>
            <w:r>
              <w:rPr>
                <w:rFonts w:hint="eastAsia" w:ascii="宋体" w:hAnsi="宋体" w:cs="宋体"/>
                <w:szCs w:val="21"/>
                <w:lang w:val="zh-CN"/>
              </w:rPr>
              <w:t>分；</w:t>
            </w:r>
          </w:p>
          <w:p w14:paraId="08EAB938">
            <w:pPr>
              <w:jc w:val="left"/>
              <w:rPr>
                <w:rFonts w:ascii="宋体" w:hAnsi="宋体" w:cs="宋体"/>
                <w:szCs w:val="21"/>
                <w:lang w:val="zh-CN"/>
              </w:rPr>
            </w:pPr>
            <w:r>
              <w:rPr>
                <w:rFonts w:hint="eastAsia" w:ascii="宋体" w:hAnsi="宋体" w:cs="宋体"/>
                <w:szCs w:val="21"/>
                <w:lang w:val="zh-CN"/>
              </w:rPr>
              <w:t>满足以上任意三项要求的评价为中，得1</w:t>
            </w:r>
            <w:r>
              <w:rPr>
                <w:rFonts w:ascii="宋体" w:hAnsi="宋体" w:cs="宋体"/>
                <w:szCs w:val="21"/>
                <w:lang w:val="zh-CN"/>
              </w:rPr>
              <w:t>0</w:t>
            </w:r>
            <w:r>
              <w:rPr>
                <w:rFonts w:hint="eastAsia" w:ascii="宋体" w:hAnsi="宋体" w:cs="宋体"/>
                <w:szCs w:val="21"/>
                <w:lang w:val="zh-CN"/>
              </w:rPr>
              <w:t>分；</w:t>
            </w:r>
          </w:p>
          <w:p w14:paraId="6900E406">
            <w:pPr>
              <w:jc w:val="left"/>
              <w:rPr>
                <w:rFonts w:ascii="宋体" w:hAnsi="宋体" w:cs="宋体"/>
                <w:szCs w:val="21"/>
                <w:lang w:val="zh-CN"/>
              </w:rPr>
            </w:pPr>
            <w:r>
              <w:rPr>
                <w:rFonts w:hint="eastAsia" w:ascii="宋体" w:hAnsi="宋体" w:cs="宋体"/>
                <w:szCs w:val="21"/>
                <w:lang w:val="zh-CN"/>
              </w:rPr>
              <w:t>其它情况的评价为差，不得分。</w:t>
            </w:r>
          </w:p>
          <w:p w14:paraId="64B41C8A">
            <w:pPr>
              <w:jc w:val="left"/>
              <w:rPr>
                <w:szCs w:val="21"/>
              </w:rPr>
            </w:pPr>
            <w:r>
              <w:rPr>
                <w:rFonts w:hint="eastAsia" w:ascii="宋体" w:hAnsi="宋体" w:cs="宋体"/>
                <w:szCs w:val="21"/>
                <w:lang w:val="zh-CN"/>
              </w:rPr>
              <w:t>3.以上1、2两项累计得分，满分</w:t>
            </w:r>
            <w:r>
              <w:rPr>
                <w:rFonts w:ascii="宋体" w:hAnsi="宋体" w:cs="宋体"/>
                <w:szCs w:val="21"/>
                <w:lang w:val="zh-CN"/>
              </w:rPr>
              <w:t>100</w:t>
            </w:r>
            <w:r>
              <w:rPr>
                <w:rFonts w:hint="eastAsia" w:ascii="宋体" w:hAnsi="宋体" w:cs="宋体"/>
                <w:szCs w:val="21"/>
                <w:lang w:val="zh-CN"/>
              </w:rPr>
              <w:t>分。</w:t>
            </w:r>
          </w:p>
        </w:tc>
      </w:tr>
      <w:tr w14:paraId="64431F5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63" w:type="dxa"/>
          <w:tblCellSpacing w:w="0" w:type="dxa"/>
          <w:jc w:val="center"/>
        </w:trPr>
        <w:tc>
          <w:tcPr>
            <w:tcW w:w="681" w:type="dxa"/>
            <w:gridSpan w:val="2"/>
            <w:vMerge w:val="continue"/>
            <w:tcBorders>
              <w:left w:val="single" w:color="000000" w:sz="8" w:space="0"/>
              <w:right w:val="single" w:color="000000" w:sz="8" w:space="0"/>
            </w:tcBorders>
            <w:shd w:val="clear" w:color="auto" w:fill="auto"/>
            <w:vAlign w:val="center"/>
          </w:tcPr>
          <w:p w14:paraId="0D033DF2">
            <w:pPr>
              <w:jc w:val="center"/>
              <w:rPr>
                <w:rFonts w:ascii="宋体"/>
                <w:b/>
                <w:bCs/>
                <w:color w:val="0000FF"/>
                <w:szCs w:val="21"/>
              </w:rPr>
            </w:pP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5D84030">
            <w:pPr>
              <w:widowControl/>
              <w:wordWrap w:val="0"/>
              <w:jc w:val="center"/>
              <w:textAlignment w:val="top"/>
              <w:rPr>
                <w:rFonts w:ascii="宋体" w:hAnsi="宋体" w:cs="宋体"/>
                <w:kern w:val="0"/>
                <w:szCs w:val="21"/>
                <w:lang w:bidi="ar"/>
              </w:rPr>
            </w:pPr>
            <w:r>
              <w:rPr>
                <w:rFonts w:hint="eastAsia" w:ascii="宋体" w:hAnsi="宋体" w:cs="宋体"/>
                <w:kern w:val="0"/>
                <w:szCs w:val="21"/>
                <w:lang w:bidi="ar"/>
              </w:rPr>
              <w:t>4</w:t>
            </w:r>
          </w:p>
        </w:tc>
        <w:tc>
          <w:tcPr>
            <w:tcW w:w="283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FFC48E6">
            <w:pPr>
              <w:widowControl/>
              <w:wordWrap w:val="0"/>
              <w:jc w:val="center"/>
              <w:textAlignment w:val="top"/>
              <w:rPr>
                <w:szCs w:val="21"/>
              </w:rPr>
            </w:pPr>
            <w:r>
              <w:rPr>
                <w:rFonts w:hint="eastAsia" w:ascii="宋体" w:hAnsi="宋体" w:cs="宋体"/>
                <w:szCs w:val="21"/>
              </w:rPr>
              <w:t>项目质量保障措施</w:t>
            </w: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CE6DB6D">
            <w:pPr>
              <w:widowControl/>
              <w:wordWrap w:val="0"/>
              <w:jc w:val="center"/>
              <w:textAlignment w:val="top"/>
              <w:rPr>
                <w:szCs w:val="21"/>
              </w:rPr>
            </w:pPr>
            <w:r>
              <w:rPr>
                <w:rFonts w:hint="eastAsia"/>
                <w:szCs w:val="21"/>
              </w:rPr>
              <w:t>1</w:t>
            </w:r>
            <w:r>
              <w:rPr>
                <w:szCs w:val="21"/>
              </w:rPr>
              <w:t>0</w:t>
            </w:r>
          </w:p>
        </w:tc>
        <w:tc>
          <w:tcPr>
            <w:tcW w:w="41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CC410D9">
            <w:pPr>
              <w:jc w:val="left"/>
              <w:rPr>
                <w:rFonts w:ascii="宋体" w:hAnsi="宋体" w:cs="宋体"/>
                <w:b/>
                <w:szCs w:val="21"/>
                <w:lang w:val="zh-CN"/>
              </w:rPr>
            </w:pPr>
            <w:r>
              <w:rPr>
                <w:rFonts w:hint="eastAsia" w:ascii="宋体" w:hAnsi="宋体" w:cs="宋体"/>
                <w:b/>
                <w:szCs w:val="21"/>
                <w:lang w:val="zh-CN"/>
              </w:rPr>
              <w:t>（一）评分内容：</w:t>
            </w:r>
          </w:p>
          <w:p w14:paraId="300F7F3D">
            <w:pPr>
              <w:jc w:val="left"/>
              <w:rPr>
                <w:rFonts w:ascii="宋体" w:hAnsi="宋体" w:cs="宋体"/>
                <w:szCs w:val="21"/>
                <w:lang w:val="zh-CN"/>
              </w:rPr>
            </w:pPr>
            <w:r>
              <w:rPr>
                <w:rFonts w:hint="eastAsia" w:ascii="宋体" w:hAnsi="宋体" w:cs="宋体"/>
                <w:szCs w:val="21"/>
                <w:lang w:val="zh-CN"/>
              </w:rPr>
              <w:t>投标人针对本项目的需求制定</w:t>
            </w:r>
            <w:r>
              <w:rPr>
                <w:rFonts w:hint="eastAsia" w:ascii="宋体" w:hAnsi="宋体" w:cs="宋体"/>
                <w:szCs w:val="21"/>
              </w:rPr>
              <w:t>项目质量保障措施</w:t>
            </w:r>
            <w:r>
              <w:rPr>
                <w:rFonts w:hint="eastAsia" w:ascii="宋体" w:hAnsi="宋体" w:cs="宋体"/>
                <w:szCs w:val="21"/>
                <w:lang w:val="zh-CN"/>
              </w:rPr>
              <w:t>，内容包含</w:t>
            </w:r>
            <w:r>
              <w:rPr>
                <w:rFonts w:hint="eastAsia" w:ascii="宋体" w:hAnsi="宋体" w:cs="宋体"/>
                <w:szCs w:val="21"/>
              </w:rPr>
              <w:t>但不限于</w:t>
            </w:r>
            <w:r>
              <w:rPr>
                <w:rFonts w:hint="eastAsia" w:ascii="宋体" w:hAnsi="宋体" w:cs="宋体"/>
                <w:szCs w:val="21"/>
                <w:lang w:val="zh-CN"/>
              </w:rPr>
              <w:t>：</w:t>
            </w:r>
          </w:p>
          <w:p w14:paraId="550A24F2">
            <w:pPr>
              <w:jc w:val="left"/>
              <w:rPr>
                <w:rFonts w:ascii="宋体" w:hAnsi="宋体" w:cs="宋体"/>
                <w:szCs w:val="21"/>
                <w:lang w:val="zh-CN"/>
              </w:rPr>
            </w:pPr>
            <w:r>
              <w:rPr>
                <w:rFonts w:hint="eastAsia" w:ascii="宋体" w:hAnsi="宋体" w:cs="宋体"/>
                <w:szCs w:val="21"/>
                <w:lang w:val="zh-CN"/>
              </w:rPr>
              <w:t>（1）产品的包装；</w:t>
            </w:r>
          </w:p>
          <w:p w14:paraId="759F3264">
            <w:pPr>
              <w:jc w:val="left"/>
              <w:rPr>
                <w:rFonts w:ascii="宋体" w:hAnsi="宋体" w:cs="宋体"/>
                <w:szCs w:val="21"/>
                <w:lang w:val="zh-CN"/>
              </w:rPr>
            </w:pPr>
            <w:r>
              <w:rPr>
                <w:rFonts w:hint="eastAsia" w:ascii="宋体" w:hAnsi="宋体" w:cs="宋体"/>
                <w:szCs w:val="21"/>
                <w:lang w:val="zh-CN"/>
              </w:rPr>
              <w:t>（2）产品保存及运输；</w:t>
            </w:r>
          </w:p>
          <w:p w14:paraId="7E1FDE86">
            <w:pPr>
              <w:jc w:val="left"/>
              <w:rPr>
                <w:rFonts w:ascii="宋体" w:hAnsi="宋体" w:cs="宋体"/>
                <w:szCs w:val="21"/>
                <w:lang w:val="zh-CN"/>
              </w:rPr>
            </w:pPr>
            <w:r>
              <w:rPr>
                <w:rFonts w:hint="eastAsia" w:ascii="宋体" w:hAnsi="宋体" w:cs="宋体"/>
                <w:szCs w:val="21"/>
                <w:lang w:val="zh-CN"/>
              </w:rPr>
              <w:t>（3）产品质量不合格的处理方法。</w:t>
            </w:r>
          </w:p>
          <w:p w14:paraId="479289D2">
            <w:pPr>
              <w:jc w:val="left"/>
              <w:rPr>
                <w:rFonts w:ascii="宋体" w:hAnsi="宋体" w:cs="宋体"/>
                <w:b/>
                <w:szCs w:val="21"/>
                <w:lang w:val="zh-CN"/>
              </w:rPr>
            </w:pPr>
            <w:r>
              <w:rPr>
                <w:rFonts w:hint="eastAsia" w:ascii="宋体" w:hAnsi="宋体" w:cs="宋体"/>
                <w:b/>
                <w:szCs w:val="21"/>
                <w:lang w:val="zh-CN"/>
              </w:rPr>
              <w:t>（二）评分标准：</w:t>
            </w:r>
          </w:p>
          <w:p w14:paraId="48AAA6FF">
            <w:pPr>
              <w:jc w:val="left"/>
              <w:rPr>
                <w:rFonts w:ascii="宋体" w:hAnsi="宋体" w:cs="宋体"/>
                <w:szCs w:val="21"/>
                <w:lang w:val="zh-CN"/>
              </w:rPr>
            </w:pPr>
            <w:r>
              <w:rPr>
                <w:rFonts w:hint="eastAsia" w:ascii="宋体" w:hAnsi="宋体" w:cs="宋体"/>
                <w:szCs w:val="21"/>
                <w:lang w:val="zh-CN"/>
              </w:rPr>
              <w:t>1.以上内容每满足一点得1</w:t>
            </w:r>
            <w:r>
              <w:rPr>
                <w:rFonts w:ascii="宋体" w:hAnsi="宋体" w:cs="宋体"/>
                <w:szCs w:val="21"/>
                <w:lang w:val="zh-CN"/>
              </w:rPr>
              <w:t>0</w:t>
            </w:r>
            <w:r>
              <w:rPr>
                <w:rFonts w:hint="eastAsia" w:ascii="宋体" w:hAnsi="宋体" w:cs="宋体"/>
                <w:szCs w:val="21"/>
                <w:lang w:val="zh-CN"/>
              </w:rPr>
              <w:t>分，最高得3</w:t>
            </w:r>
            <w:r>
              <w:rPr>
                <w:rFonts w:ascii="宋体" w:hAnsi="宋体" w:cs="宋体"/>
                <w:szCs w:val="21"/>
                <w:lang w:val="zh-CN"/>
              </w:rPr>
              <w:t>0</w:t>
            </w:r>
            <w:r>
              <w:rPr>
                <w:rFonts w:hint="eastAsia" w:ascii="宋体" w:hAnsi="宋体" w:cs="宋体"/>
                <w:szCs w:val="21"/>
                <w:lang w:val="zh-CN"/>
              </w:rPr>
              <w:t>分，不满足不得分。</w:t>
            </w:r>
          </w:p>
          <w:p w14:paraId="6FC4666D">
            <w:pPr>
              <w:jc w:val="left"/>
              <w:rPr>
                <w:rFonts w:ascii="宋体" w:hAnsi="宋体" w:cs="宋体"/>
                <w:szCs w:val="21"/>
                <w:lang w:val="zh-CN"/>
              </w:rPr>
            </w:pPr>
            <w:r>
              <w:rPr>
                <w:rFonts w:hint="eastAsia" w:ascii="宋体" w:hAnsi="宋体" w:cs="宋体"/>
                <w:szCs w:val="21"/>
                <w:lang w:val="zh-CN"/>
              </w:rPr>
              <w:t>2.在此基础上，根据组织实施方案响应内容进行评分，满分为</w:t>
            </w:r>
            <w:r>
              <w:rPr>
                <w:rFonts w:ascii="宋体" w:hAnsi="宋体" w:cs="宋体"/>
                <w:szCs w:val="21"/>
                <w:lang w:val="zh-CN"/>
              </w:rPr>
              <w:t>70</w:t>
            </w:r>
            <w:r>
              <w:rPr>
                <w:rFonts w:hint="eastAsia" w:ascii="宋体" w:hAnsi="宋体" w:cs="宋体"/>
                <w:szCs w:val="21"/>
                <w:lang w:val="zh-CN"/>
              </w:rPr>
              <w:t>分。</w:t>
            </w:r>
          </w:p>
          <w:p w14:paraId="2A1506FD">
            <w:pPr>
              <w:jc w:val="left"/>
              <w:rPr>
                <w:rFonts w:ascii="宋体" w:hAnsi="宋体" w:cs="宋体"/>
                <w:szCs w:val="21"/>
                <w:lang w:val="zh-CN"/>
              </w:rPr>
            </w:pPr>
            <w:r>
              <w:rPr>
                <w:rFonts w:hint="eastAsia" w:ascii="宋体" w:hAnsi="宋体" w:cs="宋体"/>
                <w:szCs w:val="21"/>
                <w:lang w:val="zh-CN"/>
              </w:rPr>
              <w:t>（1）响应内容</w:t>
            </w:r>
            <w:r>
              <w:rPr>
                <w:rFonts w:hint="eastAsia" w:ascii="宋体" w:hAnsi="宋体" w:cs="宋体"/>
                <w:szCs w:val="21"/>
              </w:rPr>
              <w:t>逻辑性强</w:t>
            </w:r>
            <w:r>
              <w:rPr>
                <w:rFonts w:hint="eastAsia" w:ascii="宋体" w:hAnsi="宋体" w:cs="宋体"/>
                <w:szCs w:val="21"/>
                <w:lang w:val="zh-CN"/>
              </w:rPr>
              <w:t>；</w:t>
            </w:r>
          </w:p>
          <w:p w14:paraId="6AD0FD8C">
            <w:pPr>
              <w:jc w:val="left"/>
              <w:rPr>
                <w:rFonts w:ascii="宋体" w:hAnsi="宋体" w:cs="宋体"/>
                <w:szCs w:val="21"/>
                <w:lang w:val="zh-CN"/>
              </w:rPr>
            </w:pPr>
            <w:r>
              <w:rPr>
                <w:rFonts w:hint="eastAsia" w:ascii="宋体" w:hAnsi="宋体" w:cs="宋体"/>
                <w:szCs w:val="21"/>
                <w:lang w:val="zh-CN"/>
              </w:rPr>
              <w:t>（2）响应内容具体；</w:t>
            </w:r>
          </w:p>
          <w:p w14:paraId="4301B7E8">
            <w:pPr>
              <w:jc w:val="left"/>
              <w:rPr>
                <w:rFonts w:ascii="宋体" w:hAnsi="宋体" w:cs="宋体"/>
                <w:szCs w:val="21"/>
                <w:lang w:val="zh-CN"/>
              </w:rPr>
            </w:pPr>
            <w:r>
              <w:rPr>
                <w:rFonts w:hint="eastAsia" w:ascii="宋体" w:hAnsi="宋体" w:cs="宋体"/>
                <w:szCs w:val="21"/>
                <w:lang w:val="zh-CN"/>
              </w:rPr>
              <w:t>（3）响应内容科学合理；</w:t>
            </w:r>
          </w:p>
          <w:p w14:paraId="560E7AE5">
            <w:pPr>
              <w:jc w:val="left"/>
              <w:rPr>
                <w:rFonts w:ascii="宋体" w:hAnsi="宋体" w:cs="宋体"/>
                <w:szCs w:val="21"/>
                <w:lang w:val="zh-CN"/>
              </w:rPr>
            </w:pPr>
            <w:r>
              <w:rPr>
                <w:rFonts w:hint="eastAsia" w:ascii="宋体" w:hAnsi="宋体" w:cs="宋体"/>
                <w:szCs w:val="21"/>
                <w:lang w:val="zh-CN"/>
              </w:rPr>
              <w:t>（4）响应内容针对性强；</w:t>
            </w:r>
          </w:p>
          <w:p w14:paraId="327E8099">
            <w:pPr>
              <w:jc w:val="left"/>
              <w:rPr>
                <w:rFonts w:ascii="宋体" w:hAnsi="宋体" w:cs="宋体"/>
                <w:szCs w:val="21"/>
                <w:lang w:val="zh-CN"/>
              </w:rPr>
            </w:pPr>
            <w:r>
              <w:rPr>
                <w:rFonts w:hint="eastAsia" w:ascii="宋体" w:hAnsi="宋体" w:cs="宋体"/>
                <w:szCs w:val="21"/>
                <w:lang w:val="zh-CN"/>
              </w:rPr>
              <w:t>（5）响应内容可操作性强。</w:t>
            </w:r>
          </w:p>
          <w:p w14:paraId="109A9E03">
            <w:pPr>
              <w:jc w:val="left"/>
              <w:rPr>
                <w:rFonts w:ascii="宋体" w:hAnsi="宋体" w:cs="宋体"/>
                <w:szCs w:val="21"/>
                <w:lang w:val="zh-CN"/>
              </w:rPr>
            </w:pPr>
            <w:r>
              <w:rPr>
                <w:rFonts w:hint="eastAsia" w:ascii="宋体" w:hAnsi="宋体" w:cs="宋体"/>
                <w:szCs w:val="21"/>
                <w:lang w:val="zh-CN"/>
              </w:rPr>
              <w:t>满足以上五项要求的评价为优，得</w:t>
            </w:r>
            <w:r>
              <w:rPr>
                <w:rFonts w:ascii="宋体" w:hAnsi="宋体" w:cs="宋体"/>
                <w:szCs w:val="21"/>
                <w:lang w:val="zh-CN"/>
              </w:rPr>
              <w:t>7</w:t>
            </w:r>
            <w:r>
              <w:rPr>
                <w:rFonts w:hint="eastAsia" w:ascii="宋体" w:hAnsi="宋体" w:cs="宋体"/>
                <w:szCs w:val="21"/>
                <w:lang w:val="zh-CN"/>
              </w:rPr>
              <w:t>0分；</w:t>
            </w:r>
          </w:p>
          <w:p w14:paraId="7E892389">
            <w:pPr>
              <w:jc w:val="left"/>
              <w:rPr>
                <w:rFonts w:ascii="宋体" w:hAnsi="宋体" w:cs="宋体"/>
                <w:szCs w:val="21"/>
                <w:lang w:val="zh-CN"/>
              </w:rPr>
            </w:pPr>
            <w:r>
              <w:rPr>
                <w:rFonts w:hint="eastAsia" w:ascii="宋体" w:hAnsi="宋体" w:cs="宋体"/>
                <w:szCs w:val="21"/>
                <w:lang w:val="zh-CN"/>
              </w:rPr>
              <w:t>满足以上任意四项要求的评价为良，得</w:t>
            </w:r>
            <w:r>
              <w:rPr>
                <w:rFonts w:ascii="宋体" w:hAnsi="宋体" w:cs="宋体"/>
                <w:szCs w:val="21"/>
                <w:lang w:val="zh-CN"/>
              </w:rPr>
              <w:t>30</w:t>
            </w:r>
            <w:r>
              <w:rPr>
                <w:rFonts w:hint="eastAsia" w:ascii="宋体" w:hAnsi="宋体" w:cs="宋体"/>
                <w:szCs w:val="21"/>
                <w:lang w:val="zh-CN"/>
              </w:rPr>
              <w:t>分；</w:t>
            </w:r>
          </w:p>
          <w:p w14:paraId="56B65626">
            <w:pPr>
              <w:jc w:val="left"/>
              <w:rPr>
                <w:rFonts w:ascii="宋体" w:hAnsi="宋体" w:cs="宋体"/>
                <w:szCs w:val="21"/>
                <w:lang w:val="zh-CN"/>
              </w:rPr>
            </w:pPr>
            <w:r>
              <w:rPr>
                <w:rFonts w:hint="eastAsia" w:ascii="宋体" w:hAnsi="宋体" w:cs="宋体"/>
                <w:szCs w:val="21"/>
                <w:lang w:val="zh-CN"/>
              </w:rPr>
              <w:t>满足以上任意三项要求的评价为中，得1</w:t>
            </w:r>
            <w:r>
              <w:rPr>
                <w:rFonts w:ascii="宋体" w:hAnsi="宋体" w:cs="宋体"/>
                <w:szCs w:val="21"/>
                <w:lang w:val="zh-CN"/>
              </w:rPr>
              <w:t>0</w:t>
            </w:r>
            <w:r>
              <w:rPr>
                <w:rFonts w:hint="eastAsia" w:ascii="宋体" w:hAnsi="宋体" w:cs="宋体"/>
                <w:szCs w:val="21"/>
                <w:lang w:val="zh-CN"/>
              </w:rPr>
              <w:t>分；</w:t>
            </w:r>
          </w:p>
          <w:p w14:paraId="0AB958C3">
            <w:pPr>
              <w:jc w:val="left"/>
              <w:rPr>
                <w:rFonts w:ascii="宋体" w:hAnsi="宋体" w:cs="宋体"/>
                <w:szCs w:val="21"/>
                <w:lang w:val="zh-CN"/>
              </w:rPr>
            </w:pPr>
            <w:r>
              <w:rPr>
                <w:rFonts w:hint="eastAsia" w:ascii="宋体" w:hAnsi="宋体" w:cs="宋体"/>
                <w:szCs w:val="21"/>
                <w:lang w:val="zh-CN"/>
              </w:rPr>
              <w:t>其它情况的评价为差，不得分。</w:t>
            </w:r>
          </w:p>
          <w:p w14:paraId="0FB95FD0">
            <w:pPr>
              <w:jc w:val="left"/>
              <w:rPr>
                <w:szCs w:val="21"/>
              </w:rPr>
            </w:pPr>
            <w:r>
              <w:rPr>
                <w:rFonts w:hint="eastAsia" w:ascii="宋体" w:hAnsi="宋体" w:cs="宋体"/>
                <w:szCs w:val="21"/>
                <w:lang w:val="zh-CN"/>
              </w:rPr>
              <w:t>3.以上1、2两项累计得分，满分</w:t>
            </w:r>
            <w:r>
              <w:rPr>
                <w:rFonts w:ascii="宋体" w:hAnsi="宋体" w:cs="宋体"/>
                <w:szCs w:val="21"/>
                <w:lang w:val="zh-CN"/>
              </w:rPr>
              <w:t>100</w:t>
            </w:r>
            <w:r>
              <w:rPr>
                <w:rFonts w:hint="eastAsia" w:ascii="宋体" w:hAnsi="宋体" w:cs="宋体"/>
                <w:szCs w:val="21"/>
                <w:lang w:val="zh-CN"/>
              </w:rPr>
              <w:t>分。</w:t>
            </w:r>
          </w:p>
        </w:tc>
      </w:tr>
      <w:tr w14:paraId="7F7F0C2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63" w:type="dxa"/>
          <w:tblCellSpacing w:w="0" w:type="dxa"/>
          <w:jc w:val="center"/>
        </w:trPr>
        <w:tc>
          <w:tcPr>
            <w:tcW w:w="681" w:type="dxa"/>
            <w:gridSpan w:val="2"/>
            <w:vMerge w:val="continue"/>
            <w:tcBorders>
              <w:left w:val="single" w:color="000000" w:sz="8" w:space="0"/>
              <w:bottom w:val="single" w:color="000000" w:sz="8" w:space="0"/>
              <w:right w:val="single" w:color="000000" w:sz="8" w:space="0"/>
            </w:tcBorders>
            <w:shd w:val="clear" w:color="auto" w:fill="auto"/>
            <w:vAlign w:val="center"/>
          </w:tcPr>
          <w:p w14:paraId="10AE45A5">
            <w:pPr>
              <w:jc w:val="center"/>
              <w:rPr>
                <w:rFonts w:ascii="宋体"/>
                <w:b/>
                <w:bCs/>
                <w:color w:val="0000FF"/>
                <w:szCs w:val="21"/>
              </w:rPr>
            </w:pP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A3C4720">
            <w:pPr>
              <w:widowControl/>
              <w:wordWrap w:val="0"/>
              <w:jc w:val="center"/>
              <w:textAlignment w:val="top"/>
              <w:rPr>
                <w:rFonts w:ascii="宋体" w:hAnsi="宋体" w:cs="宋体"/>
                <w:kern w:val="0"/>
                <w:szCs w:val="21"/>
                <w:lang w:bidi="ar"/>
              </w:rPr>
            </w:pPr>
            <w:r>
              <w:rPr>
                <w:rFonts w:ascii="宋体" w:hAnsi="宋体" w:cs="宋体"/>
                <w:kern w:val="0"/>
                <w:szCs w:val="21"/>
                <w:lang w:bidi="ar"/>
              </w:rPr>
              <w:t>5</w:t>
            </w:r>
          </w:p>
        </w:tc>
        <w:tc>
          <w:tcPr>
            <w:tcW w:w="283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67B8D24">
            <w:pPr>
              <w:widowControl/>
              <w:wordWrap w:val="0"/>
              <w:jc w:val="center"/>
              <w:textAlignment w:val="top"/>
              <w:rPr>
                <w:szCs w:val="21"/>
              </w:rPr>
            </w:pPr>
            <w:r>
              <w:rPr>
                <w:rFonts w:hint="eastAsia" w:ascii="宋体" w:hAnsi="宋体" w:cs="宋体"/>
                <w:szCs w:val="21"/>
              </w:rPr>
              <w:t>售后服务方案</w:t>
            </w: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198A375">
            <w:pPr>
              <w:widowControl/>
              <w:wordWrap w:val="0"/>
              <w:jc w:val="center"/>
              <w:textAlignment w:val="top"/>
              <w:rPr>
                <w:szCs w:val="21"/>
              </w:rPr>
            </w:pPr>
            <w:r>
              <w:rPr>
                <w:rFonts w:hint="eastAsia"/>
                <w:szCs w:val="21"/>
              </w:rPr>
              <w:t>1</w:t>
            </w:r>
            <w:r>
              <w:rPr>
                <w:szCs w:val="21"/>
              </w:rPr>
              <w:t>5</w:t>
            </w:r>
          </w:p>
        </w:tc>
        <w:tc>
          <w:tcPr>
            <w:tcW w:w="41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641E912">
            <w:pPr>
              <w:jc w:val="left"/>
              <w:rPr>
                <w:rFonts w:ascii="宋体" w:hAnsi="宋体" w:cs="宋体"/>
                <w:b/>
                <w:szCs w:val="21"/>
                <w:lang w:val="zh-CN"/>
              </w:rPr>
            </w:pPr>
            <w:r>
              <w:rPr>
                <w:rFonts w:ascii="宋体" w:hAnsi="宋体" w:cs="宋体"/>
                <w:b/>
                <w:szCs w:val="21"/>
                <w:lang w:val="zh-CN"/>
              </w:rPr>
              <w:t>（一）评</w:t>
            </w:r>
            <w:r>
              <w:rPr>
                <w:rFonts w:hint="eastAsia" w:ascii="宋体" w:hAnsi="宋体" w:cs="宋体"/>
                <w:b/>
                <w:szCs w:val="21"/>
                <w:lang w:val="zh-CN"/>
              </w:rPr>
              <w:t>分</w:t>
            </w:r>
            <w:r>
              <w:rPr>
                <w:rFonts w:ascii="宋体" w:hAnsi="宋体" w:cs="宋体"/>
                <w:b/>
                <w:szCs w:val="21"/>
                <w:lang w:val="zh-CN"/>
              </w:rPr>
              <w:t>内容：</w:t>
            </w:r>
          </w:p>
          <w:p w14:paraId="69D14B28">
            <w:pPr>
              <w:jc w:val="left"/>
              <w:rPr>
                <w:rFonts w:ascii="宋体" w:hAnsi="宋体" w:cs="宋体"/>
                <w:szCs w:val="21"/>
                <w:lang w:val="zh-CN"/>
              </w:rPr>
            </w:pPr>
            <w:r>
              <w:rPr>
                <w:rFonts w:hint="eastAsia" w:ascii="宋体" w:hAnsi="宋体" w:cs="宋体"/>
                <w:szCs w:val="21"/>
                <w:lang w:val="zh-CN"/>
              </w:rPr>
              <w:t>投标人针对本项目制定售后服务方案，内容包含但不限于：</w:t>
            </w:r>
          </w:p>
          <w:p w14:paraId="7E32C7B4">
            <w:pPr>
              <w:jc w:val="left"/>
              <w:rPr>
                <w:rFonts w:ascii="宋体" w:hAnsi="宋体" w:cs="宋体"/>
                <w:szCs w:val="21"/>
                <w:lang w:val="zh-CN"/>
              </w:rPr>
            </w:pPr>
            <w:r>
              <w:rPr>
                <w:rFonts w:hint="eastAsia" w:ascii="宋体" w:hAnsi="宋体" w:cs="宋体"/>
                <w:szCs w:val="21"/>
                <w:lang w:val="zh-CN"/>
              </w:rPr>
              <w:t>1.服务内容；</w:t>
            </w:r>
          </w:p>
          <w:p w14:paraId="6FCF166A">
            <w:pPr>
              <w:jc w:val="left"/>
              <w:rPr>
                <w:rFonts w:ascii="宋体" w:hAnsi="宋体" w:cs="宋体"/>
                <w:szCs w:val="21"/>
                <w:lang w:val="zh-CN"/>
              </w:rPr>
            </w:pPr>
            <w:r>
              <w:rPr>
                <w:rFonts w:hint="eastAsia" w:ascii="宋体" w:hAnsi="宋体" w:cs="宋体"/>
                <w:szCs w:val="21"/>
                <w:lang w:val="zh-CN"/>
              </w:rPr>
              <w:t>2.维修应急方案；</w:t>
            </w:r>
          </w:p>
          <w:p w14:paraId="5651F118">
            <w:pPr>
              <w:jc w:val="left"/>
              <w:rPr>
                <w:rFonts w:ascii="宋体" w:hAnsi="宋体" w:cs="宋体"/>
                <w:szCs w:val="21"/>
                <w:lang w:val="zh-CN"/>
              </w:rPr>
            </w:pPr>
            <w:r>
              <w:rPr>
                <w:rFonts w:hint="eastAsia" w:ascii="宋体" w:hAnsi="宋体" w:cs="宋体"/>
                <w:szCs w:val="21"/>
                <w:lang w:val="zh-CN"/>
              </w:rPr>
              <w:t>3.</w:t>
            </w:r>
            <w:r>
              <w:rPr>
                <w:rFonts w:hint="eastAsia" w:ascii="宋体" w:hAnsi="宋体" w:cs="宋体"/>
                <w:szCs w:val="21"/>
              </w:rPr>
              <w:t>投入人力、设备等情况</w:t>
            </w:r>
            <w:r>
              <w:rPr>
                <w:rFonts w:hint="eastAsia" w:ascii="宋体" w:hAnsi="宋体" w:cs="宋体"/>
                <w:szCs w:val="21"/>
                <w:lang w:val="zh-CN"/>
              </w:rPr>
              <w:t>。</w:t>
            </w:r>
          </w:p>
          <w:p w14:paraId="2CC60F48">
            <w:pPr>
              <w:jc w:val="left"/>
              <w:rPr>
                <w:rFonts w:ascii="宋体" w:hAnsi="宋体" w:cs="宋体"/>
                <w:b/>
                <w:szCs w:val="21"/>
                <w:lang w:val="zh-CN"/>
              </w:rPr>
            </w:pPr>
            <w:r>
              <w:rPr>
                <w:rFonts w:ascii="宋体" w:hAnsi="宋体" w:cs="宋体"/>
                <w:b/>
                <w:szCs w:val="21"/>
                <w:lang w:val="zh-CN"/>
              </w:rPr>
              <w:t>（二）评分标准：</w:t>
            </w:r>
          </w:p>
          <w:p w14:paraId="10D6DEA2">
            <w:pPr>
              <w:jc w:val="left"/>
              <w:rPr>
                <w:rFonts w:ascii="宋体" w:hAnsi="宋体" w:cs="宋体"/>
                <w:szCs w:val="21"/>
                <w:lang w:val="zh-CN"/>
              </w:rPr>
            </w:pPr>
            <w:r>
              <w:rPr>
                <w:rFonts w:hint="eastAsia" w:ascii="宋体" w:hAnsi="宋体" w:cs="宋体"/>
                <w:szCs w:val="21"/>
                <w:lang w:val="zh-CN"/>
              </w:rPr>
              <w:t>1.以上内容每满足一点得1</w:t>
            </w:r>
            <w:r>
              <w:rPr>
                <w:rFonts w:ascii="宋体" w:hAnsi="宋体" w:cs="宋体"/>
                <w:szCs w:val="21"/>
                <w:lang w:val="zh-CN"/>
              </w:rPr>
              <w:t>0</w:t>
            </w:r>
            <w:r>
              <w:rPr>
                <w:rFonts w:hint="eastAsia" w:ascii="宋体" w:hAnsi="宋体" w:cs="宋体"/>
                <w:szCs w:val="21"/>
                <w:lang w:val="zh-CN"/>
              </w:rPr>
              <w:t>分，最高得3</w:t>
            </w:r>
            <w:r>
              <w:rPr>
                <w:rFonts w:ascii="宋体" w:hAnsi="宋体" w:cs="宋体"/>
                <w:szCs w:val="21"/>
                <w:lang w:val="zh-CN"/>
              </w:rPr>
              <w:t>0</w:t>
            </w:r>
            <w:r>
              <w:rPr>
                <w:rFonts w:hint="eastAsia" w:ascii="宋体" w:hAnsi="宋体" w:cs="宋体"/>
                <w:szCs w:val="21"/>
                <w:lang w:val="zh-CN"/>
              </w:rPr>
              <w:t>分，不满足不得分。</w:t>
            </w:r>
          </w:p>
          <w:p w14:paraId="7D584C7D">
            <w:pPr>
              <w:jc w:val="left"/>
              <w:rPr>
                <w:rFonts w:ascii="宋体" w:hAnsi="宋体" w:cs="宋体"/>
                <w:szCs w:val="21"/>
                <w:lang w:val="zh-CN"/>
              </w:rPr>
            </w:pPr>
            <w:r>
              <w:rPr>
                <w:rFonts w:hint="eastAsia" w:ascii="宋体" w:hAnsi="宋体" w:cs="宋体"/>
                <w:szCs w:val="21"/>
                <w:lang w:val="zh-CN"/>
              </w:rPr>
              <w:t>2.在此基础上，根据售后服务方案响应内容进行评分，满分为</w:t>
            </w:r>
            <w:r>
              <w:rPr>
                <w:rFonts w:ascii="宋体" w:hAnsi="宋体" w:cs="宋体"/>
                <w:szCs w:val="21"/>
                <w:lang w:val="zh-CN"/>
              </w:rPr>
              <w:t>70</w:t>
            </w:r>
            <w:r>
              <w:rPr>
                <w:rFonts w:hint="eastAsia" w:ascii="宋体" w:hAnsi="宋体" w:cs="宋体"/>
                <w:szCs w:val="21"/>
                <w:lang w:val="zh-CN"/>
              </w:rPr>
              <w:t>分。</w:t>
            </w:r>
          </w:p>
          <w:p w14:paraId="1571A0CB">
            <w:pPr>
              <w:jc w:val="left"/>
              <w:rPr>
                <w:rFonts w:ascii="宋体" w:hAnsi="宋体" w:cs="宋体"/>
                <w:szCs w:val="21"/>
                <w:lang w:val="zh-CN"/>
              </w:rPr>
            </w:pPr>
            <w:r>
              <w:rPr>
                <w:rFonts w:hint="eastAsia" w:ascii="宋体" w:hAnsi="宋体" w:cs="宋体"/>
                <w:szCs w:val="21"/>
                <w:lang w:val="zh-CN"/>
              </w:rPr>
              <w:t>（1）响应内容</w:t>
            </w:r>
            <w:r>
              <w:rPr>
                <w:rFonts w:hint="eastAsia" w:ascii="宋体" w:hAnsi="宋体" w:cs="宋体"/>
                <w:szCs w:val="21"/>
              </w:rPr>
              <w:t>逻辑性</w:t>
            </w:r>
            <w:r>
              <w:rPr>
                <w:rFonts w:hint="eastAsia" w:ascii="宋体" w:hAnsi="宋体" w:cs="宋体"/>
                <w:szCs w:val="21"/>
                <w:lang w:val="zh-CN"/>
              </w:rPr>
              <w:t>；</w:t>
            </w:r>
          </w:p>
          <w:p w14:paraId="64D89926">
            <w:pPr>
              <w:jc w:val="left"/>
              <w:rPr>
                <w:rFonts w:ascii="宋体" w:hAnsi="宋体" w:cs="宋体"/>
                <w:szCs w:val="21"/>
                <w:lang w:val="zh-CN"/>
              </w:rPr>
            </w:pPr>
            <w:r>
              <w:rPr>
                <w:rFonts w:hint="eastAsia" w:ascii="宋体" w:hAnsi="宋体" w:cs="宋体"/>
                <w:szCs w:val="21"/>
                <w:lang w:val="zh-CN"/>
              </w:rPr>
              <w:t>（2）响应内容具体；</w:t>
            </w:r>
          </w:p>
          <w:p w14:paraId="3D83A066">
            <w:pPr>
              <w:jc w:val="left"/>
              <w:rPr>
                <w:rFonts w:ascii="宋体" w:hAnsi="宋体" w:cs="宋体"/>
                <w:szCs w:val="21"/>
                <w:lang w:val="zh-CN"/>
              </w:rPr>
            </w:pPr>
            <w:r>
              <w:rPr>
                <w:rFonts w:hint="eastAsia" w:ascii="宋体" w:hAnsi="宋体" w:cs="宋体"/>
                <w:szCs w:val="21"/>
                <w:lang w:val="zh-CN"/>
              </w:rPr>
              <w:t>（3）响应内容科学合理；</w:t>
            </w:r>
          </w:p>
          <w:p w14:paraId="64993CB6">
            <w:pPr>
              <w:jc w:val="left"/>
              <w:rPr>
                <w:rFonts w:ascii="宋体" w:hAnsi="宋体" w:cs="宋体"/>
                <w:szCs w:val="21"/>
                <w:lang w:val="zh-CN"/>
              </w:rPr>
            </w:pPr>
            <w:r>
              <w:rPr>
                <w:rFonts w:hint="eastAsia" w:ascii="宋体" w:hAnsi="宋体" w:cs="宋体"/>
                <w:szCs w:val="21"/>
                <w:lang w:val="zh-CN"/>
              </w:rPr>
              <w:t>（4）响应内容针对性强；</w:t>
            </w:r>
          </w:p>
          <w:p w14:paraId="71CD5FD4">
            <w:pPr>
              <w:jc w:val="left"/>
              <w:rPr>
                <w:rFonts w:ascii="宋体" w:hAnsi="宋体" w:cs="宋体"/>
                <w:szCs w:val="21"/>
                <w:lang w:val="zh-CN"/>
              </w:rPr>
            </w:pPr>
            <w:r>
              <w:rPr>
                <w:rFonts w:hint="eastAsia" w:ascii="宋体" w:hAnsi="宋体" w:cs="宋体"/>
                <w:szCs w:val="21"/>
                <w:lang w:val="zh-CN"/>
              </w:rPr>
              <w:t>（5）响应内容可操作性强。</w:t>
            </w:r>
          </w:p>
          <w:p w14:paraId="094999E1">
            <w:pPr>
              <w:jc w:val="left"/>
              <w:rPr>
                <w:rFonts w:ascii="宋体" w:hAnsi="宋体" w:cs="宋体"/>
                <w:szCs w:val="21"/>
                <w:lang w:val="zh-CN"/>
              </w:rPr>
            </w:pPr>
            <w:r>
              <w:rPr>
                <w:rFonts w:hint="eastAsia" w:ascii="宋体" w:hAnsi="宋体" w:cs="宋体"/>
                <w:szCs w:val="21"/>
                <w:lang w:val="zh-CN"/>
              </w:rPr>
              <w:t>满足以上五项要求的评价为优，得</w:t>
            </w:r>
            <w:r>
              <w:rPr>
                <w:rFonts w:ascii="宋体" w:hAnsi="宋体" w:cs="宋体"/>
                <w:szCs w:val="21"/>
                <w:lang w:val="zh-CN"/>
              </w:rPr>
              <w:t>7</w:t>
            </w:r>
            <w:r>
              <w:rPr>
                <w:rFonts w:hint="eastAsia" w:ascii="宋体" w:hAnsi="宋体" w:cs="宋体"/>
                <w:szCs w:val="21"/>
                <w:lang w:val="zh-CN"/>
              </w:rPr>
              <w:t>0分；</w:t>
            </w:r>
          </w:p>
          <w:p w14:paraId="0D5CBD5A">
            <w:pPr>
              <w:jc w:val="left"/>
              <w:rPr>
                <w:rFonts w:ascii="宋体" w:hAnsi="宋体" w:cs="宋体"/>
                <w:szCs w:val="21"/>
                <w:lang w:val="zh-CN"/>
              </w:rPr>
            </w:pPr>
            <w:r>
              <w:rPr>
                <w:rFonts w:hint="eastAsia" w:ascii="宋体" w:hAnsi="宋体" w:cs="宋体"/>
                <w:szCs w:val="21"/>
                <w:lang w:val="zh-CN"/>
              </w:rPr>
              <w:t>满足以上任意四项要求的评价为良，得</w:t>
            </w:r>
            <w:r>
              <w:rPr>
                <w:rFonts w:ascii="宋体" w:hAnsi="宋体" w:cs="宋体"/>
                <w:szCs w:val="21"/>
                <w:lang w:val="zh-CN"/>
              </w:rPr>
              <w:t>30</w:t>
            </w:r>
            <w:r>
              <w:rPr>
                <w:rFonts w:hint="eastAsia" w:ascii="宋体" w:hAnsi="宋体" w:cs="宋体"/>
                <w:szCs w:val="21"/>
                <w:lang w:val="zh-CN"/>
              </w:rPr>
              <w:t>分；</w:t>
            </w:r>
          </w:p>
          <w:p w14:paraId="1C4898A4">
            <w:pPr>
              <w:jc w:val="left"/>
              <w:rPr>
                <w:rFonts w:ascii="宋体" w:hAnsi="宋体" w:cs="宋体"/>
                <w:szCs w:val="21"/>
                <w:lang w:val="zh-CN"/>
              </w:rPr>
            </w:pPr>
            <w:r>
              <w:rPr>
                <w:rFonts w:hint="eastAsia" w:ascii="宋体" w:hAnsi="宋体" w:cs="宋体"/>
                <w:szCs w:val="21"/>
                <w:lang w:val="zh-CN"/>
              </w:rPr>
              <w:t>满足以上任意三项要求的评价为中，得1</w:t>
            </w:r>
            <w:r>
              <w:rPr>
                <w:rFonts w:ascii="宋体" w:hAnsi="宋体" w:cs="宋体"/>
                <w:szCs w:val="21"/>
                <w:lang w:val="zh-CN"/>
              </w:rPr>
              <w:t>0</w:t>
            </w:r>
            <w:r>
              <w:rPr>
                <w:rFonts w:hint="eastAsia" w:ascii="宋体" w:hAnsi="宋体" w:cs="宋体"/>
                <w:szCs w:val="21"/>
                <w:lang w:val="zh-CN"/>
              </w:rPr>
              <w:t>分；</w:t>
            </w:r>
          </w:p>
          <w:p w14:paraId="2BCB1A92">
            <w:pPr>
              <w:jc w:val="left"/>
              <w:rPr>
                <w:rFonts w:ascii="宋体" w:hAnsi="宋体" w:cs="宋体"/>
                <w:szCs w:val="21"/>
                <w:lang w:val="zh-CN"/>
              </w:rPr>
            </w:pPr>
            <w:r>
              <w:rPr>
                <w:rFonts w:hint="eastAsia" w:ascii="宋体" w:hAnsi="宋体" w:cs="宋体"/>
                <w:szCs w:val="21"/>
                <w:lang w:val="zh-CN"/>
              </w:rPr>
              <w:t>其它情况的评价为差，不得分。</w:t>
            </w:r>
          </w:p>
          <w:p w14:paraId="7EDBBF9B">
            <w:pPr>
              <w:jc w:val="left"/>
              <w:rPr>
                <w:szCs w:val="21"/>
              </w:rPr>
            </w:pPr>
            <w:r>
              <w:rPr>
                <w:rFonts w:hint="eastAsia" w:ascii="宋体" w:hAnsi="宋体" w:cs="宋体"/>
                <w:szCs w:val="21"/>
                <w:lang w:val="zh-CN"/>
              </w:rPr>
              <w:t>3.以上1、2两项累计得分，满分</w:t>
            </w:r>
            <w:r>
              <w:rPr>
                <w:rFonts w:ascii="宋体" w:hAnsi="宋体" w:cs="宋体"/>
                <w:szCs w:val="21"/>
                <w:lang w:val="zh-CN"/>
              </w:rPr>
              <w:t>100</w:t>
            </w:r>
            <w:r>
              <w:rPr>
                <w:rFonts w:hint="eastAsia" w:ascii="宋体" w:hAnsi="宋体" w:cs="宋体"/>
                <w:szCs w:val="21"/>
                <w:lang w:val="zh-CN"/>
              </w:rPr>
              <w:t>分。</w:t>
            </w:r>
          </w:p>
        </w:tc>
      </w:tr>
      <w:tr w14:paraId="457CB2D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63" w:type="dxa"/>
          <w:tblCellSpacing w:w="0" w:type="dxa"/>
          <w:jc w:val="center"/>
        </w:trPr>
        <w:tc>
          <w:tcPr>
            <w:tcW w:w="681" w:type="dxa"/>
            <w:gridSpan w:val="2"/>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01EC1ABA">
            <w:pPr>
              <w:widowControl/>
              <w:wordWrap w:val="0"/>
              <w:jc w:val="center"/>
              <w:rPr>
                <w:b/>
                <w:bCs/>
                <w:color w:val="0000FF"/>
                <w:szCs w:val="21"/>
              </w:rPr>
            </w:pPr>
            <w:r>
              <w:rPr>
                <w:rFonts w:ascii="宋体" w:hAnsi="宋体" w:cs="宋体"/>
                <w:b/>
                <w:bCs/>
                <w:color w:val="0000FF"/>
                <w:kern w:val="0"/>
                <w:szCs w:val="21"/>
                <w:lang w:bidi="ar"/>
              </w:rPr>
              <w:t>3</w:t>
            </w:r>
          </w:p>
        </w:tc>
        <w:tc>
          <w:tcPr>
            <w:tcW w:w="4199" w:type="dxa"/>
            <w:gridSpan w:val="3"/>
            <w:tcBorders>
              <w:top w:val="single" w:color="000000" w:sz="8" w:space="0"/>
              <w:left w:val="single" w:color="000000" w:sz="8" w:space="0"/>
              <w:bottom w:val="single" w:color="000000" w:sz="8" w:space="0"/>
              <w:right w:val="single" w:color="000000" w:sz="8" w:space="0"/>
            </w:tcBorders>
            <w:shd w:val="clear" w:color="auto" w:fill="auto"/>
            <w:vAlign w:val="center"/>
          </w:tcPr>
          <w:p w14:paraId="5C876381">
            <w:pPr>
              <w:widowControl/>
              <w:wordWrap w:val="0"/>
              <w:jc w:val="center"/>
              <w:rPr>
                <w:b/>
                <w:bCs/>
                <w:color w:val="0000FF"/>
                <w:szCs w:val="21"/>
              </w:rPr>
            </w:pPr>
            <w:r>
              <w:rPr>
                <w:rFonts w:ascii="宋体" w:hAnsi="宋体" w:cs="宋体"/>
                <w:b/>
                <w:bCs/>
                <w:color w:val="0000FF"/>
                <w:kern w:val="0"/>
                <w:szCs w:val="21"/>
                <w:lang w:bidi="ar"/>
              </w:rPr>
              <w:t>商务</w:t>
            </w:r>
            <w:r>
              <w:rPr>
                <w:rFonts w:hint="eastAsia" w:ascii="宋体" w:hAnsi="宋体" w:cs="宋体"/>
                <w:b/>
                <w:bCs/>
                <w:color w:val="0000FF"/>
                <w:kern w:val="0"/>
                <w:szCs w:val="21"/>
                <w:lang w:bidi="ar"/>
              </w:rPr>
              <w:t>部分</w:t>
            </w:r>
          </w:p>
        </w:tc>
        <w:tc>
          <w:tcPr>
            <w:tcW w:w="41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66F7B4D">
            <w:pPr>
              <w:widowControl/>
              <w:wordWrap w:val="0"/>
              <w:jc w:val="center"/>
              <w:rPr>
                <w:b/>
                <w:bCs/>
                <w:color w:val="0000FF"/>
                <w:szCs w:val="21"/>
              </w:rPr>
            </w:pPr>
            <w:r>
              <w:rPr>
                <w:rFonts w:hint="eastAsia"/>
                <w:b/>
                <w:bCs/>
                <w:color w:val="0000FF"/>
                <w:szCs w:val="21"/>
              </w:rPr>
              <w:t>4</w:t>
            </w:r>
          </w:p>
        </w:tc>
      </w:tr>
      <w:tr w14:paraId="3DF9464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63" w:type="dxa"/>
          <w:tblCellSpacing w:w="0" w:type="dxa"/>
          <w:jc w:val="center"/>
        </w:trPr>
        <w:tc>
          <w:tcPr>
            <w:tcW w:w="681" w:type="dxa"/>
            <w:gridSpan w:val="2"/>
            <w:vMerge w:val="continue"/>
            <w:tcBorders>
              <w:top w:val="single" w:color="000000" w:sz="8" w:space="0"/>
              <w:left w:val="single" w:color="000000" w:sz="8" w:space="0"/>
              <w:bottom w:val="single" w:color="000000" w:sz="8" w:space="0"/>
              <w:right w:val="single" w:color="000000" w:sz="8" w:space="0"/>
            </w:tcBorders>
            <w:shd w:val="clear" w:color="auto" w:fill="E6EFFA"/>
            <w:vAlign w:val="center"/>
          </w:tcPr>
          <w:p w14:paraId="7C8DD45F">
            <w:pPr>
              <w:jc w:val="center"/>
              <w:rPr>
                <w:rFonts w:ascii="宋体"/>
                <w:b/>
                <w:bCs/>
                <w:color w:val="0000FF"/>
                <w:szCs w:val="21"/>
              </w:rPr>
            </w:pPr>
          </w:p>
        </w:tc>
        <w:tc>
          <w:tcPr>
            <w:tcW w:w="681"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0E5531D9">
            <w:pPr>
              <w:widowControl/>
              <w:wordWrap w:val="0"/>
              <w:jc w:val="center"/>
              <w:rPr>
                <w:szCs w:val="21"/>
              </w:rPr>
            </w:pPr>
            <w:r>
              <w:rPr>
                <w:rFonts w:ascii="宋体" w:hAnsi="宋体" w:cs="宋体"/>
                <w:kern w:val="0"/>
                <w:szCs w:val="21"/>
                <w:lang w:bidi="ar"/>
              </w:rPr>
              <w:t>序号</w:t>
            </w:r>
          </w:p>
        </w:tc>
        <w:tc>
          <w:tcPr>
            <w:tcW w:w="2837"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5FE7FB95">
            <w:pPr>
              <w:widowControl/>
              <w:wordWrap w:val="0"/>
              <w:jc w:val="center"/>
              <w:rPr>
                <w:szCs w:val="21"/>
              </w:rPr>
            </w:pPr>
            <w:r>
              <w:rPr>
                <w:rFonts w:ascii="宋体" w:hAnsi="宋体" w:cs="宋体"/>
                <w:kern w:val="0"/>
                <w:szCs w:val="21"/>
                <w:lang w:bidi="ar"/>
              </w:rPr>
              <w:t>评分因素</w:t>
            </w:r>
          </w:p>
        </w:tc>
        <w:tc>
          <w:tcPr>
            <w:tcW w:w="681"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00D12C70">
            <w:pPr>
              <w:widowControl/>
              <w:wordWrap w:val="0"/>
              <w:jc w:val="center"/>
              <w:rPr>
                <w:szCs w:val="21"/>
              </w:rPr>
            </w:pPr>
            <w:r>
              <w:rPr>
                <w:rFonts w:ascii="宋体" w:hAnsi="宋体" w:cs="宋体"/>
                <w:kern w:val="0"/>
                <w:szCs w:val="21"/>
                <w:lang w:bidi="ar"/>
              </w:rPr>
              <w:t>权重(%)</w:t>
            </w:r>
          </w:p>
        </w:tc>
        <w:tc>
          <w:tcPr>
            <w:tcW w:w="4198"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625130E8">
            <w:pPr>
              <w:widowControl/>
              <w:wordWrap w:val="0"/>
              <w:jc w:val="center"/>
              <w:rPr>
                <w:szCs w:val="21"/>
              </w:rPr>
            </w:pPr>
            <w:r>
              <w:rPr>
                <w:rFonts w:ascii="宋体" w:hAnsi="宋体" w:cs="宋体"/>
                <w:kern w:val="0"/>
                <w:szCs w:val="21"/>
                <w:lang w:bidi="ar"/>
              </w:rPr>
              <w:t>评分准则</w:t>
            </w:r>
          </w:p>
        </w:tc>
      </w:tr>
      <w:tr w14:paraId="6A13397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63" w:type="dxa"/>
          <w:tblCellSpacing w:w="0" w:type="dxa"/>
          <w:jc w:val="center"/>
        </w:trPr>
        <w:tc>
          <w:tcPr>
            <w:tcW w:w="681"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AA7EF17">
            <w:pPr>
              <w:jc w:val="center"/>
              <w:rPr>
                <w:rFonts w:ascii="宋体"/>
                <w:b/>
                <w:bCs/>
                <w:color w:val="0000FF"/>
                <w:szCs w:val="21"/>
              </w:rPr>
            </w:pP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CA57558">
            <w:pPr>
              <w:widowControl/>
              <w:wordWrap w:val="0"/>
              <w:jc w:val="center"/>
              <w:textAlignment w:val="top"/>
              <w:rPr>
                <w:szCs w:val="21"/>
              </w:rPr>
            </w:pPr>
            <w:r>
              <w:rPr>
                <w:rFonts w:hint="eastAsia" w:ascii="宋体" w:hAnsi="宋体" w:cs="宋体"/>
                <w:szCs w:val="21"/>
              </w:rPr>
              <w:t>1</w:t>
            </w:r>
          </w:p>
        </w:tc>
        <w:tc>
          <w:tcPr>
            <w:tcW w:w="283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361DF26">
            <w:pPr>
              <w:widowControl/>
              <w:wordWrap w:val="0"/>
              <w:jc w:val="center"/>
              <w:textAlignment w:val="top"/>
              <w:rPr>
                <w:szCs w:val="21"/>
              </w:rPr>
            </w:pPr>
            <w:r>
              <w:rPr>
                <w:rFonts w:hint="eastAsia" w:ascii="宋体" w:hAnsi="宋体" w:cs="宋体"/>
                <w:kern w:val="0"/>
                <w:szCs w:val="21"/>
              </w:rPr>
              <w:t>经验评价</w:t>
            </w: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4A7882D">
            <w:pPr>
              <w:widowControl/>
              <w:wordWrap w:val="0"/>
              <w:jc w:val="center"/>
              <w:textAlignment w:val="top"/>
              <w:rPr>
                <w:szCs w:val="21"/>
              </w:rPr>
            </w:pPr>
            <w:r>
              <w:rPr>
                <w:rFonts w:ascii="宋体" w:hAnsi="宋体" w:cs="宋体"/>
                <w:szCs w:val="21"/>
              </w:rPr>
              <w:t>2</w:t>
            </w:r>
          </w:p>
        </w:tc>
        <w:tc>
          <w:tcPr>
            <w:tcW w:w="4198" w:type="dxa"/>
            <w:tcBorders>
              <w:top w:val="single" w:color="000000" w:sz="8" w:space="0"/>
              <w:left w:val="single" w:color="000000" w:sz="8" w:space="0"/>
              <w:bottom w:val="single" w:color="000000" w:sz="8" w:space="0"/>
              <w:right w:val="single" w:color="000000" w:sz="8" w:space="0"/>
            </w:tcBorders>
            <w:shd w:val="clear" w:color="auto" w:fill="auto"/>
          </w:tcPr>
          <w:p w14:paraId="4848022A">
            <w:pPr>
              <w:jc w:val="left"/>
              <w:rPr>
                <w:rFonts w:ascii="宋体" w:hAnsi="宋体" w:cs="宋体"/>
                <w:b/>
                <w:szCs w:val="21"/>
                <w:lang w:val="zh-CN"/>
              </w:rPr>
            </w:pPr>
            <w:r>
              <w:rPr>
                <w:rFonts w:hint="eastAsia" w:ascii="宋体" w:hAnsi="宋体" w:cs="宋体"/>
                <w:b/>
                <w:szCs w:val="21"/>
                <w:lang w:val="zh-CN"/>
              </w:rPr>
              <w:t>（一）评分内容：</w:t>
            </w:r>
          </w:p>
          <w:p w14:paraId="7BA4543C">
            <w:pPr>
              <w:jc w:val="left"/>
              <w:rPr>
                <w:rFonts w:ascii="宋体" w:hAnsi="宋体" w:cs="宋体"/>
                <w:szCs w:val="21"/>
                <w:lang w:val="zh-CN"/>
              </w:rPr>
            </w:pPr>
            <w:r>
              <w:rPr>
                <w:rFonts w:hint="eastAsia" w:ascii="宋体" w:hAnsi="宋体" w:cs="宋体"/>
                <w:szCs w:val="21"/>
                <w:lang w:val="zh-CN"/>
              </w:rPr>
              <w:t>2024年1月1日（以合同签订日期为准）至本项目投标截止日，投标人具有钢琴项目经验且经采购人或被服务单位提供“优”或“优秀”或同等档次的合同，每提供一个得20分，最高得100分。</w:t>
            </w:r>
          </w:p>
          <w:p w14:paraId="3EB47D6C">
            <w:pPr>
              <w:jc w:val="left"/>
              <w:rPr>
                <w:rFonts w:ascii="宋体" w:hAnsi="宋体" w:cs="宋体"/>
                <w:b/>
                <w:szCs w:val="21"/>
                <w:lang w:val="zh-CN"/>
              </w:rPr>
            </w:pPr>
            <w:r>
              <w:rPr>
                <w:rFonts w:hint="eastAsia" w:ascii="宋体" w:hAnsi="宋体" w:cs="宋体"/>
                <w:b/>
                <w:szCs w:val="21"/>
                <w:lang w:val="zh-CN"/>
              </w:rPr>
              <w:t>（二）评分依据：</w:t>
            </w:r>
          </w:p>
          <w:p w14:paraId="41CCCEE1">
            <w:pPr>
              <w:jc w:val="left"/>
              <w:rPr>
                <w:rFonts w:ascii="宋体" w:hAnsi="宋体" w:cs="宋体"/>
                <w:szCs w:val="21"/>
                <w:lang w:val="zh-CN"/>
              </w:rPr>
            </w:pPr>
            <w:r>
              <w:rPr>
                <w:rFonts w:hint="eastAsia" w:ascii="宋体" w:hAnsi="宋体" w:cs="宋体"/>
                <w:szCs w:val="21"/>
                <w:lang w:val="zh-CN"/>
              </w:rPr>
              <w:t>同时提供：（1）合同关键页（包括但不限于货物内容、签订日期、合同双方签字盖章页）；（2）采购单位或被服务单位出具的总体履约评价证明，整体综合评价为“优”或“优秀”或“满意”</w:t>
            </w:r>
            <w:r>
              <w:rPr>
                <w:rFonts w:hint="eastAsia" w:ascii="宋体" w:hAnsi="宋体" w:cs="宋体"/>
                <w:szCs w:val="21"/>
              </w:rPr>
              <w:t>或得分在90分（含90分）以上</w:t>
            </w:r>
            <w:r>
              <w:rPr>
                <w:rFonts w:hint="eastAsia" w:ascii="宋体" w:hAnsi="宋体" w:cs="宋体"/>
                <w:szCs w:val="21"/>
                <w:lang w:val="zh-CN"/>
              </w:rPr>
              <w:t>的（即该评价体系中的最高评价），并加盖采购单位或被服务单位公章或业务章。</w:t>
            </w:r>
          </w:p>
          <w:p w14:paraId="5DC110FE">
            <w:pPr>
              <w:jc w:val="left"/>
              <w:rPr>
                <w:szCs w:val="21"/>
              </w:rPr>
            </w:pPr>
            <w:r>
              <w:rPr>
                <w:rFonts w:hint="eastAsia" w:ascii="宋体" w:hAnsi="宋体" w:cs="宋体"/>
                <w:szCs w:val="21"/>
                <w:lang w:val="zh-CN"/>
              </w:rPr>
              <w:t>注：未按要求提供相关证明材料（或相关证明材料无法判断是否符合评分要求）的不计得分，原件备查。</w:t>
            </w:r>
          </w:p>
        </w:tc>
      </w:tr>
      <w:tr w14:paraId="15F1A98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63" w:type="dxa"/>
          <w:tblCellSpacing w:w="0" w:type="dxa"/>
          <w:jc w:val="center"/>
        </w:trPr>
        <w:tc>
          <w:tcPr>
            <w:tcW w:w="681"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19C1AAE9">
            <w:pPr>
              <w:jc w:val="center"/>
              <w:rPr>
                <w:rFonts w:ascii="宋体"/>
                <w:b/>
                <w:bCs/>
                <w:color w:val="0000FF"/>
                <w:szCs w:val="21"/>
              </w:rPr>
            </w:pP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443DB8B">
            <w:pPr>
              <w:widowControl/>
              <w:wordWrap w:val="0"/>
              <w:jc w:val="center"/>
              <w:textAlignment w:val="top"/>
              <w:rPr>
                <w:szCs w:val="21"/>
              </w:rPr>
            </w:pPr>
            <w:r>
              <w:rPr>
                <w:rFonts w:hint="eastAsia" w:ascii="宋体" w:hAnsi="宋体" w:cs="宋体"/>
                <w:szCs w:val="21"/>
              </w:rPr>
              <w:t>2</w:t>
            </w:r>
          </w:p>
        </w:tc>
        <w:tc>
          <w:tcPr>
            <w:tcW w:w="283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A26EC3F">
            <w:pPr>
              <w:widowControl/>
              <w:wordWrap w:val="0"/>
              <w:jc w:val="center"/>
              <w:textAlignment w:val="top"/>
              <w:rPr>
                <w:szCs w:val="21"/>
              </w:rPr>
            </w:pPr>
            <w:r>
              <w:rPr>
                <w:rFonts w:hint="eastAsia" w:ascii="宋体" w:hAnsi="宋体" w:cs="宋体"/>
                <w:szCs w:val="21"/>
              </w:rPr>
              <w:t>体系认证</w:t>
            </w: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9C398FF">
            <w:pPr>
              <w:widowControl/>
              <w:wordWrap w:val="0"/>
              <w:jc w:val="center"/>
              <w:textAlignment w:val="top"/>
              <w:rPr>
                <w:szCs w:val="21"/>
              </w:rPr>
            </w:pPr>
            <w:r>
              <w:rPr>
                <w:rFonts w:hint="eastAsia" w:ascii="宋体" w:hAnsi="宋体" w:cs="宋体"/>
                <w:szCs w:val="21"/>
              </w:rPr>
              <w:t>2</w:t>
            </w:r>
          </w:p>
        </w:tc>
        <w:tc>
          <w:tcPr>
            <w:tcW w:w="4198" w:type="dxa"/>
            <w:tcBorders>
              <w:top w:val="single" w:color="000000" w:sz="8" w:space="0"/>
              <w:left w:val="single" w:color="000000" w:sz="8" w:space="0"/>
              <w:bottom w:val="single" w:color="000000" w:sz="8" w:space="0"/>
              <w:right w:val="single" w:color="000000" w:sz="8" w:space="0"/>
            </w:tcBorders>
            <w:shd w:val="clear" w:color="auto" w:fill="auto"/>
          </w:tcPr>
          <w:p w14:paraId="63BD53AF">
            <w:pPr>
              <w:jc w:val="left"/>
              <w:rPr>
                <w:rFonts w:ascii="宋体" w:hAnsi="宋体" w:cs="宋体"/>
                <w:b/>
                <w:szCs w:val="21"/>
                <w:lang w:val="zh-CN"/>
              </w:rPr>
            </w:pPr>
            <w:r>
              <w:rPr>
                <w:rFonts w:hint="eastAsia" w:ascii="宋体" w:hAnsi="宋体" w:cs="宋体"/>
                <w:b/>
                <w:szCs w:val="21"/>
                <w:lang w:val="zh-CN"/>
              </w:rPr>
              <w:t>（一）评分内容：</w:t>
            </w:r>
          </w:p>
          <w:p w14:paraId="2B02276C">
            <w:pPr>
              <w:jc w:val="left"/>
              <w:rPr>
                <w:rFonts w:ascii="宋体" w:hAnsi="宋体" w:cs="宋体"/>
                <w:szCs w:val="21"/>
                <w:lang w:val="zh-CN"/>
              </w:rPr>
            </w:pPr>
            <w:r>
              <w:rPr>
                <w:rFonts w:hint="eastAsia" w:ascii="宋体" w:hAnsi="宋体" w:cs="宋体"/>
                <w:szCs w:val="21"/>
                <w:lang w:val="zh-CN"/>
              </w:rPr>
              <w:t>投标人或产品制造商具备：</w:t>
            </w:r>
          </w:p>
          <w:p w14:paraId="18205340">
            <w:pPr>
              <w:jc w:val="left"/>
              <w:rPr>
                <w:rFonts w:ascii="宋体" w:hAnsi="宋体" w:cs="宋体"/>
                <w:szCs w:val="21"/>
                <w:lang w:val="zh-CN"/>
              </w:rPr>
            </w:pPr>
            <w:r>
              <w:rPr>
                <w:rFonts w:hint="eastAsia" w:ascii="宋体" w:hAnsi="宋体" w:cs="宋体"/>
                <w:szCs w:val="21"/>
                <w:lang w:val="zh-CN"/>
              </w:rPr>
              <w:t xml:space="preserve">1、质量管理体系认证证书且认证范围应包含钢琴设计开发和售后服务； </w:t>
            </w:r>
          </w:p>
          <w:p w14:paraId="4D827658">
            <w:pPr>
              <w:jc w:val="left"/>
              <w:rPr>
                <w:rFonts w:ascii="宋体" w:hAnsi="宋体" w:cs="宋体"/>
                <w:szCs w:val="21"/>
                <w:lang w:val="zh-CN"/>
              </w:rPr>
            </w:pPr>
            <w:r>
              <w:rPr>
                <w:rFonts w:hint="eastAsia" w:ascii="宋体" w:hAnsi="宋体" w:cs="宋体"/>
                <w:szCs w:val="21"/>
                <w:lang w:val="zh-CN"/>
              </w:rPr>
              <w:t xml:space="preserve">2、环境管理体系认证证书且认证范围应包含钢琴设计开发和售后服务； </w:t>
            </w:r>
          </w:p>
          <w:p w14:paraId="1E3D254E">
            <w:pPr>
              <w:jc w:val="left"/>
              <w:rPr>
                <w:rFonts w:ascii="宋体" w:hAnsi="宋体" w:cs="宋体"/>
                <w:szCs w:val="21"/>
                <w:lang w:val="zh-CN"/>
              </w:rPr>
            </w:pPr>
            <w:r>
              <w:rPr>
                <w:rFonts w:hint="eastAsia" w:ascii="宋体" w:hAnsi="宋体" w:cs="宋体"/>
                <w:szCs w:val="21"/>
                <w:lang w:val="zh-CN"/>
              </w:rPr>
              <w:t>3、职业健康安全管理体系认证证书且认证范围应包含钢琴设计开发和售后服务。</w:t>
            </w:r>
          </w:p>
          <w:p w14:paraId="49C0323F">
            <w:pPr>
              <w:jc w:val="left"/>
              <w:rPr>
                <w:rFonts w:ascii="宋体" w:hAnsi="宋体" w:cs="宋体"/>
                <w:szCs w:val="21"/>
                <w:lang w:val="zh-CN"/>
              </w:rPr>
            </w:pPr>
            <w:r>
              <w:rPr>
                <w:rFonts w:hint="eastAsia" w:ascii="宋体" w:hAnsi="宋体" w:cs="宋体"/>
                <w:szCs w:val="21"/>
                <w:lang w:val="zh-CN"/>
              </w:rPr>
              <w:t xml:space="preserve">以上每提供一项得34分，最高得100分，如供应商距本项目开标之日的注册成立时间不足3个月，且未取得以上认证证书的，提供认证机构出具的关于“正在办理”的书面证明材料（需包含评审因素涉及的认证证书，且加盖认证机构公章），可视为已获得相应的认证证书。 </w:t>
            </w:r>
          </w:p>
          <w:p w14:paraId="1F678A69">
            <w:pPr>
              <w:jc w:val="left"/>
              <w:rPr>
                <w:rFonts w:ascii="宋体" w:hAnsi="宋体" w:cs="宋体"/>
                <w:b/>
                <w:szCs w:val="21"/>
                <w:lang w:val="zh-CN"/>
              </w:rPr>
            </w:pPr>
            <w:r>
              <w:rPr>
                <w:rFonts w:hint="eastAsia" w:ascii="宋体" w:hAnsi="宋体" w:cs="宋体"/>
                <w:b/>
                <w:szCs w:val="21"/>
                <w:lang w:val="zh-CN"/>
              </w:rPr>
              <w:t>（二）评分依据：</w:t>
            </w:r>
          </w:p>
          <w:p w14:paraId="034D58FD">
            <w:pPr>
              <w:jc w:val="left"/>
              <w:rPr>
                <w:rFonts w:ascii="宋体" w:hAnsi="宋体" w:cs="宋体"/>
                <w:szCs w:val="21"/>
                <w:lang w:val="zh-CN"/>
              </w:rPr>
            </w:pPr>
            <w:r>
              <w:rPr>
                <w:rFonts w:hint="eastAsia" w:ascii="宋体" w:hAnsi="宋体" w:cs="宋体"/>
                <w:szCs w:val="21"/>
                <w:lang w:val="zh-CN"/>
              </w:rPr>
              <w:t>1、提供相关认证机构颁发的有效期内的认证证书扫描件及在全国认证认可信息公共服务平台（认e云）查询截图且显示有效（http://cx.cnca.cn）及编号一致。</w:t>
            </w:r>
          </w:p>
          <w:p w14:paraId="2BED2701">
            <w:pPr>
              <w:jc w:val="left"/>
              <w:rPr>
                <w:szCs w:val="21"/>
              </w:rPr>
            </w:pPr>
            <w:r>
              <w:rPr>
                <w:rFonts w:hint="eastAsia" w:ascii="宋体" w:hAnsi="宋体" w:cs="宋体"/>
                <w:szCs w:val="21"/>
                <w:lang w:val="zh-CN"/>
              </w:rPr>
              <w:t>2、未按要求提供证明材料（或证明材料无法判断是否符合评分要求）的不得分，原件备查。</w:t>
            </w:r>
          </w:p>
        </w:tc>
      </w:tr>
      <w:tr w14:paraId="53FB207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63" w:type="dxa"/>
          <w:tblCellSpacing w:w="0" w:type="dxa"/>
          <w:jc w:val="center"/>
        </w:trPr>
        <w:tc>
          <w:tcPr>
            <w:tcW w:w="681" w:type="dxa"/>
            <w:gridSpan w:val="2"/>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14:paraId="2148ECFC">
            <w:pPr>
              <w:widowControl/>
              <w:wordWrap w:val="0"/>
              <w:jc w:val="center"/>
              <w:rPr>
                <w:b/>
                <w:bCs/>
                <w:color w:val="0000FF"/>
                <w:szCs w:val="21"/>
              </w:rPr>
            </w:pPr>
            <w:r>
              <w:rPr>
                <w:rFonts w:hint="eastAsia" w:ascii="宋体" w:hAnsi="宋体" w:cs="宋体"/>
                <w:b/>
                <w:bCs/>
                <w:color w:val="0000FF"/>
                <w:kern w:val="0"/>
                <w:szCs w:val="21"/>
                <w:lang w:bidi="ar"/>
              </w:rPr>
              <w:t>4</w:t>
            </w:r>
          </w:p>
        </w:tc>
        <w:tc>
          <w:tcPr>
            <w:tcW w:w="4199" w:type="dxa"/>
            <w:gridSpan w:val="3"/>
            <w:tcBorders>
              <w:top w:val="single" w:color="000000" w:sz="8" w:space="0"/>
              <w:left w:val="single" w:color="000000" w:sz="8" w:space="0"/>
              <w:bottom w:val="single" w:color="000000" w:sz="8" w:space="0"/>
              <w:right w:val="single" w:color="000000" w:sz="8" w:space="0"/>
            </w:tcBorders>
            <w:shd w:val="clear" w:color="auto" w:fill="auto"/>
            <w:vAlign w:val="center"/>
          </w:tcPr>
          <w:p w14:paraId="70F92138">
            <w:pPr>
              <w:widowControl/>
              <w:wordWrap w:val="0"/>
              <w:jc w:val="center"/>
              <w:rPr>
                <w:b/>
                <w:bCs/>
                <w:color w:val="0000FF"/>
                <w:szCs w:val="21"/>
              </w:rPr>
            </w:pPr>
            <w:r>
              <w:rPr>
                <w:rFonts w:hint="eastAsia" w:ascii="宋体" w:hAnsi="宋体" w:cs="宋体"/>
                <w:b/>
                <w:bCs/>
                <w:color w:val="0000FF"/>
                <w:kern w:val="0"/>
                <w:szCs w:val="21"/>
                <w:lang w:bidi="ar"/>
              </w:rPr>
              <w:t>诚信情况</w:t>
            </w:r>
          </w:p>
        </w:tc>
        <w:tc>
          <w:tcPr>
            <w:tcW w:w="41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191FDAF">
            <w:pPr>
              <w:widowControl/>
              <w:wordWrap w:val="0"/>
              <w:jc w:val="center"/>
              <w:rPr>
                <w:b/>
                <w:bCs/>
                <w:color w:val="0000FF"/>
                <w:szCs w:val="21"/>
              </w:rPr>
            </w:pPr>
            <w:r>
              <w:rPr>
                <w:rFonts w:hint="eastAsia"/>
                <w:b/>
                <w:bCs/>
                <w:color w:val="0000FF"/>
                <w:szCs w:val="21"/>
              </w:rPr>
              <w:t>5</w:t>
            </w:r>
          </w:p>
        </w:tc>
      </w:tr>
      <w:tr w14:paraId="57B2D17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63" w:type="dxa"/>
          <w:tblCellSpacing w:w="0" w:type="dxa"/>
          <w:jc w:val="center"/>
        </w:trPr>
        <w:tc>
          <w:tcPr>
            <w:tcW w:w="681" w:type="dxa"/>
            <w:gridSpan w:val="2"/>
            <w:vMerge w:val="continue"/>
            <w:tcBorders>
              <w:top w:val="single" w:color="000000" w:sz="8" w:space="0"/>
              <w:left w:val="single" w:color="000000" w:sz="8" w:space="0"/>
              <w:bottom w:val="single" w:color="000000" w:sz="8" w:space="0"/>
              <w:right w:val="single" w:color="000000" w:sz="8" w:space="0"/>
            </w:tcBorders>
            <w:shd w:val="clear" w:color="auto" w:fill="E6EFFA"/>
            <w:vAlign w:val="center"/>
          </w:tcPr>
          <w:p w14:paraId="6AD1FC8A">
            <w:pPr>
              <w:jc w:val="center"/>
              <w:rPr>
                <w:rFonts w:ascii="宋体"/>
                <w:b/>
                <w:bCs/>
                <w:color w:val="0000FF"/>
                <w:szCs w:val="21"/>
              </w:rPr>
            </w:pPr>
          </w:p>
        </w:tc>
        <w:tc>
          <w:tcPr>
            <w:tcW w:w="681"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1B39258D">
            <w:pPr>
              <w:widowControl/>
              <w:wordWrap w:val="0"/>
              <w:jc w:val="center"/>
              <w:rPr>
                <w:szCs w:val="21"/>
              </w:rPr>
            </w:pPr>
            <w:r>
              <w:rPr>
                <w:rFonts w:ascii="宋体" w:hAnsi="宋体" w:cs="宋体"/>
                <w:kern w:val="0"/>
                <w:szCs w:val="21"/>
                <w:lang w:bidi="ar"/>
              </w:rPr>
              <w:t>序号</w:t>
            </w:r>
          </w:p>
        </w:tc>
        <w:tc>
          <w:tcPr>
            <w:tcW w:w="2837"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018E666B">
            <w:pPr>
              <w:widowControl/>
              <w:wordWrap w:val="0"/>
              <w:jc w:val="center"/>
              <w:rPr>
                <w:szCs w:val="21"/>
              </w:rPr>
            </w:pPr>
            <w:r>
              <w:rPr>
                <w:rFonts w:ascii="宋体" w:hAnsi="宋体" w:cs="宋体"/>
                <w:kern w:val="0"/>
                <w:szCs w:val="21"/>
                <w:lang w:bidi="ar"/>
              </w:rPr>
              <w:t>评分因素</w:t>
            </w:r>
          </w:p>
        </w:tc>
        <w:tc>
          <w:tcPr>
            <w:tcW w:w="681"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662E543B">
            <w:pPr>
              <w:widowControl/>
              <w:wordWrap w:val="0"/>
              <w:jc w:val="center"/>
              <w:rPr>
                <w:szCs w:val="21"/>
              </w:rPr>
            </w:pPr>
            <w:r>
              <w:rPr>
                <w:rFonts w:ascii="宋体" w:hAnsi="宋体" w:cs="宋体"/>
                <w:kern w:val="0"/>
                <w:szCs w:val="21"/>
                <w:lang w:bidi="ar"/>
              </w:rPr>
              <w:t>权重(%)</w:t>
            </w:r>
          </w:p>
        </w:tc>
        <w:tc>
          <w:tcPr>
            <w:tcW w:w="4198" w:type="dxa"/>
            <w:tcBorders>
              <w:top w:val="outset" w:color="000000" w:sz="6" w:space="0"/>
              <w:left w:val="outset" w:color="000000" w:sz="6" w:space="0"/>
              <w:bottom w:val="outset" w:color="000000" w:sz="6" w:space="0"/>
              <w:right w:val="outset" w:color="000000" w:sz="6" w:space="0"/>
            </w:tcBorders>
            <w:shd w:val="clear" w:color="auto" w:fill="E6EFFA"/>
            <w:vAlign w:val="center"/>
          </w:tcPr>
          <w:p w14:paraId="33447368">
            <w:pPr>
              <w:widowControl/>
              <w:wordWrap w:val="0"/>
              <w:jc w:val="center"/>
              <w:rPr>
                <w:szCs w:val="21"/>
              </w:rPr>
            </w:pPr>
            <w:r>
              <w:rPr>
                <w:rFonts w:ascii="宋体" w:hAnsi="宋体" w:cs="宋体"/>
                <w:kern w:val="0"/>
                <w:szCs w:val="21"/>
                <w:lang w:bidi="ar"/>
              </w:rPr>
              <w:t>评分准则</w:t>
            </w:r>
          </w:p>
        </w:tc>
      </w:tr>
      <w:tr w14:paraId="2DA4D6F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gridAfter w:val="1"/>
          <w:wAfter w:w="63" w:type="dxa"/>
          <w:tblCellSpacing w:w="0" w:type="dxa"/>
          <w:jc w:val="center"/>
        </w:trPr>
        <w:tc>
          <w:tcPr>
            <w:tcW w:w="681" w:type="dxa"/>
            <w:gridSpan w:val="2"/>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14:paraId="360CF14A">
            <w:pPr>
              <w:jc w:val="center"/>
              <w:rPr>
                <w:rFonts w:ascii="宋体"/>
                <w:b/>
                <w:bCs/>
                <w:color w:val="0000FF"/>
                <w:szCs w:val="21"/>
              </w:rPr>
            </w:pP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7D50338">
            <w:pPr>
              <w:widowControl/>
              <w:wordWrap w:val="0"/>
              <w:jc w:val="center"/>
              <w:textAlignment w:val="top"/>
              <w:rPr>
                <w:szCs w:val="21"/>
              </w:rPr>
            </w:pPr>
            <w:r>
              <w:rPr>
                <w:rFonts w:hint="eastAsia"/>
                <w:szCs w:val="21"/>
              </w:rPr>
              <w:t>1</w:t>
            </w:r>
          </w:p>
        </w:tc>
        <w:tc>
          <w:tcPr>
            <w:tcW w:w="2837"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5A2ED84">
            <w:pPr>
              <w:widowControl/>
              <w:wordWrap w:val="0"/>
              <w:jc w:val="center"/>
              <w:textAlignment w:val="top"/>
              <w:rPr>
                <w:szCs w:val="21"/>
              </w:rPr>
            </w:pPr>
            <w:r>
              <w:rPr>
                <w:rFonts w:hint="eastAsia"/>
                <w:szCs w:val="21"/>
              </w:rPr>
              <w:t>诚信情况</w:t>
            </w:r>
          </w:p>
        </w:tc>
        <w:tc>
          <w:tcPr>
            <w:tcW w:w="681"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366274F">
            <w:pPr>
              <w:widowControl/>
              <w:wordWrap w:val="0"/>
              <w:jc w:val="center"/>
              <w:textAlignment w:val="top"/>
              <w:rPr>
                <w:szCs w:val="21"/>
              </w:rPr>
            </w:pPr>
            <w:r>
              <w:rPr>
                <w:rFonts w:hint="eastAsia"/>
                <w:szCs w:val="21"/>
              </w:rPr>
              <w:t>5</w:t>
            </w:r>
          </w:p>
        </w:tc>
        <w:tc>
          <w:tcPr>
            <w:tcW w:w="4198" w:type="dxa"/>
            <w:tcBorders>
              <w:top w:val="single" w:color="000000" w:sz="8" w:space="0"/>
              <w:left w:val="single" w:color="000000" w:sz="8" w:space="0"/>
              <w:bottom w:val="single" w:color="000000" w:sz="8" w:space="0"/>
              <w:right w:val="single" w:color="000000" w:sz="8" w:space="0"/>
            </w:tcBorders>
            <w:shd w:val="clear" w:color="auto" w:fill="auto"/>
          </w:tcPr>
          <w:p w14:paraId="212A8EA1">
            <w:pPr>
              <w:pStyle w:val="2"/>
              <w:wordWrap w:val="0"/>
              <w:spacing w:line="240" w:lineRule="auto"/>
              <w:ind w:firstLine="420" w:firstLineChars="200"/>
              <w:rPr>
                <w:rFonts w:asciiTheme="minorEastAsia" w:hAnsiTheme="minorEastAsia" w:eastAsiaTheme="minorEastAsia" w:cstheme="minorEastAsia"/>
                <w:b w:val="0"/>
                <w:bCs w:val="0"/>
                <w:sz w:val="21"/>
                <w:szCs w:val="21"/>
              </w:rPr>
            </w:pPr>
            <w:r>
              <w:rPr>
                <w:rFonts w:hint="eastAsia" w:asciiTheme="minorEastAsia" w:hAnsiTheme="minorEastAsia" w:eastAsiaTheme="minorEastAsia" w:cstheme="minorEastAsia"/>
                <w:b w:val="0"/>
                <w:bCs w:val="0"/>
                <w:sz w:val="21"/>
                <w:szCs w:val="21"/>
              </w:rPr>
              <w:t>投标人存在《深圳市财政局政府采购供应商信用信息管理办法》（深财规〔2023〕3号）列明的一般行政处罚信息、一般违法失信记录信息的，本项不得分，不存在上述情形的本项得100分。投标人无需提供任何证明材料，评标过程中由工作人员向评审委员会提供有关供应商诚信查询结果。</w:t>
            </w:r>
          </w:p>
          <w:p w14:paraId="40B3D720">
            <w:pPr>
              <w:pStyle w:val="2"/>
              <w:wordWrap w:val="0"/>
              <w:spacing w:line="240" w:lineRule="auto"/>
              <w:ind w:firstLine="420" w:firstLineChars="200"/>
              <w:rPr>
                <w:sz w:val="21"/>
                <w:szCs w:val="21"/>
              </w:rPr>
            </w:pPr>
            <w:r>
              <w:rPr>
                <w:rFonts w:hint="eastAsia" w:asciiTheme="minorEastAsia" w:hAnsiTheme="minorEastAsia" w:eastAsiaTheme="minorEastAsia" w:cstheme="minorEastAsia"/>
                <w:b w:val="0"/>
                <w:bCs w:val="0"/>
                <w:sz w:val="21"/>
                <w:szCs w:val="21"/>
              </w:rPr>
              <w:t>查询渠道：通过“信用中国”（www.creditchina.gov.cn，下载信用信息报告）、“中国政府采购网”（www.ccgp.gov.cn）以及“深圳市政府采购监管网”（http://zfcg.sz.gov.cn）查询供应商信用信息，信用信息以开标当日的查询结果为准。</w:t>
            </w:r>
          </w:p>
        </w:tc>
      </w:tr>
      <w:bookmarkEnd w:id="2"/>
    </w:tbl>
    <w:p w14:paraId="3C3225E3">
      <w:pPr>
        <w:sectPr>
          <w:pgSz w:w="11907" w:h="16840"/>
          <w:pgMar w:top="1440" w:right="1418" w:bottom="1440" w:left="1418" w:header="851" w:footer="992" w:gutter="0"/>
          <w:cols w:space="425" w:num="1"/>
          <w:titlePg/>
          <w:docGrid w:linePitch="462" w:charSpace="0"/>
        </w:sectPr>
      </w:pPr>
    </w:p>
    <w:p w14:paraId="624C9312">
      <w:pPr>
        <w:jc w:val="center"/>
        <w:rPr>
          <w:b/>
          <w:sz w:val="84"/>
          <w:szCs w:val="84"/>
        </w:rPr>
      </w:pPr>
    </w:p>
    <w:p w14:paraId="0595DB06">
      <w:pPr>
        <w:jc w:val="center"/>
        <w:rPr>
          <w:b/>
          <w:sz w:val="84"/>
          <w:szCs w:val="84"/>
        </w:rPr>
      </w:pPr>
    </w:p>
    <w:p w14:paraId="1A5BECEF">
      <w:pPr>
        <w:jc w:val="center"/>
        <w:rPr>
          <w:b/>
          <w:sz w:val="84"/>
          <w:szCs w:val="84"/>
        </w:rPr>
      </w:pPr>
    </w:p>
    <w:p w14:paraId="6EA71CAB">
      <w:pPr>
        <w:jc w:val="center"/>
        <w:rPr>
          <w:b/>
          <w:sz w:val="120"/>
          <w:szCs w:val="120"/>
        </w:rPr>
      </w:pPr>
      <w:r>
        <w:rPr>
          <w:rFonts w:hint="eastAsia"/>
          <w:b/>
          <w:sz w:val="120"/>
          <w:szCs w:val="120"/>
        </w:rPr>
        <w:t>自行采购</w:t>
      </w:r>
    </w:p>
    <w:p w14:paraId="15706E54">
      <w:pPr>
        <w:jc w:val="center"/>
        <w:rPr>
          <w:b/>
          <w:sz w:val="120"/>
          <w:szCs w:val="120"/>
        </w:rPr>
      </w:pPr>
      <w:r>
        <w:rPr>
          <w:rFonts w:hint="eastAsia"/>
          <w:b/>
          <w:sz w:val="120"/>
          <w:szCs w:val="120"/>
        </w:rPr>
        <w:t>招标文件</w:t>
      </w:r>
    </w:p>
    <w:p w14:paraId="1556D0AB">
      <w:pPr>
        <w:jc w:val="center"/>
        <w:rPr>
          <w:b/>
          <w:sz w:val="52"/>
          <w:szCs w:val="52"/>
        </w:rPr>
      </w:pPr>
      <w:r>
        <w:rPr>
          <w:rFonts w:hint="eastAsia"/>
          <w:b/>
          <w:sz w:val="52"/>
          <w:szCs w:val="52"/>
        </w:rPr>
        <w:t>（货物类）</w:t>
      </w:r>
    </w:p>
    <w:p w14:paraId="1B98E360"/>
    <w:p w14:paraId="05E6D812"/>
    <w:p w14:paraId="742B6207"/>
    <w:p w14:paraId="78AC0F1E"/>
    <w:p w14:paraId="4F136C36"/>
    <w:p w14:paraId="71CAD80F"/>
    <w:p w14:paraId="00F20A12"/>
    <w:p w14:paraId="55DADC09"/>
    <w:p w14:paraId="4398CBD7"/>
    <w:p w14:paraId="12D2E51C"/>
    <w:p w14:paraId="42DB507E"/>
    <w:p w14:paraId="7804BEF1"/>
    <w:p w14:paraId="025EA76F"/>
    <w:p w14:paraId="7DAD9A40"/>
    <w:p w14:paraId="74CFD905"/>
    <w:p w14:paraId="64BDADD1"/>
    <w:p w14:paraId="122F9DD0"/>
    <w:p w14:paraId="6A9F82E1"/>
    <w:p w14:paraId="7A2D0D4E"/>
    <w:p w14:paraId="3CEB8FC5">
      <w:pPr>
        <w:jc w:val="center"/>
        <w:rPr>
          <w:b/>
          <w:sz w:val="44"/>
          <w:szCs w:val="44"/>
        </w:rPr>
      </w:pPr>
      <w:bookmarkStart w:id="3" w:name="_Hlk71465316"/>
      <w:r>
        <w:rPr>
          <w:rFonts w:hint="eastAsia"/>
          <w:b/>
          <w:sz w:val="44"/>
          <w:szCs w:val="44"/>
        </w:rPr>
        <w:t>深圳公共资源交易中心</w:t>
      </w:r>
    </w:p>
    <w:p w14:paraId="3681BD56">
      <w:pPr>
        <w:jc w:val="center"/>
        <w:rPr>
          <w:b/>
          <w:sz w:val="44"/>
          <w:szCs w:val="44"/>
        </w:rPr>
      </w:pPr>
      <w:r>
        <w:rPr>
          <w:rFonts w:hint="eastAsia"/>
          <w:b/>
          <w:sz w:val="44"/>
          <w:szCs w:val="44"/>
        </w:rPr>
        <w:t>（</w:t>
      </w:r>
      <w:r>
        <w:rPr>
          <w:b/>
          <w:sz w:val="44"/>
          <w:szCs w:val="44"/>
        </w:rPr>
        <w:t>20</w:t>
      </w:r>
      <w:r>
        <w:rPr>
          <w:rFonts w:hint="eastAsia"/>
          <w:b/>
          <w:sz w:val="44"/>
          <w:szCs w:val="44"/>
        </w:rPr>
        <w:t>25）</w:t>
      </w:r>
    </w:p>
    <w:bookmarkEnd w:id="3"/>
    <w:p w14:paraId="3443277B">
      <w:pPr>
        <w:widowControl/>
        <w:jc w:val="center"/>
      </w:pPr>
    </w:p>
    <w:p w14:paraId="6D6E0100">
      <w:pPr>
        <w:widowControl/>
        <w:jc w:val="center"/>
      </w:pPr>
      <w:r>
        <w:br w:type="page"/>
      </w:r>
    </w:p>
    <w:p w14:paraId="3D4D44E8">
      <w:pPr>
        <w:jc w:val="center"/>
        <w:rPr>
          <w:rFonts w:ascii="宋体" w:hAnsi="宋体"/>
          <w:color w:val="FF0000"/>
          <w:szCs w:val="21"/>
        </w:rPr>
      </w:pPr>
      <w:bookmarkStart w:id="4" w:name="_Hlk72218009"/>
      <w:r>
        <w:rPr>
          <w:rFonts w:hint="eastAsia" w:ascii="宋体" w:hAnsi="宋体" w:eastAsia="黑体"/>
          <w:b/>
          <w:bCs/>
          <w:color w:val="FF0000"/>
          <w:kern w:val="44"/>
          <w:sz w:val="28"/>
          <w:szCs w:val="44"/>
        </w:rPr>
        <w:t>警示条款</w:t>
      </w:r>
    </w:p>
    <w:p w14:paraId="0FAB9CA7">
      <w:pPr>
        <w:ind w:firstLine="400" w:firstLineChars="200"/>
        <w:rPr>
          <w:rFonts w:ascii="宋体" w:hAnsi="宋体"/>
          <w:color w:val="FF0000"/>
          <w:sz w:val="20"/>
          <w:szCs w:val="20"/>
        </w:rPr>
      </w:pPr>
    </w:p>
    <w:p w14:paraId="02EB0E9D">
      <w:pPr>
        <w:ind w:firstLine="400" w:firstLineChars="200"/>
        <w:rPr>
          <w:rFonts w:ascii="宋体" w:hAnsi="宋体"/>
          <w:color w:val="FF0000"/>
          <w:sz w:val="20"/>
          <w:szCs w:val="20"/>
        </w:rPr>
      </w:pPr>
      <w:r>
        <w:rPr>
          <w:rFonts w:hint="eastAsia" w:ascii="宋体" w:hAnsi="宋体"/>
          <w:color w:val="FF0000"/>
          <w:sz w:val="20"/>
          <w:szCs w:val="20"/>
        </w:rPr>
        <w:t>本项目为自行采购项目，参照《深圳经济特区政府采购条例》、《深圳经济特区政府采购条例实施细则》及政府采购其他法律法规，按照采购人内控制度，通过公开招标方式确定中标供应商。</w:t>
      </w:r>
    </w:p>
    <w:p w14:paraId="210849A0">
      <w:pPr>
        <w:ind w:firstLine="400" w:firstLineChars="200"/>
        <w:rPr>
          <w:rFonts w:ascii="宋体" w:hAnsi="宋体"/>
          <w:color w:val="FF0000"/>
          <w:sz w:val="20"/>
          <w:szCs w:val="20"/>
        </w:rPr>
      </w:pPr>
      <w:r>
        <w:rPr>
          <w:rFonts w:hint="eastAsia" w:ascii="宋体" w:hAnsi="宋体"/>
          <w:color w:val="FF0000"/>
          <w:sz w:val="20"/>
          <w:szCs w:val="20"/>
        </w:rPr>
        <w:t>一、</w:t>
      </w:r>
      <w:r>
        <w:rPr>
          <w:rFonts w:hint="eastAsia" w:ascii="宋体" w:hAnsi="宋体"/>
          <w:b/>
          <w:bCs/>
          <w:color w:val="FF0000"/>
          <w:sz w:val="20"/>
          <w:szCs w:val="20"/>
        </w:rPr>
        <w:t>《深圳经济特区政府采购条例》第五十七条</w:t>
      </w:r>
      <w:r>
        <w:rPr>
          <w:rFonts w:hint="eastAsia" w:ascii="宋体" w:hAnsi="宋体"/>
          <w:color w:val="FF0000"/>
          <w:sz w:val="20"/>
          <w:szCs w:val="20"/>
        </w:rPr>
        <w:t xml:space="preserve"> 供应商在政府采购中，有下列行为之一的，一至三年内禁止其参与本市政府采购，并由主管部门记入供应商诚信档案，处采购金额千分之十以上千分之二十以下罚款；情节严重的，取消其参与本市政府采购资格，处采购金额千分之二十以上千分之三十以下罚款，并由市场监管部门依法吊销其营业执照；给他人造成损失的，依法承担赔偿责任；构成犯罪的，依法追究刑事责任：</w:t>
      </w:r>
    </w:p>
    <w:p w14:paraId="7547C31F">
      <w:pPr>
        <w:ind w:firstLine="400" w:firstLineChars="200"/>
        <w:rPr>
          <w:rFonts w:ascii="宋体" w:hAnsi="宋体"/>
          <w:color w:val="FF0000"/>
          <w:sz w:val="20"/>
          <w:szCs w:val="20"/>
        </w:rPr>
      </w:pPr>
      <w:r>
        <w:rPr>
          <w:rFonts w:hint="eastAsia" w:ascii="宋体" w:hAnsi="宋体"/>
          <w:color w:val="FF0000"/>
          <w:sz w:val="20"/>
          <w:szCs w:val="20"/>
        </w:rPr>
        <w:t>（一）在采购活动中应当回避而未回避的；</w:t>
      </w:r>
    </w:p>
    <w:p w14:paraId="4FF2CA1C">
      <w:pPr>
        <w:ind w:firstLine="400" w:firstLineChars="200"/>
        <w:rPr>
          <w:rFonts w:ascii="宋体" w:hAnsi="宋体"/>
          <w:color w:val="FF0000"/>
          <w:sz w:val="20"/>
          <w:szCs w:val="20"/>
        </w:rPr>
      </w:pPr>
      <w:r>
        <w:rPr>
          <w:rFonts w:hint="eastAsia" w:ascii="宋体" w:hAnsi="宋体"/>
          <w:color w:val="FF0000"/>
          <w:sz w:val="20"/>
          <w:szCs w:val="20"/>
        </w:rPr>
        <w:t>（二）未按本条例规定签订、履行采购合同，造成严重后果的；</w:t>
      </w:r>
    </w:p>
    <w:p w14:paraId="05D759F6">
      <w:pPr>
        <w:ind w:firstLine="400" w:firstLineChars="200"/>
        <w:rPr>
          <w:rFonts w:ascii="宋体" w:hAnsi="宋体"/>
          <w:color w:val="FF0000"/>
          <w:sz w:val="20"/>
          <w:szCs w:val="20"/>
        </w:rPr>
      </w:pPr>
      <w:r>
        <w:rPr>
          <w:rFonts w:hint="eastAsia" w:ascii="宋体" w:hAnsi="宋体"/>
          <w:color w:val="FF0000"/>
          <w:sz w:val="20"/>
          <w:szCs w:val="20"/>
        </w:rPr>
        <w:t>（三）隐瞒真实情况，提供虚假资料的；</w:t>
      </w:r>
    </w:p>
    <w:p w14:paraId="10F3E547">
      <w:pPr>
        <w:ind w:firstLine="400" w:firstLineChars="200"/>
        <w:rPr>
          <w:rFonts w:ascii="宋体" w:hAnsi="宋体"/>
          <w:color w:val="FF0000"/>
          <w:sz w:val="20"/>
          <w:szCs w:val="20"/>
        </w:rPr>
      </w:pPr>
      <w:r>
        <w:rPr>
          <w:rFonts w:hint="eastAsia" w:ascii="宋体" w:hAnsi="宋体"/>
          <w:color w:val="FF0000"/>
          <w:sz w:val="20"/>
          <w:szCs w:val="20"/>
        </w:rPr>
        <w:t>（四）以非法手段排斥其他供应商参与竞争的；</w:t>
      </w:r>
    </w:p>
    <w:p w14:paraId="67681090">
      <w:pPr>
        <w:ind w:firstLine="400" w:firstLineChars="200"/>
        <w:rPr>
          <w:rFonts w:ascii="宋体" w:hAnsi="宋体"/>
          <w:color w:val="FF0000"/>
          <w:sz w:val="20"/>
          <w:szCs w:val="20"/>
        </w:rPr>
      </w:pPr>
      <w:r>
        <w:rPr>
          <w:rFonts w:hint="eastAsia" w:ascii="宋体" w:hAnsi="宋体"/>
          <w:color w:val="FF0000"/>
          <w:sz w:val="20"/>
          <w:szCs w:val="20"/>
        </w:rPr>
        <w:t>（五）与其他采购参加人串通投标的；</w:t>
      </w:r>
    </w:p>
    <w:p w14:paraId="59F63F42">
      <w:pPr>
        <w:ind w:firstLine="400" w:firstLineChars="200"/>
        <w:rPr>
          <w:rFonts w:ascii="宋体" w:hAnsi="宋体"/>
          <w:color w:val="FF0000"/>
          <w:sz w:val="20"/>
          <w:szCs w:val="20"/>
        </w:rPr>
      </w:pPr>
      <w:r>
        <w:rPr>
          <w:rFonts w:hint="eastAsia" w:ascii="宋体" w:hAnsi="宋体"/>
          <w:color w:val="FF0000"/>
          <w:sz w:val="20"/>
          <w:szCs w:val="20"/>
        </w:rPr>
        <w:t>（六）恶意投诉的；</w:t>
      </w:r>
    </w:p>
    <w:p w14:paraId="5E70A81E">
      <w:pPr>
        <w:ind w:firstLine="400" w:firstLineChars="200"/>
        <w:rPr>
          <w:rFonts w:ascii="宋体" w:hAnsi="宋体"/>
          <w:color w:val="FF0000"/>
          <w:sz w:val="20"/>
          <w:szCs w:val="20"/>
        </w:rPr>
      </w:pPr>
      <w:r>
        <w:rPr>
          <w:rFonts w:hint="eastAsia" w:ascii="宋体" w:hAnsi="宋体"/>
          <w:color w:val="FF0000"/>
          <w:sz w:val="20"/>
          <w:szCs w:val="20"/>
        </w:rPr>
        <w:t>（七）向采购项目相关人行贿或者提供其他不当利益的；</w:t>
      </w:r>
    </w:p>
    <w:p w14:paraId="4AF7486E">
      <w:pPr>
        <w:ind w:firstLine="400" w:firstLineChars="200"/>
        <w:rPr>
          <w:rFonts w:ascii="宋体" w:hAnsi="宋体"/>
          <w:color w:val="FF0000"/>
          <w:sz w:val="20"/>
          <w:szCs w:val="20"/>
        </w:rPr>
      </w:pPr>
      <w:r>
        <w:rPr>
          <w:rFonts w:hint="eastAsia" w:ascii="宋体" w:hAnsi="宋体"/>
          <w:color w:val="FF0000"/>
          <w:sz w:val="20"/>
          <w:szCs w:val="20"/>
        </w:rPr>
        <w:t>（八）阻碍、抗拒主管部门监督检查的；</w:t>
      </w:r>
    </w:p>
    <w:p w14:paraId="0FF912E3">
      <w:pPr>
        <w:ind w:firstLine="400" w:firstLineChars="200"/>
        <w:rPr>
          <w:rFonts w:ascii="宋体" w:hAnsi="宋体"/>
          <w:color w:val="FF0000"/>
          <w:sz w:val="20"/>
          <w:szCs w:val="20"/>
        </w:rPr>
      </w:pPr>
      <w:r>
        <w:rPr>
          <w:rFonts w:hint="eastAsia" w:ascii="宋体" w:hAnsi="宋体"/>
          <w:color w:val="FF0000"/>
          <w:sz w:val="20"/>
          <w:szCs w:val="20"/>
        </w:rPr>
        <w:t>（九）其他违反本条例规定的行为。</w:t>
      </w:r>
    </w:p>
    <w:p w14:paraId="50CC06E7">
      <w:pPr>
        <w:ind w:firstLine="402" w:firstLineChars="200"/>
        <w:rPr>
          <w:rFonts w:ascii="宋体" w:hAnsi="宋体"/>
          <w:color w:val="FF0000"/>
          <w:sz w:val="20"/>
          <w:szCs w:val="20"/>
        </w:rPr>
      </w:pPr>
      <w:r>
        <w:rPr>
          <w:rFonts w:hint="eastAsia" w:ascii="宋体" w:hAnsi="宋体"/>
          <w:b/>
          <w:bCs/>
          <w:color w:val="FF0000"/>
          <w:sz w:val="20"/>
          <w:szCs w:val="20"/>
        </w:rPr>
        <w:t>二、《深圳经济特区政府采购条例实施细则》第七十五条 </w:t>
      </w:r>
      <w:r>
        <w:rPr>
          <w:rFonts w:hint="eastAsia" w:ascii="宋体" w:hAnsi="宋体"/>
          <w:color w:val="FF0000"/>
          <w:sz w:val="20"/>
          <w:szCs w:val="20"/>
        </w:rPr>
        <w:t>供应商有下列情形的，属于采购条例所称的串通投标行为，按照采购条例第五十七条有关规定处理：（一）投标供应商之间相互约定给予未中标的供应商利益补偿；（二）不同投标供应商的法定代表人、主要经营负责人、项目投标授权代表人、项目负责人、主要技术人员为同一人、属同一单位或者在同一单位缴纳社会保险；（三）不同投标供应商的投标文件由同一单位或者同一人编制，或者由同一人分阶段参与编制的；（四）不同投标供应商的投标文件或部分投标文件相互混装；（五）不同投标供应商的投标文件内容存在非正常一致；（六）由同一单位工作人员为两家以上（含两家）供应商进行同一项投标活动的；（七）主管部门依照法律、法规认定的其他情形。</w:t>
      </w:r>
    </w:p>
    <w:p w14:paraId="74C18AD6">
      <w:pPr>
        <w:ind w:firstLine="402" w:firstLineChars="200"/>
        <w:rPr>
          <w:rFonts w:ascii="宋体" w:hAnsi="宋体"/>
          <w:color w:val="FF0000"/>
          <w:sz w:val="20"/>
          <w:szCs w:val="20"/>
        </w:rPr>
      </w:pPr>
      <w:r>
        <w:rPr>
          <w:rFonts w:hint="eastAsia" w:ascii="宋体" w:hAnsi="宋体"/>
          <w:b/>
          <w:bCs/>
          <w:color w:val="FF0000"/>
          <w:sz w:val="20"/>
          <w:szCs w:val="20"/>
        </w:rPr>
        <w:t>三、《深圳经济特区政府采购条例实施细则》第七十七条 </w:t>
      </w:r>
      <w:r>
        <w:rPr>
          <w:rFonts w:hint="eastAsia" w:ascii="宋体" w:hAnsi="宋体"/>
          <w:color w:val="FF0000"/>
          <w:sz w:val="20"/>
          <w:szCs w:val="20"/>
        </w:rPr>
        <w:t>供应商有下列情形之一的，属于隐瞒真实情况，提供虚假资料，按照采购条例第五十七条的有关规定处理：（一）通过转让或者租借等方式从其他单位获取资格或者资质证书投标的；（二）由其他单位或者其他单位负责人在投标供应商编制的投标文件上加盖印章或者签字的；（三）项目负责人或者主要技术人员不是本单位人员的；（四）投标保证金不是从投标供应商基本账户转出的；（五）其他隐瞒真实情况、提供虚假资料的行为。</w:t>
      </w:r>
    </w:p>
    <w:p w14:paraId="28E370D4">
      <w:pPr>
        <w:ind w:firstLine="400" w:firstLineChars="200"/>
        <w:rPr>
          <w:rFonts w:ascii="宋体" w:hAnsi="宋体"/>
          <w:color w:val="FF0000"/>
          <w:sz w:val="20"/>
          <w:szCs w:val="20"/>
        </w:rPr>
      </w:pPr>
      <w:r>
        <w:rPr>
          <w:rFonts w:hint="eastAsia" w:ascii="宋体" w:hAnsi="宋体"/>
          <w:color w:val="FF0000"/>
          <w:sz w:val="20"/>
          <w:szCs w:val="20"/>
        </w:rPr>
        <w:t>投标供应商不能提供项目负责人或者主要技术人员的劳动合同、社会保险等劳动关系证明材料的，视为存在前款第（三）项规定的情形。</w:t>
      </w:r>
    </w:p>
    <w:p w14:paraId="00E05A7E">
      <w:pPr>
        <w:ind w:firstLine="422" w:firstLineChars="200"/>
        <w:rPr>
          <w:b/>
          <w:color w:val="FF0000"/>
        </w:rPr>
      </w:pPr>
      <w:r>
        <w:rPr>
          <w:rFonts w:hint="eastAsia"/>
          <w:b/>
          <w:color w:val="FF0000"/>
        </w:rPr>
        <w:t>四、请投标供应商阅读《采购违法行为风险知悉确认书》（内容详见“第四章 投标文件组成要求及格式”中节点“投标人认为需要加以说明的其他内容”），并经各投标供应商负责人或投标授权代表签字并加盖单位公章后，扫描上传至投标文件一并提交。注：该风险知悉确认书用于对供应商违法行为的警示，不作为供应商资格性审查及符合性审查条件。</w:t>
      </w:r>
    </w:p>
    <w:p w14:paraId="1DFD1A3C">
      <w:pPr>
        <w:ind w:firstLine="400" w:firstLineChars="200"/>
        <w:rPr>
          <w:rFonts w:ascii="宋体" w:hAnsi="宋体"/>
          <w:color w:val="FF0000"/>
          <w:sz w:val="20"/>
          <w:szCs w:val="20"/>
        </w:rPr>
      </w:pPr>
      <w:r>
        <w:rPr>
          <w:rFonts w:hint="eastAsia" w:ascii="宋体" w:hAnsi="宋体"/>
          <w:color w:val="FF0000"/>
          <w:sz w:val="20"/>
          <w:szCs w:val="20"/>
        </w:rPr>
        <w:t>五、</w:t>
      </w:r>
      <w:r>
        <w:rPr>
          <w:rFonts w:ascii="宋体" w:hAnsi="宋体"/>
          <w:color w:val="FF0000"/>
          <w:sz w:val="20"/>
          <w:szCs w:val="20"/>
        </w:rPr>
        <w:t>根据《深圳经济特区政府采购条例实施细则》第七十五条规定，不同投标供应商的投标文件由同一单位或者同一人编制，或者由同一人分阶段参与编制的，或者由同一单位工作人员为两家以上（含两家）供应商进行同一项投标活动的，属于串通投标行为。一经查实，供应商将面临罚款、一定年限内禁止参与政府采购活动的行政处罚，请各供应商独立编制、上传投标文件，妥善保管和使用电子秘钥。</w:t>
      </w:r>
    </w:p>
    <w:p w14:paraId="268A23B7">
      <w:pPr>
        <w:rPr>
          <w:rFonts w:ascii="宋体" w:hAnsi="宋体"/>
          <w:color w:val="FF0000"/>
          <w:sz w:val="20"/>
          <w:szCs w:val="20"/>
        </w:rPr>
      </w:pPr>
      <w:r>
        <w:rPr>
          <w:rFonts w:ascii="宋体" w:hAnsi="宋体"/>
          <w:color w:val="FF0000"/>
          <w:sz w:val="20"/>
          <w:szCs w:val="20"/>
        </w:rPr>
        <w:br w:type="page"/>
      </w:r>
    </w:p>
    <w:p w14:paraId="3C513F77">
      <w:pPr>
        <w:spacing w:before="240" w:beforeLines="100" w:after="240" w:afterLines="100"/>
        <w:jc w:val="center"/>
        <w:rPr>
          <w:rFonts w:ascii="黑体" w:hAnsi="黑体" w:eastAsia="黑体" w:cs="黑体"/>
          <w:b/>
          <w:bCs/>
          <w:sz w:val="28"/>
          <w:szCs w:val="36"/>
        </w:rPr>
      </w:pPr>
      <w:r>
        <w:rPr>
          <w:rFonts w:hint="eastAsia" w:ascii="黑体" w:hAnsi="黑体" w:eastAsia="黑体" w:cs="黑体"/>
          <w:b/>
          <w:bCs/>
          <w:sz w:val="28"/>
          <w:szCs w:val="36"/>
        </w:rPr>
        <w:t>目   录</w:t>
      </w:r>
    </w:p>
    <w:p w14:paraId="751EAF1D">
      <w:pPr>
        <w:outlineLvl w:val="0"/>
        <w:rPr>
          <w:b/>
          <w:sz w:val="24"/>
        </w:rPr>
      </w:pPr>
      <w:r>
        <w:rPr>
          <w:rFonts w:hint="eastAsia"/>
          <w:b/>
          <w:sz w:val="24"/>
        </w:rPr>
        <w:t>第一册    专用条款</w:t>
      </w:r>
    </w:p>
    <w:p w14:paraId="46FCE5D6">
      <w:pPr>
        <w:ind w:firstLine="960" w:firstLineChars="400"/>
        <w:rPr>
          <w:sz w:val="24"/>
        </w:rPr>
      </w:pPr>
      <w:r>
        <w:rPr>
          <w:rFonts w:hint="eastAsia"/>
          <w:sz w:val="24"/>
        </w:rPr>
        <w:t>关键信息</w:t>
      </w:r>
    </w:p>
    <w:p w14:paraId="72A28676">
      <w:pPr>
        <w:ind w:left="630" w:leftChars="300" w:firstLine="630" w:firstLineChars="300"/>
        <w:rPr>
          <w:rFonts w:ascii="宋体" w:hAnsi="宋体"/>
          <w:szCs w:val="21"/>
        </w:rPr>
      </w:pPr>
      <w:r>
        <w:rPr>
          <w:rFonts w:hint="eastAsia" w:ascii="宋体" w:hAnsi="宋体"/>
          <w:szCs w:val="21"/>
        </w:rPr>
        <w:t>第一章  招标公告</w:t>
      </w:r>
    </w:p>
    <w:p w14:paraId="7BAC34C0">
      <w:pPr>
        <w:ind w:left="630" w:leftChars="300" w:firstLine="630" w:firstLineChars="300"/>
        <w:rPr>
          <w:rFonts w:ascii="宋体" w:hAnsi="宋体"/>
          <w:szCs w:val="21"/>
        </w:rPr>
      </w:pPr>
      <w:r>
        <w:rPr>
          <w:rFonts w:hint="eastAsia" w:ascii="宋体" w:hAnsi="宋体"/>
          <w:szCs w:val="21"/>
        </w:rPr>
        <w:t xml:space="preserve">第二章  </w:t>
      </w:r>
      <w:bookmarkStart w:id="5" w:name="_Hlk71994379"/>
      <w:r>
        <w:rPr>
          <w:rFonts w:hint="eastAsia" w:ascii="宋体" w:hAnsi="宋体"/>
          <w:szCs w:val="21"/>
        </w:rPr>
        <w:t>对通用条款的补充内容及其他关键信息</w:t>
      </w:r>
      <w:bookmarkEnd w:id="5"/>
    </w:p>
    <w:p w14:paraId="7DE0754A">
      <w:pPr>
        <w:ind w:left="630" w:leftChars="300" w:firstLine="630" w:firstLineChars="300"/>
        <w:rPr>
          <w:rFonts w:ascii="宋体" w:hAnsi="宋体"/>
          <w:szCs w:val="21"/>
        </w:rPr>
      </w:pPr>
      <w:r>
        <w:rPr>
          <w:rFonts w:hint="eastAsia" w:ascii="宋体" w:hAnsi="宋体"/>
          <w:szCs w:val="21"/>
        </w:rPr>
        <w:t xml:space="preserve">第三章 </w:t>
      </w:r>
      <w:r>
        <w:rPr>
          <w:rFonts w:ascii="宋体" w:hAnsi="宋体"/>
          <w:szCs w:val="21"/>
        </w:rPr>
        <w:t xml:space="preserve"> </w:t>
      </w:r>
      <w:r>
        <w:rPr>
          <w:rFonts w:hint="eastAsia" w:ascii="宋体" w:hAnsi="宋体"/>
          <w:szCs w:val="21"/>
        </w:rPr>
        <w:t>用户需求书</w:t>
      </w:r>
    </w:p>
    <w:p w14:paraId="7556D8FF">
      <w:pPr>
        <w:ind w:left="630" w:leftChars="300" w:firstLine="630" w:firstLineChars="300"/>
        <w:rPr>
          <w:rFonts w:ascii="宋体" w:hAnsi="宋体"/>
          <w:szCs w:val="21"/>
        </w:rPr>
      </w:pPr>
      <w:r>
        <w:rPr>
          <w:rFonts w:hint="eastAsia" w:ascii="宋体" w:hAnsi="宋体"/>
          <w:szCs w:val="21"/>
        </w:rPr>
        <w:t xml:space="preserve">第四章 </w:t>
      </w:r>
      <w:r>
        <w:rPr>
          <w:rFonts w:ascii="宋体" w:hAnsi="宋体"/>
          <w:szCs w:val="21"/>
        </w:rPr>
        <w:t xml:space="preserve"> </w:t>
      </w:r>
      <w:r>
        <w:rPr>
          <w:rFonts w:hint="eastAsia" w:ascii="宋体" w:hAnsi="宋体"/>
          <w:szCs w:val="21"/>
        </w:rPr>
        <w:t>投标文件组成要求及格式</w:t>
      </w:r>
    </w:p>
    <w:p w14:paraId="31CFA0BF">
      <w:pPr>
        <w:ind w:left="630" w:leftChars="300" w:firstLine="630" w:firstLineChars="300"/>
        <w:rPr>
          <w:rFonts w:ascii="宋体" w:hAnsi="宋体"/>
          <w:szCs w:val="21"/>
        </w:rPr>
      </w:pPr>
      <w:r>
        <w:rPr>
          <w:rFonts w:hint="eastAsia" w:ascii="宋体" w:hAnsi="宋体"/>
          <w:szCs w:val="21"/>
        </w:rPr>
        <w:t>第五章  合同条款及格式</w:t>
      </w:r>
    </w:p>
    <w:p w14:paraId="34ADD341">
      <w:pPr>
        <w:rPr>
          <w:b/>
          <w:sz w:val="24"/>
        </w:rPr>
      </w:pPr>
    </w:p>
    <w:p w14:paraId="7AB1E9F7">
      <w:pPr>
        <w:outlineLvl w:val="0"/>
        <w:rPr>
          <w:b/>
          <w:sz w:val="24"/>
        </w:rPr>
      </w:pPr>
      <w:r>
        <w:rPr>
          <w:rFonts w:hint="eastAsia"/>
          <w:b/>
          <w:sz w:val="24"/>
        </w:rPr>
        <w:t>第二册    通用条款</w:t>
      </w:r>
    </w:p>
    <w:p w14:paraId="4E2576EE">
      <w:pPr>
        <w:ind w:left="630" w:leftChars="300" w:firstLine="411" w:firstLineChars="196"/>
        <w:rPr>
          <w:rFonts w:ascii="宋体" w:hAnsi="宋体"/>
          <w:szCs w:val="21"/>
        </w:rPr>
      </w:pPr>
      <w:r>
        <w:rPr>
          <w:rFonts w:hint="eastAsia" w:ascii="宋体" w:hAnsi="宋体"/>
          <w:szCs w:val="21"/>
        </w:rPr>
        <w:t>第一章  总则</w:t>
      </w:r>
    </w:p>
    <w:p w14:paraId="0A5D6243">
      <w:pPr>
        <w:ind w:left="630" w:leftChars="300" w:firstLine="411" w:firstLineChars="196"/>
        <w:rPr>
          <w:rFonts w:ascii="宋体" w:hAnsi="宋体"/>
          <w:szCs w:val="21"/>
        </w:rPr>
      </w:pPr>
      <w:r>
        <w:rPr>
          <w:rFonts w:hint="eastAsia" w:ascii="宋体" w:hAnsi="宋体"/>
          <w:szCs w:val="21"/>
        </w:rPr>
        <w:t>第二章  招标文件</w:t>
      </w:r>
    </w:p>
    <w:p w14:paraId="76748878">
      <w:pPr>
        <w:ind w:left="630" w:leftChars="300" w:firstLine="411" w:firstLineChars="196"/>
        <w:rPr>
          <w:rFonts w:ascii="宋体" w:hAnsi="宋体"/>
          <w:szCs w:val="21"/>
        </w:rPr>
      </w:pPr>
      <w:r>
        <w:rPr>
          <w:rFonts w:hint="eastAsia" w:ascii="宋体" w:hAnsi="宋体"/>
          <w:szCs w:val="21"/>
        </w:rPr>
        <w:t>第三章  投标文件的编制</w:t>
      </w:r>
    </w:p>
    <w:p w14:paraId="41CAEEC6">
      <w:pPr>
        <w:ind w:left="630" w:leftChars="300" w:firstLine="411" w:firstLineChars="196"/>
        <w:rPr>
          <w:rFonts w:ascii="宋体" w:hAnsi="宋体"/>
          <w:szCs w:val="21"/>
        </w:rPr>
      </w:pPr>
      <w:r>
        <w:rPr>
          <w:rFonts w:hint="eastAsia" w:ascii="宋体" w:hAnsi="宋体"/>
          <w:szCs w:val="21"/>
        </w:rPr>
        <w:t>第四章  投标文件的递交</w:t>
      </w:r>
    </w:p>
    <w:p w14:paraId="5BFC6D36">
      <w:pPr>
        <w:ind w:left="630" w:leftChars="300" w:firstLine="411" w:firstLineChars="196"/>
        <w:rPr>
          <w:rFonts w:ascii="宋体" w:hAnsi="宋体"/>
          <w:szCs w:val="21"/>
        </w:rPr>
      </w:pPr>
      <w:r>
        <w:rPr>
          <w:rFonts w:hint="eastAsia" w:ascii="宋体" w:hAnsi="宋体"/>
          <w:szCs w:val="21"/>
        </w:rPr>
        <w:t>第五章  开标</w:t>
      </w:r>
    </w:p>
    <w:p w14:paraId="20D3F8D2">
      <w:pPr>
        <w:ind w:left="630" w:leftChars="300" w:firstLine="411" w:firstLineChars="196"/>
        <w:rPr>
          <w:rFonts w:ascii="宋体" w:hAnsi="宋体"/>
          <w:szCs w:val="21"/>
        </w:rPr>
      </w:pPr>
      <w:r>
        <w:rPr>
          <w:rFonts w:hint="eastAsia" w:ascii="宋体" w:hAnsi="宋体"/>
          <w:szCs w:val="21"/>
        </w:rPr>
        <w:t>第六章  评审要求</w:t>
      </w:r>
    </w:p>
    <w:p w14:paraId="6482BE5D">
      <w:pPr>
        <w:ind w:left="630" w:leftChars="300" w:firstLine="411" w:firstLineChars="196"/>
        <w:rPr>
          <w:rFonts w:ascii="宋体" w:hAnsi="宋体"/>
          <w:szCs w:val="21"/>
        </w:rPr>
      </w:pPr>
      <w:r>
        <w:rPr>
          <w:rFonts w:hint="eastAsia" w:ascii="宋体" w:hAnsi="宋体"/>
          <w:szCs w:val="21"/>
        </w:rPr>
        <w:t>第七章  评审程序及评审方法</w:t>
      </w:r>
    </w:p>
    <w:p w14:paraId="615BB11B">
      <w:pPr>
        <w:ind w:left="630" w:leftChars="300" w:firstLine="411" w:firstLineChars="196"/>
        <w:rPr>
          <w:rFonts w:ascii="宋体" w:hAnsi="宋体"/>
          <w:szCs w:val="21"/>
        </w:rPr>
      </w:pPr>
      <w:r>
        <w:rPr>
          <w:rFonts w:hint="eastAsia" w:ascii="宋体" w:hAnsi="宋体"/>
          <w:szCs w:val="21"/>
        </w:rPr>
        <w:t>第八章  定标及公示</w:t>
      </w:r>
    </w:p>
    <w:p w14:paraId="5C9BC0D9">
      <w:pPr>
        <w:ind w:left="630" w:leftChars="300" w:firstLine="411" w:firstLineChars="196"/>
        <w:rPr>
          <w:rFonts w:ascii="宋体" w:hAnsi="宋体"/>
          <w:szCs w:val="21"/>
        </w:rPr>
      </w:pPr>
      <w:r>
        <w:rPr>
          <w:rFonts w:hint="eastAsia" w:ascii="宋体" w:hAnsi="宋体"/>
          <w:szCs w:val="21"/>
        </w:rPr>
        <w:t>第九章  公开招标失败的后续处理</w:t>
      </w:r>
    </w:p>
    <w:p w14:paraId="7DAB7566">
      <w:pPr>
        <w:ind w:left="630" w:leftChars="300" w:firstLine="411" w:firstLineChars="196"/>
        <w:rPr>
          <w:rFonts w:ascii="宋体" w:hAnsi="宋体"/>
          <w:szCs w:val="21"/>
        </w:rPr>
      </w:pPr>
      <w:r>
        <w:rPr>
          <w:rFonts w:hint="eastAsia" w:ascii="宋体" w:hAnsi="宋体"/>
          <w:szCs w:val="21"/>
        </w:rPr>
        <w:t>第十章  合同的授予与备案</w:t>
      </w:r>
    </w:p>
    <w:p w14:paraId="50B292B5">
      <w:pPr>
        <w:ind w:firstLine="1050" w:firstLineChars="500"/>
      </w:pPr>
      <w:r>
        <w:rPr>
          <w:rFonts w:hint="eastAsia"/>
        </w:rPr>
        <w:t>第十一章  质疑处理</w:t>
      </w:r>
    </w:p>
    <w:p w14:paraId="0D11058A">
      <w:pPr>
        <w:pStyle w:val="2"/>
      </w:pPr>
    </w:p>
    <w:p w14:paraId="5D95C328">
      <w:pPr>
        <w:pStyle w:val="36"/>
      </w:pPr>
    </w:p>
    <w:p w14:paraId="3840C051">
      <w:pPr>
        <w:pStyle w:val="36"/>
      </w:pPr>
    </w:p>
    <w:p w14:paraId="7E2F157A">
      <w:pPr>
        <w:pStyle w:val="2"/>
        <w:sectPr>
          <w:pgSz w:w="11907" w:h="16840"/>
          <w:pgMar w:top="1440" w:right="1797" w:bottom="1440" w:left="1797" w:header="851" w:footer="992" w:gutter="0"/>
          <w:cols w:space="425" w:num="1"/>
          <w:titlePg/>
          <w:docGrid w:linePitch="462" w:charSpace="0"/>
        </w:sectPr>
      </w:pPr>
    </w:p>
    <w:bookmarkEnd w:id="4"/>
    <w:p w14:paraId="3B8E66B8">
      <w:pPr>
        <w:pStyle w:val="3"/>
        <w:rPr>
          <w:color w:val="FF0000"/>
          <w:sz w:val="24"/>
        </w:rPr>
      </w:pPr>
      <w:bookmarkStart w:id="6" w:name="bt投标报价汇总表"/>
      <w:bookmarkEnd w:id="6"/>
      <w:bookmarkStart w:id="7" w:name="bt其他资料2"/>
      <w:bookmarkEnd w:id="7"/>
      <w:bookmarkStart w:id="8" w:name="bt投标人须知"/>
      <w:bookmarkEnd w:id="8"/>
      <w:bookmarkStart w:id="9" w:name="bt说明"/>
      <w:bookmarkEnd w:id="9"/>
      <w:bookmarkStart w:id="10" w:name="bt开标一览表"/>
      <w:bookmarkEnd w:id="10"/>
      <w:bookmarkStart w:id="11" w:name="bt合同格式"/>
      <w:bookmarkEnd w:id="11"/>
      <w:bookmarkStart w:id="12" w:name="bt技术标投标文件格式"/>
      <w:bookmarkEnd w:id="12"/>
      <w:bookmarkStart w:id="13" w:name="bt投标人情况介绍"/>
      <w:bookmarkEnd w:id="13"/>
      <w:bookmarkStart w:id="14" w:name="bt投标函"/>
      <w:bookmarkEnd w:id="14"/>
      <w:bookmarkStart w:id="15" w:name="bt投标文件签署授权委托书"/>
      <w:bookmarkEnd w:id="15"/>
      <w:bookmarkStart w:id="16" w:name="bt合同条款及格式"/>
      <w:bookmarkEnd w:id="16"/>
      <w:bookmarkStart w:id="17" w:name="bt其他资料由投标人自定"/>
      <w:bookmarkEnd w:id="17"/>
      <w:bookmarkStart w:id="18" w:name="bt合同条款"/>
      <w:bookmarkEnd w:id="18"/>
      <w:bookmarkStart w:id="19" w:name="bt商务标投标文件格式"/>
      <w:bookmarkEnd w:id="19"/>
      <w:bookmarkStart w:id="20" w:name="bt项目管理班子配备情况"/>
      <w:bookmarkEnd w:id="20"/>
      <w:bookmarkStart w:id="21" w:name="合同格式"/>
      <w:bookmarkEnd w:id="21"/>
      <w:bookmarkStart w:id="22" w:name="bt本工程承诺书"/>
      <w:bookmarkEnd w:id="22"/>
      <w:r>
        <w:rPr>
          <w:rFonts w:hint="eastAsia"/>
        </w:rPr>
        <w:t>第一册  专用条款</w:t>
      </w:r>
    </w:p>
    <w:p w14:paraId="098BB766">
      <w:pPr>
        <w:pStyle w:val="6"/>
        <w:rPr>
          <w:sz w:val="28"/>
          <w:szCs w:val="28"/>
        </w:rPr>
      </w:pPr>
      <w:r>
        <w:rPr>
          <w:rFonts w:hint="eastAsia"/>
          <w:sz w:val="28"/>
          <w:szCs w:val="28"/>
        </w:rPr>
        <w:t>第一章  招标公告</w:t>
      </w:r>
    </w:p>
    <w:p w14:paraId="569B97B9">
      <w:pPr>
        <w:spacing w:line="360" w:lineRule="auto"/>
        <w:rPr>
          <w:rFonts w:ascii="宋体" w:hAnsi="宋体" w:cs="宋体"/>
          <w:b/>
          <w:bCs/>
          <w:kern w:val="0"/>
          <w:szCs w:val="21"/>
        </w:rPr>
      </w:pPr>
      <w:r>
        <w:rPr>
          <w:rFonts w:hint="eastAsia" w:ascii="宋体" w:hAnsi="宋体" w:cs="宋体"/>
          <w:b/>
          <w:bCs/>
          <w:kern w:val="0"/>
          <w:szCs w:val="21"/>
        </w:rPr>
        <w:t>申请人的资格要求：</w:t>
      </w:r>
    </w:p>
    <w:p w14:paraId="078BC1A3">
      <w:pPr>
        <w:ind w:firstLine="420" w:firstLineChars="200"/>
        <w:rPr>
          <w:rFonts w:ascii="宋体" w:hAnsi="宋体" w:cs="宋体"/>
          <w:kern w:val="0"/>
          <w:szCs w:val="21"/>
        </w:rPr>
      </w:pPr>
      <w:r>
        <w:rPr>
          <w:rFonts w:hint="eastAsia" w:ascii="宋体" w:hAnsi="宋体" w:cs="宋体"/>
          <w:kern w:val="0"/>
          <w:szCs w:val="21"/>
        </w:rPr>
        <w:t>1</w:t>
      </w:r>
      <w:r>
        <w:rPr>
          <w:rFonts w:ascii="宋体" w:hAnsi="宋体" w:cs="宋体"/>
          <w:kern w:val="0"/>
          <w:szCs w:val="21"/>
        </w:rPr>
        <w:t>.</w:t>
      </w:r>
      <w:bookmarkStart w:id="23" w:name="_Hlk72162904"/>
      <w:r>
        <w:rPr>
          <w:rFonts w:hint="eastAsia" w:ascii="宋体" w:hAnsi="宋体" w:cs="宋体"/>
          <w:kern w:val="0"/>
          <w:szCs w:val="21"/>
        </w:rPr>
        <w:t>具有独立承担民事责任的能力（提供营业执照或事业单位法人证书等证明资料扫描件，原件备查，分支机构参与投标的，须同时提供总公司授权文件且授权书载明其民事责任由总公司承担）</w:t>
      </w:r>
      <w:bookmarkEnd w:id="23"/>
      <w:r>
        <w:rPr>
          <w:rFonts w:hint="eastAsia"/>
        </w:rPr>
        <w:t>；</w:t>
      </w:r>
    </w:p>
    <w:p w14:paraId="257FD6CF">
      <w:pPr>
        <w:ind w:firstLine="420" w:firstLineChars="200"/>
        <w:rPr>
          <w:rFonts w:ascii="宋体" w:hAnsi="宋体" w:cs="宋体"/>
          <w:kern w:val="0"/>
          <w:szCs w:val="21"/>
        </w:rPr>
      </w:pPr>
      <w:r>
        <w:rPr>
          <w:rFonts w:hint="eastAsia" w:ascii="宋体" w:hAnsi="宋体" w:cs="宋体"/>
          <w:color w:val="FF0000"/>
          <w:kern w:val="0"/>
          <w:szCs w:val="21"/>
        </w:rPr>
        <w:t>2.本项目不接受联合体投标，不接受投标人选用进口产品参与投标，不接受分包；</w:t>
      </w:r>
    </w:p>
    <w:p w14:paraId="4D8C5F9F">
      <w:pPr>
        <w:ind w:firstLine="420" w:firstLineChars="200"/>
        <w:rPr>
          <w:rFonts w:ascii="宋体" w:hAnsi="宋体" w:cs="宋体"/>
          <w:kern w:val="0"/>
          <w:szCs w:val="21"/>
        </w:rPr>
      </w:pPr>
      <w:r>
        <w:rPr>
          <w:rFonts w:hint="eastAsia" w:ascii="宋体" w:hAnsi="宋体" w:cs="宋体"/>
          <w:kern w:val="0"/>
          <w:szCs w:val="21"/>
        </w:rPr>
        <w:t>3</w:t>
      </w:r>
      <w:r>
        <w:rPr>
          <w:rFonts w:ascii="宋体" w:hAnsi="宋体" w:cs="宋体"/>
          <w:kern w:val="0"/>
          <w:szCs w:val="21"/>
        </w:rPr>
        <w:t>.</w:t>
      </w:r>
      <w:r>
        <w:rPr>
          <w:rFonts w:hint="eastAsia" w:ascii="宋体" w:hAnsi="宋体" w:cs="宋体"/>
          <w:kern w:val="0"/>
          <w:szCs w:val="21"/>
        </w:rPr>
        <w:t>参与本项目采购活动时不存在被有关部门禁止参与采购活动且在有效期内的情况（由供应商在《采购投标及履约承诺函》中作出声明）；</w:t>
      </w:r>
    </w:p>
    <w:p w14:paraId="45AB1AD7">
      <w:pPr>
        <w:ind w:firstLine="420" w:firstLineChars="200"/>
        <w:rPr>
          <w:rFonts w:ascii="宋体" w:hAnsi="宋体" w:cs="宋体"/>
          <w:kern w:val="0"/>
          <w:szCs w:val="21"/>
        </w:rPr>
      </w:pPr>
      <w:r>
        <w:rPr>
          <w:rFonts w:hint="eastAsia" w:ascii="宋体" w:hAnsi="宋体" w:cs="宋体"/>
          <w:kern w:val="0"/>
          <w:szCs w:val="21"/>
        </w:rPr>
        <w:t>4</w:t>
      </w:r>
      <w:r>
        <w:rPr>
          <w:rFonts w:ascii="宋体" w:hAnsi="宋体" w:cs="宋体"/>
          <w:kern w:val="0"/>
          <w:szCs w:val="21"/>
        </w:rPr>
        <w:t>.</w:t>
      </w:r>
      <w:r>
        <w:rPr>
          <w:rFonts w:hint="eastAsia" w:ascii="宋体" w:hAnsi="宋体" w:cs="宋体"/>
          <w:kern w:val="0"/>
          <w:szCs w:val="21"/>
        </w:rPr>
        <w:t>具备《中华人民共和国政府采购法》第二十二条第一款的条件（由供应商在《采购投标及履约承诺函》中作出声明）；</w:t>
      </w:r>
    </w:p>
    <w:p w14:paraId="31CEE408">
      <w:pPr>
        <w:ind w:firstLine="420" w:firstLineChars="200"/>
        <w:rPr>
          <w:rFonts w:ascii="宋体" w:hAnsi="宋体" w:cs="宋体"/>
          <w:kern w:val="0"/>
          <w:szCs w:val="21"/>
        </w:rPr>
      </w:pPr>
      <w:r>
        <w:rPr>
          <w:rFonts w:hint="eastAsia" w:ascii="宋体" w:hAnsi="宋体" w:cs="宋体"/>
          <w:kern w:val="0"/>
          <w:szCs w:val="21"/>
        </w:rPr>
        <w:t>5</w:t>
      </w:r>
      <w:r>
        <w:rPr>
          <w:rFonts w:ascii="宋体" w:hAnsi="宋体" w:cs="宋体"/>
          <w:kern w:val="0"/>
          <w:szCs w:val="21"/>
        </w:rPr>
        <w:t>.</w:t>
      </w:r>
      <w:r>
        <w:rPr>
          <w:rFonts w:hint="eastAsia" w:ascii="宋体" w:hAnsi="宋体" w:cs="宋体"/>
          <w:kern w:val="0"/>
          <w:szCs w:val="21"/>
        </w:rPr>
        <w:t>未被列入失信被执行人、重大税收违法案件当事人名单、政府采购严重违法失信行为记录名单（由供应商在《采购投标及履约承诺函》中作出声明）；</w:t>
      </w:r>
    </w:p>
    <w:p w14:paraId="7FE05302">
      <w:pPr>
        <w:ind w:firstLine="420" w:firstLineChars="200"/>
        <w:rPr>
          <w:rFonts w:ascii="宋体" w:hAnsi="宋体" w:cs="宋体"/>
          <w:color w:val="FF0000"/>
          <w:kern w:val="0"/>
          <w:szCs w:val="21"/>
        </w:rPr>
      </w:pPr>
      <w:r>
        <w:rPr>
          <w:rFonts w:hint="eastAsia" w:ascii="宋体" w:hAnsi="宋体" w:cs="宋体"/>
          <w:color w:val="FF0000"/>
          <w:kern w:val="0"/>
          <w:szCs w:val="21"/>
        </w:rPr>
        <w:t>6.不存在《深圳市财政局政府采购供应商信用信息管理办法》（深财规〔2023〕3号）列明的严重违法失信行为（由供应商在《采购投标及履约承诺函》中作出声明）；</w:t>
      </w:r>
    </w:p>
    <w:p w14:paraId="07D0F691">
      <w:pPr>
        <w:ind w:firstLine="420" w:firstLineChars="200"/>
        <w:rPr>
          <w:rFonts w:ascii="宋体" w:hAnsi="宋体" w:cs="宋体"/>
          <w:kern w:val="0"/>
          <w:szCs w:val="21"/>
        </w:rPr>
      </w:pPr>
      <w:r>
        <w:rPr>
          <w:rFonts w:hint="eastAsia" w:ascii="宋体" w:hAnsi="宋体" w:cs="宋体"/>
          <w:kern w:val="0"/>
          <w:szCs w:val="21"/>
        </w:rPr>
        <w:t>7.为采购项目提供整体设计、规范编制或者项目管理、监理、检测等服务的供应商，不得再参加该采购项目的其他采购活动（由供应商在《采购投标及履约承诺函》中作出声明）；</w:t>
      </w:r>
    </w:p>
    <w:p w14:paraId="3FE91629">
      <w:pPr>
        <w:pStyle w:val="53"/>
        <w:ind w:firstLine="420" w:firstLineChars="200"/>
        <w:rPr>
          <w:rFonts w:ascii="宋体" w:hAnsi="宋体" w:cs="宋体"/>
          <w:color w:val="FF0000"/>
          <w:kern w:val="0"/>
          <w:szCs w:val="21"/>
        </w:rPr>
      </w:pPr>
      <w:r>
        <w:rPr>
          <w:rFonts w:hint="eastAsia" w:ascii="宋体" w:hAnsi="宋体" w:cs="宋体"/>
          <w:color w:val="FF0000"/>
          <w:kern w:val="0"/>
          <w:szCs w:val="21"/>
        </w:rPr>
        <w:t>8.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采购活动（由供应商填写《供应商基本情况表》相关信息）</w:t>
      </w:r>
    </w:p>
    <w:p w14:paraId="7094CB4A">
      <w:pPr>
        <w:ind w:firstLine="420" w:firstLineChars="200"/>
      </w:pPr>
      <w:r>
        <w:rPr>
          <w:rFonts w:hint="eastAsia" w:ascii="宋体" w:hAnsi="宋体" w:cs="宋体"/>
          <w:kern w:val="0"/>
          <w:szCs w:val="21"/>
        </w:rPr>
        <w:t>9.本项目不专门面向中小企业采购。</w:t>
      </w:r>
    </w:p>
    <w:p w14:paraId="6F69E75A">
      <w:pPr>
        <w:wordWrap w:val="0"/>
        <w:ind w:firstLine="420" w:firstLineChars="200"/>
        <w:rPr>
          <w:rFonts w:ascii="宋体" w:hAnsi="宋体" w:cs="宋体"/>
          <w:kern w:val="0"/>
          <w:szCs w:val="21"/>
        </w:rPr>
      </w:pPr>
      <w:r>
        <w:rPr>
          <w:rFonts w:hint="eastAsia" w:ascii="宋体" w:hAnsi="宋体" w:cs="宋体"/>
          <w:kern w:val="0"/>
          <w:szCs w:val="21"/>
        </w:rPr>
        <w:t>注：（1）“信用中国”（www.creditchina.gov.cn，查询“信用服务”栏的“重大税收违法失信主体”“失信被执行人”或者下载信用信息报告），“中国政府采购网”（www.ccgp.gov.cn）中的“政府采购严重违法失信行为记录名单”，以及“深圳市政府采购监管网”（http://zfcg.sz.gov.cn）为供应商信用信息的查询渠道，相关信息以开标当日的查询结果为准；</w:t>
      </w:r>
    </w:p>
    <w:p w14:paraId="6DA986B6">
      <w:pPr>
        <w:numPr>
          <w:ilvl w:val="0"/>
          <w:numId w:val="7"/>
        </w:numPr>
        <w:ind w:firstLine="420" w:firstLineChars="200"/>
        <w:rPr>
          <w:rFonts w:ascii="宋体" w:hAnsi="宋体"/>
        </w:rPr>
      </w:pPr>
      <w:r>
        <w:rPr>
          <w:rFonts w:hint="eastAsia" w:ascii="宋体" w:hAnsi="宋体"/>
        </w:rPr>
        <w:t>供应商投标（上传投标文件）必须先行办理注册手续，具体操作指引请按照深圳公共资源交易网/交易服务指南/资料下载/深圳政府采购自行采购系统用户操作指引（供应商）相关内容指引办理。</w:t>
      </w:r>
    </w:p>
    <w:p w14:paraId="3444501D">
      <w:pPr>
        <w:pStyle w:val="2"/>
      </w:pPr>
    </w:p>
    <w:p w14:paraId="0E63AE61">
      <w:pPr>
        <w:ind w:firstLine="442" w:firstLineChars="200"/>
        <w:rPr>
          <w:b/>
        </w:rPr>
      </w:pPr>
      <w:r>
        <w:rPr>
          <w:rFonts w:hint="eastAsia"/>
          <w:b/>
          <w:sz w:val="22"/>
          <w:szCs w:val="18"/>
        </w:rPr>
        <w:t>完整公告内容详见：深圳交易集团有限公司网站（https://www.szexgrp.com/）、深圳政府采购自行采购网站（https://zxcg.szggzy.com/home/index.html）</w:t>
      </w:r>
    </w:p>
    <w:p w14:paraId="426639C1">
      <w:pPr>
        <w:ind w:firstLine="422" w:firstLineChars="200"/>
        <w:rPr>
          <w:b/>
        </w:rPr>
      </w:pPr>
    </w:p>
    <w:p w14:paraId="427FE98A">
      <w:pPr>
        <w:rPr>
          <w:sz w:val="24"/>
        </w:rPr>
        <w:sectPr>
          <w:pgSz w:w="11907" w:h="16840"/>
          <w:pgMar w:top="1440" w:right="1797" w:bottom="1440" w:left="1797" w:header="851" w:footer="992" w:gutter="0"/>
          <w:cols w:space="425" w:num="1"/>
          <w:titlePg/>
          <w:docGrid w:linePitch="462" w:charSpace="0"/>
        </w:sectPr>
      </w:pPr>
    </w:p>
    <w:p w14:paraId="0D3830C3">
      <w:pPr>
        <w:pStyle w:val="6"/>
        <w:rPr>
          <w:sz w:val="28"/>
          <w:szCs w:val="28"/>
        </w:rPr>
      </w:pPr>
      <w:r>
        <w:rPr>
          <w:rFonts w:hint="eastAsia"/>
          <w:sz w:val="28"/>
          <w:szCs w:val="28"/>
        </w:rPr>
        <w:t xml:space="preserve">第二章 </w:t>
      </w:r>
      <w:bookmarkStart w:id="24" w:name="_Hlk71926094"/>
      <w:r>
        <w:rPr>
          <w:rFonts w:hint="eastAsia"/>
          <w:sz w:val="28"/>
          <w:szCs w:val="28"/>
        </w:rPr>
        <w:t>对通用条款的补充内容及其他关键信息</w:t>
      </w:r>
      <w:bookmarkEnd w:id="24"/>
    </w:p>
    <w:p w14:paraId="0B7AB44E">
      <w:pPr>
        <w:pStyle w:val="6"/>
        <w:spacing w:before="120" w:beforeLines="50" w:after="120" w:afterLines="50"/>
        <w:rPr>
          <w:szCs w:val="24"/>
        </w:rPr>
      </w:pPr>
      <w:bookmarkStart w:id="25" w:name="_Toc73521547"/>
      <w:bookmarkStart w:id="26" w:name="_Toc60560625"/>
      <w:bookmarkStart w:id="27" w:name="_Toc60631620"/>
      <w:bookmarkStart w:id="28" w:name="_Toc73518117"/>
      <w:bookmarkStart w:id="29" w:name="_Toc100052364"/>
      <w:bookmarkStart w:id="30" w:name="_Toc101074876"/>
      <w:bookmarkStart w:id="31" w:name="_Toc73521635"/>
      <w:bookmarkStart w:id="32" w:name="_Toc73517639"/>
      <w:r>
        <w:rPr>
          <w:rFonts w:hint="eastAsia"/>
          <w:szCs w:val="24"/>
        </w:rPr>
        <w:t>一、对通用条款的补充内容</w:t>
      </w:r>
    </w:p>
    <w:bookmarkEnd w:id="25"/>
    <w:bookmarkEnd w:id="26"/>
    <w:bookmarkEnd w:id="27"/>
    <w:bookmarkEnd w:id="28"/>
    <w:bookmarkEnd w:id="29"/>
    <w:bookmarkEnd w:id="30"/>
    <w:bookmarkEnd w:id="31"/>
    <w:bookmarkEnd w:id="32"/>
    <w:tbl>
      <w:tblPr>
        <w:tblStyle w:val="43"/>
        <w:tblW w:w="8367"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78"/>
        <w:gridCol w:w="2409"/>
        <w:gridCol w:w="4980"/>
      </w:tblGrid>
      <w:tr w14:paraId="246F449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3DF2E6A8">
            <w:pPr>
              <w:jc w:val="center"/>
              <w:rPr>
                <w:rFonts w:ascii="宋体" w:hAnsi="宋体"/>
                <w:b/>
                <w:bCs/>
              </w:rPr>
            </w:pPr>
            <w:bookmarkStart w:id="33" w:name="_Hlk72218097"/>
            <w:r>
              <w:rPr>
                <w:rFonts w:hint="eastAsia" w:ascii="宋体" w:hAnsi="宋体"/>
                <w:b/>
                <w:bCs/>
              </w:rPr>
              <w:t>通用条款序号</w:t>
            </w:r>
          </w:p>
        </w:tc>
        <w:tc>
          <w:tcPr>
            <w:tcW w:w="2409" w:type="dxa"/>
            <w:vAlign w:val="center"/>
          </w:tcPr>
          <w:p w14:paraId="0B1BE4E9">
            <w:pPr>
              <w:jc w:val="center"/>
              <w:rPr>
                <w:rFonts w:ascii="宋体" w:hAnsi="宋体"/>
                <w:b/>
                <w:bCs/>
              </w:rPr>
            </w:pPr>
            <w:r>
              <w:rPr>
                <w:rFonts w:hint="eastAsia" w:ascii="宋体" w:hAnsi="宋体"/>
                <w:b/>
                <w:bCs/>
              </w:rPr>
              <w:t>涉及事项</w:t>
            </w:r>
          </w:p>
        </w:tc>
        <w:tc>
          <w:tcPr>
            <w:tcW w:w="4980" w:type="dxa"/>
            <w:vAlign w:val="center"/>
          </w:tcPr>
          <w:p w14:paraId="33D74122">
            <w:pPr>
              <w:jc w:val="center"/>
              <w:rPr>
                <w:rFonts w:ascii="宋体" w:hAnsi="宋体"/>
                <w:b/>
                <w:bCs/>
              </w:rPr>
            </w:pPr>
            <w:r>
              <w:rPr>
                <w:rFonts w:hint="eastAsia" w:ascii="宋体" w:hAnsi="宋体"/>
                <w:b/>
                <w:bCs/>
              </w:rPr>
              <w:t xml:space="preserve">具 </w:t>
            </w:r>
            <w:r>
              <w:rPr>
                <w:rFonts w:ascii="宋体" w:hAnsi="宋体"/>
                <w:b/>
                <w:bCs/>
              </w:rPr>
              <w:t xml:space="preserve"> </w:t>
            </w:r>
            <w:r>
              <w:rPr>
                <w:rFonts w:hint="eastAsia" w:ascii="宋体" w:hAnsi="宋体"/>
                <w:b/>
                <w:bCs/>
              </w:rPr>
              <w:t xml:space="preserve">体 </w:t>
            </w:r>
            <w:r>
              <w:rPr>
                <w:rFonts w:ascii="宋体" w:hAnsi="宋体"/>
                <w:b/>
                <w:bCs/>
              </w:rPr>
              <w:t xml:space="preserve"> </w:t>
            </w:r>
            <w:r>
              <w:rPr>
                <w:rFonts w:hint="eastAsia" w:ascii="宋体" w:hAnsi="宋体"/>
                <w:b/>
                <w:bCs/>
              </w:rPr>
              <w:t xml:space="preserve">补 </w:t>
            </w:r>
            <w:r>
              <w:rPr>
                <w:rFonts w:ascii="宋体" w:hAnsi="宋体"/>
                <w:b/>
                <w:bCs/>
              </w:rPr>
              <w:t xml:space="preserve"> </w:t>
            </w:r>
            <w:r>
              <w:rPr>
                <w:rFonts w:hint="eastAsia" w:ascii="宋体" w:hAnsi="宋体"/>
                <w:b/>
                <w:bCs/>
              </w:rPr>
              <w:t xml:space="preserve">充 </w:t>
            </w:r>
            <w:r>
              <w:rPr>
                <w:rFonts w:ascii="宋体" w:hAnsi="宋体"/>
                <w:b/>
                <w:bCs/>
              </w:rPr>
              <w:t xml:space="preserve"> </w:t>
            </w:r>
            <w:r>
              <w:rPr>
                <w:rFonts w:hint="eastAsia" w:ascii="宋体" w:hAnsi="宋体"/>
                <w:b/>
                <w:bCs/>
              </w:rPr>
              <w:t xml:space="preserve">内 </w:t>
            </w:r>
            <w:r>
              <w:rPr>
                <w:rFonts w:ascii="宋体" w:hAnsi="宋体"/>
                <w:b/>
                <w:bCs/>
              </w:rPr>
              <w:t xml:space="preserve"> </w:t>
            </w:r>
            <w:r>
              <w:rPr>
                <w:rFonts w:hint="eastAsia" w:ascii="宋体" w:hAnsi="宋体"/>
                <w:b/>
                <w:bCs/>
              </w:rPr>
              <w:t>容</w:t>
            </w:r>
          </w:p>
        </w:tc>
      </w:tr>
      <w:tr w14:paraId="4C62690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8367" w:type="dxa"/>
            <w:gridSpan w:val="3"/>
            <w:vAlign w:val="center"/>
          </w:tcPr>
          <w:p w14:paraId="26262C0C">
            <w:pPr>
              <w:jc w:val="center"/>
              <w:rPr>
                <w:rFonts w:ascii="宋体" w:hAnsi="宋体"/>
                <w:b/>
                <w:bCs/>
              </w:rPr>
            </w:pPr>
            <w:r>
              <w:rPr>
                <w:rFonts w:hint="eastAsia"/>
              </w:rPr>
              <w:t>本项目为自行采购项目，相关事宜按照招标文件要求及采购单位内控制度执行。</w:t>
            </w:r>
          </w:p>
        </w:tc>
      </w:tr>
      <w:tr w14:paraId="170F5D0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2ED75128">
            <w:pPr>
              <w:jc w:val="center"/>
              <w:rPr>
                <w:rFonts w:ascii="宋体" w:hAnsi="宋体"/>
              </w:rPr>
            </w:pPr>
            <w:r>
              <w:rPr>
                <w:rFonts w:hint="eastAsia" w:ascii="宋体" w:hAnsi="宋体"/>
              </w:rPr>
              <w:t>3</w:t>
            </w:r>
            <w:r>
              <w:rPr>
                <w:rFonts w:ascii="宋体" w:hAnsi="宋体"/>
              </w:rPr>
              <w:t>.1</w:t>
            </w:r>
          </w:p>
        </w:tc>
        <w:tc>
          <w:tcPr>
            <w:tcW w:w="2409" w:type="dxa"/>
            <w:vAlign w:val="center"/>
          </w:tcPr>
          <w:p w14:paraId="718B3E04">
            <w:pPr>
              <w:jc w:val="center"/>
            </w:pPr>
            <w:r>
              <w:rPr>
                <w:rFonts w:hint="eastAsia"/>
              </w:rPr>
              <w:t>采购人</w:t>
            </w:r>
          </w:p>
        </w:tc>
        <w:tc>
          <w:tcPr>
            <w:tcW w:w="4980" w:type="dxa"/>
            <w:vAlign w:val="center"/>
          </w:tcPr>
          <w:p w14:paraId="533B74F2">
            <w:pPr>
              <w:jc w:val="center"/>
              <w:rPr>
                <w:rFonts w:ascii="宋体" w:hAnsi="宋体"/>
              </w:rPr>
            </w:pPr>
            <w:r>
              <w:rPr>
                <w:rFonts w:hint="eastAsia" w:ascii="宋体" w:hAnsi="宋体"/>
              </w:rPr>
              <w:t>深圳市坪山区同育幼儿园</w:t>
            </w:r>
          </w:p>
        </w:tc>
      </w:tr>
      <w:tr w14:paraId="05D90B5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1A8ABC9B">
            <w:pPr>
              <w:jc w:val="center"/>
              <w:rPr>
                <w:rFonts w:ascii="宋体" w:hAnsi="宋体"/>
              </w:rPr>
            </w:pPr>
            <w:r>
              <w:rPr>
                <w:rFonts w:hint="eastAsia" w:ascii="宋体" w:hAnsi="宋体"/>
              </w:rPr>
              <w:t>3</w:t>
            </w:r>
            <w:r>
              <w:rPr>
                <w:rFonts w:ascii="宋体" w:hAnsi="宋体"/>
              </w:rPr>
              <w:t>.2</w:t>
            </w:r>
          </w:p>
        </w:tc>
        <w:tc>
          <w:tcPr>
            <w:tcW w:w="2409" w:type="dxa"/>
            <w:vAlign w:val="center"/>
          </w:tcPr>
          <w:p w14:paraId="70C3BE0B">
            <w:pPr>
              <w:jc w:val="center"/>
              <w:rPr>
                <w:rFonts w:ascii="宋体" w:hAnsi="宋体"/>
              </w:rPr>
            </w:pPr>
            <w:r>
              <w:rPr>
                <w:rFonts w:hint="eastAsia" w:ascii="宋体" w:hAnsi="宋体"/>
              </w:rPr>
              <w:t>政府集中采购机构</w:t>
            </w:r>
          </w:p>
        </w:tc>
        <w:tc>
          <w:tcPr>
            <w:tcW w:w="4980" w:type="dxa"/>
            <w:vAlign w:val="center"/>
          </w:tcPr>
          <w:p w14:paraId="1AA0DF24">
            <w:pPr>
              <w:jc w:val="center"/>
              <w:rPr>
                <w:rFonts w:ascii="宋体" w:hAnsi="宋体"/>
              </w:rPr>
            </w:pPr>
            <w:r>
              <w:rPr>
                <w:rFonts w:hint="eastAsia" w:ascii="宋体" w:hAnsi="宋体"/>
              </w:rPr>
              <w:t>深圳公共资源交易中心</w:t>
            </w:r>
          </w:p>
          <w:p w14:paraId="3441BD2C">
            <w:pPr>
              <w:jc w:val="center"/>
              <w:rPr>
                <w:rFonts w:ascii="宋体" w:hAnsi="宋体"/>
              </w:rPr>
            </w:pPr>
            <w:r>
              <w:rPr>
                <w:rFonts w:hint="eastAsia" w:ascii="宋体" w:hAnsi="宋体"/>
              </w:rPr>
              <w:t>（深圳交易集团有限公司</w:t>
            </w:r>
            <w:r>
              <w:rPr>
                <w:rFonts w:hint="eastAsia" w:ascii="宋体" w:hAnsi="宋体" w:cs="宋体"/>
                <w:kern w:val="0"/>
              </w:rPr>
              <w:t>坪山</w:t>
            </w:r>
            <w:r>
              <w:rPr>
                <w:rFonts w:hint="eastAsia" w:ascii="宋体" w:hAnsi="宋体"/>
              </w:rPr>
              <w:t>分公司）</w:t>
            </w:r>
          </w:p>
        </w:tc>
      </w:tr>
      <w:tr w14:paraId="7C8B880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54EEE9C2">
            <w:pPr>
              <w:jc w:val="center"/>
              <w:rPr>
                <w:rFonts w:ascii="宋体" w:hAnsi="宋体"/>
              </w:rPr>
            </w:pPr>
            <w:r>
              <w:rPr>
                <w:rFonts w:hint="eastAsia" w:ascii="宋体" w:hAnsi="宋体"/>
              </w:rPr>
              <w:t>9</w:t>
            </w:r>
          </w:p>
        </w:tc>
        <w:tc>
          <w:tcPr>
            <w:tcW w:w="2409" w:type="dxa"/>
            <w:vAlign w:val="center"/>
          </w:tcPr>
          <w:p w14:paraId="10453776">
            <w:pPr>
              <w:jc w:val="center"/>
              <w:rPr>
                <w:rFonts w:ascii="宋体" w:hAnsi="宋体"/>
              </w:rPr>
            </w:pPr>
            <w:r>
              <w:rPr>
                <w:rFonts w:hint="eastAsia" w:ascii="宋体" w:hAnsi="宋体"/>
              </w:rPr>
              <w:t>踏勘现场</w:t>
            </w:r>
          </w:p>
        </w:tc>
        <w:tc>
          <w:tcPr>
            <w:tcW w:w="4980" w:type="dxa"/>
            <w:vAlign w:val="center"/>
          </w:tcPr>
          <w:p w14:paraId="6477527D">
            <w:pPr>
              <w:jc w:val="center"/>
              <w:rPr>
                <w:rFonts w:ascii="宋体" w:hAnsi="宋体"/>
              </w:rPr>
            </w:pPr>
            <w:r>
              <w:rPr>
                <w:rFonts w:hint="eastAsia" w:ascii="宋体" w:hAnsi="宋体"/>
              </w:rPr>
              <w:t>不组织</w:t>
            </w:r>
          </w:p>
        </w:tc>
      </w:tr>
      <w:tr w14:paraId="5176A43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1D36B6CD">
            <w:pPr>
              <w:jc w:val="center"/>
              <w:rPr>
                <w:rFonts w:ascii="宋体" w:hAnsi="宋体"/>
              </w:rPr>
            </w:pPr>
            <w:r>
              <w:rPr>
                <w:rFonts w:hint="eastAsia" w:ascii="宋体" w:hAnsi="宋体"/>
              </w:rPr>
              <w:t>1</w:t>
            </w:r>
            <w:r>
              <w:rPr>
                <w:rFonts w:ascii="宋体" w:hAnsi="宋体"/>
              </w:rPr>
              <w:t>0</w:t>
            </w:r>
          </w:p>
        </w:tc>
        <w:tc>
          <w:tcPr>
            <w:tcW w:w="2409" w:type="dxa"/>
            <w:vAlign w:val="center"/>
          </w:tcPr>
          <w:p w14:paraId="2003548C">
            <w:pPr>
              <w:jc w:val="center"/>
              <w:rPr>
                <w:rFonts w:ascii="宋体" w:hAnsi="宋体"/>
              </w:rPr>
            </w:pPr>
            <w:r>
              <w:rPr>
                <w:rFonts w:hint="eastAsia" w:ascii="宋体" w:hAnsi="宋体"/>
              </w:rPr>
              <w:t>标前会议</w:t>
            </w:r>
          </w:p>
        </w:tc>
        <w:tc>
          <w:tcPr>
            <w:tcW w:w="4980" w:type="dxa"/>
            <w:vAlign w:val="center"/>
          </w:tcPr>
          <w:p w14:paraId="0C2651BA">
            <w:pPr>
              <w:jc w:val="center"/>
              <w:rPr>
                <w:rFonts w:ascii="宋体" w:hAnsi="宋体"/>
              </w:rPr>
            </w:pPr>
            <w:r>
              <w:rPr>
                <w:rFonts w:hint="eastAsia" w:ascii="宋体" w:hAnsi="宋体"/>
              </w:rPr>
              <w:t>不组织</w:t>
            </w:r>
          </w:p>
        </w:tc>
      </w:tr>
      <w:tr w14:paraId="6896D35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447D8F91">
            <w:pPr>
              <w:jc w:val="center"/>
              <w:rPr>
                <w:rFonts w:ascii="宋体" w:hAnsi="宋体"/>
              </w:rPr>
            </w:pPr>
            <w:r>
              <w:rPr>
                <w:rFonts w:hint="eastAsia" w:ascii="宋体" w:hAnsi="宋体"/>
              </w:rPr>
              <w:t>1</w:t>
            </w:r>
            <w:r>
              <w:rPr>
                <w:rFonts w:ascii="宋体" w:hAnsi="宋体"/>
              </w:rPr>
              <w:t>2</w:t>
            </w:r>
            <w:r>
              <w:rPr>
                <w:rFonts w:hint="eastAsia" w:ascii="宋体" w:hAnsi="宋体"/>
              </w:rPr>
              <w:t>/1</w:t>
            </w:r>
            <w:r>
              <w:rPr>
                <w:rFonts w:ascii="宋体" w:hAnsi="宋体"/>
              </w:rPr>
              <w:t>3</w:t>
            </w:r>
          </w:p>
        </w:tc>
        <w:tc>
          <w:tcPr>
            <w:tcW w:w="2409" w:type="dxa"/>
            <w:vAlign w:val="center"/>
          </w:tcPr>
          <w:p w14:paraId="58304008">
            <w:pPr>
              <w:jc w:val="center"/>
              <w:rPr>
                <w:rFonts w:ascii="宋体" w:hAnsi="宋体"/>
              </w:rPr>
            </w:pPr>
            <w:r>
              <w:rPr>
                <w:rFonts w:hint="eastAsia" w:ascii="宋体" w:hAnsi="宋体"/>
              </w:rPr>
              <w:t>招标文件的澄清和修改</w:t>
            </w:r>
          </w:p>
        </w:tc>
        <w:tc>
          <w:tcPr>
            <w:tcW w:w="4980" w:type="dxa"/>
            <w:vAlign w:val="center"/>
          </w:tcPr>
          <w:p w14:paraId="0FA43425">
            <w:pPr>
              <w:jc w:val="center"/>
              <w:rPr>
                <w:rFonts w:ascii="宋体" w:hAnsi="宋体"/>
              </w:rPr>
            </w:pPr>
            <w:r>
              <w:rPr>
                <w:rFonts w:hint="eastAsia" w:ascii="宋体" w:hAnsi="宋体"/>
              </w:rPr>
              <w:t>不晚于投标截止日三日前，投标人有义务在招标期间在政府集中采购机构网站浏览与本项目有关的澄清和修改信息</w:t>
            </w:r>
          </w:p>
        </w:tc>
      </w:tr>
      <w:tr w14:paraId="3F1A303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54EC898F">
            <w:pPr>
              <w:jc w:val="center"/>
              <w:rPr>
                <w:rFonts w:ascii="宋体" w:hAnsi="宋体"/>
              </w:rPr>
            </w:pPr>
            <w:r>
              <w:rPr>
                <w:rFonts w:hint="eastAsia" w:ascii="宋体" w:hAnsi="宋体"/>
              </w:rPr>
              <w:t>2</w:t>
            </w:r>
            <w:r>
              <w:rPr>
                <w:rFonts w:ascii="宋体" w:hAnsi="宋体"/>
              </w:rPr>
              <w:t>0</w:t>
            </w:r>
          </w:p>
        </w:tc>
        <w:tc>
          <w:tcPr>
            <w:tcW w:w="2409" w:type="dxa"/>
            <w:vAlign w:val="center"/>
          </w:tcPr>
          <w:p w14:paraId="5145E8FA">
            <w:pPr>
              <w:jc w:val="center"/>
              <w:rPr>
                <w:rFonts w:ascii="宋体" w:hAnsi="宋体"/>
              </w:rPr>
            </w:pPr>
            <w:r>
              <w:rPr>
                <w:rFonts w:hint="eastAsia" w:ascii="宋体" w:hAnsi="宋体"/>
              </w:rPr>
              <w:t>投标有效期</w:t>
            </w:r>
          </w:p>
        </w:tc>
        <w:tc>
          <w:tcPr>
            <w:tcW w:w="4980" w:type="dxa"/>
            <w:vAlign w:val="center"/>
          </w:tcPr>
          <w:p w14:paraId="21D01EB4">
            <w:pPr>
              <w:jc w:val="center"/>
              <w:rPr>
                <w:rFonts w:ascii="宋体" w:hAnsi="宋体"/>
              </w:rPr>
            </w:pPr>
            <w:r>
              <w:rPr>
                <w:rFonts w:hint="eastAsia" w:ascii="宋体" w:hAnsi="宋体"/>
              </w:rPr>
              <w:t>120个日历日</w:t>
            </w:r>
          </w:p>
        </w:tc>
      </w:tr>
      <w:tr w14:paraId="502770B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413C1979">
            <w:pPr>
              <w:jc w:val="center"/>
              <w:rPr>
                <w:rFonts w:ascii="宋体" w:hAnsi="宋体"/>
              </w:rPr>
            </w:pPr>
            <w:r>
              <w:rPr>
                <w:rFonts w:hint="eastAsia" w:ascii="宋体" w:hAnsi="宋体"/>
              </w:rPr>
              <w:t>2</w:t>
            </w:r>
            <w:r>
              <w:rPr>
                <w:rFonts w:ascii="宋体" w:hAnsi="宋体"/>
              </w:rPr>
              <w:t>2</w:t>
            </w:r>
          </w:p>
        </w:tc>
        <w:tc>
          <w:tcPr>
            <w:tcW w:w="2409" w:type="dxa"/>
            <w:vAlign w:val="center"/>
          </w:tcPr>
          <w:p w14:paraId="703B2A24">
            <w:pPr>
              <w:jc w:val="center"/>
              <w:rPr>
                <w:rFonts w:ascii="宋体" w:hAnsi="宋体"/>
              </w:rPr>
            </w:pPr>
            <w:r>
              <w:rPr>
                <w:rFonts w:hint="eastAsia" w:ascii="宋体" w:hAnsi="宋体"/>
              </w:rPr>
              <w:t>投标人的替代方案</w:t>
            </w:r>
          </w:p>
        </w:tc>
        <w:tc>
          <w:tcPr>
            <w:tcW w:w="4980" w:type="dxa"/>
            <w:vAlign w:val="center"/>
          </w:tcPr>
          <w:p w14:paraId="4329ACF1">
            <w:pPr>
              <w:jc w:val="center"/>
              <w:rPr>
                <w:rFonts w:ascii="宋体" w:hAnsi="宋体"/>
              </w:rPr>
            </w:pPr>
            <w:r>
              <w:rPr>
                <w:rFonts w:hint="eastAsia" w:ascii="宋体" w:hAnsi="宋体"/>
              </w:rPr>
              <w:t>不接受</w:t>
            </w:r>
          </w:p>
        </w:tc>
      </w:tr>
      <w:tr w14:paraId="68383E7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49655CB5">
            <w:pPr>
              <w:jc w:val="center"/>
              <w:rPr>
                <w:rFonts w:ascii="宋体" w:hAnsi="宋体"/>
              </w:rPr>
            </w:pPr>
            <w:r>
              <w:rPr>
                <w:rFonts w:hint="eastAsia" w:ascii="宋体" w:hAnsi="宋体"/>
              </w:rPr>
              <w:t>2</w:t>
            </w:r>
            <w:r>
              <w:rPr>
                <w:rFonts w:ascii="宋体" w:hAnsi="宋体"/>
              </w:rPr>
              <w:t>5</w:t>
            </w:r>
          </w:p>
        </w:tc>
        <w:tc>
          <w:tcPr>
            <w:tcW w:w="2409" w:type="dxa"/>
            <w:vAlign w:val="center"/>
          </w:tcPr>
          <w:p w14:paraId="7C575547">
            <w:pPr>
              <w:jc w:val="center"/>
              <w:rPr>
                <w:rFonts w:ascii="宋体" w:hAnsi="宋体"/>
              </w:rPr>
            </w:pPr>
            <w:r>
              <w:rPr>
                <w:rFonts w:hint="eastAsia" w:ascii="宋体" w:hAnsi="宋体"/>
              </w:rPr>
              <w:t>投标文件的大小</w:t>
            </w:r>
          </w:p>
        </w:tc>
        <w:tc>
          <w:tcPr>
            <w:tcW w:w="4980" w:type="dxa"/>
            <w:vAlign w:val="center"/>
          </w:tcPr>
          <w:p w14:paraId="48BF6563">
            <w:pPr>
              <w:jc w:val="center"/>
              <w:rPr>
                <w:rFonts w:ascii="宋体" w:hAnsi="宋体"/>
              </w:rPr>
            </w:pPr>
            <w:r>
              <w:rPr>
                <w:rFonts w:hint="eastAsia" w:ascii="宋体" w:hAnsi="宋体"/>
              </w:rPr>
              <w:t>投标文件大小不得超过100MB</w:t>
            </w:r>
          </w:p>
        </w:tc>
      </w:tr>
      <w:tr w14:paraId="594A4DC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2E3F7283">
            <w:pPr>
              <w:jc w:val="center"/>
              <w:rPr>
                <w:rFonts w:ascii="宋体" w:hAnsi="宋体"/>
              </w:rPr>
            </w:pPr>
            <w:r>
              <w:rPr>
                <w:rFonts w:hint="eastAsia" w:ascii="宋体" w:hAnsi="宋体"/>
              </w:rPr>
              <w:t>2</w:t>
            </w:r>
            <w:r>
              <w:rPr>
                <w:rFonts w:ascii="宋体" w:hAnsi="宋体"/>
              </w:rPr>
              <w:t>6</w:t>
            </w:r>
          </w:p>
        </w:tc>
        <w:tc>
          <w:tcPr>
            <w:tcW w:w="2409" w:type="dxa"/>
            <w:vAlign w:val="center"/>
          </w:tcPr>
          <w:p w14:paraId="62D47C39">
            <w:pPr>
              <w:jc w:val="center"/>
              <w:rPr>
                <w:rFonts w:ascii="宋体" w:hAnsi="宋体"/>
              </w:rPr>
            </w:pPr>
            <w:bookmarkStart w:id="34" w:name="_Hlk71664860"/>
            <w:r>
              <w:rPr>
                <w:rFonts w:hint="eastAsia" w:ascii="宋体" w:hAnsi="宋体"/>
              </w:rPr>
              <w:t>样品、现场演示、方案讲解</w:t>
            </w:r>
            <w:bookmarkEnd w:id="34"/>
          </w:p>
        </w:tc>
        <w:tc>
          <w:tcPr>
            <w:tcW w:w="4980" w:type="dxa"/>
            <w:vAlign w:val="center"/>
          </w:tcPr>
          <w:p w14:paraId="25F4DCDF">
            <w:pPr>
              <w:jc w:val="center"/>
              <w:rPr>
                <w:rFonts w:ascii="宋体" w:hAnsi="宋体"/>
              </w:rPr>
            </w:pPr>
            <w:r>
              <w:rPr>
                <w:rFonts w:hint="eastAsia" w:ascii="宋体" w:hAnsi="宋体"/>
              </w:rPr>
              <w:t>无</w:t>
            </w:r>
          </w:p>
        </w:tc>
      </w:tr>
      <w:tr w14:paraId="5F759CC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674BFA7A">
            <w:pPr>
              <w:jc w:val="center"/>
              <w:rPr>
                <w:rFonts w:ascii="宋体" w:hAnsi="宋体"/>
              </w:rPr>
            </w:pPr>
            <w:r>
              <w:rPr>
                <w:rFonts w:hint="eastAsia" w:ascii="宋体" w:hAnsi="宋体"/>
              </w:rPr>
              <w:t>3</w:t>
            </w:r>
            <w:r>
              <w:rPr>
                <w:rFonts w:ascii="宋体" w:hAnsi="宋体"/>
              </w:rPr>
              <w:t>7</w:t>
            </w:r>
          </w:p>
        </w:tc>
        <w:tc>
          <w:tcPr>
            <w:tcW w:w="2409" w:type="dxa"/>
            <w:vAlign w:val="center"/>
          </w:tcPr>
          <w:p w14:paraId="4AF21426">
            <w:pPr>
              <w:jc w:val="center"/>
              <w:rPr>
                <w:rFonts w:ascii="宋体" w:hAnsi="宋体"/>
              </w:rPr>
            </w:pPr>
            <w:r>
              <w:rPr>
                <w:rFonts w:hint="eastAsia" w:ascii="宋体" w:hAnsi="宋体"/>
              </w:rPr>
              <w:t>评审方法</w:t>
            </w:r>
          </w:p>
        </w:tc>
        <w:tc>
          <w:tcPr>
            <w:tcW w:w="4980" w:type="dxa"/>
            <w:vAlign w:val="center"/>
          </w:tcPr>
          <w:p w14:paraId="2DB0426B">
            <w:pPr>
              <w:jc w:val="center"/>
              <w:rPr>
                <w:rFonts w:ascii="宋体" w:hAnsi="宋体"/>
              </w:rPr>
            </w:pPr>
            <w:r>
              <w:rPr>
                <w:rFonts w:hint="eastAsia" w:ascii="宋体" w:hAnsi="宋体"/>
              </w:rPr>
              <w:t>综合评分法</w:t>
            </w:r>
          </w:p>
        </w:tc>
      </w:tr>
      <w:tr w14:paraId="0694007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16CE3EFA">
            <w:pPr>
              <w:jc w:val="center"/>
              <w:rPr>
                <w:rFonts w:ascii="宋体" w:hAnsi="宋体"/>
              </w:rPr>
            </w:pPr>
            <w:r>
              <w:rPr>
                <w:rFonts w:hint="eastAsia" w:ascii="宋体" w:hAnsi="宋体"/>
              </w:rPr>
              <w:t>3</w:t>
            </w:r>
            <w:r>
              <w:rPr>
                <w:rFonts w:ascii="宋体" w:hAnsi="宋体"/>
              </w:rPr>
              <w:t>8</w:t>
            </w:r>
          </w:p>
        </w:tc>
        <w:tc>
          <w:tcPr>
            <w:tcW w:w="2409" w:type="dxa"/>
            <w:vAlign w:val="center"/>
          </w:tcPr>
          <w:p w14:paraId="3C3A0050">
            <w:pPr>
              <w:jc w:val="center"/>
              <w:rPr>
                <w:rFonts w:ascii="宋体" w:hAnsi="宋体"/>
              </w:rPr>
            </w:pPr>
            <w:r>
              <w:rPr>
                <w:rFonts w:hint="eastAsia" w:ascii="宋体" w:hAnsi="宋体"/>
              </w:rPr>
              <w:t>定标方法</w:t>
            </w:r>
          </w:p>
        </w:tc>
        <w:tc>
          <w:tcPr>
            <w:tcW w:w="4980" w:type="dxa"/>
            <w:vAlign w:val="center"/>
          </w:tcPr>
          <w:p w14:paraId="25048DFD">
            <w:pPr>
              <w:jc w:val="center"/>
              <w:rPr>
                <w:rFonts w:ascii="宋体" w:hAnsi="宋体"/>
              </w:rPr>
            </w:pPr>
            <w:r>
              <w:rPr>
                <w:rFonts w:hint="eastAsia" w:ascii="宋体" w:hAnsi="宋体"/>
              </w:rPr>
              <w:t>非评定分离</w:t>
            </w:r>
          </w:p>
        </w:tc>
      </w:tr>
      <w:tr w14:paraId="2E85F68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1446B51A">
            <w:pPr>
              <w:jc w:val="center"/>
              <w:rPr>
                <w:rFonts w:ascii="宋体" w:hAnsi="宋体"/>
              </w:rPr>
            </w:pPr>
            <w:r>
              <w:rPr>
                <w:rFonts w:hint="eastAsia" w:ascii="宋体" w:hAnsi="宋体"/>
              </w:rPr>
              <w:t>4</w:t>
            </w:r>
            <w:r>
              <w:rPr>
                <w:rFonts w:ascii="宋体" w:hAnsi="宋体"/>
              </w:rPr>
              <w:t>6</w:t>
            </w:r>
          </w:p>
        </w:tc>
        <w:tc>
          <w:tcPr>
            <w:tcW w:w="2409" w:type="dxa"/>
            <w:vAlign w:val="center"/>
          </w:tcPr>
          <w:p w14:paraId="63F06586">
            <w:pPr>
              <w:jc w:val="center"/>
              <w:rPr>
                <w:rFonts w:ascii="宋体" w:hAnsi="宋体"/>
              </w:rPr>
            </w:pPr>
            <w:r>
              <w:rPr>
                <w:rFonts w:hint="eastAsia" w:ascii="宋体" w:hAnsi="宋体"/>
              </w:rPr>
              <w:t>履约担保</w:t>
            </w:r>
          </w:p>
        </w:tc>
        <w:tc>
          <w:tcPr>
            <w:tcW w:w="4980" w:type="dxa"/>
            <w:vAlign w:val="center"/>
          </w:tcPr>
          <w:p w14:paraId="711621EA">
            <w:pPr>
              <w:jc w:val="center"/>
              <w:rPr>
                <w:rFonts w:ascii="宋体" w:hAnsi="宋体"/>
              </w:rPr>
            </w:pPr>
            <w:r>
              <w:rPr>
                <w:rFonts w:hint="eastAsia" w:ascii="宋体" w:hAnsi="宋体"/>
              </w:rPr>
              <w:t>不需要</w:t>
            </w:r>
          </w:p>
        </w:tc>
      </w:tr>
    </w:tbl>
    <w:p w14:paraId="514786C1">
      <w:pPr>
        <w:rPr>
          <w:b/>
        </w:rPr>
      </w:pPr>
      <w:r>
        <w:rPr>
          <w:rFonts w:hint="eastAsia"/>
          <w:szCs w:val="21"/>
        </w:rPr>
        <w:t>备注：本表是通用条款相关条款的补充和明确，如与通用条款内容相冲突的，以本表为准。</w:t>
      </w:r>
    </w:p>
    <w:bookmarkEnd w:id="33"/>
    <w:p w14:paraId="64C462DB">
      <w:pPr>
        <w:pStyle w:val="6"/>
        <w:spacing w:before="120" w:beforeLines="50" w:after="120" w:afterLines="50"/>
        <w:rPr>
          <w:szCs w:val="24"/>
        </w:rPr>
      </w:pPr>
      <w:bookmarkStart w:id="35" w:name="_Hlk72218117"/>
      <w:r>
        <w:rPr>
          <w:rFonts w:hint="eastAsia"/>
          <w:szCs w:val="24"/>
        </w:rPr>
        <w:t>二、其他关键信息</w:t>
      </w:r>
    </w:p>
    <w:p w14:paraId="56CEF333">
      <w:pPr>
        <w:ind w:firstLine="422" w:firstLineChars="200"/>
        <w:rPr>
          <w:b/>
          <w:bCs/>
        </w:rPr>
      </w:pPr>
      <w:bookmarkStart w:id="36" w:name="_Hlk72579427"/>
      <w:r>
        <w:rPr>
          <w:rFonts w:hint="eastAsia"/>
          <w:b/>
          <w:bCs/>
        </w:rPr>
        <w:t>（一）与“对通用条款的补充内容”章节相关的事项</w:t>
      </w:r>
    </w:p>
    <w:p w14:paraId="581F3352">
      <w:pPr>
        <w:spacing w:line="276" w:lineRule="auto"/>
        <w:jc w:val="left"/>
        <w:rPr>
          <w:rFonts w:asciiTheme="minorEastAsia" w:hAnsiTheme="minorEastAsia" w:eastAsiaTheme="minorEastAsia"/>
          <w:b/>
          <w:kern w:val="0"/>
          <w:szCs w:val="20"/>
        </w:rPr>
      </w:pPr>
      <w:r>
        <w:rPr>
          <w:rFonts w:hint="eastAsia" w:asciiTheme="minorEastAsia" w:hAnsiTheme="minorEastAsia" w:eastAsiaTheme="minorEastAsia"/>
          <w:b/>
          <w:kern w:val="0"/>
          <w:szCs w:val="20"/>
        </w:rPr>
        <w:t>1、评标定标信息</w:t>
      </w:r>
    </w:p>
    <w:p w14:paraId="4AF129AF">
      <w:pPr>
        <w:jc w:val="center"/>
      </w:pPr>
      <w:r>
        <w:rPr>
          <w:rFonts w:hint="eastAsia"/>
          <w:b/>
        </w:rPr>
        <w:t>非评定分离项目</w:t>
      </w:r>
    </w:p>
    <w:tbl>
      <w:tblPr>
        <w:tblStyle w:val="44"/>
        <w:tblW w:w="845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4"/>
        <w:gridCol w:w="5608"/>
      </w:tblGrid>
      <w:tr w14:paraId="647F6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4" w:type="dxa"/>
          </w:tcPr>
          <w:p w14:paraId="15B91303">
            <w:pPr>
              <w:jc w:val="center"/>
            </w:pPr>
            <w:r>
              <w:rPr>
                <w:rFonts w:hint="eastAsia"/>
              </w:rPr>
              <w:t>评标方法</w:t>
            </w:r>
          </w:p>
        </w:tc>
        <w:tc>
          <w:tcPr>
            <w:tcW w:w="5608" w:type="dxa"/>
          </w:tcPr>
          <w:p w14:paraId="5FD284E9">
            <w:pPr>
              <w:jc w:val="center"/>
            </w:pPr>
            <w:r>
              <w:rPr>
                <w:rFonts w:hint="eastAsia"/>
              </w:rPr>
              <w:t>综合评分法</w:t>
            </w:r>
          </w:p>
        </w:tc>
      </w:tr>
      <w:tr w14:paraId="4A878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4" w:type="dxa"/>
          </w:tcPr>
          <w:p w14:paraId="4895C314">
            <w:pPr>
              <w:jc w:val="center"/>
            </w:pPr>
            <w:r>
              <w:rPr>
                <w:rFonts w:hint="eastAsia"/>
              </w:rPr>
              <w:t>候选中标供应商家数</w:t>
            </w:r>
          </w:p>
        </w:tc>
        <w:tc>
          <w:tcPr>
            <w:tcW w:w="5608" w:type="dxa"/>
          </w:tcPr>
          <w:p w14:paraId="64294C39">
            <w:pPr>
              <w:jc w:val="center"/>
            </w:pPr>
            <w:r>
              <w:rPr>
                <w:rFonts w:hint="eastAsia"/>
              </w:rPr>
              <w:t>3</w:t>
            </w:r>
          </w:p>
        </w:tc>
      </w:tr>
      <w:tr w14:paraId="0CDAE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4" w:type="dxa"/>
          </w:tcPr>
          <w:p w14:paraId="4FC50FB6">
            <w:pPr>
              <w:jc w:val="center"/>
            </w:pPr>
            <w:r>
              <w:rPr>
                <w:rFonts w:hint="eastAsia"/>
              </w:rPr>
              <w:t>中标供应商家数</w:t>
            </w:r>
          </w:p>
        </w:tc>
        <w:tc>
          <w:tcPr>
            <w:tcW w:w="5608" w:type="dxa"/>
          </w:tcPr>
          <w:p w14:paraId="674125EE">
            <w:pPr>
              <w:jc w:val="center"/>
            </w:pPr>
            <w:r>
              <w:rPr>
                <w:rFonts w:hint="eastAsia"/>
              </w:rPr>
              <w:t>1</w:t>
            </w:r>
          </w:p>
        </w:tc>
      </w:tr>
    </w:tbl>
    <w:p w14:paraId="0DBF88FD">
      <w:pPr>
        <w:ind w:firstLine="422" w:firstLineChars="200"/>
        <w:rPr>
          <w:b/>
        </w:rPr>
      </w:pPr>
    </w:p>
    <w:p w14:paraId="28BED647">
      <w:pPr>
        <w:ind w:firstLine="422" w:firstLineChars="200"/>
        <w:rPr>
          <w:b/>
        </w:rPr>
      </w:pPr>
      <w:r>
        <w:rPr>
          <w:rFonts w:hint="eastAsia"/>
          <w:b/>
        </w:rPr>
        <w:t>（二）其他事项</w:t>
      </w:r>
      <w:bookmarkEnd w:id="36"/>
    </w:p>
    <w:p w14:paraId="0757ADDC">
      <w:pPr>
        <w:ind w:firstLine="422" w:firstLineChars="200"/>
        <w:rPr>
          <w:b/>
          <w:bCs/>
        </w:rPr>
      </w:pPr>
      <w:r>
        <w:rPr>
          <w:b/>
          <w:bCs/>
        </w:rPr>
        <w:t>1</w:t>
      </w:r>
      <w:r>
        <w:rPr>
          <w:rFonts w:hint="eastAsia"/>
          <w:b/>
          <w:bCs/>
        </w:rPr>
        <w:t>、关于享受优惠政策的主体、价格扣除比例及采购标的所属行业的说明</w:t>
      </w:r>
    </w:p>
    <w:p w14:paraId="748FE1EB">
      <w:pPr>
        <w:ind w:firstLine="420" w:firstLineChars="200"/>
      </w:pPr>
      <w:r>
        <w:rPr>
          <w:rFonts w:hint="eastAsia"/>
        </w:rPr>
        <w:t>（1）专门面向中小企业采购的项目，不再执行价格扣除比例。</w:t>
      </w:r>
    </w:p>
    <w:p w14:paraId="43411849">
      <w:pPr>
        <w:ind w:firstLine="420" w:firstLineChars="200"/>
      </w:pPr>
      <w:r>
        <w:rPr>
          <w:rFonts w:hint="eastAsia"/>
        </w:rPr>
        <w:t>（2）非专门面向中小企业采购的项目，应执行价格扣除比例：投标人提供的货物（以招标文件用户需求书“货物清单明细”的“货物名称”一栏为准）全部均由优惠主体制造，则对其投标总价给予</w:t>
      </w:r>
      <w:r>
        <w:rPr>
          <w:color w:val="FF0000"/>
          <w:u w:val="single"/>
        </w:rPr>
        <w:t xml:space="preserve"> </w:t>
      </w:r>
      <w:r>
        <w:rPr>
          <w:rFonts w:hint="eastAsia"/>
          <w:color w:val="FF0000"/>
          <w:u w:val="single"/>
        </w:rPr>
        <w:t xml:space="preserve">10 </w:t>
      </w:r>
      <w:r>
        <w:rPr>
          <w:rFonts w:hint="eastAsia"/>
          <w:color w:val="FF0000"/>
        </w:rPr>
        <w:t xml:space="preserve"> </w:t>
      </w:r>
      <w:r>
        <w:rPr>
          <w:color w:val="FF0000"/>
        </w:rPr>
        <w:t>%</w:t>
      </w:r>
      <w:r>
        <w:rPr>
          <w:rFonts w:hint="eastAsia"/>
        </w:rPr>
        <w:t>的扣除，用扣除后的价格参与评审。满足多项优惠政策的供应商，不重复享受多项价格扣除政策。</w:t>
      </w:r>
    </w:p>
    <w:p w14:paraId="55788530">
      <w:pPr>
        <w:ind w:firstLine="420" w:firstLineChars="200"/>
      </w:pPr>
      <w:r>
        <w:rPr>
          <w:rFonts w:hint="eastAsia"/>
        </w:rPr>
        <w:t>备注：（a）享受价格扣除优惠主体包括小型企业、微型企业、监狱企业、残疾人福利性单位；中小企业是指在中华人民共和国境内依法设立，依据国务院批准的中小企业划分标准确定的中型企业、小型企业、微型企业，但与大企业的负责人为同一人，或者与大企业存在直接控股、管理关系的除外；符合中小企业划分标准的个体工商户，在政府采购</w:t>
      </w:r>
      <w:r>
        <w:rPr>
          <w:rFonts w:hint="eastAsia" w:ascii="宋体" w:hAnsi="宋体" w:cs="宋体"/>
          <w:szCs w:val="21"/>
        </w:rPr>
        <w:t>、自行采购</w:t>
      </w:r>
      <w:r>
        <w:rPr>
          <w:rFonts w:hint="eastAsia"/>
        </w:rPr>
        <w:t>活动中视同中小企业；(</w:t>
      </w:r>
      <w:r>
        <w:t>b)</w:t>
      </w:r>
      <w:r>
        <w:rPr>
          <w:rFonts w:hint="eastAsia"/>
        </w:rPr>
        <w:t>优惠主体制造是指货物由优惠主体生产且使用该优惠主体商号或者注册商标；投标人提供的货物既有优惠主体制造货物，又有非优惠主体制造货物的，不给予价格扣除。</w:t>
      </w:r>
    </w:p>
    <w:p w14:paraId="6646053E">
      <w:pPr>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w:t>
      </w:r>
      <w:bookmarkStart w:id="37" w:name="_Hlk71970739"/>
      <w:r>
        <w:rPr>
          <w:rFonts w:hint="eastAsia" w:asciiTheme="minorEastAsia" w:hAnsiTheme="minorEastAsia" w:eastAsiaTheme="minorEastAsia" w:cstheme="minorEastAsia"/>
          <w:szCs w:val="21"/>
        </w:rPr>
        <w:t>中小企业参加政府采购</w:t>
      </w:r>
      <w:r>
        <w:rPr>
          <w:rFonts w:hint="eastAsia" w:ascii="宋体" w:hAnsi="宋体" w:cs="宋体"/>
          <w:szCs w:val="21"/>
        </w:rPr>
        <w:t>、自行采购</w:t>
      </w:r>
      <w:r>
        <w:rPr>
          <w:rFonts w:hint="eastAsia" w:asciiTheme="minorEastAsia" w:hAnsiTheme="minorEastAsia" w:eastAsiaTheme="minorEastAsia" w:cstheme="minorEastAsia"/>
          <w:szCs w:val="21"/>
        </w:rPr>
        <w:t>活动，应当按照国务院批准的《中小企业划型标准规定》（工信部联企业〔2011〕300号）、《金融业企业划型标准规定》（银发〔2015〕309号）和《财政部 工业和信息化部关于印发〈政府采购促进中小企业发展管理办法〉的通知》（财库〔2020〕46号）的规定，出具《中小企业声明函》，</w:t>
      </w:r>
      <w:r>
        <w:rPr>
          <w:rFonts w:hint="eastAsia" w:asciiTheme="minorEastAsia" w:hAnsiTheme="minorEastAsia" w:eastAsiaTheme="minorEastAsia" w:cstheme="minorEastAsia"/>
          <w:b/>
          <w:bCs/>
          <w:color w:val="FF0000"/>
          <w:szCs w:val="21"/>
        </w:rPr>
        <w:t>《中小企业声明函》中相关企业（货物制造商）所属行业应当与采购标的所属行业相一致，</w:t>
      </w:r>
      <w:r>
        <w:rPr>
          <w:rFonts w:hint="eastAsia"/>
          <w:b/>
          <w:bCs/>
          <w:color w:val="FF0000"/>
        </w:rPr>
        <w:t>标的所属行业以招标文件第一册第三章用户需求书“货物清单明细”的“标的所属行业”一栏为准</w:t>
      </w:r>
      <w:r>
        <w:rPr>
          <w:rFonts w:hint="eastAsia" w:asciiTheme="minorEastAsia" w:hAnsiTheme="minorEastAsia" w:eastAsiaTheme="minorEastAsia" w:cstheme="minorEastAsia"/>
          <w:b/>
          <w:bCs/>
          <w:color w:val="FF0000"/>
          <w:szCs w:val="21"/>
        </w:rPr>
        <w:t>。</w:t>
      </w:r>
      <w:bookmarkEnd w:id="37"/>
    </w:p>
    <w:p w14:paraId="58587300">
      <w:pPr>
        <w:ind w:firstLine="420" w:firstLineChars="200"/>
      </w:pPr>
      <w:r>
        <w:rPr>
          <w:rFonts w:hint="eastAsia" w:asciiTheme="minorEastAsia" w:hAnsiTheme="minorEastAsia" w:eastAsiaTheme="minorEastAsia" w:cstheme="minorEastAsia"/>
          <w:szCs w:val="21"/>
        </w:rPr>
        <w:t>（4）小型企业、微型企业、残疾人福利性单位作为优惠主体的认定资料为《中小企业声明函》、《残疾人福利性单</w:t>
      </w:r>
      <w:r>
        <w:rPr>
          <w:rFonts w:hint="eastAsia"/>
        </w:rPr>
        <w:t>位声明函》；监狱企业作为优惠主体的认定资料为省级以上监狱管理局、戒毒管理局出具的监狱企业证明文件。声明函样式见本招标文件第一册专用条款第四章“投标文件组成要求及格式”中“三、投标人情况及资格证明文件”章节提供的格式）。</w:t>
      </w:r>
    </w:p>
    <w:p w14:paraId="2A573CDE">
      <w:pPr>
        <w:ind w:firstLine="420" w:firstLineChars="200"/>
        <w:rPr>
          <w:color w:val="FF0000"/>
        </w:rPr>
      </w:pPr>
      <w:r>
        <w:rPr>
          <w:rFonts w:hint="eastAsia"/>
        </w:rPr>
        <w:t>（5）享受价格扣除获得采购合同的，小微企业不得将合同分包给大中型企业。</w:t>
      </w:r>
    </w:p>
    <w:p w14:paraId="718E1735">
      <w:pPr>
        <w:ind w:firstLine="422" w:firstLineChars="200"/>
        <w:rPr>
          <w:b/>
          <w:bCs/>
        </w:rPr>
      </w:pPr>
    </w:p>
    <w:p w14:paraId="5830A5F0">
      <w:pPr>
        <w:ind w:firstLine="422" w:firstLineChars="200"/>
        <w:rPr>
          <w:b/>
          <w:bCs/>
        </w:rPr>
      </w:pPr>
      <w:r>
        <w:rPr>
          <w:rFonts w:hint="eastAsia"/>
          <w:b/>
          <w:bCs/>
        </w:rPr>
        <w:t>2、本项目为代理服务项目，将向中标（成交）供应商收取代理服务费。</w:t>
      </w:r>
    </w:p>
    <w:p w14:paraId="05E74E69">
      <w:pPr>
        <w:ind w:firstLine="420" w:firstLineChars="200"/>
      </w:pPr>
      <w:r>
        <w:rPr>
          <w:rFonts w:hint="eastAsia"/>
        </w:rPr>
        <w:t>中标（成交）供应商在领取《中标（成交）通知书》之前须向深圳公共资源交易中心（深圳交易集团有限公司坪山分公司）交纳代理服务费。若因中标（成交）供应商交纳代理服务费所产生的时间影响到合同签订的，由中标（成交）供应商自行承担责任。代理服务费标准参照下列标准收取。</w:t>
      </w:r>
      <w:r>
        <w:rPr>
          <w:rFonts w:hint="eastAsia"/>
          <w:b/>
          <w:color w:val="FF0000"/>
        </w:rPr>
        <w:t>本项目类型为货物采购：</w:t>
      </w:r>
    </w:p>
    <w:p w14:paraId="662401B1">
      <w:pPr>
        <w:ind w:firstLine="420" w:firstLineChars="200"/>
      </w:pPr>
      <w:r>
        <w:rPr>
          <w:rFonts w:hint="eastAsia"/>
        </w:rPr>
        <w:t>（1）代理服务费以《中标（成交）通知书》确定的中标（成交）金额作为计算基数，按差额定率累进法计算。</w:t>
      </w:r>
    </w:p>
    <w:p w14:paraId="4922A2E4">
      <w:pPr>
        <w:ind w:firstLine="420" w:firstLineChars="200"/>
      </w:pPr>
      <w:r>
        <w:rPr>
          <w:rFonts w:hint="eastAsia"/>
        </w:rPr>
        <w:t>（2）中标（成交）金额的各部分费率如下表：</w:t>
      </w:r>
    </w:p>
    <w:tbl>
      <w:tblPr>
        <w:tblStyle w:val="43"/>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25"/>
        <w:gridCol w:w="1799"/>
        <w:gridCol w:w="1799"/>
        <w:gridCol w:w="1799"/>
      </w:tblGrid>
      <w:tr w14:paraId="42459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3125" w:type="dxa"/>
            <w:vAlign w:val="center"/>
          </w:tcPr>
          <w:p w14:paraId="1980CF28">
            <w:pPr>
              <w:widowControl/>
              <w:spacing w:line="360" w:lineRule="auto"/>
              <w:jc w:val="center"/>
            </w:pPr>
            <w:r>
              <w:rPr>
                <w:rFonts w:hint="eastAsia"/>
              </w:rPr>
              <w:t>中标（成交）金额</w:t>
            </w:r>
          </w:p>
        </w:tc>
        <w:tc>
          <w:tcPr>
            <w:tcW w:w="1799" w:type="dxa"/>
            <w:vAlign w:val="center"/>
          </w:tcPr>
          <w:p w14:paraId="6B7E824E">
            <w:pPr>
              <w:widowControl/>
              <w:spacing w:line="360" w:lineRule="auto"/>
              <w:jc w:val="center"/>
            </w:pPr>
            <w:r>
              <w:rPr>
                <w:rFonts w:hint="eastAsia"/>
              </w:rPr>
              <w:t>货物采购</w:t>
            </w:r>
          </w:p>
        </w:tc>
        <w:tc>
          <w:tcPr>
            <w:tcW w:w="1799" w:type="dxa"/>
            <w:vAlign w:val="center"/>
          </w:tcPr>
          <w:p w14:paraId="7DD05D67">
            <w:pPr>
              <w:widowControl/>
              <w:spacing w:line="360" w:lineRule="auto"/>
              <w:jc w:val="center"/>
            </w:pPr>
            <w:r>
              <w:rPr>
                <w:rFonts w:hint="eastAsia"/>
              </w:rPr>
              <w:t>服务采购</w:t>
            </w:r>
          </w:p>
        </w:tc>
        <w:tc>
          <w:tcPr>
            <w:tcW w:w="1799" w:type="dxa"/>
            <w:vAlign w:val="center"/>
          </w:tcPr>
          <w:p w14:paraId="19C58DEA">
            <w:pPr>
              <w:widowControl/>
              <w:spacing w:line="360" w:lineRule="auto"/>
              <w:jc w:val="center"/>
            </w:pPr>
            <w:r>
              <w:rPr>
                <w:rFonts w:hint="eastAsia"/>
              </w:rPr>
              <w:t>工程采购</w:t>
            </w:r>
          </w:p>
        </w:tc>
      </w:tr>
      <w:tr w14:paraId="1F916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1232BE79">
            <w:pPr>
              <w:widowControl/>
              <w:spacing w:line="360" w:lineRule="auto"/>
              <w:jc w:val="center"/>
            </w:pPr>
            <w:r>
              <w:rPr>
                <w:rFonts w:hint="eastAsia"/>
              </w:rPr>
              <w:t>100万元以下</w:t>
            </w:r>
          </w:p>
        </w:tc>
        <w:tc>
          <w:tcPr>
            <w:tcW w:w="1799" w:type="dxa"/>
            <w:vAlign w:val="center"/>
          </w:tcPr>
          <w:p w14:paraId="1D8E33BC">
            <w:pPr>
              <w:widowControl/>
              <w:spacing w:line="360" w:lineRule="auto"/>
              <w:jc w:val="center"/>
            </w:pPr>
            <w:r>
              <w:rPr>
                <w:rFonts w:hint="eastAsia"/>
              </w:rPr>
              <w:t>1.5%</w:t>
            </w:r>
          </w:p>
        </w:tc>
        <w:tc>
          <w:tcPr>
            <w:tcW w:w="1799" w:type="dxa"/>
            <w:vAlign w:val="center"/>
          </w:tcPr>
          <w:p w14:paraId="3659A886">
            <w:pPr>
              <w:widowControl/>
              <w:spacing w:line="360" w:lineRule="auto"/>
              <w:jc w:val="center"/>
            </w:pPr>
            <w:r>
              <w:rPr>
                <w:rFonts w:hint="eastAsia"/>
              </w:rPr>
              <w:t>1.5%</w:t>
            </w:r>
          </w:p>
        </w:tc>
        <w:tc>
          <w:tcPr>
            <w:tcW w:w="1799" w:type="dxa"/>
            <w:vAlign w:val="center"/>
          </w:tcPr>
          <w:p w14:paraId="33EF836F">
            <w:pPr>
              <w:widowControl/>
              <w:spacing w:line="360" w:lineRule="auto"/>
              <w:jc w:val="center"/>
            </w:pPr>
            <w:r>
              <w:rPr>
                <w:rFonts w:hint="eastAsia"/>
              </w:rPr>
              <w:t>1.0%</w:t>
            </w:r>
          </w:p>
        </w:tc>
      </w:tr>
      <w:tr w14:paraId="481DD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6EEBD0C9">
            <w:pPr>
              <w:widowControl/>
              <w:spacing w:line="360" w:lineRule="auto"/>
              <w:jc w:val="center"/>
            </w:pPr>
            <w:r>
              <w:rPr>
                <w:rFonts w:hint="eastAsia"/>
              </w:rPr>
              <w:t>100万元（含）-500万元</w:t>
            </w:r>
          </w:p>
        </w:tc>
        <w:tc>
          <w:tcPr>
            <w:tcW w:w="1799" w:type="dxa"/>
            <w:vAlign w:val="center"/>
          </w:tcPr>
          <w:p w14:paraId="68DB4352">
            <w:pPr>
              <w:widowControl/>
              <w:spacing w:line="360" w:lineRule="auto"/>
              <w:jc w:val="center"/>
            </w:pPr>
            <w:r>
              <w:rPr>
                <w:rFonts w:hint="eastAsia"/>
              </w:rPr>
              <w:t>1.1%</w:t>
            </w:r>
          </w:p>
        </w:tc>
        <w:tc>
          <w:tcPr>
            <w:tcW w:w="1799" w:type="dxa"/>
            <w:vAlign w:val="center"/>
          </w:tcPr>
          <w:p w14:paraId="04DA3702">
            <w:pPr>
              <w:widowControl/>
              <w:spacing w:line="360" w:lineRule="auto"/>
              <w:jc w:val="center"/>
            </w:pPr>
            <w:r>
              <w:rPr>
                <w:rFonts w:hint="eastAsia"/>
              </w:rPr>
              <w:t>0.8%</w:t>
            </w:r>
          </w:p>
        </w:tc>
        <w:tc>
          <w:tcPr>
            <w:tcW w:w="1799" w:type="dxa"/>
            <w:vAlign w:val="center"/>
          </w:tcPr>
          <w:p w14:paraId="477FE8D0">
            <w:pPr>
              <w:widowControl/>
              <w:spacing w:line="360" w:lineRule="auto"/>
              <w:jc w:val="center"/>
            </w:pPr>
            <w:r>
              <w:rPr>
                <w:rFonts w:hint="eastAsia"/>
              </w:rPr>
              <w:t>0.7%</w:t>
            </w:r>
          </w:p>
        </w:tc>
      </w:tr>
      <w:tr w14:paraId="5B2C4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70B3FE97">
            <w:pPr>
              <w:widowControl/>
              <w:spacing w:line="360" w:lineRule="auto"/>
              <w:jc w:val="center"/>
            </w:pPr>
            <w:r>
              <w:rPr>
                <w:rFonts w:hint="eastAsia"/>
              </w:rPr>
              <w:t>500万元（含）-1000万元</w:t>
            </w:r>
          </w:p>
        </w:tc>
        <w:tc>
          <w:tcPr>
            <w:tcW w:w="1799" w:type="dxa"/>
            <w:vAlign w:val="center"/>
          </w:tcPr>
          <w:p w14:paraId="2148EEDA">
            <w:pPr>
              <w:widowControl/>
              <w:spacing w:line="360" w:lineRule="auto"/>
              <w:jc w:val="center"/>
            </w:pPr>
            <w:r>
              <w:rPr>
                <w:rFonts w:hint="eastAsia"/>
              </w:rPr>
              <w:t>0.8%</w:t>
            </w:r>
          </w:p>
        </w:tc>
        <w:tc>
          <w:tcPr>
            <w:tcW w:w="1799" w:type="dxa"/>
            <w:vAlign w:val="center"/>
          </w:tcPr>
          <w:p w14:paraId="4445EDF8">
            <w:pPr>
              <w:widowControl/>
              <w:spacing w:line="360" w:lineRule="auto"/>
              <w:jc w:val="center"/>
            </w:pPr>
            <w:r>
              <w:rPr>
                <w:rFonts w:hint="eastAsia"/>
              </w:rPr>
              <w:t>0.45%</w:t>
            </w:r>
          </w:p>
        </w:tc>
        <w:tc>
          <w:tcPr>
            <w:tcW w:w="1799" w:type="dxa"/>
            <w:vAlign w:val="center"/>
          </w:tcPr>
          <w:p w14:paraId="0D2B64EE">
            <w:pPr>
              <w:widowControl/>
              <w:spacing w:line="360" w:lineRule="auto"/>
              <w:jc w:val="center"/>
            </w:pPr>
            <w:r>
              <w:rPr>
                <w:rFonts w:hint="eastAsia"/>
              </w:rPr>
              <w:t>0.55%</w:t>
            </w:r>
          </w:p>
        </w:tc>
      </w:tr>
      <w:tr w14:paraId="03A3F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112CF09E">
            <w:pPr>
              <w:widowControl/>
              <w:spacing w:line="360" w:lineRule="auto"/>
              <w:jc w:val="center"/>
            </w:pPr>
            <w:r>
              <w:rPr>
                <w:rFonts w:hint="eastAsia"/>
              </w:rPr>
              <w:t>1000万元（含）-5000万元</w:t>
            </w:r>
          </w:p>
        </w:tc>
        <w:tc>
          <w:tcPr>
            <w:tcW w:w="1799" w:type="dxa"/>
            <w:vAlign w:val="center"/>
          </w:tcPr>
          <w:p w14:paraId="569B8B24">
            <w:pPr>
              <w:widowControl/>
              <w:spacing w:line="360" w:lineRule="auto"/>
              <w:jc w:val="center"/>
            </w:pPr>
            <w:r>
              <w:rPr>
                <w:rFonts w:hint="eastAsia"/>
              </w:rPr>
              <w:t>0.5%</w:t>
            </w:r>
          </w:p>
        </w:tc>
        <w:tc>
          <w:tcPr>
            <w:tcW w:w="1799" w:type="dxa"/>
            <w:vAlign w:val="center"/>
          </w:tcPr>
          <w:p w14:paraId="4B76A0B2">
            <w:pPr>
              <w:widowControl/>
              <w:spacing w:line="360" w:lineRule="auto"/>
              <w:jc w:val="center"/>
            </w:pPr>
            <w:r>
              <w:rPr>
                <w:rFonts w:hint="eastAsia"/>
              </w:rPr>
              <w:t>0.25%</w:t>
            </w:r>
          </w:p>
        </w:tc>
        <w:tc>
          <w:tcPr>
            <w:tcW w:w="1799" w:type="dxa"/>
            <w:vAlign w:val="center"/>
          </w:tcPr>
          <w:p w14:paraId="0AC65593">
            <w:pPr>
              <w:widowControl/>
              <w:spacing w:line="360" w:lineRule="auto"/>
              <w:jc w:val="center"/>
            </w:pPr>
            <w:r>
              <w:rPr>
                <w:rFonts w:hint="eastAsia"/>
              </w:rPr>
              <w:t>0.35%</w:t>
            </w:r>
          </w:p>
        </w:tc>
      </w:tr>
      <w:tr w14:paraId="3F71F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04E3810B">
            <w:pPr>
              <w:widowControl/>
              <w:spacing w:line="360" w:lineRule="auto"/>
              <w:jc w:val="center"/>
            </w:pPr>
            <w:r>
              <w:rPr>
                <w:rFonts w:hint="eastAsia"/>
              </w:rPr>
              <w:t>5000万元（含）-1亿元</w:t>
            </w:r>
          </w:p>
        </w:tc>
        <w:tc>
          <w:tcPr>
            <w:tcW w:w="1799" w:type="dxa"/>
            <w:vAlign w:val="center"/>
          </w:tcPr>
          <w:p w14:paraId="5C02C70D">
            <w:pPr>
              <w:widowControl/>
              <w:spacing w:line="360" w:lineRule="auto"/>
              <w:jc w:val="center"/>
            </w:pPr>
            <w:r>
              <w:rPr>
                <w:rFonts w:hint="eastAsia"/>
              </w:rPr>
              <w:t>0.25%</w:t>
            </w:r>
          </w:p>
        </w:tc>
        <w:tc>
          <w:tcPr>
            <w:tcW w:w="1799" w:type="dxa"/>
            <w:vAlign w:val="center"/>
          </w:tcPr>
          <w:p w14:paraId="214CA4C3">
            <w:pPr>
              <w:widowControl/>
              <w:spacing w:line="360" w:lineRule="auto"/>
              <w:jc w:val="center"/>
            </w:pPr>
            <w:r>
              <w:rPr>
                <w:rFonts w:hint="eastAsia"/>
              </w:rPr>
              <w:t>0.1%</w:t>
            </w:r>
          </w:p>
        </w:tc>
        <w:tc>
          <w:tcPr>
            <w:tcW w:w="1799" w:type="dxa"/>
            <w:vAlign w:val="center"/>
          </w:tcPr>
          <w:p w14:paraId="733E7E33">
            <w:pPr>
              <w:widowControl/>
              <w:spacing w:line="360" w:lineRule="auto"/>
              <w:jc w:val="center"/>
            </w:pPr>
            <w:r>
              <w:rPr>
                <w:rFonts w:hint="eastAsia"/>
              </w:rPr>
              <w:t>0.2%</w:t>
            </w:r>
          </w:p>
        </w:tc>
      </w:tr>
      <w:tr w14:paraId="5230D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20D3D1C7">
            <w:pPr>
              <w:widowControl/>
              <w:spacing w:line="360" w:lineRule="auto"/>
              <w:jc w:val="center"/>
            </w:pPr>
            <w:r>
              <w:rPr>
                <w:rFonts w:hint="eastAsia"/>
              </w:rPr>
              <w:t>1亿元（含）-5亿元</w:t>
            </w:r>
          </w:p>
        </w:tc>
        <w:tc>
          <w:tcPr>
            <w:tcW w:w="1799" w:type="dxa"/>
            <w:vAlign w:val="center"/>
          </w:tcPr>
          <w:p w14:paraId="72C4583D">
            <w:pPr>
              <w:widowControl/>
              <w:spacing w:line="360" w:lineRule="auto"/>
              <w:jc w:val="center"/>
            </w:pPr>
            <w:r>
              <w:rPr>
                <w:rFonts w:hint="eastAsia"/>
              </w:rPr>
              <w:t>0.05%</w:t>
            </w:r>
          </w:p>
        </w:tc>
        <w:tc>
          <w:tcPr>
            <w:tcW w:w="1799" w:type="dxa"/>
            <w:vAlign w:val="center"/>
          </w:tcPr>
          <w:p w14:paraId="15AB9455">
            <w:pPr>
              <w:widowControl/>
              <w:spacing w:line="360" w:lineRule="auto"/>
              <w:jc w:val="center"/>
            </w:pPr>
            <w:r>
              <w:rPr>
                <w:rFonts w:hint="eastAsia"/>
              </w:rPr>
              <w:t>0.05%</w:t>
            </w:r>
          </w:p>
        </w:tc>
        <w:tc>
          <w:tcPr>
            <w:tcW w:w="1799" w:type="dxa"/>
            <w:vAlign w:val="center"/>
          </w:tcPr>
          <w:p w14:paraId="3AEA8F6F">
            <w:pPr>
              <w:widowControl/>
              <w:spacing w:line="360" w:lineRule="auto"/>
              <w:jc w:val="center"/>
            </w:pPr>
            <w:r>
              <w:rPr>
                <w:rFonts w:hint="eastAsia"/>
              </w:rPr>
              <w:t>0.05%</w:t>
            </w:r>
          </w:p>
        </w:tc>
      </w:tr>
      <w:tr w14:paraId="04AA4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0D57681A">
            <w:pPr>
              <w:widowControl/>
              <w:spacing w:line="360" w:lineRule="auto"/>
              <w:jc w:val="center"/>
            </w:pPr>
            <w:r>
              <w:rPr>
                <w:rFonts w:hint="eastAsia"/>
              </w:rPr>
              <w:t>5亿元（含）-10亿元</w:t>
            </w:r>
          </w:p>
        </w:tc>
        <w:tc>
          <w:tcPr>
            <w:tcW w:w="1799" w:type="dxa"/>
            <w:vAlign w:val="center"/>
          </w:tcPr>
          <w:p w14:paraId="42EDAE4E">
            <w:pPr>
              <w:widowControl/>
              <w:spacing w:line="360" w:lineRule="auto"/>
              <w:jc w:val="center"/>
            </w:pPr>
            <w:r>
              <w:rPr>
                <w:rFonts w:hint="eastAsia"/>
              </w:rPr>
              <w:t>0.035%</w:t>
            </w:r>
          </w:p>
        </w:tc>
        <w:tc>
          <w:tcPr>
            <w:tcW w:w="1799" w:type="dxa"/>
            <w:vAlign w:val="center"/>
          </w:tcPr>
          <w:p w14:paraId="66D01677">
            <w:pPr>
              <w:widowControl/>
              <w:spacing w:line="360" w:lineRule="auto"/>
              <w:jc w:val="center"/>
            </w:pPr>
            <w:r>
              <w:rPr>
                <w:rFonts w:hint="eastAsia"/>
              </w:rPr>
              <w:t>0.035%</w:t>
            </w:r>
          </w:p>
        </w:tc>
        <w:tc>
          <w:tcPr>
            <w:tcW w:w="1799" w:type="dxa"/>
            <w:vAlign w:val="center"/>
          </w:tcPr>
          <w:p w14:paraId="59C08F78">
            <w:pPr>
              <w:widowControl/>
              <w:spacing w:line="360" w:lineRule="auto"/>
              <w:jc w:val="center"/>
            </w:pPr>
            <w:r>
              <w:rPr>
                <w:rFonts w:hint="eastAsia"/>
              </w:rPr>
              <w:t>0.035%</w:t>
            </w:r>
          </w:p>
        </w:tc>
      </w:tr>
      <w:tr w14:paraId="1D31F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125" w:type="dxa"/>
            <w:vAlign w:val="center"/>
          </w:tcPr>
          <w:p w14:paraId="0E1E08DF">
            <w:pPr>
              <w:widowControl/>
              <w:spacing w:line="360" w:lineRule="auto"/>
              <w:jc w:val="center"/>
            </w:pPr>
            <w:r>
              <w:rPr>
                <w:rFonts w:hint="eastAsia"/>
              </w:rPr>
              <w:t>10亿元（含）-50亿元</w:t>
            </w:r>
          </w:p>
        </w:tc>
        <w:tc>
          <w:tcPr>
            <w:tcW w:w="1799" w:type="dxa"/>
            <w:vAlign w:val="center"/>
          </w:tcPr>
          <w:p w14:paraId="3986D10C">
            <w:pPr>
              <w:widowControl/>
              <w:spacing w:line="360" w:lineRule="auto"/>
              <w:jc w:val="center"/>
            </w:pPr>
            <w:r>
              <w:rPr>
                <w:rFonts w:hint="eastAsia"/>
              </w:rPr>
              <w:t>0.008%</w:t>
            </w:r>
          </w:p>
        </w:tc>
        <w:tc>
          <w:tcPr>
            <w:tcW w:w="1799" w:type="dxa"/>
            <w:vAlign w:val="center"/>
          </w:tcPr>
          <w:p w14:paraId="7DD95442">
            <w:pPr>
              <w:widowControl/>
              <w:spacing w:line="360" w:lineRule="auto"/>
              <w:jc w:val="center"/>
            </w:pPr>
            <w:r>
              <w:rPr>
                <w:rFonts w:hint="eastAsia"/>
              </w:rPr>
              <w:t>0.008%</w:t>
            </w:r>
          </w:p>
        </w:tc>
        <w:tc>
          <w:tcPr>
            <w:tcW w:w="1799" w:type="dxa"/>
            <w:vAlign w:val="center"/>
          </w:tcPr>
          <w:p w14:paraId="583A3F43">
            <w:pPr>
              <w:widowControl/>
              <w:spacing w:line="360" w:lineRule="auto"/>
              <w:jc w:val="center"/>
            </w:pPr>
            <w:r>
              <w:rPr>
                <w:rFonts w:hint="eastAsia"/>
              </w:rPr>
              <w:t>0.008%</w:t>
            </w:r>
          </w:p>
        </w:tc>
      </w:tr>
      <w:tr w14:paraId="71F1F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1347E5F9">
            <w:pPr>
              <w:widowControl/>
              <w:spacing w:line="360" w:lineRule="auto"/>
              <w:jc w:val="center"/>
            </w:pPr>
            <w:r>
              <w:rPr>
                <w:rFonts w:hint="eastAsia"/>
              </w:rPr>
              <w:t>50亿元（含）-100亿元</w:t>
            </w:r>
          </w:p>
        </w:tc>
        <w:tc>
          <w:tcPr>
            <w:tcW w:w="1799" w:type="dxa"/>
            <w:vAlign w:val="center"/>
          </w:tcPr>
          <w:p w14:paraId="3ADF7287">
            <w:pPr>
              <w:widowControl/>
              <w:spacing w:line="360" w:lineRule="auto"/>
              <w:jc w:val="center"/>
            </w:pPr>
            <w:r>
              <w:rPr>
                <w:rFonts w:hint="eastAsia"/>
              </w:rPr>
              <w:t>0.006%</w:t>
            </w:r>
          </w:p>
        </w:tc>
        <w:tc>
          <w:tcPr>
            <w:tcW w:w="1799" w:type="dxa"/>
            <w:vAlign w:val="center"/>
          </w:tcPr>
          <w:p w14:paraId="1202F533">
            <w:pPr>
              <w:widowControl/>
              <w:spacing w:line="360" w:lineRule="auto"/>
              <w:jc w:val="center"/>
            </w:pPr>
            <w:r>
              <w:rPr>
                <w:rFonts w:hint="eastAsia"/>
              </w:rPr>
              <w:t>0.006%</w:t>
            </w:r>
          </w:p>
        </w:tc>
        <w:tc>
          <w:tcPr>
            <w:tcW w:w="1799" w:type="dxa"/>
            <w:vAlign w:val="center"/>
          </w:tcPr>
          <w:p w14:paraId="5246C3A1">
            <w:pPr>
              <w:widowControl/>
              <w:spacing w:line="360" w:lineRule="auto"/>
              <w:jc w:val="center"/>
            </w:pPr>
            <w:r>
              <w:rPr>
                <w:rFonts w:hint="eastAsia"/>
              </w:rPr>
              <w:t>0.006%</w:t>
            </w:r>
          </w:p>
        </w:tc>
      </w:tr>
      <w:tr w14:paraId="36F6E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25" w:type="dxa"/>
            <w:vAlign w:val="center"/>
          </w:tcPr>
          <w:p w14:paraId="4BBE1652">
            <w:pPr>
              <w:widowControl/>
              <w:spacing w:line="360" w:lineRule="auto"/>
              <w:jc w:val="center"/>
            </w:pPr>
            <w:r>
              <w:rPr>
                <w:rFonts w:hint="eastAsia"/>
              </w:rPr>
              <w:t>100亿元（含）以上</w:t>
            </w:r>
          </w:p>
        </w:tc>
        <w:tc>
          <w:tcPr>
            <w:tcW w:w="1799" w:type="dxa"/>
            <w:vAlign w:val="center"/>
          </w:tcPr>
          <w:p w14:paraId="3481576A">
            <w:pPr>
              <w:widowControl/>
              <w:spacing w:line="360" w:lineRule="auto"/>
              <w:jc w:val="center"/>
            </w:pPr>
            <w:r>
              <w:rPr>
                <w:rFonts w:hint="eastAsia"/>
              </w:rPr>
              <w:t>0.004%</w:t>
            </w:r>
          </w:p>
        </w:tc>
        <w:tc>
          <w:tcPr>
            <w:tcW w:w="1799" w:type="dxa"/>
            <w:vAlign w:val="center"/>
          </w:tcPr>
          <w:p w14:paraId="425DA3CF">
            <w:pPr>
              <w:widowControl/>
              <w:spacing w:line="360" w:lineRule="auto"/>
              <w:jc w:val="center"/>
            </w:pPr>
            <w:r>
              <w:rPr>
                <w:rFonts w:hint="eastAsia"/>
              </w:rPr>
              <w:t>0.004%</w:t>
            </w:r>
          </w:p>
        </w:tc>
        <w:tc>
          <w:tcPr>
            <w:tcW w:w="1799" w:type="dxa"/>
            <w:vAlign w:val="center"/>
          </w:tcPr>
          <w:p w14:paraId="11A098A7">
            <w:pPr>
              <w:widowControl/>
              <w:spacing w:line="360" w:lineRule="auto"/>
              <w:jc w:val="center"/>
            </w:pPr>
            <w:r>
              <w:rPr>
                <w:rFonts w:hint="eastAsia"/>
              </w:rPr>
              <w:t>0.004%</w:t>
            </w:r>
          </w:p>
        </w:tc>
      </w:tr>
    </w:tbl>
    <w:p w14:paraId="6ED3D3AD">
      <w:pPr>
        <w:ind w:firstLine="420" w:firstLineChars="200"/>
      </w:pPr>
      <w:r>
        <w:rPr>
          <w:rFonts w:hint="eastAsia"/>
        </w:rPr>
        <w:t>备注：1.每宗交易代理服务费不低于 5000 元；</w:t>
      </w:r>
    </w:p>
    <w:p w14:paraId="3A111CA4">
      <w:pPr>
        <w:ind w:firstLine="420" w:firstLineChars="200"/>
      </w:pPr>
      <w:r>
        <w:rPr>
          <w:rFonts w:hint="eastAsia"/>
        </w:rPr>
        <w:t>2.对于报总价的采购类项目，中标（成交）价为中标（成交）金额；对于报单价、折扣或费率的采购类项目，中标（成交）价为预算上限金额或经委托方与代理方确定的支付上限金额；</w:t>
      </w:r>
    </w:p>
    <w:p w14:paraId="1B268FC4">
      <w:pPr>
        <w:ind w:firstLine="420" w:firstLineChars="200"/>
      </w:pPr>
    </w:p>
    <w:p w14:paraId="033D91FB">
      <w:pPr>
        <w:ind w:firstLine="420" w:firstLineChars="200"/>
      </w:pPr>
      <w:r>
        <w:rPr>
          <w:rFonts w:hint="eastAsia"/>
        </w:rPr>
        <w:t>如某货物采购项目，中标（成交）金额为600万元，总共交纳的代理服务费的具体计算过程如下：</w:t>
      </w:r>
    </w:p>
    <w:p w14:paraId="02215B1D">
      <w:pPr>
        <w:ind w:firstLine="420" w:firstLineChars="200"/>
      </w:pPr>
      <w:r>
        <w:rPr>
          <w:rFonts w:hint="eastAsia"/>
        </w:rPr>
        <w:t>标准代理服务费＝（100万以下部分的代理服务费）+（100万～500万部分的代理服务费）+（500万～600万部分的代理服务费）＝100万元×1.5%+（500-100）万元×1.1%+（600-500）万元×0.8%=1.5万元+4.4万元+0.8万元＝6.7万元</w:t>
      </w:r>
    </w:p>
    <w:p w14:paraId="0AB126F3">
      <w:pPr>
        <w:ind w:firstLine="420" w:firstLineChars="200"/>
      </w:pPr>
      <w:r>
        <w:rPr>
          <w:rFonts w:hint="eastAsia"/>
        </w:rPr>
        <w:t>（3）中标（成交）供应商中标（成交）后，必须按规定采用银行对公转账方式向深圳交易集团有限公司直接交纳代理服务费，交纳信息及要求按照缴款（付款）通知书执行。</w:t>
      </w:r>
    </w:p>
    <w:p w14:paraId="05F0A38D">
      <w:pPr>
        <w:pStyle w:val="36"/>
        <w:rPr>
          <w:b/>
        </w:rPr>
      </w:pPr>
    </w:p>
    <w:p w14:paraId="2E174624">
      <w:pPr>
        <w:pStyle w:val="36"/>
        <w:rPr>
          <w:b/>
        </w:rPr>
        <w:sectPr>
          <w:pgSz w:w="11907" w:h="16840"/>
          <w:pgMar w:top="1440" w:right="1797" w:bottom="1440" w:left="1797" w:header="851" w:footer="992" w:gutter="0"/>
          <w:cols w:space="425" w:num="1"/>
          <w:titlePg/>
          <w:docGrid w:linePitch="462" w:charSpace="0"/>
        </w:sectPr>
      </w:pPr>
    </w:p>
    <w:bookmarkEnd w:id="35"/>
    <w:p w14:paraId="550CF655">
      <w:pPr>
        <w:pStyle w:val="6"/>
        <w:rPr>
          <w:sz w:val="28"/>
          <w:szCs w:val="28"/>
        </w:rPr>
      </w:pPr>
      <w:r>
        <w:rPr>
          <w:rFonts w:hint="eastAsia"/>
          <w:sz w:val="28"/>
          <w:szCs w:val="28"/>
        </w:rPr>
        <w:t>第三章 用户需求书</w:t>
      </w:r>
    </w:p>
    <w:p w14:paraId="5BB22801">
      <w:pPr>
        <w:pStyle w:val="6"/>
        <w:spacing w:before="120" w:beforeLines="50" w:after="120" w:afterLines="50"/>
        <w:rPr>
          <w:szCs w:val="24"/>
        </w:rPr>
      </w:pPr>
      <w:r>
        <w:rPr>
          <w:rFonts w:hint="eastAsia"/>
          <w:szCs w:val="24"/>
        </w:rPr>
        <w:t>一、项目基本信息</w:t>
      </w:r>
    </w:p>
    <w:p w14:paraId="65E36C7C">
      <w:pPr>
        <w:rPr>
          <w:rFonts w:ascii="宋体" w:hAnsi="宋体"/>
          <w:b/>
          <w:color w:val="FF0000"/>
          <w:szCs w:val="21"/>
        </w:rPr>
      </w:pPr>
    </w:p>
    <w:tbl>
      <w:tblPr>
        <w:tblStyle w:val="43"/>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94"/>
        <w:gridCol w:w="4545"/>
        <w:gridCol w:w="3388"/>
      </w:tblGrid>
      <w:tr w14:paraId="60277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8" w:type="pct"/>
            <w:vAlign w:val="center"/>
          </w:tcPr>
          <w:p w14:paraId="2B70F1CA">
            <w:pPr>
              <w:jc w:val="center"/>
              <w:rPr>
                <w:bCs/>
                <w:szCs w:val="21"/>
              </w:rPr>
            </w:pPr>
            <w:r>
              <w:rPr>
                <w:rFonts w:hint="eastAsia"/>
                <w:bCs/>
                <w:szCs w:val="21"/>
              </w:rPr>
              <w:t>序号</w:t>
            </w:r>
          </w:p>
        </w:tc>
        <w:tc>
          <w:tcPr>
            <w:tcW w:w="2664" w:type="pct"/>
            <w:vAlign w:val="center"/>
          </w:tcPr>
          <w:p w14:paraId="3FD6F2F4">
            <w:pPr>
              <w:jc w:val="center"/>
              <w:rPr>
                <w:bCs/>
                <w:szCs w:val="21"/>
              </w:rPr>
            </w:pPr>
            <w:r>
              <w:rPr>
                <w:rFonts w:hint="eastAsia"/>
                <w:bCs/>
                <w:szCs w:val="21"/>
              </w:rPr>
              <w:t>采购项目名称</w:t>
            </w:r>
          </w:p>
        </w:tc>
        <w:tc>
          <w:tcPr>
            <w:tcW w:w="1986" w:type="pct"/>
            <w:vAlign w:val="center"/>
          </w:tcPr>
          <w:p w14:paraId="5D5DA4EB">
            <w:pPr>
              <w:jc w:val="center"/>
              <w:rPr>
                <w:b/>
                <w:bCs/>
                <w:color w:val="FF0000"/>
                <w:szCs w:val="21"/>
              </w:rPr>
            </w:pPr>
            <w:r>
              <w:rPr>
                <w:rFonts w:hint="eastAsia"/>
                <w:b/>
                <w:bCs/>
                <w:color w:val="FF0000"/>
                <w:szCs w:val="21"/>
              </w:rPr>
              <w:t>财政预算限额（元）</w:t>
            </w:r>
          </w:p>
        </w:tc>
      </w:tr>
      <w:tr w14:paraId="1E3A6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8" w:type="pct"/>
            <w:vAlign w:val="center"/>
          </w:tcPr>
          <w:p w14:paraId="4F8514B1">
            <w:pPr>
              <w:jc w:val="center"/>
              <w:rPr>
                <w:bCs/>
                <w:color w:val="FF0000"/>
                <w:szCs w:val="21"/>
              </w:rPr>
            </w:pPr>
            <w:r>
              <w:rPr>
                <w:rFonts w:hint="eastAsia"/>
                <w:bCs/>
                <w:color w:val="FF0000"/>
                <w:szCs w:val="21"/>
              </w:rPr>
              <w:t>1</w:t>
            </w:r>
          </w:p>
        </w:tc>
        <w:tc>
          <w:tcPr>
            <w:tcW w:w="2664" w:type="pct"/>
            <w:vAlign w:val="center"/>
          </w:tcPr>
          <w:p w14:paraId="22B02C49">
            <w:pPr>
              <w:jc w:val="center"/>
              <w:rPr>
                <w:rFonts w:hint="eastAsia" w:eastAsia="宋体"/>
                <w:b/>
                <w:bCs/>
                <w:color w:val="FF0000"/>
                <w:szCs w:val="21"/>
                <w:lang w:eastAsia="zh-CN"/>
              </w:rPr>
            </w:pPr>
            <w:r>
              <w:rPr>
                <w:rFonts w:hint="eastAsia"/>
                <w:b/>
                <w:bCs/>
                <w:color w:val="FF0000"/>
                <w:szCs w:val="21"/>
                <w:lang w:eastAsia="zh-CN"/>
              </w:rPr>
              <w:t>深圳市坪山区同育幼儿园钢琴采购</w:t>
            </w:r>
          </w:p>
        </w:tc>
        <w:tc>
          <w:tcPr>
            <w:tcW w:w="1986" w:type="pct"/>
            <w:vAlign w:val="center"/>
          </w:tcPr>
          <w:p w14:paraId="4F822026">
            <w:pPr>
              <w:jc w:val="center"/>
              <w:rPr>
                <w:bCs/>
                <w:color w:val="FF0000"/>
                <w:szCs w:val="21"/>
              </w:rPr>
            </w:pPr>
            <w:r>
              <w:rPr>
                <w:rFonts w:hint="eastAsia"/>
                <w:bCs/>
                <w:color w:val="FF0000"/>
                <w:szCs w:val="21"/>
              </w:rPr>
              <w:t>191,460.00</w:t>
            </w:r>
          </w:p>
        </w:tc>
      </w:tr>
    </w:tbl>
    <w:p w14:paraId="7528EC5B">
      <w:pPr>
        <w:rPr>
          <w:rFonts w:ascii="宋体" w:hAnsi="宋体"/>
          <w:b/>
          <w:color w:val="FF0000"/>
          <w:szCs w:val="21"/>
        </w:rPr>
      </w:pPr>
    </w:p>
    <w:p w14:paraId="7669C085">
      <w:pPr>
        <w:rPr>
          <w:rFonts w:ascii="宋体" w:hAnsi="宋体"/>
          <w:b/>
          <w:color w:val="FF0000"/>
          <w:szCs w:val="21"/>
        </w:rPr>
      </w:pPr>
      <w:bookmarkStart w:id="144" w:name="_GoBack"/>
      <w:bookmarkEnd w:id="144"/>
    </w:p>
    <w:p w14:paraId="02B1027C">
      <w:pPr>
        <w:pStyle w:val="6"/>
        <w:spacing w:before="120" w:beforeLines="50" w:after="120" w:afterLines="50"/>
        <w:rPr>
          <w:szCs w:val="24"/>
        </w:rPr>
      </w:pPr>
      <w:bookmarkStart w:id="38" w:name="_Hlk72258617"/>
      <w:r>
        <w:rPr>
          <w:rFonts w:hint="eastAsia"/>
          <w:szCs w:val="24"/>
        </w:rPr>
        <w:t>二、</w:t>
      </w:r>
      <w:bookmarkStart w:id="39" w:name="_Hlk72073432"/>
      <w:r>
        <w:rPr>
          <w:rFonts w:hint="eastAsia"/>
          <w:szCs w:val="24"/>
        </w:rPr>
        <w:t>货物清单明细</w:t>
      </w:r>
      <w:bookmarkEnd w:id="39"/>
    </w:p>
    <w:tbl>
      <w:tblPr>
        <w:tblStyle w:val="43"/>
        <w:tblW w:w="497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0"/>
        <w:gridCol w:w="2055"/>
        <w:gridCol w:w="825"/>
        <w:gridCol w:w="748"/>
        <w:gridCol w:w="1395"/>
        <w:gridCol w:w="1382"/>
        <w:gridCol w:w="1511"/>
      </w:tblGrid>
      <w:tr w14:paraId="7B8A5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 w:type="pct"/>
            <w:vAlign w:val="center"/>
          </w:tcPr>
          <w:p w14:paraId="5032698C">
            <w:pPr>
              <w:jc w:val="center"/>
              <w:rPr>
                <w:bCs/>
                <w:szCs w:val="21"/>
              </w:rPr>
            </w:pPr>
            <w:r>
              <w:rPr>
                <w:rFonts w:hint="eastAsia"/>
                <w:bCs/>
                <w:szCs w:val="21"/>
              </w:rPr>
              <w:t>序号</w:t>
            </w:r>
          </w:p>
        </w:tc>
        <w:tc>
          <w:tcPr>
            <w:tcW w:w="1210" w:type="pct"/>
            <w:vAlign w:val="center"/>
          </w:tcPr>
          <w:p w14:paraId="1FB8403B">
            <w:pPr>
              <w:jc w:val="center"/>
              <w:rPr>
                <w:bCs/>
                <w:szCs w:val="21"/>
              </w:rPr>
            </w:pPr>
            <w:r>
              <w:rPr>
                <w:rFonts w:hint="eastAsia"/>
                <w:bCs/>
                <w:szCs w:val="21"/>
              </w:rPr>
              <w:t>货物名称（标的名称）</w:t>
            </w:r>
          </w:p>
        </w:tc>
        <w:tc>
          <w:tcPr>
            <w:tcW w:w="486" w:type="pct"/>
            <w:vAlign w:val="center"/>
          </w:tcPr>
          <w:p w14:paraId="72F22345">
            <w:pPr>
              <w:jc w:val="center"/>
              <w:rPr>
                <w:bCs/>
                <w:szCs w:val="21"/>
              </w:rPr>
            </w:pPr>
            <w:r>
              <w:rPr>
                <w:rFonts w:hint="eastAsia"/>
                <w:bCs/>
                <w:szCs w:val="21"/>
              </w:rPr>
              <w:t>数量</w:t>
            </w:r>
          </w:p>
        </w:tc>
        <w:tc>
          <w:tcPr>
            <w:tcW w:w="441" w:type="pct"/>
            <w:vAlign w:val="center"/>
          </w:tcPr>
          <w:p w14:paraId="36320F23">
            <w:pPr>
              <w:jc w:val="center"/>
              <w:rPr>
                <w:bCs/>
                <w:szCs w:val="21"/>
              </w:rPr>
            </w:pPr>
            <w:r>
              <w:rPr>
                <w:rFonts w:hint="eastAsia"/>
                <w:bCs/>
                <w:szCs w:val="21"/>
              </w:rPr>
              <w:t>单位</w:t>
            </w:r>
          </w:p>
        </w:tc>
        <w:tc>
          <w:tcPr>
            <w:tcW w:w="821" w:type="pct"/>
            <w:vAlign w:val="center"/>
          </w:tcPr>
          <w:p w14:paraId="538EA175">
            <w:pPr>
              <w:jc w:val="center"/>
              <w:rPr>
                <w:b/>
                <w:bCs/>
                <w:color w:val="FF0000"/>
                <w:szCs w:val="21"/>
              </w:rPr>
            </w:pPr>
            <w:r>
              <w:rPr>
                <w:rFonts w:hint="eastAsia"/>
                <w:b/>
                <w:bCs/>
                <w:color w:val="FF0000"/>
                <w:szCs w:val="21"/>
              </w:rPr>
              <w:t>是否接受进口</w:t>
            </w:r>
          </w:p>
        </w:tc>
        <w:tc>
          <w:tcPr>
            <w:tcW w:w="813" w:type="pct"/>
            <w:vAlign w:val="center"/>
          </w:tcPr>
          <w:p w14:paraId="07BE9925">
            <w:pPr>
              <w:jc w:val="center"/>
              <w:rPr>
                <w:b/>
                <w:bCs/>
                <w:color w:val="FF0000"/>
                <w:szCs w:val="21"/>
              </w:rPr>
            </w:pPr>
            <w:r>
              <w:rPr>
                <w:rFonts w:hint="eastAsia"/>
                <w:b/>
                <w:bCs/>
                <w:color w:val="FF0000"/>
                <w:szCs w:val="21"/>
              </w:rPr>
              <w:t>是否专门面向中小企业</w:t>
            </w:r>
          </w:p>
        </w:tc>
        <w:tc>
          <w:tcPr>
            <w:tcW w:w="889" w:type="pct"/>
            <w:vAlign w:val="center"/>
          </w:tcPr>
          <w:p w14:paraId="733EE92F">
            <w:pPr>
              <w:jc w:val="center"/>
              <w:rPr>
                <w:b/>
                <w:bCs/>
                <w:color w:val="FF0000"/>
                <w:szCs w:val="21"/>
              </w:rPr>
            </w:pPr>
            <w:r>
              <w:rPr>
                <w:rFonts w:hint="eastAsia"/>
                <w:b/>
                <w:bCs/>
                <w:color w:val="FF0000"/>
                <w:szCs w:val="21"/>
              </w:rPr>
              <w:t>标的所属行业</w:t>
            </w:r>
          </w:p>
        </w:tc>
      </w:tr>
      <w:tr w14:paraId="4E8153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 w:type="pct"/>
            <w:vAlign w:val="center"/>
          </w:tcPr>
          <w:p w14:paraId="72389FC4">
            <w:pPr>
              <w:jc w:val="center"/>
              <w:rPr>
                <w:bCs/>
                <w:szCs w:val="21"/>
              </w:rPr>
            </w:pPr>
            <w:r>
              <w:rPr>
                <w:rFonts w:hint="eastAsia"/>
                <w:bCs/>
                <w:szCs w:val="21"/>
              </w:rPr>
              <w:t>1</w:t>
            </w:r>
          </w:p>
        </w:tc>
        <w:tc>
          <w:tcPr>
            <w:tcW w:w="1210" w:type="pct"/>
            <w:vAlign w:val="center"/>
          </w:tcPr>
          <w:p w14:paraId="5C06661D">
            <w:pPr>
              <w:widowControl/>
              <w:jc w:val="center"/>
              <w:rPr>
                <w:bCs/>
                <w:szCs w:val="21"/>
              </w:rPr>
            </w:pPr>
            <w:r>
              <w:rPr>
                <w:rFonts w:hint="eastAsia"/>
                <w:sz w:val="22"/>
                <w:szCs w:val="22"/>
              </w:rPr>
              <w:t>三角钢琴</w:t>
            </w:r>
          </w:p>
        </w:tc>
        <w:tc>
          <w:tcPr>
            <w:tcW w:w="486" w:type="pct"/>
            <w:vAlign w:val="center"/>
          </w:tcPr>
          <w:p w14:paraId="609641AE">
            <w:pPr>
              <w:widowControl/>
              <w:jc w:val="center"/>
              <w:rPr>
                <w:bCs/>
                <w:szCs w:val="21"/>
              </w:rPr>
            </w:pPr>
            <w:r>
              <w:rPr>
                <w:rFonts w:hint="eastAsia" w:ascii="宋体" w:hAnsi="宋体" w:cs="宋体"/>
                <w:color w:val="000000"/>
                <w:kern w:val="0"/>
                <w:sz w:val="22"/>
                <w:szCs w:val="22"/>
              </w:rPr>
              <w:t>1</w:t>
            </w:r>
          </w:p>
        </w:tc>
        <w:tc>
          <w:tcPr>
            <w:tcW w:w="441" w:type="pct"/>
            <w:vAlign w:val="center"/>
          </w:tcPr>
          <w:p w14:paraId="3137D87C">
            <w:pPr>
              <w:widowControl/>
              <w:jc w:val="center"/>
              <w:rPr>
                <w:bCs/>
                <w:szCs w:val="21"/>
              </w:rPr>
            </w:pPr>
            <w:r>
              <w:rPr>
                <w:rFonts w:hint="eastAsia" w:ascii="宋体" w:hAnsi="宋体" w:cs="宋体"/>
                <w:color w:val="000000"/>
                <w:kern w:val="0"/>
                <w:sz w:val="22"/>
                <w:szCs w:val="22"/>
              </w:rPr>
              <w:t>台</w:t>
            </w:r>
          </w:p>
        </w:tc>
        <w:tc>
          <w:tcPr>
            <w:tcW w:w="821" w:type="pct"/>
            <w:vAlign w:val="center"/>
          </w:tcPr>
          <w:p w14:paraId="5CD9E190">
            <w:pPr>
              <w:jc w:val="center"/>
              <w:rPr>
                <w:b/>
                <w:bCs/>
                <w:color w:val="FF0000"/>
                <w:szCs w:val="21"/>
              </w:rPr>
            </w:pPr>
            <w:r>
              <w:rPr>
                <w:rFonts w:hint="eastAsia"/>
                <w:b/>
                <w:bCs/>
                <w:color w:val="FF0000"/>
                <w:szCs w:val="21"/>
              </w:rPr>
              <w:t>拒绝进口</w:t>
            </w:r>
          </w:p>
        </w:tc>
        <w:tc>
          <w:tcPr>
            <w:tcW w:w="813" w:type="pct"/>
            <w:vMerge w:val="restart"/>
            <w:vAlign w:val="center"/>
          </w:tcPr>
          <w:p w14:paraId="11D7819F">
            <w:pPr>
              <w:jc w:val="center"/>
              <w:rPr>
                <w:b/>
                <w:bCs/>
                <w:color w:val="FF0000"/>
                <w:szCs w:val="21"/>
              </w:rPr>
            </w:pPr>
            <w:r>
              <w:rPr>
                <w:rFonts w:hint="eastAsia"/>
                <w:b/>
                <w:bCs/>
                <w:color w:val="FF0000"/>
                <w:szCs w:val="21"/>
              </w:rPr>
              <w:t>否</w:t>
            </w:r>
          </w:p>
        </w:tc>
        <w:tc>
          <w:tcPr>
            <w:tcW w:w="889" w:type="pct"/>
            <w:vMerge w:val="restart"/>
            <w:vAlign w:val="center"/>
          </w:tcPr>
          <w:p w14:paraId="05606BB1">
            <w:pPr>
              <w:jc w:val="center"/>
              <w:rPr>
                <w:b/>
                <w:bCs/>
                <w:color w:val="FF0000"/>
                <w:szCs w:val="21"/>
              </w:rPr>
            </w:pPr>
            <w:r>
              <w:rPr>
                <w:rFonts w:hint="eastAsia"/>
                <w:b/>
                <w:bCs/>
                <w:color w:val="FF0000"/>
                <w:szCs w:val="21"/>
              </w:rPr>
              <w:t>工业</w:t>
            </w:r>
          </w:p>
        </w:tc>
      </w:tr>
      <w:tr w14:paraId="35ECA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6" w:type="pct"/>
            <w:vAlign w:val="center"/>
          </w:tcPr>
          <w:p w14:paraId="50EC500A">
            <w:pPr>
              <w:jc w:val="center"/>
              <w:rPr>
                <w:bCs/>
                <w:szCs w:val="21"/>
              </w:rPr>
            </w:pPr>
            <w:r>
              <w:rPr>
                <w:rFonts w:hint="eastAsia"/>
                <w:bCs/>
                <w:szCs w:val="21"/>
              </w:rPr>
              <w:t>2</w:t>
            </w:r>
          </w:p>
        </w:tc>
        <w:tc>
          <w:tcPr>
            <w:tcW w:w="1210" w:type="pct"/>
            <w:vAlign w:val="center"/>
          </w:tcPr>
          <w:p w14:paraId="4E658F1A">
            <w:pPr>
              <w:widowControl/>
              <w:jc w:val="center"/>
              <w:rPr>
                <w:bCs/>
                <w:szCs w:val="21"/>
              </w:rPr>
            </w:pPr>
            <w:r>
              <w:rPr>
                <w:rFonts w:hint="eastAsia"/>
                <w:sz w:val="22"/>
                <w:szCs w:val="22"/>
              </w:rPr>
              <w:t>立式钢琴</w:t>
            </w:r>
          </w:p>
        </w:tc>
        <w:tc>
          <w:tcPr>
            <w:tcW w:w="486" w:type="pct"/>
            <w:vAlign w:val="center"/>
          </w:tcPr>
          <w:p w14:paraId="6DF42FB4">
            <w:pPr>
              <w:widowControl/>
              <w:jc w:val="center"/>
              <w:rPr>
                <w:bCs/>
                <w:szCs w:val="21"/>
              </w:rPr>
            </w:pPr>
            <w:r>
              <w:rPr>
                <w:rFonts w:ascii="宋体" w:hAnsi="宋体" w:cs="宋体"/>
                <w:color w:val="000000"/>
                <w:kern w:val="0"/>
                <w:sz w:val="22"/>
                <w:szCs w:val="22"/>
              </w:rPr>
              <w:t>12</w:t>
            </w:r>
          </w:p>
        </w:tc>
        <w:tc>
          <w:tcPr>
            <w:tcW w:w="441" w:type="pct"/>
            <w:vAlign w:val="center"/>
          </w:tcPr>
          <w:p w14:paraId="59336B27">
            <w:pPr>
              <w:widowControl/>
              <w:jc w:val="center"/>
              <w:rPr>
                <w:bCs/>
                <w:szCs w:val="21"/>
              </w:rPr>
            </w:pPr>
            <w:r>
              <w:rPr>
                <w:rFonts w:hint="eastAsia" w:ascii="宋体" w:hAnsi="宋体" w:cs="宋体"/>
                <w:color w:val="000000"/>
                <w:kern w:val="0"/>
                <w:sz w:val="22"/>
                <w:szCs w:val="22"/>
              </w:rPr>
              <w:t>台</w:t>
            </w:r>
          </w:p>
        </w:tc>
        <w:tc>
          <w:tcPr>
            <w:tcW w:w="821" w:type="pct"/>
            <w:vAlign w:val="center"/>
          </w:tcPr>
          <w:p w14:paraId="236B2245">
            <w:pPr>
              <w:jc w:val="center"/>
              <w:rPr>
                <w:b/>
                <w:bCs/>
                <w:color w:val="FF0000"/>
                <w:szCs w:val="21"/>
              </w:rPr>
            </w:pPr>
            <w:r>
              <w:rPr>
                <w:rFonts w:hint="eastAsia"/>
                <w:b/>
                <w:bCs/>
                <w:color w:val="FF0000"/>
                <w:szCs w:val="21"/>
              </w:rPr>
              <w:t>拒绝进口</w:t>
            </w:r>
          </w:p>
        </w:tc>
        <w:tc>
          <w:tcPr>
            <w:tcW w:w="813" w:type="pct"/>
            <w:vMerge w:val="continue"/>
            <w:vAlign w:val="center"/>
          </w:tcPr>
          <w:p w14:paraId="34309A54">
            <w:pPr>
              <w:jc w:val="center"/>
              <w:rPr>
                <w:b/>
                <w:bCs/>
                <w:color w:val="FF0000"/>
                <w:szCs w:val="21"/>
              </w:rPr>
            </w:pPr>
          </w:p>
        </w:tc>
        <w:tc>
          <w:tcPr>
            <w:tcW w:w="889" w:type="pct"/>
            <w:vMerge w:val="continue"/>
            <w:vAlign w:val="center"/>
          </w:tcPr>
          <w:p w14:paraId="1F6B5AF3">
            <w:pPr>
              <w:jc w:val="center"/>
              <w:rPr>
                <w:b/>
                <w:bCs/>
                <w:color w:val="FF0000"/>
                <w:szCs w:val="21"/>
              </w:rPr>
            </w:pPr>
          </w:p>
        </w:tc>
      </w:tr>
    </w:tbl>
    <w:p w14:paraId="693B1B50">
      <w:pPr>
        <w:ind w:firstLine="422" w:firstLineChars="200"/>
        <w:rPr>
          <w:rFonts w:ascii="宋体" w:hAnsi="宋体"/>
          <w:b/>
          <w:color w:val="FF0000"/>
          <w:szCs w:val="21"/>
        </w:rPr>
      </w:pPr>
      <w:r>
        <w:rPr>
          <w:rFonts w:hint="eastAsia" w:ascii="宋体" w:hAnsi="宋体"/>
          <w:b/>
          <w:color w:val="FF0000"/>
          <w:szCs w:val="21"/>
        </w:rPr>
        <w:t>备注：1.“是否接受进口”栏注明“拒绝进口”的产品不接受投标人选用进口产品参与投标；注明“接受进口”的产品允许投标人选用进口产品参与投标，但不排斥国内产品。</w:t>
      </w:r>
    </w:p>
    <w:p w14:paraId="65E08430">
      <w:pPr>
        <w:ind w:firstLine="422" w:firstLineChars="200"/>
        <w:rPr>
          <w:rFonts w:ascii="宋体" w:hAnsi="宋体"/>
          <w:b/>
          <w:color w:val="FF0000"/>
          <w:szCs w:val="21"/>
        </w:rPr>
      </w:pPr>
      <w:r>
        <w:rPr>
          <w:rFonts w:hint="eastAsia" w:ascii="宋体" w:hAnsi="宋体"/>
          <w:b/>
          <w:color w:val="FF0000"/>
          <w:szCs w:val="21"/>
        </w:rPr>
        <w:t>2、进口产品是指通过海关验放进入中国境内且产自关境外的产品。即所谓进口产品是指制造过程均在国外，如果产品在国内组装，其中的零部件（包括核心部件）是进口产品，则应当视为非进口产品。采用“接受进口”的产品优先采购向我国企业转让技术、与我国企业签订消化吸收再创新方案的供应商的进口产品，相关内容以财库〔2007〕119 号文和财办库〔2008〕248 号文的相关规定为准。</w:t>
      </w:r>
    </w:p>
    <w:p w14:paraId="21D99709">
      <w:pPr>
        <w:ind w:firstLine="422" w:firstLineChars="200"/>
        <w:rPr>
          <w:rFonts w:ascii="宋体" w:hAnsi="宋体"/>
          <w:b/>
          <w:color w:val="FF0000"/>
          <w:szCs w:val="21"/>
        </w:rPr>
      </w:pPr>
      <w:r>
        <w:rPr>
          <w:rFonts w:hint="eastAsia" w:ascii="宋体" w:hAnsi="宋体"/>
          <w:b/>
          <w:color w:val="FF0000"/>
          <w:szCs w:val="21"/>
        </w:rPr>
        <w:t>3、本项目核心产品为：</w:t>
      </w:r>
      <w:r>
        <w:rPr>
          <w:rFonts w:hint="eastAsia" w:ascii="宋体" w:hAnsi="宋体"/>
          <w:b/>
          <w:color w:val="FF0000"/>
          <w:szCs w:val="21"/>
          <w:u w:val="single"/>
        </w:rPr>
        <w:t xml:space="preserve"> 立式钢琴 </w:t>
      </w:r>
      <w:r>
        <w:rPr>
          <w:rFonts w:hint="eastAsia" w:ascii="宋体" w:hAnsi="宋体"/>
          <w:b/>
          <w:color w:val="FF0000"/>
          <w:szCs w:val="21"/>
        </w:rPr>
        <w:t>。</w:t>
      </w:r>
    </w:p>
    <w:bookmarkEnd w:id="38"/>
    <w:p w14:paraId="363DE599">
      <w:pPr>
        <w:rPr>
          <w:rFonts w:ascii="宋体" w:hAnsi="宋体"/>
          <w:b/>
          <w:color w:val="FF0000"/>
          <w:szCs w:val="21"/>
        </w:rPr>
      </w:pPr>
    </w:p>
    <w:p w14:paraId="200F4BE6">
      <w:pPr>
        <w:pStyle w:val="2"/>
      </w:pPr>
    </w:p>
    <w:p w14:paraId="35CFA543">
      <w:pPr>
        <w:pStyle w:val="6"/>
        <w:spacing w:before="120" w:beforeLines="50" w:after="120" w:afterLines="50"/>
        <w:rPr>
          <w:sz w:val="28"/>
          <w:szCs w:val="28"/>
        </w:rPr>
      </w:pPr>
      <w:bookmarkStart w:id="40" w:name="_Toc128884461"/>
      <w:r>
        <w:rPr>
          <w:rFonts w:hint="eastAsia"/>
          <w:sz w:val="28"/>
          <w:szCs w:val="28"/>
        </w:rPr>
        <w:t>三、实质性条款</w:t>
      </w:r>
    </w:p>
    <w:tbl>
      <w:tblPr>
        <w:tblStyle w:val="43"/>
        <w:tblW w:w="81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
        <w:gridCol w:w="7282"/>
      </w:tblGrid>
      <w:tr w14:paraId="7A8C0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 w:type="dxa"/>
            <w:vAlign w:val="center"/>
          </w:tcPr>
          <w:p w14:paraId="4EB2BA16">
            <w:pPr>
              <w:adjustRightInd w:val="0"/>
              <w:snapToGrid w:val="0"/>
              <w:spacing w:line="360" w:lineRule="auto"/>
              <w:jc w:val="center"/>
              <w:rPr>
                <w:rFonts w:ascii="宋体" w:hAnsi="宋体"/>
                <w:kern w:val="0"/>
                <w:szCs w:val="21"/>
              </w:rPr>
            </w:pPr>
            <w:r>
              <w:rPr>
                <w:rFonts w:hint="eastAsia" w:ascii="宋体" w:hAnsi="宋体"/>
                <w:kern w:val="0"/>
                <w:szCs w:val="21"/>
              </w:rPr>
              <w:t>序号</w:t>
            </w:r>
          </w:p>
        </w:tc>
        <w:tc>
          <w:tcPr>
            <w:tcW w:w="7282" w:type="dxa"/>
            <w:vAlign w:val="center"/>
          </w:tcPr>
          <w:p w14:paraId="533F9AF1">
            <w:pPr>
              <w:adjustRightInd w:val="0"/>
              <w:snapToGrid w:val="0"/>
              <w:spacing w:line="360" w:lineRule="auto"/>
              <w:jc w:val="center"/>
              <w:rPr>
                <w:rFonts w:ascii="宋体" w:hAnsi="宋体"/>
                <w:kern w:val="0"/>
                <w:szCs w:val="21"/>
              </w:rPr>
            </w:pPr>
            <w:r>
              <w:rPr>
                <w:rFonts w:hint="eastAsia" w:ascii="宋体" w:hAnsi="宋体"/>
                <w:kern w:val="0"/>
                <w:szCs w:val="21"/>
              </w:rPr>
              <w:t>实质性条款具体内容</w:t>
            </w:r>
          </w:p>
        </w:tc>
      </w:tr>
      <w:tr w14:paraId="761A5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06" w:type="dxa"/>
            <w:vAlign w:val="center"/>
          </w:tcPr>
          <w:p w14:paraId="30EC266A">
            <w:pPr>
              <w:adjustRightInd w:val="0"/>
              <w:snapToGrid w:val="0"/>
              <w:spacing w:line="360" w:lineRule="auto"/>
              <w:jc w:val="center"/>
              <w:rPr>
                <w:rFonts w:ascii="宋体" w:hAnsi="宋体"/>
                <w:kern w:val="0"/>
                <w:szCs w:val="21"/>
              </w:rPr>
            </w:pPr>
            <w:r>
              <w:rPr>
                <w:rFonts w:hint="eastAsia" w:ascii="宋体" w:hAnsi="宋体"/>
                <w:kern w:val="0"/>
                <w:szCs w:val="21"/>
              </w:rPr>
              <w:t>1</w:t>
            </w:r>
          </w:p>
        </w:tc>
        <w:tc>
          <w:tcPr>
            <w:tcW w:w="7282" w:type="dxa"/>
            <w:vAlign w:val="center"/>
          </w:tcPr>
          <w:p w14:paraId="1CEA976A">
            <w:pPr>
              <w:adjustRightInd w:val="0"/>
              <w:snapToGrid w:val="0"/>
              <w:spacing w:line="360" w:lineRule="auto"/>
              <w:rPr>
                <w:rFonts w:hAnsi="宋体"/>
                <w:kern w:val="0"/>
                <w:szCs w:val="21"/>
              </w:rPr>
            </w:pPr>
            <w:r>
              <w:rPr>
                <w:rFonts w:hint="eastAsia"/>
                <w:bCs/>
                <w:szCs w:val="21"/>
              </w:rPr>
              <w:t>★货物免费保修期</w:t>
            </w:r>
            <w:r>
              <w:rPr>
                <w:rFonts w:hint="eastAsia"/>
                <w:bCs/>
                <w:szCs w:val="21"/>
                <w:u w:val="single"/>
              </w:rPr>
              <w:t xml:space="preserve">  1  </w:t>
            </w:r>
            <w:r>
              <w:rPr>
                <w:rFonts w:hint="eastAsia"/>
                <w:bCs/>
                <w:szCs w:val="21"/>
              </w:rPr>
              <w:t>年，时间自最终验收合格并交付使用之日起计算。</w:t>
            </w:r>
          </w:p>
        </w:tc>
      </w:tr>
      <w:tr w14:paraId="7DC6A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 w:type="dxa"/>
            <w:vAlign w:val="center"/>
          </w:tcPr>
          <w:p w14:paraId="0AE964D4">
            <w:pPr>
              <w:adjustRightInd w:val="0"/>
              <w:snapToGrid w:val="0"/>
              <w:spacing w:line="360" w:lineRule="auto"/>
              <w:jc w:val="center"/>
              <w:rPr>
                <w:rFonts w:ascii="宋体" w:hAnsi="宋体"/>
                <w:kern w:val="0"/>
                <w:szCs w:val="21"/>
              </w:rPr>
            </w:pPr>
            <w:r>
              <w:rPr>
                <w:rFonts w:hint="eastAsia" w:ascii="宋体" w:hAnsi="宋体"/>
                <w:kern w:val="0"/>
                <w:szCs w:val="21"/>
              </w:rPr>
              <w:t>2</w:t>
            </w:r>
          </w:p>
        </w:tc>
        <w:tc>
          <w:tcPr>
            <w:tcW w:w="7282" w:type="dxa"/>
            <w:vAlign w:val="center"/>
          </w:tcPr>
          <w:p w14:paraId="7C78643F">
            <w:pPr>
              <w:adjustRightInd w:val="0"/>
              <w:snapToGrid w:val="0"/>
              <w:spacing w:line="360" w:lineRule="auto"/>
              <w:rPr>
                <w:rFonts w:hAnsi="宋体"/>
                <w:kern w:val="0"/>
                <w:sz w:val="15"/>
                <w:szCs w:val="15"/>
              </w:rPr>
            </w:pPr>
            <w:r>
              <w:rPr>
                <w:rFonts w:hint="eastAsia"/>
                <w:bCs/>
                <w:szCs w:val="21"/>
              </w:rPr>
              <w:t>★免费保修期内，</w:t>
            </w:r>
            <w:r>
              <w:rPr>
                <w:rFonts w:hint="eastAsia"/>
                <w:color w:val="000000"/>
                <w:szCs w:val="21"/>
              </w:rPr>
              <w:t>所有服务及配件全部免费。</w:t>
            </w:r>
          </w:p>
        </w:tc>
      </w:tr>
      <w:tr w14:paraId="4B4E3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 w:type="dxa"/>
            <w:vAlign w:val="center"/>
          </w:tcPr>
          <w:p w14:paraId="618D98BB">
            <w:pPr>
              <w:adjustRightInd w:val="0"/>
              <w:snapToGrid w:val="0"/>
              <w:spacing w:line="360" w:lineRule="auto"/>
              <w:jc w:val="center"/>
              <w:rPr>
                <w:rFonts w:ascii="宋体" w:hAnsi="宋体"/>
                <w:kern w:val="0"/>
                <w:szCs w:val="21"/>
              </w:rPr>
            </w:pPr>
            <w:r>
              <w:rPr>
                <w:rFonts w:hint="eastAsia" w:ascii="宋体" w:hAnsi="宋体"/>
                <w:kern w:val="0"/>
                <w:szCs w:val="21"/>
              </w:rPr>
              <w:t>3</w:t>
            </w:r>
          </w:p>
        </w:tc>
        <w:tc>
          <w:tcPr>
            <w:tcW w:w="7282" w:type="dxa"/>
          </w:tcPr>
          <w:p w14:paraId="4E591078">
            <w:pPr>
              <w:adjustRightInd w:val="0"/>
              <w:snapToGrid w:val="0"/>
              <w:spacing w:line="360" w:lineRule="auto"/>
              <w:rPr>
                <w:rFonts w:hAnsi="宋体"/>
                <w:kern w:val="0"/>
                <w:szCs w:val="21"/>
              </w:rPr>
            </w:pPr>
            <w:r>
              <w:rPr>
                <w:rFonts w:hint="eastAsia"/>
              </w:rPr>
              <w:t>★履约时间和地点：投标供应商在签订合同之日起</w:t>
            </w:r>
            <w:r>
              <w:t>15</w:t>
            </w:r>
            <w:r>
              <w:rPr>
                <w:rFonts w:hint="eastAsia"/>
              </w:rPr>
              <w:t>天内交货，交货地点为</w:t>
            </w:r>
            <w:r>
              <w:rPr>
                <w:rFonts w:hint="eastAsia"/>
                <w:szCs w:val="21"/>
              </w:rPr>
              <w:t>采购人指定地点</w:t>
            </w:r>
            <w:r>
              <w:rPr>
                <w:rFonts w:hint="eastAsia"/>
              </w:rPr>
              <w:t>。</w:t>
            </w:r>
          </w:p>
        </w:tc>
      </w:tr>
    </w:tbl>
    <w:p w14:paraId="47A5783D">
      <w:pPr>
        <w:rPr>
          <w:b/>
        </w:rPr>
      </w:pPr>
      <w:r>
        <w:rPr>
          <w:rFonts w:hint="eastAsia"/>
          <w:b/>
        </w:rPr>
        <w:t>注：上表所列内容为不可负偏离条款</w:t>
      </w:r>
      <w:bookmarkEnd w:id="40"/>
      <w:r>
        <w:rPr>
          <w:rFonts w:hint="eastAsia"/>
          <w:b/>
        </w:rPr>
        <w:t>，负偏离将视为未实质性满足招标文件要求作投标无效处理。</w:t>
      </w:r>
    </w:p>
    <w:p w14:paraId="17709595">
      <w:pPr>
        <w:rPr>
          <w:b/>
          <w:szCs w:val="21"/>
        </w:rPr>
      </w:pPr>
    </w:p>
    <w:p w14:paraId="66F8F939">
      <w:pPr>
        <w:pStyle w:val="2"/>
      </w:pPr>
    </w:p>
    <w:p w14:paraId="536E0FC6">
      <w:pPr>
        <w:pStyle w:val="6"/>
        <w:spacing w:before="120" w:beforeLines="50" w:after="120" w:afterLines="50"/>
        <w:rPr>
          <w:sz w:val="28"/>
          <w:szCs w:val="28"/>
        </w:rPr>
      </w:pPr>
      <w:r>
        <w:rPr>
          <w:rFonts w:hint="eastAsia"/>
          <w:sz w:val="28"/>
          <w:szCs w:val="28"/>
        </w:rPr>
        <w:t>四、技术要求</w:t>
      </w:r>
    </w:p>
    <w:p w14:paraId="13ADF61F">
      <w:pPr>
        <w:ind w:firstLine="422" w:firstLineChars="200"/>
        <w:rPr>
          <w:b/>
        </w:rPr>
      </w:pPr>
      <w:r>
        <w:rPr>
          <w:rFonts w:hint="eastAsia"/>
          <w:b/>
          <w:szCs w:val="21"/>
        </w:rPr>
        <w:t>说明：</w:t>
      </w:r>
      <w:r>
        <w:rPr>
          <w:b/>
          <w:szCs w:val="21"/>
        </w:rPr>
        <w:t xml:space="preserve"> </w:t>
      </w:r>
      <w:r>
        <w:rPr>
          <w:b/>
        </w:rPr>
        <w:t>1</w:t>
      </w:r>
      <w:r>
        <w:rPr>
          <w:rFonts w:hint="eastAsia"/>
          <w:b/>
        </w:rPr>
        <w:t>、评分时，如对一项招标技术要求（以序号为准）中的内容存在两处（或以上）负偏离的，在评分时只作一项负偏离扣分。</w:t>
      </w:r>
    </w:p>
    <w:p w14:paraId="05AAAB93">
      <w:pPr>
        <w:ind w:firstLine="422" w:firstLineChars="200"/>
        <w:rPr>
          <w:b/>
          <w:szCs w:val="21"/>
        </w:rPr>
      </w:pPr>
      <w:r>
        <w:rPr>
          <w:b/>
          <w:szCs w:val="21"/>
        </w:rPr>
        <w:t>2</w:t>
      </w:r>
      <w:r>
        <w:rPr>
          <w:rFonts w:hint="eastAsia"/>
          <w:b/>
          <w:szCs w:val="21"/>
        </w:rPr>
        <w:t>、带★号条款为不可负偏离条款，不作为评分准则中的评分内容，如未响应或出现负偏离的，将作投标无效处理；带“</w:t>
      </w:r>
      <w:r>
        <w:t>▲</w:t>
      </w:r>
      <w:r>
        <w:rPr>
          <w:rFonts w:hint="eastAsia"/>
          <w:b/>
          <w:szCs w:val="21"/>
        </w:rPr>
        <w:t>”指标项为重要参数条款，负偏离时依相关评分准则内容作重点扣分处理。</w:t>
      </w:r>
    </w:p>
    <w:p w14:paraId="76D3D71C">
      <w:pPr>
        <w:ind w:firstLine="422" w:firstLineChars="200"/>
        <w:rPr>
          <w:b/>
          <w:szCs w:val="21"/>
        </w:rPr>
      </w:pPr>
      <w:r>
        <w:rPr>
          <w:b/>
          <w:szCs w:val="21"/>
        </w:rPr>
        <w:t>3</w:t>
      </w:r>
      <w:r>
        <w:rPr>
          <w:rFonts w:hint="eastAsia"/>
          <w:b/>
          <w:szCs w:val="21"/>
        </w:rPr>
        <w:t>、</w:t>
      </w:r>
      <w:bookmarkStart w:id="41" w:name="_Hlk72585069"/>
      <w:r>
        <w:rPr>
          <w:rFonts w:hint="eastAsia"/>
          <w:b/>
          <w:szCs w:val="21"/>
        </w:rPr>
        <w:t>招标技术要求中，用红色加粗字体标注的指标项均要求提供证明资；其余指标项未要求提供证明资料，无需提供相关证明资料。</w:t>
      </w:r>
    </w:p>
    <w:p w14:paraId="7975B6D4">
      <w:pPr>
        <w:ind w:firstLine="422" w:firstLineChars="200"/>
        <w:rPr>
          <w:b/>
          <w:szCs w:val="21"/>
        </w:rPr>
      </w:pPr>
      <w:r>
        <w:rPr>
          <w:rFonts w:hint="eastAsia"/>
          <w:b/>
          <w:szCs w:val="21"/>
        </w:rPr>
        <w:t>4.涉及区间的技术要求，除特别注明以外，均包含首尾两端本数，所投产品响应数值在招标文件要求的区间范围内即认定为满足该项技术要求，产品参数区间与招标要求不一致的均视为负偏离。例：</w:t>
      </w:r>
    </w:p>
    <w:p w14:paraId="02894C71">
      <w:pPr>
        <w:ind w:firstLine="422" w:firstLineChars="200"/>
        <w:rPr>
          <w:b/>
          <w:szCs w:val="21"/>
        </w:rPr>
      </w:pPr>
      <w:r>
        <w:rPr>
          <w:rFonts w:hint="eastAsia"/>
          <w:b/>
          <w:szCs w:val="21"/>
        </w:rPr>
        <w:t>（1）“20L”（凡是响应内容与该数值不一致者，均视为负偏离）；</w:t>
      </w:r>
    </w:p>
    <w:p w14:paraId="0EF10DA1">
      <w:pPr>
        <w:ind w:firstLine="422" w:firstLineChars="200"/>
        <w:rPr>
          <w:b/>
          <w:szCs w:val="21"/>
        </w:rPr>
      </w:pPr>
      <w:r>
        <w:rPr>
          <w:rFonts w:hint="eastAsia"/>
          <w:b/>
          <w:szCs w:val="21"/>
        </w:rPr>
        <w:t>（2）“H≥6m”（凡是响应内容存在小于6m可能情形的均视为负偏离）；</w:t>
      </w:r>
    </w:p>
    <w:p w14:paraId="7C081949">
      <w:pPr>
        <w:ind w:firstLine="422" w:firstLineChars="200"/>
        <w:rPr>
          <w:b/>
          <w:szCs w:val="21"/>
        </w:rPr>
      </w:pPr>
      <w:r>
        <w:rPr>
          <w:rFonts w:hint="eastAsia"/>
          <w:b/>
          <w:szCs w:val="21"/>
        </w:rPr>
        <w:t>（3）区间要求为0-20ML,只要响应的不是广于等于“0-20ML”，如投标文件响应为 0-15ML、1-12ML 、 9-20ML 、6-21ML 、9ML 等情形均视为负偏离。</w:t>
      </w:r>
    </w:p>
    <w:p w14:paraId="656224A6">
      <w:pPr>
        <w:ind w:firstLine="422" w:firstLineChars="200"/>
        <w:rPr>
          <w:b/>
          <w:szCs w:val="21"/>
        </w:rPr>
      </w:pPr>
      <w:r>
        <w:rPr>
          <w:rFonts w:hint="eastAsia"/>
          <w:b/>
          <w:szCs w:val="21"/>
        </w:rPr>
        <w:t>5.相关证明材料的产品名称与招标技术要求的货物名称不一致的，需提供为同种产品的说明；若名称不一致又未提供说明的，由评审委员会判定是否符合文件要求。</w:t>
      </w:r>
    </w:p>
    <w:p w14:paraId="0C8A6FA1">
      <w:pPr>
        <w:pStyle w:val="8"/>
      </w:pPr>
    </w:p>
    <w:bookmarkEnd w:id="41"/>
    <w:tbl>
      <w:tblPr>
        <w:tblStyle w:val="43"/>
        <w:tblW w:w="840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9"/>
        <w:gridCol w:w="1626"/>
        <w:gridCol w:w="6194"/>
      </w:tblGrid>
      <w:tr w14:paraId="196C9A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89" w:type="dxa"/>
            <w:shd w:val="clear" w:color="auto" w:fill="auto"/>
            <w:vAlign w:val="center"/>
          </w:tcPr>
          <w:p w14:paraId="0E0FABBE">
            <w:pPr>
              <w:widowControl/>
              <w:jc w:val="center"/>
              <w:rPr>
                <w:rFonts w:ascii="宋体" w:hAnsi="宋体" w:cs="宋体"/>
                <w:color w:val="000000"/>
                <w:kern w:val="0"/>
                <w:sz w:val="22"/>
                <w:szCs w:val="22"/>
              </w:rPr>
            </w:pPr>
            <w:r>
              <w:rPr>
                <w:rFonts w:hint="eastAsia" w:ascii="宋体" w:hAnsi="宋体" w:cs="宋体"/>
                <w:color w:val="000000"/>
                <w:kern w:val="0"/>
                <w:sz w:val="22"/>
                <w:szCs w:val="22"/>
              </w:rPr>
              <w:t>序号</w:t>
            </w:r>
          </w:p>
        </w:tc>
        <w:tc>
          <w:tcPr>
            <w:tcW w:w="1626" w:type="dxa"/>
            <w:shd w:val="clear" w:color="auto" w:fill="auto"/>
            <w:vAlign w:val="center"/>
          </w:tcPr>
          <w:p w14:paraId="0A3C5D7C">
            <w:pPr>
              <w:widowControl/>
              <w:jc w:val="center"/>
              <w:rPr>
                <w:rFonts w:ascii="宋体" w:hAnsi="宋体" w:cs="宋体"/>
                <w:color w:val="000000"/>
                <w:kern w:val="0"/>
                <w:sz w:val="22"/>
                <w:szCs w:val="22"/>
              </w:rPr>
            </w:pPr>
            <w:r>
              <w:rPr>
                <w:rFonts w:hint="eastAsia" w:ascii="宋体" w:hAnsi="宋体" w:cs="宋体"/>
                <w:color w:val="000000"/>
                <w:kern w:val="0"/>
                <w:sz w:val="22"/>
                <w:szCs w:val="22"/>
              </w:rPr>
              <w:t>货物名称</w:t>
            </w:r>
          </w:p>
        </w:tc>
        <w:tc>
          <w:tcPr>
            <w:tcW w:w="6194" w:type="dxa"/>
            <w:shd w:val="clear" w:color="auto" w:fill="auto"/>
            <w:vAlign w:val="center"/>
          </w:tcPr>
          <w:p w14:paraId="48DB2022">
            <w:pPr>
              <w:widowControl/>
              <w:jc w:val="center"/>
              <w:rPr>
                <w:rFonts w:ascii="宋体" w:hAnsi="宋体" w:cs="宋体"/>
                <w:color w:val="000000"/>
                <w:kern w:val="0"/>
                <w:sz w:val="22"/>
                <w:szCs w:val="22"/>
              </w:rPr>
            </w:pPr>
            <w:r>
              <w:rPr>
                <w:rFonts w:hint="eastAsia" w:ascii="宋体" w:hAnsi="宋体" w:cs="宋体"/>
                <w:color w:val="000000"/>
                <w:kern w:val="0"/>
                <w:sz w:val="22"/>
                <w:szCs w:val="22"/>
              </w:rPr>
              <w:t>招标技术要求</w:t>
            </w:r>
          </w:p>
        </w:tc>
      </w:tr>
      <w:tr w14:paraId="60F42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89" w:type="dxa"/>
            <w:shd w:val="clear" w:color="auto" w:fill="auto"/>
            <w:vAlign w:val="center"/>
          </w:tcPr>
          <w:p w14:paraId="13009B03">
            <w:pPr>
              <w:widowControl/>
              <w:jc w:val="center"/>
              <w:rPr>
                <w:rFonts w:ascii="宋体" w:hAnsi="宋体" w:cs="宋体"/>
                <w:color w:val="000000"/>
                <w:kern w:val="0"/>
                <w:sz w:val="22"/>
                <w:szCs w:val="22"/>
              </w:rPr>
            </w:pPr>
            <w:r>
              <w:rPr>
                <w:rFonts w:ascii="宋体" w:hAnsi="宋体" w:cs="宋体"/>
                <w:color w:val="000000"/>
                <w:kern w:val="0"/>
                <w:sz w:val="22"/>
                <w:szCs w:val="22"/>
              </w:rPr>
              <w:t>1</w:t>
            </w:r>
          </w:p>
        </w:tc>
        <w:tc>
          <w:tcPr>
            <w:tcW w:w="1626" w:type="dxa"/>
            <w:shd w:val="clear" w:color="auto" w:fill="auto"/>
            <w:noWrap/>
            <w:vAlign w:val="center"/>
          </w:tcPr>
          <w:p w14:paraId="19478561">
            <w:pPr>
              <w:widowControl/>
              <w:jc w:val="center"/>
              <w:rPr>
                <w:rFonts w:ascii="宋体" w:hAnsi="宋体" w:cs="宋体"/>
                <w:kern w:val="0"/>
                <w:sz w:val="22"/>
                <w:szCs w:val="22"/>
              </w:rPr>
            </w:pPr>
            <w:r>
              <w:rPr>
                <w:rFonts w:hint="eastAsia"/>
                <w:sz w:val="22"/>
                <w:szCs w:val="22"/>
              </w:rPr>
              <w:t>三角钢琴</w:t>
            </w:r>
          </w:p>
        </w:tc>
        <w:tc>
          <w:tcPr>
            <w:tcW w:w="6194" w:type="dxa"/>
            <w:shd w:val="clear" w:color="auto" w:fill="auto"/>
            <w:vAlign w:val="center"/>
          </w:tcPr>
          <w:p w14:paraId="714811DD">
            <w:pPr>
              <w:widowControl/>
              <w:jc w:val="left"/>
              <w:rPr>
                <w:rFonts w:ascii="宋体" w:hAnsi="宋体" w:cs="宋体"/>
                <w:kern w:val="0"/>
                <w:sz w:val="22"/>
                <w:szCs w:val="22"/>
              </w:rPr>
            </w:pPr>
            <w:r>
              <w:rPr>
                <w:rFonts w:hint="eastAsia" w:ascii="宋体" w:hAnsi="宋体" w:cs="宋体"/>
                <w:kern w:val="0"/>
                <w:sz w:val="22"/>
                <w:szCs w:val="22"/>
              </w:rPr>
              <w:t>1、尺寸（长×宽×高）：148</w:t>
            </w:r>
            <w:r>
              <w:rPr>
                <w:rFonts w:ascii="宋体" w:hAnsi="宋体" w:cs="宋体"/>
                <w:kern w:val="0"/>
                <w:sz w:val="22"/>
                <w:szCs w:val="22"/>
              </w:rPr>
              <w:t>cm</w:t>
            </w:r>
            <w:r>
              <w:rPr>
                <w:rFonts w:hint="eastAsia" w:ascii="宋体" w:hAnsi="宋体" w:cs="宋体"/>
                <w:kern w:val="0"/>
                <w:sz w:val="22"/>
                <w:szCs w:val="22"/>
              </w:rPr>
              <w:t>×150</w:t>
            </w:r>
            <w:r>
              <w:rPr>
                <w:rFonts w:ascii="宋体" w:hAnsi="宋体" w:cs="宋体"/>
                <w:kern w:val="0"/>
                <w:sz w:val="22"/>
                <w:szCs w:val="22"/>
              </w:rPr>
              <w:t>cm</w:t>
            </w:r>
            <w:r>
              <w:rPr>
                <w:rFonts w:hint="eastAsia" w:ascii="宋体" w:hAnsi="宋体" w:cs="宋体"/>
                <w:kern w:val="0"/>
                <w:sz w:val="22"/>
                <w:szCs w:val="22"/>
              </w:rPr>
              <w:t>×99cm（可±5%）</w:t>
            </w:r>
          </w:p>
          <w:p w14:paraId="74E24D22">
            <w:pPr>
              <w:widowControl/>
              <w:jc w:val="left"/>
              <w:rPr>
                <w:rFonts w:ascii="宋体" w:hAnsi="宋体" w:cs="宋体"/>
                <w:kern w:val="0"/>
                <w:sz w:val="22"/>
                <w:szCs w:val="22"/>
              </w:rPr>
            </w:pPr>
            <w:r>
              <w:rPr>
                <w:rFonts w:hint="eastAsia" w:ascii="宋体" w:hAnsi="宋体" w:cs="宋体"/>
                <w:kern w:val="0"/>
                <w:sz w:val="22"/>
                <w:szCs w:val="22"/>
              </w:rPr>
              <w:t>2、铁板：长度1200mm（±2mm），采用传统砂铸铁板工艺，音色纯正。</w:t>
            </w:r>
          </w:p>
          <w:p w14:paraId="28B60950">
            <w:pPr>
              <w:widowControl/>
              <w:jc w:val="left"/>
              <w:rPr>
                <w:rFonts w:ascii="宋体" w:hAnsi="宋体" w:cs="宋体"/>
                <w:kern w:val="0"/>
                <w:sz w:val="22"/>
                <w:szCs w:val="22"/>
              </w:rPr>
            </w:pPr>
            <w:r>
              <w:rPr>
                <w:rFonts w:hint="eastAsia" w:ascii="宋体" w:hAnsi="宋体" w:cs="宋体"/>
                <w:kern w:val="0"/>
                <w:sz w:val="22"/>
                <w:szCs w:val="22"/>
              </w:rPr>
              <w:t>3、音板：采用木材制作的不等厚加强型实木音板，设计符合钢琴共鸣系统的发声规律，在各种不同的气候条件下均能保持优良的音色。</w:t>
            </w:r>
          </w:p>
          <w:p w14:paraId="6A90148E">
            <w:pPr>
              <w:widowControl/>
              <w:jc w:val="left"/>
              <w:rPr>
                <w:rFonts w:ascii="宋体" w:hAnsi="宋体" w:cs="宋体"/>
                <w:kern w:val="0"/>
                <w:sz w:val="22"/>
                <w:szCs w:val="22"/>
              </w:rPr>
            </w:pPr>
            <w:r>
              <w:rPr>
                <w:rFonts w:hint="eastAsia" w:ascii="宋体" w:hAnsi="宋体" w:cs="宋体"/>
                <w:kern w:val="0"/>
                <w:sz w:val="22"/>
                <w:szCs w:val="22"/>
              </w:rPr>
              <w:t>4、琴弦：采用钢线，音色纯净，音准稳定。</w:t>
            </w:r>
          </w:p>
          <w:p w14:paraId="14F9E208">
            <w:pPr>
              <w:widowControl/>
              <w:jc w:val="left"/>
              <w:rPr>
                <w:rFonts w:ascii="宋体" w:hAnsi="宋体" w:cs="宋体"/>
                <w:kern w:val="0"/>
                <w:sz w:val="22"/>
                <w:szCs w:val="22"/>
              </w:rPr>
            </w:pPr>
            <w:r>
              <w:rPr>
                <w:rFonts w:hint="eastAsia" w:ascii="宋体" w:hAnsi="宋体" w:cs="宋体"/>
                <w:kern w:val="0"/>
                <w:sz w:val="22"/>
                <w:szCs w:val="22"/>
              </w:rPr>
              <w:t>5、弦码：采用弯压结构设计，音频振动响应精确、迅速。</w:t>
            </w:r>
          </w:p>
          <w:p w14:paraId="70307E93">
            <w:pPr>
              <w:widowControl/>
              <w:jc w:val="left"/>
              <w:rPr>
                <w:rFonts w:ascii="宋体" w:hAnsi="宋体" w:cs="宋体"/>
                <w:b/>
                <w:bCs/>
                <w:color w:val="FF0000"/>
                <w:kern w:val="0"/>
                <w:sz w:val="22"/>
                <w:szCs w:val="22"/>
              </w:rPr>
            </w:pPr>
            <w:r>
              <w:rPr>
                <w:rFonts w:hint="eastAsia" w:ascii="宋体" w:hAnsi="宋体" w:cs="宋体"/>
                <w:b/>
                <w:bCs/>
                <w:color w:val="FF0000"/>
                <w:kern w:val="0"/>
                <w:sz w:val="22"/>
                <w:szCs w:val="22"/>
              </w:rPr>
              <w:t>▲6、声学品质检测要求：标准音在 442.5Hz±0.2Hz 范围内，音准稳定性不大于3音分。投标时需提供：①第三方检测机构在资质认定证书规定的能力范围内出具的标注资质认定标志（CMA）的检验检测报告扫描件，原件备查；②检测报告在全国认证认可信息公共服务平台（http://cx.cnca.cn)的查询截图，相关检测报告在公开渠道无法查询的，可提供颁发部门、检验检测机构或者监管机构的证明材料。注：①检测报告需包含本项检测依据和参数的全部内容；②受检单位（或委托单位）为投标供应商或产品制造商；③无法判断机构检测范围的，投标人需提供“检测报告载明的检测事项未超出本机构检测范围”的承诺函。</w:t>
            </w:r>
          </w:p>
          <w:p w14:paraId="0F74BAA7">
            <w:pPr>
              <w:widowControl/>
              <w:jc w:val="left"/>
              <w:rPr>
                <w:rFonts w:ascii="宋体" w:hAnsi="宋体" w:cs="宋体"/>
                <w:b/>
                <w:bCs/>
                <w:color w:val="FF0000"/>
                <w:kern w:val="0"/>
                <w:sz w:val="22"/>
                <w:szCs w:val="22"/>
              </w:rPr>
            </w:pPr>
            <w:r>
              <w:rPr>
                <w:rFonts w:hint="eastAsia" w:ascii="宋体" w:hAnsi="宋体" w:cs="宋体"/>
                <w:b/>
                <w:bCs/>
                <w:color w:val="FF0000"/>
                <w:kern w:val="0"/>
                <w:sz w:val="22"/>
                <w:szCs w:val="22"/>
              </w:rPr>
              <w:t>▲7、演奏性能检测要求：白键下沉深度9.8-10.8mm；相邻两白键偏差≤0.3mm；琴键负荷-卧式钢琴下降负荷：0.59-0.82N；琴键负荷-回升负荷：0.14-0.30N。投标时需提供：①第三方检测机构在资质认定证书规定的能力范围内出具的标注资质认定标志（CMA）的检验检测报告扫描件，原件备查；②检测报告在全国认证认可信息公共服务平台（http://cx.cnca.cn)的查询截图，相关检测报告在公开渠道无法查询的，可提供颁发部门、检验检测机构或者监管机构的证明材料。注：①检测报告需包含本项检测依据和参数的全部内容；②受检单位（或委托单位）为投标供应商或产品制造商；③无法判断机构检测范围的，投标人需提供“检测报告载明的检测事项未超出本机构检测范围”的承诺函。</w:t>
            </w:r>
          </w:p>
          <w:p w14:paraId="0C2945DA">
            <w:pPr>
              <w:widowControl/>
              <w:jc w:val="left"/>
              <w:rPr>
                <w:rFonts w:ascii="宋体" w:hAnsi="宋体" w:cs="宋体"/>
                <w:b/>
                <w:bCs/>
                <w:color w:val="FF0000"/>
                <w:kern w:val="0"/>
                <w:sz w:val="22"/>
                <w:szCs w:val="22"/>
              </w:rPr>
            </w:pPr>
            <w:r>
              <w:rPr>
                <w:rFonts w:hint="eastAsia" w:ascii="宋体" w:hAnsi="宋体" w:cs="宋体"/>
                <w:b/>
                <w:bCs/>
                <w:color w:val="FF0000"/>
                <w:kern w:val="0"/>
                <w:sz w:val="22"/>
                <w:szCs w:val="22"/>
              </w:rPr>
              <w:t>▲8、键盘检测要求：白键间隙：0.7-1.1mm；相邻两白键面高度差≤0.4mm，全键盘白键面高度差≤1.0mm。投标时需提供：①第三方检测机构在资质认定证书规定的能力范围内出具的标注资质认定标志（CMA）的检验检测报告扫描件，原件备查；②检测报告在全国认证认可信息公共服务平台（http://cx.cnca.cn)的查询截图，相关检测报告在公开渠道无法查询的，可提供颁发部门、检验检测机构或者监管机构的证明材料。注：①检测报告需包含本项检测依据和参数的全部内容；②受检单位（或委托单位）为投标供应商或产品制造商；③无法判断机构检测范围的，投标人需提供“检测报告载明的检测事项未超出本机构检测范围”的承诺函。</w:t>
            </w:r>
          </w:p>
          <w:p w14:paraId="67D4920F">
            <w:pPr>
              <w:widowControl/>
              <w:jc w:val="left"/>
            </w:pPr>
            <w:r>
              <w:rPr>
                <w:rFonts w:hint="eastAsia" w:ascii="宋体" w:hAnsi="宋体" w:cs="宋体"/>
                <w:b/>
                <w:bCs/>
                <w:color w:val="FF0000"/>
                <w:kern w:val="0"/>
                <w:sz w:val="22"/>
                <w:szCs w:val="22"/>
              </w:rPr>
              <w:t>▲9、外壳检测要求：各外表涂饰面之间平均值的差值≤2光泽单位；部件的对角线长度≥1400mm，最大误差值≤1mm。700mm＜部件的对角线长度&lt;1400mm，最大误差值≤1mm。部件的对角线长度≤500mm，最大误差值≤1mm。投标时需提供：①第三方检测机构在资质认定证书规定的能力范围内出具的标注资质认定标志（CMA）的检验检测报告扫描件，原件备查；②检测报告在全国认证认可信息公共服务平台（http://cx.cnca.cn)的查询截图，相关检测报告在公开渠道无法查询的，可提供颁发部门、检验检测机构或者监管机构的证明材料。注：①检测报告需包含本项检测依据和参数的全部内容；②受检单位（或委托单位）为投标供应商或产品制造商；③无法判断机构检测范围的，投标人需提供“检测报告载明的检测事项未超出本机构检测范围”的承诺函。</w:t>
            </w:r>
          </w:p>
        </w:tc>
      </w:tr>
      <w:tr w14:paraId="45C2B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89" w:type="dxa"/>
            <w:shd w:val="clear" w:color="auto" w:fill="auto"/>
            <w:vAlign w:val="center"/>
          </w:tcPr>
          <w:p w14:paraId="12D4EA38">
            <w:pPr>
              <w:widowControl/>
              <w:jc w:val="center"/>
              <w:rPr>
                <w:rFonts w:ascii="宋体" w:hAnsi="宋体" w:cs="宋体"/>
                <w:color w:val="000000"/>
                <w:kern w:val="0"/>
                <w:sz w:val="22"/>
                <w:szCs w:val="22"/>
              </w:rPr>
            </w:pPr>
            <w:r>
              <w:rPr>
                <w:rFonts w:ascii="宋体" w:hAnsi="宋体" w:cs="宋体"/>
                <w:color w:val="000000"/>
                <w:kern w:val="0"/>
                <w:sz w:val="22"/>
                <w:szCs w:val="22"/>
              </w:rPr>
              <w:t>2</w:t>
            </w:r>
          </w:p>
        </w:tc>
        <w:tc>
          <w:tcPr>
            <w:tcW w:w="1626" w:type="dxa"/>
            <w:shd w:val="clear" w:color="auto" w:fill="auto"/>
            <w:noWrap/>
            <w:vAlign w:val="center"/>
          </w:tcPr>
          <w:p w14:paraId="0D2A23F0">
            <w:pPr>
              <w:widowControl/>
              <w:jc w:val="center"/>
              <w:rPr>
                <w:rFonts w:ascii="宋体" w:hAnsi="宋体" w:cs="宋体"/>
                <w:kern w:val="0"/>
                <w:sz w:val="22"/>
                <w:szCs w:val="22"/>
              </w:rPr>
            </w:pPr>
            <w:r>
              <w:rPr>
                <w:rFonts w:hint="eastAsia"/>
                <w:sz w:val="22"/>
                <w:szCs w:val="22"/>
              </w:rPr>
              <w:t>立式钢琴</w:t>
            </w:r>
          </w:p>
        </w:tc>
        <w:tc>
          <w:tcPr>
            <w:tcW w:w="6194" w:type="dxa"/>
            <w:shd w:val="clear" w:color="auto" w:fill="auto"/>
            <w:vAlign w:val="center"/>
          </w:tcPr>
          <w:p w14:paraId="2CFF1E2C">
            <w:pPr>
              <w:widowControl/>
              <w:jc w:val="left"/>
              <w:rPr>
                <w:rFonts w:ascii="宋体" w:hAnsi="宋体" w:cs="宋体"/>
                <w:kern w:val="0"/>
                <w:sz w:val="22"/>
                <w:szCs w:val="22"/>
              </w:rPr>
            </w:pPr>
            <w:r>
              <w:rPr>
                <w:rFonts w:hint="eastAsia" w:ascii="宋体" w:hAnsi="宋体" w:cs="宋体"/>
                <w:kern w:val="0"/>
                <w:sz w:val="22"/>
                <w:szCs w:val="22"/>
              </w:rPr>
              <w:t>1、尺寸（长×宽×高）：151</w:t>
            </w:r>
            <w:r>
              <w:rPr>
                <w:rFonts w:ascii="宋体" w:hAnsi="宋体" w:cs="宋体"/>
                <w:kern w:val="0"/>
                <w:sz w:val="22"/>
                <w:szCs w:val="22"/>
              </w:rPr>
              <w:t>cm</w:t>
            </w:r>
            <w:r>
              <w:rPr>
                <w:rFonts w:hint="eastAsia" w:ascii="宋体" w:hAnsi="宋体" w:cs="宋体"/>
                <w:kern w:val="0"/>
                <w:sz w:val="22"/>
                <w:szCs w:val="22"/>
              </w:rPr>
              <w:t>×61</w:t>
            </w:r>
            <w:r>
              <w:rPr>
                <w:rFonts w:ascii="宋体" w:hAnsi="宋体" w:cs="宋体"/>
                <w:kern w:val="0"/>
                <w:sz w:val="22"/>
                <w:szCs w:val="22"/>
              </w:rPr>
              <w:t>cm</w:t>
            </w:r>
            <w:r>
              <w:rPr>
                <w:rFonts w:hint="eastAsia" w:ascii="宋体" w:hAnsi="宋体" w:cs="宋体"/>
                <w:kern w:val="0"/>
                <w:sz w:val="22"/>
                <w:szCs w:val="22"/>
              </w:rPr>
              <w:t>×121cm（可±5%）</w:t>
            </w:r>
          </w:p>
          <w:p w14:paraId="52353B46">
            <w:pPr>
              <w:widowControl/>
              <w:jc w:val="left"/>
              <w:rPr>
                <w:rFonts w:ascii="宋体" w:hAnsi="宋体" w:cs="宋体"/>
                <w:kern w:val="0"/>
                <w:sz w:val="22"/>
                <w:szCs w:val="22"/>
              </w:rPr>
            </w:pPr>
            <w:r>
              <w:rPr>
                <w:rFonts w:hint="eastAsia" w:ascii="宋体" w:hAnsi="宋体" w:cs="宋体"/>
                <w:kern w:val="0"/>
                <w:sz w:val="22"/>
                <w:szCs w:val="22"/>
              </w:rPr>
              <w:t>2、铁板：采用传统翻砂铸造技术。</w:t>
            </w:r>
          </w:p>
          <w:p w14:paraId="5F2FDC99">
            <w:pPr>
              <w:widowControl/>
              <w:jc w:val="left"/>
              <w:rPr>
                <w:rFonts w:ascii="宋体" w:hAnsi="宋体" w:cs="宋体"/>
                <w:kern w:val="0"/>
                <w:sz w:val="22"/>
                <w:szCs w:val="22"/>
              </w:rPr>
            </w:pPr>
            <w:r>
              <w:rPr>
                <w:rFonts w:hint="eastAsia" w:ascii="宋体" w:hAnsi="宋体" w:cs="宋体"/>
                <w:kern w:val="0"/>
                <w:sz w:val="22"/>
                <w:szCs w:val="22"/>
              </w:rPr>
              <w:t>3、弦槌：采用尼毡弦槌。</w:t>
            </w:r>
          </w:p>
          <w:p w14:paraId="4A2EB033">
            <w:pPr>
              <w:widowControl/>
              <w:jc w:val="left"/>
              <w:rPr>
                <w:rFonts w:ascii="宋体" w:hAnsi="宋体" w:cs="宋体"/>
                <w:kern w:val="0"/>
                <w:sz w:val="22"/>
                <w:szCs w:val="22"/>
              </w:rPr>
            </w:pPr>
            <w:r>
              <w:rPr>
                <w:rFonts w:hint="eastAsia" w:ascii="宋体" w:hAnsi="宋体" w:cs="宋体"/>
                <w:kern w:val="0"/>
                <w:sz w:val="22"/>
                <w:szCs w:val="22"/>
              </w:rPr>
              <w:t>4、制音毡：毛毡。</w:t>
            </w:r>
          </w:p>
          <w:p w14:paraId="7C2A6D77">
            <w:pPr>
              <w:widowControl/>
              <w:jc w:val="left"/>
              <w:rPr>
                <w:rFonts w:ascii="宋体" w:hAnsi="宋体" w:cs="宋体"/>
                <w:kern w:val="0"/>
                <w:sz w:val="22"/>
                <w:szCs w:val="22"/>
              </w:rPr>
            </w:pPr>
            <w:r>
              <w:rPr>
                <w:rFonts w:hint="eastAsia" w:ascii="宋体" w:hAnsi="宋体" w:cs="宋体"/>
                <w:kern w:val="0"/>
                <w:sz w:val="22"/>
                <w:szCs w:val="22"/>
              </w:rPr>
              <w:t>5、琴弦：使用防锈钢线，音色纯净，音准稳定。</w:t>
            </w:r>
          </w:p>
          <w:p w14:paraId="02B65F60">
            <w:pPr>
              <w:widowControl/>
              <w:jc w:val="left"/>
              <w:rPr>
                <w:rFonts w:ascii="宋体" w:hAnsi="宋体" w:cs="宋体"/>
                <w:kern w:val="0"/>
                <w:sz w:val="22"/>
                <w:szCs w:val="22"/>
              </w:rPr>
            </w:pPr>
            <w:r>
              <w:rPr>
                <w:rFonts w:hint="eastAsia" w:ascii="宋体" w:hAnsi="宋体" w:cs="宋体"/>
                <w:kern w:val="0"/>
                <w:sz w:val="22"/>
                <w:szCs w:val="22"/>
              </w:rPr>
              <w:t>6、击弦机：采用枫木板材，铝合金总档。</w:t>
            </w:r>
          </w:p>
          <w:p w14:paraId="2975A424">
            <w:pPr>
              <w:widowControl/>
              <w:jc w:val="left"/>
              <w:rPr>
                <w:rFonts w:ascii="宋体" w:hAnsi="宋体" w:cs="宋体"/>
                <w:kern w:val="0"/>
                <w:sz w:val="22"/>
                <w:szCs w:val="22"/>
              </w:rPr>
            </w:pPr>
            <w:r>
              <w:rPr>
                <w:rFonts w:hint="eastAsia" w:ascii="宋体" w:hAnsi="宋体" w:cs="宋体"/>
                <w:kern w:val="0"/>
                <w:sz w:val="22"/>
                <w:szCs w:val="22"/>
              </w:rPr>
              <w:t>7、缩调档：实木枫木制作，无金属包裹。</w:t>
            </w:r>
          </w:p>
          <w:p w14:paraId="2126D0C0">
            <w:pPr>
              <w:widowControl/>
              <w:jc w:val="left"/>
              <w:rPr>
                <w:rFonts w:ascii="宋体" w:hAnsi="宋体" w:cs="宋体"/>
                <w:kern w:val="0"/>
                <w:sz w:val="22"/>
                <w:szCs w:val="22"/>
              </w:rPr>
            </w:pPr>
            <w:r>
              <w:rPr>
                <w:rFonts w:hint="eastAsia" w:ascii="宋体" w:hAnsi="宋体" w:cs="宋体"/>
                <w:kern w:val="0"/>
                <w:sz w:val="22"/>
                <w:szCs w:val="22"/>
              </w:rPr>
              <w:t>8、连接顶杆：实木制作。</w:t>
            </w:r>
          </w:p>
          <w:p w14:paraId="69230DCB">
            <w:pPr>
              <w:widowControl/>
              <w:jc w:val="left"/>
              <w:rPr>
                <w:rFonts w:ascii="宋体" w:hAnsi="宋体" w:cs="宋体"/>
                <w:kern w:val="0"/>
                <w:sz w:val="22"/>
                <w:szCs w:val="22"/>
              </w:rPr>
            </w:pPr>
            <w:r>
              <w:rPr>
                <w:rFonts w:hint="eastAsia" w:ascii="宋体" w:hAnsi="宋体" w:cs="宋体"/>
                <w:kern w:val="0"/>
                <w:sz w:val="22"/>
                <w:szCs w:val="22"/>
              </w:rPr>
              <w:t>9、中盘：全实木交叉拼接制作。</w:t>
            </w:r>
          </w:p>
          <w:p w14:paraId="00D51FDC">
            <w:pPr>
              <w:widowControl/>
              <w:jc w:val="left"/>
              <w:rPr>
                <w:rFonts w:ascii="宋体" w:hAnsi="宋体" w:cs="宋体"/>
                <w:kern w:val="0"/>
                <w:sz w:val="22"/>
                <w:szCs w:val="22"/>
              </w:rPr>
            </w:pPr>
            <w:r>
              <w:rPr>
                <w:rFonts w:hint="eastAsia" w:ascii="宋体" w:hAnsi="宋体" w:cs="宋体"/>
                <w:kern w:val="0"/>
                <w:sz w:val="22"/>
                <w:szCs w:val="22"/>
              </w:rPr>
              <w:t>10、音板：采用上等云杉。</w:t>
            </w:r>
          </w:p>
          <w:p w14:paraId="0B33D8BF">
            <w:pPr>
              <w:widowControl/>
              <w:jc w:val="left"/>
              <w:rPr>
                <w:rFonts w:ascii="宋体" w:hAnsi="宋体" w:cs="宋体"/>
                <w:kern w:val="0"/>
                <w:sz w:val="22"/>
                <w:szCs w:val="22"/>
              </w:rPr>
            </w:pPr>
            <w:r>
              <w:rPr>
                <w:rFonts w:hint="eastAsia" w:ascii="宋体" w:hAnsi="宋体" w:cs="宋体"/>
                <w:kern w:val="0"/>
                <w:sz w:val="22"/>
                <w:szCs w:val="22"/>
              </w:rPr>
              <w:t>11、弦码：采用硬木制作，整码不齿接，音色过度均匀。</w:t>
            </w:r>
          </w:p>
          <w:p w14:paraId="5F0ED61A">
            <w:pPr>
              <w:widowControl/>
              <w:jc w:val="left"/>
              <w:rPr>
                <w:rFonts w:ascii="宋体" w:hAnsi="宋体" w:cs="宋体"/>
                <w:kern w:val="0"/>
                <w:sz w:val="22"/>
                <w:szCs w:val="22"/>
              </w:rPr>
            </w:pPr>
            <w:r>
              <w:rPr>
                <w:rFonts w:hint="eastAsia" w:ascii="宋体" w:hAnsi="宋体" w:cs="宋体"/>
                <w:kern w:val="0"/>
                <w:sz w:val="22"/>
                <w:szCs w:val="22"/>
              </w:rPr>
              <w:t>12、弦轴板：采用17层枫木弦轴板。</w:t>
            </w:r>
          </w:p>
          <w:p w14:paraId="57388A0F">
            <w:pPr>
              <w:widowControl/>
              <w:jc w:val="left"/>
              <w:rPr>
                <w:rFonts w:ascii="宋体" w:hAnsi="宋体" w:cs="宋体"/>
                <w:kern w:val="0"/>
                <w:sz w:val="22"/>
                <w:szCs w:val="22"/>
              </w:rPr>
            </w:pPr>
            <w:r>
              <w:rPr>
                <w:rFonts w:hint="eastAsia" w:ascii="宋体" w:hAnsi="宋体" w:cs="宋体"/>
                <w:kern w:val="0"/>
                <w:sz w:val="22"/>
                <w:szCs w:val="22"/>
              </w:rPr>
              <w:t>13、键盘：选用不易变形的多层板制造，白键采用白松。</w:t>
            </w:r>
          </w:p>
          <w:p w14:paraId="2F15451B">
            <w:pPr>
              <w:widowControl/>
              <w:jc w:val="left"/>
              <w:rPr>
                <w:rFonts w:ascii="宋体" w:hAnsi="宋体" w:cs="宋体"/>
                <w:kern w:val="0"/>
                <w:sz w:val="22"/>
                <w:szCs w:val="22"/>
              </w:rPr>
            </w:pPr>
            <w:r>
              <w:rPr>
                <w:rFonts w:hint="eastAsia" w:ascii="宋体" w:hAnsi="宋体" w:cs="宋体"/>
                <w:kern w:val="0"/>
                <w:sz w:val="22"/>
                <w:szCs w:val="22"/>
              </w:rPr>
              <w:t>14、音头纽：全实木制作。</w:t>
            </w:r>
          </w:p>
          <w:p w14:paraId="5E08E69D">
            <w:pPr>
              <w:widowControl/>
              <w:jc w:val="left"/>
              <w:rPr>
                <w:rFonts w:ascii="宋体" w:hAnsi="宋体" w:cs="宋体"/>
                <w:kern w:val="0"/>
                <w:sz w:val="22"/>
                <w:szCs w:val="22"/>
              </w:rPr>
            </w:pPr>
            <w:r>
              <w:rPr>
                <w:rFonts w:hint="eastAsia" w:ascii="宋体" w:hAnsi="宋体" w:cs="宋体"/>
                <w:kern w:val="0"/>
                <w:sz w:val="22"/>
                <w:szCs w:val="22"/>
              </w:rPr>
              <w:t>15、背柱：5根背柱。背柱截面积≥83*60mm。</w:t>
            </w:r>
          </w:p>
          <w:p w14:paraId="5EDEAC07">
            <w:pPr>
              <w:widowControl/>
              <w:jc w:val="left"/>
              <w:rPr>
                <w:rFonts w:ascii="宋体" w:hAnsi="宋体" w:cs="宋体"/>
                <w:b/>
                <w:bCs/>
                <w:color w:val="FF0000"/>
                <w:kern w:val="0"/>
                <w:sz w:val="22"/>
                <w:szCs w:val="22"/>
              </w:rPr>
            </w:pPr>
            <w:bookmarkStart w:id="42" w:name="OLE_LINK27"/>
            <w:bookmarkStart w:id="43" w:name="OLE_LINK26"/>
            <w:r>
              <w:rPr>
                <w:b/>
                <w:bCs/>
                <w:color w:val="FF0000"/>
              </w:rPr>
              <w:t>▲</w:t>
            </w:r>
            <w:r>
              <w:rPr>
                <w:rFonts w:ascii="宋体" w:hAnsi="宋体" w:cs="宋体"/>
                <w:b/>
                <w:bCs/>
                <w:color w:val="FF0000"/>
                <w:kern w:val="0"/>
                <w:sz w:val="22"/>
                <w:szCs w:val="22"/>
              </w:rPr>
              <w:t>16、</w:t>
            </w:r>
            <w:r>
              <w:rPr>
                <w:rFonts w:hint="eastAsia" w:ascii="宋体" w:hAnsi="宋体" w:cs="宋体"/>
                <w:b/>
                <w:bCs/>
                <w:color w:val="FF0000"/>
                <w:kern w:val="0"/>
                <w:sz w:val="22"/>
                <w:szCs w:val="22"/>
              </w:rPr>
              <w:t>声学品质</w:t>
            </w:r>
            <w:bookmarkStart w:id="44" w:name="OLE_LINK11"/>
            <w:bookmarkStart w:id="45" w:name="OLE_LINK10"/>
            <w:r>
              <w:rPr>
                <w:rFonts w:hint="eastAsia" w:ascii="宋体" w:hAnsi="宋体" w:cs="宋体"/>
                <w:b/>
                <w:bCs/>
                <w:color w:val="FF0000"/>
                <w:kern w:val="0"/>
                <w:sz w:val="22"/>
                <w:szCs w:val="22"/>
              </w:rPr>
              <w:t>检测要求</w:t>
            </w:r>
            <w:bookmarkEnd w:id="44"/>
            <w:bookmarkEnd w:id="45"/>
            <w:r>
              <w:rPr>
                <w:rFonts w:hint="eastAsia" w:ascii="宋体" w:hAnsi="宋体" w:cs="宋体"/>
                <w:b/>
                <w:bCs/>
                <w:color w:val="FF0000"/>
                <w:kern w:val="0"/>
                <w:sz w:val="22"/>
                <w:szCs w:val="22"/>
              </w:rPr>
              <w:t>：标准音：445-447Hz。投标时需提供：①第三方检测机构在资质认定证书规定的能力范围内出具的标注资质认定标志（CMA）的检验检测报告扫描件，原件备查；②检测报告在全国认证认可信息公共服务平台（http://cx.cnca.cn)的查询截图，相关检测报告在公开渠道无法查询的，可提供颁发部门、检验检测机构或者监管机构的证明材料。注：①检测报告需包含本项检测依据和参数的全部内容；②受检单位（或委托单位）为投标供应商或产品制造商；③无法判断机构检测范围的，投标人需提供“检测报告载明的检测事项未超出本机构检测范围”的承诺函。</w:t>
            </w:r>
          </w:p>
          <w:p w14:paraId="39C045DD">
            <w:pPr>
              <w:widowControl/>
              <w:jc w:val="left"/>
              <w:rPr>
                <w:rFonts w:ascii="宋体" w:hAnsi="宋体" w:cs="宋体"/>
                <w:b/>
                <w:bCs/>
                <w:color w:val="FF0000"/>
                <w:kern w:val="0"/>
                <w:sz w:val="22"/>
                <w:szCs w:val="22"/>
              </w:rPr>
            </w:pPr>
            <w:r>
              <w:rPr>
                <w:b/>
                <w:bCs/>
                <w:color w:val="FF0000"/>
              </w:rPr>
              <w:t>▲</w:t>
            </w:r>
            <w:r>
              <w:rPr>
                <w:rFonts w:hint="eastAsia" w:ascii="宋体" w:hAnsi="宋体" w:cs="宋体"/>
                <w:b/>
                <w:bCs/>
                <w:color w:val="FF0000"/>
                <w:kern w:val="0"/>
                <w:sz w:val="22"/>
                <w:szCs w:val="22"/>
              </w:rPr>
              <w:t>1</w:t>
            </w:r>
            <w:r>
              <w:rPr>
                <w:rFonts w:ascii="宋体" w:hAnsi="宋体" w:cs="宋体"/>
                <w:b/>
                <w:bCs/>
                <w:color w:val="FF0000"/>
                <w:kern w:val="0"/>
                <w:sz w:val="22"/>
                <w:szCs w:val="22"/>
              </w:rPr>
              <w:t>7、</w:t>
            </w:r>
            <w:r>
              <w:rPr>
                <w:rFonts w:hint="eastAsia" w:ascii="宋体" w:hAnsi="宋体" w:cs="宋体"/>
                <w:b/>
                <w:bCs/>
                <w:color w:val="FF0000"/>
                <w:kern w:val="0"/>
                <w:sz w:val="22"/>
                <w:szCs w:val="22"/>
              </w:rPr>
              <w:t>演奏性能检测要求：白键下沉深度10.5-11.5mm；白键下沉偏差≤0.6mm；相邻两键偏差≤0.4mm；琴键负荷-下降：0.59-0.73N；琴键负荷-回升：0.26-0.33N；琴键负荷-相邻两键下降负荷差：≤0.10N；踏瓣负荷：≤5.5N。投标时需提供：①第三方检测机构在资质认定证书规定的能力范围内出具的标注资质认定标志（CMA）的检验检测报告扫描件，原件备查；②检测报告在全国认证认可信息公共服务平台（http://cx.cnca.cn)的查询截图，相关检测报告在公开渠道无法查询的，可提供颁发部门、检验检测机构或者监管机构的证明材料。注：①检测报告需包含本项检测依据和参数的全部内容；②受检单位（或委托单位）为投标供应商或产品制造商；③无法判断机构检测范围的，投标人需提供“检测报告载明的检测事项未超出本机构检测范围”的承诺函。</w:t>
            </w:r>
          </w:p>
          <w:p w14:paraId="11511B43">
            <w:pPr>
              <w:widowControl/>
              <w:jc w:val="left"/>
              <w:rPr>
                <w:rFonts w:ascii="宋体" w:hAnsi="宋体" w:cs="宋体"/>
                <w:b/>
                <w:bCs/>
                <w:color w:val="FF0000"/>
                <w:kern w:val="0"/>
                <w:sz w:val="22"/>
                <w:szCs w:val="22"/>
              </w:rPr>
            </w:pPr>
            <w:r>
              <w:rPr>
                <w:b/>
                <w:bCs/>
                <w:color w:val="FF0000"/>
              </w:rPr>
              <w:t>▲</w:t>
            </w:r>
            <w:r>
              <w:rPr>
                <w:rFonts w:hint="eastAsia" w:ascii="宋体" w:hAnsi="宋体" w:cs="宋体"/>
                <w:b/>
                <w:bCs/>
                <w:color w:val="FF0000"/>
                <w:kern w:val="0"/>
                <w:sz w:val="22"/>
                <w:szCs w:val="22"/>
              </w:rPr>
              <w:t>1</w:t>
            </w:r>
            <w:r>
              <w:rPr>
                <w:rFonts w:ascii="宋体" w:hAnsi="宋体" w:cs="宋体"/>
                <w:b/>
                <w:bCs/>
                <w:color w:val="FF0000"/>
                <w:kern w:val="0"/>
                <w:sz w:val="22"/>
                <w:szCs w:val="22"/>
              </w:rPr>
              <w:t>8、</w:t>
            </w:r>
            <w:r>
              <w:rPr>
                <w:rFonts w:hint="eastAsia" w:ascii="宋体" w:hAnsi="宋体" w:cs="宋体"/>
                <w:b/>
                <w:bCs/>
                <w:color w:val="FF0000"/>
                <w:kern w:val="0"/>
                <w:sz w:val="22"/>
                <w:szCs w:val="22"/>
              </w:rPr>
              <w:t>键盘检测要求：琴键间隙：0.8-1.1mm；中盘底面距地面高度625-635mm。投标时需提供：①第三方检测机构在资质认定证书规定的能力范围内出具的标注资质认定标志（CMA）的检验检测报告扫描件，原件备查；②检测报告在全国认证认可信息公共服务平台（http://cx.cnca.cn)的查询截图，相关检测报告在公开渠道无法查询的，可提供颁发部门、检验检测机构或者监管机构的证明材料。注：①检测报告需包含本项检测依据和参数的全部内容；②受检单位（或委托单位）为投标供应商或产品制造商；③无法判断机构检测范围的，投标人需提供“检测报告载明的检测事项未超出本机构检测范围”的承诺函。</w:t>
            </w:r>
          </w:p>
          <w:p w14:paraId="62338D4F">
            <w:pPr>
              <w:widowControl/>
              <w:jc w:val="left"/>
              <w:rPr>
                <w:rFonts w:ascii="宋体" w:hAnsi="宋体" w:cs="宋体"/>
                <w:b/>
                <w:bCs/>
                <w:color w:val="FF0000"/>
                <w:kern w:val="0"/>
                <w:sz w:val="22"/>
                <w:szCs w:val="22"/>
              </w:rPr>
            </w:pPr>
            <w:r>
              <w:rPr>
                <w:b/>
                <w:bCs/>
                <w:color w:val="FF0000"/>
              </w:rPr>
              <w:t>▲</w:t>
            </w:r>
            <w:r>
              <w:rPr>
                <w:rFonts w:hint="eastAsia" w:ascii="宋体" w:hAnsi="宋体" w:cs="宋体"/>
                <w:b/>
                <w:bCs/>
                <w:color w:val="FF0000"/>
                <w:kern w:val="0"/>
                <w:sz w:val="22"/>
                <w:szCs w:val="22"/>
              </w:rPr>
              <w:t>1</w:t>
            </w:r>
            <w:r>
              <w:rPr>
                <w:rFonts w:ascii="宋体" w:hAnsi="宋体" w:cs="宋体"/>
                <w:b/>
                <w:bCs/>
                <w:color w:val="FF0000"/>
                <w:kern w:val="0"/>
                <w:sz w:val="22"/>
                <w:szCs w:val="22"/>
              </w:rPr>
              <w:t>9、</w:t>
            </w:r>
            <w:r>
              <w:rPr>
                <w:rFonts w:hint="eastAsia" w:ascii="宋体" w:hAnsi="宋体" w:cs="宋体"/>
                <w:b/>
                <w:bCs/>
                <w:color w:val="FF0000"/>
                <w:kern w:val="0"/>
                <w:sz w:val="22"/>
                <w:szCs w:val="22"/>
              </w:rPr>
              <w:t>外壳检测要求：表面涂饰：≥89光泽单位，各部件之间平均值的差值≤2.6光泽单位；平面度：对角线长度≥1200mm，公差≤0.3mm。500mm≤对角线长度&lt;1200mm，公差≤0.3mm。对角线长度&lt;500mm，公差≤0.4mm。投标时需提供：①第三方检测机构在资质认定证书规定的能力范围内出具的标注资质认定标志（CMA）的检验检测报告扫描件，原件备查；②检测报告在全国认证认可信息公共服务平台（http://cx.cnca.cn)的查询截图，相关检测报告在公开渠道无法查询的，可提供颁发部门、检验检测机构或者监管机构的证明材料。注：①检测报告需包含本项检测依据和参数的全部内容；②受检单位（或委托单位）为投标供应商或产品制造商；③无法判断机构检测范围的，投标人需提供“检测报告载明的检测事项未超出本机构检测范围”的承诺函。</w:t>
            </w:r>
          </w:p>
          <w:bookmarkEnd w:id="42"/>
          <w:bookmarkEnd w:id="43"/>
          <w:p w14:paraId="5DF43E9B">
            <w:pPr>
              <w:widowControl/>
              <w:jc w:val="left"/>
              <w:rPr>
                <w:rFonts w:ascii="宋体" w:hAnsi="宋体" w:cs="宋体"/>
                <w:kern w:val="0"/>
                <w:sz w:val="22"/>
                <w:szCs w:val="22"/>
              </w:rPr>
            </w:pPr>
            <w:r>
              <w:rPr>
                <w:rFonts w:ascii="宋体" w:hAnsi="宋体" w:cs="宋体"/>
                <w:kern w:val="0"/>
                <w:sz w:val="22"/>
                <w:szCs w:val="22"/>
              </w:rPr>
              <w:t>20</w:t>
            </w:r>
            <w:r>
              <w:rPr>
                <w:rFonts w:hint="eastAsia" w:ascii="宋体" w:hAnsi="宋体" w:cs="宋体"/>
                <w:kern w:val="0"/>
                <w:sz w:val="22"/>
                <w:szCs w:val="22"/>
              </w:rPr>
              <w:t>、脚轮：采用金属镀铬制作。</w:t>
            </w:r>
          </w:p>
          <w:p w14:paraId="2E2E6D42">
            <w:pPr>
              <w:widowControl/>
              <w:jc w:val="left"/>
              <w:rPr>
                <w:rFonts w:ascii="宋体" w:hAnsi="宋体" w:cs="宋体"/>
                <w:kern w:val="0"/>
                <w:sz w:val="22"/>
                <w:szCs w:val="22"/>
              </w:rPr>
            </w:pPr>
            <w:r>
              <w:rPr>
                <w:rFonts w:ascii="宋体" w:hAnsi="宋体" w:cs="宋体"/>
                <w:kern w:val="0"/>
                <w:sz w:val="22"/>
                <w:szCs w:val="22"/>
              </w:rPr>
              <w:t>21</w:t>
            </w:r>
            <w:r>
              <w:rPr>
                <w:rFonts w:hint="eastAsia" w:ascii="宋体" w:hAnsi="宋体" w:cs="宋体"/>
                <w:kern w:val="0"/>
                <w:sz w:val="22"/>
                <w:szCs w:val="22"/>
              </w:rPr>
              <w:t>、键盖：安装液压缓冲装置。</w:t>
            </w:r>
          </w:p>
          <w:p w14:paraId="24B16D81">
            <w:pPr>
              <w:widowControl/>
              <w:jc w:val="left"/>
              <w:rPr>
                <w:rFonts w:ascii="宋体" w:hAnsi="宋体" w:cs="宋体"/>
                <w:kern w:val="0"/>
                <w:sz w:val="22"/>
                <w:szCs w:val="22"/>
              </w:rPr>
            </w:pPr>
            <w:r>
              <w:rPr>
                <w:rFonts w:hint="eastAsia" w:ascii="宋体" w:hAnsi="宋体" w:cs="宋体"/>
                <w:kern w:val="0"/>
                <w:sz w:val="22"/>
                <w:szCs w:val="22"/>
              </w:rPr>
              <w:t>2</w:t>
            </w:r>
            <w:r>
              <w:rPr>
                <w:rFonts w:ascii="宋体" w:hAnsi="宋体" w:cs="宋体"/>
                <w:kern w:val="0"/>
                <w:sz w:val="22"/>
                <w:szCs w:val="22"/>
              </w:rPr>
              <w:t>2</w:t>
            </w:r>
            <w:r>
              <w:rPr>
                <w:rFonts w:hint="eastAsia" w:ascii="宋体" w:hAnsi="宋体" w:cs="宋体"/>
                <w:kern w:val="0"/>
                <w:sz w:val="22"/>
                <w:szCs w:val="22"/>
              </w:rPr>
              <w:t>、配琴凳、琴键布。</w:t>
            </w:r>
          </w:p>
        </w:tc>
      </w:tr>
    </w:tbl>
    <w:p w14:paraId="6639DAD7">
      <w:pPr>
        <w:rPr>
          <w:b/>
          <w:szCs w:val="21"/>
        </w:rPr>
      </w:pPr>
    </w:p>
    <w:p w14:paraId="31E88C9D">
      <w:pPr>
        <w:rPr>
          <w:b/>
          <w:szCs w:val="21"/>
        </w:rPr>
      </w:pPr>
    </w:p>
    <w:p w14:paraId="6FFEA117">
      <w:pPr>
        <w:pStyle w:val="6"/>
        <w:spacing w:before="120" w:beforeLines="50" w:after="120" w:afterLines="50"/>
        <w:rPr>
          <w:sz w:val="28"/>
          <w:szCs w:val="28"/>
        </w:rPr>
      </w:pPr>
      <w:r>
        <w:rPr>
          <w:rFonts w:hint="eastAsia"/>
          <w:sz w:val="28"/>
          <w:szCs w:val="28"/>
        </w:rPr>
        <w:t>五、商务要求</w:t>
      </w:r>
    </w:p>
    <w:p w14:paraId="10D2A433">
      <w:pPr>
        <w:ind w:firstLine="422" w:firstLineChars="200"/>
        <w:rPr>
          <w:b/>
          <w:szCs w:val="21"/>
        </w:rPr>
      </w:pPr>
      <w:r>
        <w:rPr>
          <w:rFonts w:hint="eastAsia"/>
          <w:b/>
          <w:szCs w:val="21"/>
        </w:rPr>
        <w:t>说明：带★号条款为不可偏离条款，不作为评分准则中的评分内容，如未响应或出现负偏离的，将作投标无效处理。</w:t>
      </w:r>
    </w:p>
    <w:tbl>
      <w:tblPr>
        <w:tblStyle w:val="43"/>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1"/>
        <w:gridCol w:w="1407"/>
        <w:gridCol w:w="6308"/>
      </w:tblGrid>
      <w:tr w14:paraId="74FCF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76" w:type="pct"/>
            <w:vAlign w:val="center"/>
          </w:tcPr>
          <w:p w14:paraId="1F2BD6C2">
            <w:pPr>
              <w:jc w:val="center"/>
              <w:rPr>
                <w:b/>
                <w:szCs w:val="21"/>
              </w:rPr>
            </w:pPr>
            <w:r>
              <w:rPr>
                <w:rFonts w:hint="eastAsia"/>
                <w:b/>
                <w:szCs w:val="21"/>
              </w:rPr>
              <w:t>序号</w:t>
            </w:r>
          </w:p>
        </w:tc>
        <w:tc>
          <w:tcPr>
            <w:tcW w:w="825" w:type="pct"/>
            <w:vAlign w:val="center"/>
          </w:tcPr>
          <w:p w14:paraId="6FDAA538">
            <w:pPr>
              <w:jc w:val="center"/>
              <w:rPr>
                <w:b/>
                <w:szCs w:val="21"/>
              </w:rPr>
            </w:pPr>
            <w:r>
              <w:rPr>
                <w:rFonts w:hint="eastAsia"/>
                <w:b/>
                <w:szCs w:val="21"/>
              </w:rPr>
              <w:t>商务需求项</w:t>
            </w:r>
          </w:p>
        </w:tc>
        <w:tc>
          <w:tcPr>
            <w:tcW w:w="3699" w:type="pct"/>
            <w:vAlign w:val="center"/>
          </w:tcPr>
          <w:p w14:paraId="32013FE5">
            <w:pPr>
              <w:jc w:val="center"/>
              <w:rPr>
                <w:b/>
                <w:szCs w:val="21"/>
              </w:rPr>
            </w:pPr>
            <w:r>
              <w:rPr>
                <w:rFonts w:hint="eastAsia"/>
                <w:b/>
                <w:szCs w:val="21"/>
              </w:rPr>
              <w:t>招标商务要求</w:t>
            </w:r>
          </w:p>
        </w:tc>
      </w:tr>
      <w:tr w14:paraId="10D39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5000" w:type="pct"/>
            <w:gridSpan w:val="3"/>
            <w:vAlign w:val="center"/>
          </w:tcPr>
          <w:p w14:paraId="27054923">
            <w:pPr>
              <w:rPr>
                <w:b/>
                <w:szCs w:val="21"/>
              </w:rPr>
            </w:pPr>
            <w:r>
              <w:rPr>
                <w:rFonts w:hint="eastAsia"/>
                <w:b/>
                <w:szCs w:val="21"/>
              </w:rPr>
              <w:t>（一）免费保修期内售后服务要求</w:t>
            </w:r>
          </w:p>
        </w:tc>
      </w:tr>
      <w:tr w14:paraId="562B5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476" w:type="pct"/>
            <w:vAlign w:val="center"/>
          </w:tcPr>
          <w:p w14:paraId="1F61B881">
            <w:pPr>
              <w:jc w:val="center"/>
              <w:rPr>
                <w:bCs/>
                <w:szCs w:val="21"/>
              </w:rPr>
            </w:pPr>
            <w:r>
              <w:rPr>
                <w:rFonts w:hint="eastAsia"/>
                <w:bCs/>
                <w:szCs w:val="21"/>
              </w:rPr>
              <w:t>1</w:t>
            </w:r>
          </w:p>
        </w:tc>
        <w:tc>
          <w:tcPr>
            <w:tcW w:w="825" w:type="pct"/>
            <w:vAlign w:val="center"/>
          </w:tcPr>
          <w:p w14:paraId="02EFF22D">
            <w:pPr>
              <w:jc w:val="center"/>
              <w:rPr>
                <w:szCs w:val="21"/>
              </w:rPr>
            </w:pPr>
            <w:r>
              <w:rPr>
                <w:rFonts w:hint="eastAsia"/>
                <w:szCs w:val="21"/>
              </w:rPr>
              <w:t>维修响应及故障解决时间</w:t>
            </w:r>
          </w:p>
        </w:tc>
        <w:tc>
          <w:tcPr>
            <w:tcW w:w="3699" w:type="pct"/>
            <w:vAlign w:val="center"/>
          </w:tcPr>
          <w:p w14:paraId="4A2A5C7F">
            <w:pPr>
              <w:rPr>
                <w:b/>
                <w:szCs w:val="21"/>
              </w:rPr>
            </w:pPr>
            <w:r>
              <w:rPr>
                <w:rFonts w:hint="eastAsia"/>
                <w:bCs/>
                <w:szCs w:val="21"/>
              </w:rPr>
              <w:t>在免费保修期内，一旦发生质量问题，中标人保证在接到通知</w:t>
            </w:r>
            <w:r>
              <w:rPr>
                <w:bCs/>
                <w:szCs w:val="21"/>
              </w:rPr>
              <w:t>24</w:t>
            </w:r>
            <w:r>
              <w:rPr>
                <w:rFonts w:hint="eastAsia"/>
                <w:bCs/>
                <w:szCs w:val="21"/>
              </w:rPr>
              <w:t>小时内赶到现场进行修理或更换。</w:t>
            </w:r>
          </w:p>
        </w:tc>
      </w:tr>
      <w:tr w14:paraId="1E887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476" w:type="pct"/>
            <w:vMerge w:val="restart"/>
            <w:vAlign w:val="center"/>
          </w:tcPr>
          <w:p w14:paraId="58C83C8F">
            <w:pPr>
              <w:jc w:val="center"/>
              <w:rPr>
                <w:szCs w:val="21"/>
              </w:rPr>
            </w:pPr>
            <w:r>
              <w:rPr>
                <w:rFonts w:hint="eastAsia"/>
                <w:szCs w:val="21"/>
              </w:rPr>
              <w:t>2</w:t>
            </w:r>
          </w:p>
        </w:tc>
        <w:tc>
          <w:tcPr>
            <w:tcW w:w="825" w:type="pct"/>
            <w:vMerge w:val="restart"/>
            <w:vAlign w:val="center"/>
          </w:tcPr>
          <w:p w14:paraId="14C828D9">
            <w:pPr>
              <w:jc w:val="center"/>
              <w:rPr>
                <w:szCs w:val="21"/>
              </w:rPr>
            </w:pPr>
            <w:r>
              <w:rPr>
                <w:rFonts w:hint="eastAsia"/>
                <w:szCs w:val="21"/>
              </w:rPr>
              <w:t>免费保修期</w:t>
            </w:r>
          </w:p>
        </w:tc>
        <w:tc>
          <w:tcPr>
            <w:tcW w:w="3699" w:type="pct"/>
            <w:vAlign w:val="center"/>
          </w:tcPr>
          <w:p w14:paraId="5DD3B9B6">
            <w:pPr>
              <w:rPr>
                <w:b/>
                <w:color w:val="FF0000"/>
                <w:szCs w:val="21"/>
              </w:rPr>
            </w:pPr>
            <w:r>
              <w:rPr>
                <w:rFonts w:hint="eastAsia"/>
                <w:b/>
                <w:color w:val="FF0000"/>
                <w:szCs w:val="21"/>
              </w:rPr>
              <w:t>★1</w:t>
            </w:r>
            <w:r>
              <w:rPr>
                <w:b/>
                <w:color w:val="FF0000"/>
                <w:szCs w:val="21"/>
              </w:rPr>
              <w:t>.</w:t>
            </w:r>
            <w:r>
              <w:rPr>
                <w:rFonts w:hint="eastAsia"/>
                <w:b/>
                <w:color w:val="FF0000"/>
                <w:szCs w:val="21"/>
              </w:rPr>
              <w:t>货物免费保修期</w:t>
            </w:r>
            <w:r>
              <w:rPr>
                <w:rFonts w:hint="eastAsia"/>
                <w:b/>
                <w:color w:val="FF0000"/>
                <w:szCs w:val="21"/>
                <w:u w:val="single"/>
              </w:rPr>
              <w:t xml:space="preserve">  1  </w:t>
            </w:r>
            <w:r>
              <w:rPr>
                <w:rFonts w:hint="eastAsia"/>
                <w:b/>
                <w:color w:val="FF0000"/>
                <w:szCs w:val="21"/>
              </w:rPr>
              <w:t>年，时间自最终验收合格并交付使用之日起计算。</w:t>
            </w:r>
          </w:p>
        </w:tc>
      </w:tr>
      <w:tr w14:paraId="1D2A0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476" w:type="pct"/>
            <w:vMerge w:val="continue"/>
            <w:vAlign w:val="center"/>
          </w:tcPr>
          <w:p w14:paraId="73CD7785">
            <w:pPr>
              <w:jc w:val="center"/>
              <w:rPr>
                <w:b/>
                <w:szCs w:val="21"/>
              </w:rPr>
            </w:pPr>
          </w:p>
        </w:tc>
        <w:tc>
          <w:tcPr>
            <w:tcW w:w="825" w:type="pct"/>
            <w:vMerge w:val="continue"/>
            <w:vAlign w:val="center"/>
          </w:tcPr>
          <w:p w14:paraId="2C6F234D">
            <w:pPr>
              <w:rPr>
                <w:szCs w:val="21"/>
              </w:rPr>
            </w:pPr>
          </w:p>
        </w:tc>
        <w:tc>
          <w:tcPr>
            <w:tcW w:w="3699" w:type="pct"/>
            <w:vAlign w:val="center"/>
          </w:tcPr>
          <w:p w14:paraId="3EAA0FB9">
            <w:pPr>
              <w:rPr>
                <w:b/>
                <w:color w:val="FF0000"/>
                <w:szCs w:val="21"/>
              </w:rPr>
            </w:pPr>
            <w:r>
              <w:rPr>
                <w:rFonts w:hint="eastAsia"/>
                <w:b/>
                <w:color w:val="FF0000"/>
                <w:szCs w:val="21"/>
              </w:rPr>
              <w:t>★2</w:t>
            </w:r>
            <w:r>
              <w:rPr>
                <w:b/>
                <w:color w:val="FF0000"/>
                <w:szCs w:val="21"/>
              </w:rPr>
              <w:t>.</w:t>
            </w:r>
            <w:r>
              <w:rPr>
                <w:rFonts w:hint="eastAsia"/>
                <w:b/>
                <w:color w:val="FF0000"/>
                <w:szCs w:val="21"/>
              </w:rPr>
              <w:t>免费保修期内，所有服务及配件全部免费。</w:t>
            </w:r>
          </w:p>
        </w:tc>
      </w:tr>
      <w:tr w14:paraId="7AC8D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476" w:type="pct"/>
            <w:vAlign w:val="center"/>
          </w:tcPr>
          <w:p w14:paraId="6FA9F25E">
            <w:pPr>
              <w:jc w:val="center"/>
              <w:rPr>
                <w:b/>
                <w:szCs w:val="21"/>
              </w:rPr>
            </w:pPr>
            <w:r>
              <w:rPr>
                <w:rFonts w:hint="eastAsia"/>
                <w:szCs w:val="21"/>
              </w:rPr>
              <w:t>3</w:t>
            </w:r>
          </w:p>
        </w:tc>
        <w:tc>
          <w:tcPr>
            <w:tcW w:w="825" w:type="pct"/>
            <w:vAlign w:val="center"/>
          </w:tcPr>
          <w:p w14:paraId="65C3E3A7">
            <w:pPr>
              <w:jc w:val="center"/>
              <w:rPr>
                <w:b/>
                <w:szCs w:val="21"/>
              </w:rPr>
            </w:pPr>
            <w:r>
              <w:rPr>
                <w:rFonts w:hint="eastAsia"/>
                <w:szCs w:val="21"/>
              </w:rPr>
              <w:t>技术文件</w:t>
            </w:r>
          </w:p>
        </w:tc>
        <w:tc>
          <w:tcPr>
            <w:tcW w:w="3699" w:type="pct"/>
            <w:vAlign w:val="center"/>
          </w:tcPr>
          <w:p w14:paraId="27015FE7">
            <w:pPr>
              <w:rPr>
                <w:bCs/>
                <w:szCs w:val="21"/>
              </w:rPr>
            </w:pPr>
            <w:r>
              <w:rPr>
                <w:rFonts w:hint="eastAsia"/>
                <w:bCs/>
                <w:szCs w:val="21"/>
              </w:rPr>
              <w:t>供应商应提供全套、完整的书面技术资料，包括产品说明书、操作手册、合格证、保修卡、简单维修说明、图纸等。</w:t>
            </w:r>
          </w:p>
        </w:tc>
      </w:tr>
      <w:tr w14:paraId="0D3D1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476" w:type="pct"/>
            <w:vAlign w:val="center"/>
          </w:tcPr>
          <w:p w14:paraId="06498FB4">
            <w:pPr>
              <w:jc w:val="center"/>
              <w:rPr>
                <w:bCs/>
                <w:szCs w:val="21"/>
              </w:rPr>
            </w:pPr>
            <w:r>
              <w:rPr>
                <w:rFonts w:hint="eastAsia"/>
                <w:bCs/>
                <w:szCs w:val="21"/>
              </w:rPr>
              <w:t>4</w:t>
            </w:r>
          </w:p>
        </w:tc>
        <w:tc>
          <w:tcPr>
            <w:tcW w:w="825" w:type="pct"/>
            <w:vAlign w:val="center"/>
          </w:tcPr>
          <w:p w14:paraId="4F1A97EC">
            <w:pPr>
              <w:jc w:val="center"/>
              <w:rPr>
                <w:bCs/>
                <w:szCs w:val="21"/>
              </w:rPr>
            </w:pPr>
            <w:r>
              <w:rPr>
                <w:rFonts w:hint="eastAsia"/>
                <w:szCs w:val="21"/>
              </w:rPr>
              <w:t>安装调试</w:t>
            </w:r>
          </w:p>
        </w:tc>
        <w:tc>
          <w:tcPr>
            <w:tcW w:w="3699" w:type="pct"/>
            <w:vAlign w:val="center"/>
          </w:tcPr>
          <w:p w14:paraId="4A432707">
            <w:pPr>
              <w:rPr>
                <w:bCs/>
                <w:szCs w:val="21"/>
              </w:rPr>
            </w:pPr>
            <w:r>
              <w:rPr>
                <w:rFonts w:hint="eastAsia" w:ascii="宋体" w:hAnsi="宋体" w:cs="宋体"/>
                <w:bCs/>
                <w:szCs w:val="21"/>
              </w:rPr>
              <w:t>中标</w:t>
            </w:r>
            <w:r>
              <w:rPr>
                <w:rFonts w:hint="eastAsia" w:ascii="宋体" w:hAnsi="宋体" w:cs="宋体"/>
                <w:color w:val="000000"/>
                <w:szCs w:val="21"/>
              </w:rPr>
              <w:t>人</w:t>
            </w:r>
            <w:r>
              <w:rPr>
                <w:rFonts w:hint="eastAsia"/>
                <w:bCs/>
                <w:szCs w:val="21"/>
              </w:rPr>
              <w:t>应派有经验的技术人员到现场进行安装、调试，直到设备正常使用。</w:t>
            </w:r>
          </w:p>
        </w:tc>
      </w:tr>
      <w:tr w14:paraId="6789F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0" w:type="pct"/>
            <w:gridSpan w:val="3"/>
            <w:vAlign w:val="center"/>
          </w:tcPr>
          <w:p w14:paraId="7CF89570">
            <w:pPr>
              <w:rPr>
                <w:rFonts w:ascii="宋体" w:hAnsi="宋体"/>
                <w:b/>
                <w:szCs w:val="21"/>
              </w:rPr>
            </w:pPr>
            <w:r>
              <w:rPr>
                <w:rFonts w:hint="eastAsia" w:ascii="宋体" w:hAnsi="宋体"/>
                <w:b/>
                <w:szCs w:val="21"/>
              </w:rPr>
              <w:t>（二）免费保修期外售后服务要求</w:t>
            </w:r>
          </w:p>
        </w:tc>
      </w:tr>
      <w:tr w14:paraId="07AFC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76" w:type="pct"/>
            <w:vAlign w:val="center"/>
          </w:tcPr>
          <w:p w14:paraId="32F54985">
            <w:pPr>
              <w:jc w:val="center"/>
              <w:rPr>
                <w:rFonts w:ascii="宋体" w:hAnsi="宋体"/>
                <w:b/>
                <w:szCs w:val="21"/>
              </w:rPr>
            </w:pPr>
            <w:r>
              <w:rPr>
                <w:rFonts w:hint="eastAsia" w:ascii="宋体" w:hAnsi="宋体"/>
                <w:b/>
                <w:szCs w:val="21"/>
              </w:rPr>
              <w:t>1</w:t>
            </w:r>
          </w:p>
        </w:tc>
        <w:tc>
          <w:tcPr>
            <w:tcW w:w="825" w:type="pct"/>
            <w:vAlign w:val="center"/>
          </w:tcPr>
          <w:p w14:paraId="0712546D">
            <w:pPr>
              <w:jc w:val="center"/>
              <w:rPr>
                <w:rFonts w:ascii="宋体" w:hAnsi="宋体"/>
                <w:b/>
                <w:color w:val="000000"/>
                <w:szCs w:val="21"/>
              </w:rPr>
            </w:pPr>
            <w:r>
              <w:rPr>
                <w:rFonts w:hint="eastAsia"/>
                <w:szCs w:val="21"/>
              </w:rPr>
              <w:t>免费保修期外售后服务要求</w:t>
            </w:r>
          </w:p>
        </w:tc>
        <w:tc>
          <w:tcPr>
            <w:tcW w:w="3699" w:type="pct"/>
            <w:vAlign w:val="center"/>
          </w:tcPr>
          <w:p w14:paraId="653D9CA8">
            <w:pPr>
              <w:rPr>
                <w:rFonts w:ascii="宋体" w:hAnsi="宋体"/>
                <w:b/>
                <w:color w:val="000000"/>
                <w:szCs w:val="21"/>
              </w:rPr>
            </w:pPr>
            <w:r>
              <w:rPr>
                <w:rFonts w:hint="eastAsia" w:ascii="宋体" w:hAnsi="宋体" w:cs="宋体"/>
                <w:bCs/>
                <w:szCs w:val="21"/>
              </w:rPr>
              <w:t>免费保修期满后，中标</w:t>
            </w:r>
            <w:r>
              <w:rPr>
                <w:rFonts w:hint="eastAsia" w:ascii="宋体" w:hAnsi="宋体" w:cs="宋体"/>
                <w:color w:val="000000"/>
                <w:szCs w:val="21"/>
              </w:rPr>
              <w:t>人</w:t>
            </w:r>
            <w:r>
              <w:rPr>
                <w:rFonts w:hint="eastAsia" w:ascii="宋体" w:hAnsi="宋体" w:cs="宋体"/>
                <w:bCs/>
                <w:szCs w:val="21"/>
              </w:rPr>
              <w:t>提供的产品不能正常使用，中标</w:t>
            </w:r>
            <w:r>
              <w:rPr>
                <w:rFonts w:hint="eastAsia" w:ascii="宋体" w:hAnsi="宋体" w:cs="宋体"/>
                <w:color w:val="000000"/>
                <w:szCs w:val="21"/>
              </w:rPr>
              <w:t>人</w:t>
            </w:r>
            <w:r>
              <w:rPr>
                <w:rFonts w:hint="eastAsia" w:ascii="宋体" w:hAnsi="宋体" w:cs="宋体"/>
                <w:bCs/>
                <w:szCs w:val="21"/>
              </w:rPr>
              <w:t>应提供上门维修、更换服务，以确保产品正常使用，并且按维修材料成本价收取费用。</w:t>
            </w:r>
          </w:p>
        </w:tc>
      </w:tr>
      <w:tr w14:paraId="37C21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000" w:type="pct"/>
            <w:gridSpan w:val="3"/>
            <w:vAlign w:val="center"/>
          </w:tcPr>
          <w:p w14:paraId="01305F3B">
            <w:pPr>
              <w:rPr>
                <w:rFonts w:ascii="宋体" w:hAnsi="宋体"/>
                <w:b/>
                <w:szCs w:val="21"/>
              </w:rPr>
            </w:pPr>
            <w:r>
              <w:rPr>
                <w:rFonts w:hint="eastAsia" w:ascii="宋体" w:hAnsi="宋体"/>
                <w:b/>
                <w:szCs w:val="21"/>
              </w:rPr>
              <w:t>（三）其他商务要求</w:t>
            </w:r>
          </w:p>
        </w:tc>
      </w:tr>
      <w:tr w14:paraId="5F58C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76" w:type="pct"/>
            <w:vMerge w:val="restart"/>
            <w:vAlign w:val="center"/>
          </w:tcPr>
          <w:p w14:paraId="2CDE3B53">
            <w:pPr>
              <w:jc w:val="center"/>
              <w:rPr>
                <w:rFonts w:ascii="宋体" w:hAnsi="宋体"/>
                <w:b/>
                <w:szCs w:val="21"/>
              </w:rPr>
            </w:pPr>
            <w:r>
              <w:rPr>
                <w:rFonts w:hint="eastAsia" w:ascii="宋体" w:hAnsi="宋体"/>
                <w:b/>
                <w:szCs w:val="21"/>
              </w:rPr>
              <w:t>1</w:t>
            </w:r>
          </w:p>
        </w:tc>
        <w:tc>
          <w:tcPr>
            <w:tcW w:w="825" w:type="pct"/>
            <w:vMerge w:val="restart"/>
            <w:vAlign w:val="center"/>
          </w:tcPr>
          <w:p w14:paraId="6496AD4D">
            <w:pPr>
              <w:jc w:val="center"/>
              <w:rPr>
                <w:rFonts w:ascii="宋体" w:hAnsi="宋体"/>
                <w:b/>
                <w:szCs w:val="21"/>
              </w:rPr>
            </w:pPr>
            <w:r>
              <w:rPr>
                <w:rFonts w:hint="eastAsia" w:ascii="宋体" w:hAnsi="宋体"/>
                <w:b/>
                <w:szCs w:val="21"/>
              </w:rPr>
              <w:t>违约责任</w:t>
            </w:r>
          </w:p>
        </w:tc>
        <w:tc>
          <w:tcPr>
            <w:tcW w:w="3699" w:type="pct"/>
            <w:vAlign w:val="center"/>
          </w:tcPr>
          <w:p w14:paraId="03834E20">
            <w:pPr>
              <w:rPr>
                <w:rFonts w:ascii="宋体" w:hAnsi="宋体" w:cs="宋体"/>
                <w:color w:val="000000"/>
                <w:szCs w:val="21"/>
              </w:rPr>
            </w:pPr>
            <w:r>
              <w:rPr>
                <w:rFonts w:hint="eastAsia" w:ascii="宋体" w:hAnsi="宋体" w:cs="宋体"/>
                <w:color w:val="000000"/>
                <w:szCs w:val="21"/>
              </w:rPr>
              <w:t>1.1中标人不能交货的，需偿付不能交货部分货款的</w:t>
            </w:r>
            <w:r>
              <w:rPr>
                <w:rFonts w:hint="eastAsia" w:ascii="宋体" w:hAnsi="宋体" w:cs="宋体"/>
                <w:color w:val="000000"/>
                <w:szCs w:val="21"/>
                <w:u w:val="single"/>
              </w:rPr>
              <w:t xml:space="preserve"> </w:t>
            </w:r>
            <w:r>
              <w:rPr>
                <w:rFonts w:ascii="宋体" w:hAnsi="宋体" w:cs="宋体"/>
                <w:color w:val="000000"/>
                <w:szCs w:val="21"/>
                <w:u w:val="single"/>
              </w:rPr>
              <w:t>20</w:t>
            </w:r>
            <w:r>
              <w:rPr>
                <w:rFonts w:hint="eastAsia" w:ascii="宋体" w:hAnsi="宋体" w:cs="宋体"/>
                <w:color w:val="000000"/>
                <w:szCs w:val="21"/>
                <w:u w:val="single"/>
              </w:rPr>
              <w:t xml:space="preserve"> </w:t>
            </w:r>
            <w:r>
              <w:rPr>
                <w:rFonts w:hint="eastAsia" w:ascii="宋体" w:hAnsi="宋体" w:cs="宋体"/>
                <w:color w:val="000000"/>
                <w:szCs w:val="21"/>
              </w:rPr>
              <w:t>%的违约金并按主管部门相关规定处理。</w:t>
            </w:r>
          </w:p>
        </w:tc>
      </w:tr>
      <w:tr w14:paraId="782D4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76" w:type="pct"/>
            <w:vMerge w:val="continue"/>
            <w:vAlign w:val="center"/>
          </w:tcPr>
          <w:p w14:paraId="6C7E68ED">
            <w:pPr>
              <w:jc w:val="center"/>
              <w:rPr>
                <w:rFonts w:ascii="宋体" w:hAnsi="宋体"/>
                <w:b/>
                <w:szCs w:val="21"/>
              </w:rPr>
            </w:pPr>
          </w:p>
        </w:tc>
        <w:tc>
          <w:tcPr>
            <w:tcW w:w="825" w:type="pct"/>
            <w:vMerge w:val="continue"/>
            <w:vAlign w:val="center"/>
          </w:tcPr>
          <w:p w14:paraId="488C4A80">
            <w:pPr>
              <w:jc w:val="center"/>
              <w:rPr>
                <w:rFonts w:ascii="宋体" w:hAnsi="宋体"/>
                <w:b/>
                <w:szCs w:val="21"/>
              </w:rPr>
            </w:pPr>
          </w:p>
        </w:tc>
        <w:tc>
          <w:tcPr>
            <w:tcW w:w="3699" w:type="pct"/>
            <w:vAlign w:val="center"/>
          </w:tcPr>
          <w:p w14:paraId="4912FAD3">
            <w:pPr>
              <w:rPr>
                <w:rFonts w:ascii="宋体" w:hAnsi="宋体" w:cs="宋体"/>
                <w:color w:val="000000"/>
                <w:szCs w:val="21"/>
              </w:rPr>
            </w:pPr>
            <w:r>
              <w:rPr>
                <w:rFonts w:hint="eastAsia" w:ascii="宋体" w:hAnsi="宋体" w:cs="宋体"/>
                <w:color w:val="000000"/>
                <w:szCs w:val="21"/>
              </w:rPr>
              <w:t>1.2中标人逾期交货的，应当承担继续履行、采取补救措施或者赔偿损失等违约责任</w:t>
            </w:r>
          </w:p>
        </w:tc>
      </w:tr>
      <w:tr w14:paraId="6C4394B9">
        <w:tblPrEx>
          <w:tblCellMar>
            <w:top w:w="0" w:type="dxa"/>
            <w:left w:w="108" w:type="dxa"/>
            <w:bottom w:w="0" w:type="dxa"/>
            <w:right w:w="108" w:type="dxa"/>
          </w:tblCellMar>
        </w:tblPrEx>
        <w:trPr>
          <w:trHeight w:val="454" w:hRule="atLeast"/>
          <w:jc w:val="center"/>
        </w:trPr>
        <w:tc>
          <w:tcPr>
            <w:tcW w:w="476" w:type="pct"/>
            <w:vMerge w:val="continue"/>
            <w:vAlign w:val="center"/>
          </w:tcPr>
          <w:p w14:paraId="7B1CC620">
            <w:pPr>
              <w:jc w:val="center"/>
              <w:rPr>
                <w:rFonts w:ascii="宋体" w:hAnsi="宋体"/>
                <w:b/>
                <w:szCs w:val="21"/>
              </w:rPr>
            </w:pPr>
          </w:p>
        </w:tc>
        <w:tc>
          <w:tcPr>
            <w:tcW w:w="825" w:type="pct"/>
            <w:vMerge w:val="continue"/>
            <w:vAlign w:val="center"/>
          </w:tcPr>
          <w:p w14:paraId="19E9B3FC">
            <w:pPr>
              <w:jc w:val="center"/>
              <w:rPr>
                <w:rFonts w:ascii="宋体" w:hAnsi="宋体"/>
                <w:b/>
                <w:szCs w:val="21"/>
              </w:rPr>
            </w:pPr>
          </w:p>
        </w:tc>
        <w:tc>
          <w:tcPr>
            <w:tcW w:w="3699" w:type="pct"/>
            <w:vAlign w:val="center"/>
          </w:tcPr>
          <w:p w14:paraId="35AA95DA">
            <w:pPr>
              <w:rPr>
                <w:rFonts w:ascii="宋体" w:hAnsi="宋体" w:cs="宋体"/>
                <w:color w:val="000000"/>
                <w:szCs w:val="21"/>
              </w:rPr>
            </w:pPr>
            <w:r>
              <w:rPr>
                <w:rFonts w:hint="eastAsia" w:ascii="宋体" w:hAnsi="宋体" w:cs="宋体"/>
                <w:color w:val="000000"/>
                <w:szCs w:val="21"/>
              </w:rPr>
              <w:t>1.3中标人所交付产品、工程或服务不符合其投标承诺的，或在投标阶段为了中标而盲目虚假承诺、低价恶性竞争，在履约阶段则通过偷工减料、以次充好而获取利润的，采购人将根据标的的性质以及损失的大小，可以合理选择要求中标人承担修理、更换、重作、退货、减少价款或者报酬等违约责任。</w:t>
            </w:r>
          </w:p>
        </w:tc>
      </w:tr>
      <w:tr w14:paraId="4AADA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76" w:type="pct"/>
            <w:vMerge w:val="restart"/>
            <w:vAlign w:val="center"/>
          </w:tcPr>
          <w:p w14:paraId="0655A20C">
            <w:pPr>
              <w:jc w:val="center"/>
              <w:rPr>
                <w:rFonts w:ascii="宋体" w:hAnsi="宋体"/>
                <w:b/>
                <w:szCs w:val="21"/>
              </w:rPr>
            </w:pPr>
            <w:bookmarkStart w:id="46" w:name="_Hlk72260973"/>
            <w:r>
              <w:rPr>
                <w:rFonts w:hint="eastAsia" w:ascii="宋体" w:hAnsi="宋体"/>
                <w:b/>
                <w:szCs w:val="21"/>
              </w:rPr>
              <w:t>2</w:t>
            </w:r>
          </w:p>
        </w:tc>
        <w:tc>
          <w:tcPr>
            <w:tcW w:w="825" w:type="pct"/>
            <w:vMerge w:val="restart"/>
            <w:vAlign w:val="center"/>
          </w:tcPr>
          <w:p w14:paraId="1E365305">
            <w:pPr>
              <w:jc w:val="center"/>
              <w:rPr>
                <w:rFonts w:ascii="宋体" w:hAnsi="宋体"/>
                <w:b/>
                <w:szCs w:val="21"/>
              </w:rPr>
            </w:pPr>
            <w:r>
              <w:rPr>
                <w:rFonts w:hint="eastAsia" w:ascii="宋体" w:hAnsi="宋体"/>
                <w:b/>
                <w:szCs w:val="21"/>
              </w:rPr>
              <w:t>交货及付款要求</w:t>
            </w:r>
          </w:p>
        </w:tc>
        <w:tc>
          <w:tcPr>
            <w:tcW w:w="3699" w:type="pct"/>
            <w:vAlign w:val="center"/>
          </w:tcPr>
          <w:p w14:paraId="30766FD9">
            <w:pPr>
              <w:rPr>
                <w:b/>
                <w:bCs/>
                <w:color w:val="FF0000"/>
                <w:szCs w:val="21"/>
              </w:rPr>
            </w:pPr>
            <w:bookmarkStart w:id="47" w:name="OLE_LINK25"/>
            <w:r>
              <w:rPr>
                <w:rFonts w:hint="eastAsia"/>
                <w:b/>
                <w:bCs/>
                <w:color w:val="FF0000"/>
                <w:szCs w:val="21"/>
              </w:rPr>
              <w:t>★2.1履约时间和地点：投标供应商在签订合同之日起</w:t>
            </w:r>
            <w:r>
              <w:rPr>
                <w:b/>
                <w:bCs/>
                <w:color w:val="FF0000"/>
                <w:szCs w:val="21"/>
              </w:rPr>
              <w:t>15</w:t>
            </w:r>
            <w:r>
              <w:rPr>
                <w:rFonts w:hint="eastAsia"/>
                <w:b/>
                <w:bCs/>
                <w:color w:val="FF0000"/>
                <w:szCs w:val="21"/>
              </w:rPr>
              <w:t>天内交货，交货地点为采购人指定地点。</w:t>
            </w:r>
            <w:bookmarkEnd w:id="47"/>
          </w:p>
        </w:tc>
      </w:tr>
      <w:tr w14:paraId="46662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476" w:type="pct"/>
            <w:vMerge w:val="continue"/>
            <w:vAlign w:val="center"/>
          </w:tcPr>
          <w:p w14:paraId="036C31D6">
            <w:pPr>
              <w:jc w:val="center"/>
              <w:rPr>
                <w:rFonts w:ascii="宋体" w:hAnsi="宋体"/>
                <w:b/>
                <w:szCs w:val="21"/>
              </w:rPr>
            </w:pPr>
          </w:p>
        </w:tc>
        <w:tc>
          <w:tcPr>
            <w:tcW w:w="825" w:type="pct"/>
            <w:vMerge w:val="continue"/>
            <w:vAlign w:val="center"/>
          </w:tcPr>
          <w:p w14:paraId="68C07FA2">
            <w:pPr>
              <w:jc w:val="center"/>
              <w:rPr>
                <w:rFonts w:ascii="宋体" w:hAnsi="宋体"/>
                <w:b/>
                <w:szCs w:val="21"/>
              </w:rPr>
            </w:pPr>
          </w:p>
        </w:tc>
        <w:tc>
          <w:tcPr>
            <w:tcW w:w="3699" w:type="pct"/>
            <w:vAlign w:val="center"/>
          </w:tcPr>
          <w:p w14:paraId="289F3B62">
            <w:pPr>
              <w:rPr>
                <w:szCs w:val="21"/>
              </w:rPr>
            </w:pPr>
            <w:r>
              <w:rPr>
                <w:rFonts w:hint="eastAsia"/>
                <w:szCs w:val="21"/>
              </w:rPr>
              <w:t>2.2 付款期限和方式：</w:t>
            </w:r>
          </w:p>
          <w:p w14:paraId="7FB5EF25">
            <w:pPr>
              <w:rPr>
                <w:szCs w:val="21"/>
              </w:rPr>
            </w:pPr>
            <w:r>
              <w:rPr>
                <w:rFonts w:hint="eastAsia"/>
                <w:szCs w:val="21"/>
              </w:rPr>
              <w:t>（1）预付款：合同签订后，采购人根据发改、财政部门经费下达情况向中标人支付合同金额的30%。</w:t>
            </w:r>
          </w:p>
          <w:p w14:paraId="01A468C3">
            <w:pPr>
              <w:rPr>
                <w:szCs w:val="21"/>
              </w:rPr>
            </w:pPr>
            <w:r>
              <w:rPr>
                <w:rFonts w:hint="eastAsia"/>
                <w:szCs w:val="21"/>
              </w:rPr>
              <w:t>（2）进度款：中标人需按采购人项目进度要求提供相应采购标的，按采购人进度计划，每批次标的安装调试完毕并经初验合格后，采购人向中标人按比例支付相应批次标的货款，所有标的初验合格后，累计支付至合同金额的65%；</w:t>
            </w:r>
          </w:p>
          <w:p w14:paraId="1B53C04F">
            <w:pPr>
              <w:rPr>
                <w:szCs w:val="21"/>
              </w:rPr>
            </w:pPr>
            <w:r>
              <w:rPr>
                <w:rFonts w:hint="eastAsia"/>
                <w:szCs w:val="21"/>
              </w:rPr>
              <w:t>（3）尾款：所有采购标的终验合格且通过区财政结决算审核后，按照最终结决算审定金额支付尾款；</w:t>
            </w:r>
          </w:p>
          <w:p w14:paraId="77054467">
            <w:pPr>
              <w:rPr>
                <w:szCs w:val="21"/>
              </w:rPr>
            </w:pPr>
            <w:r>
              <w:rPr>
                <w:rFonts w:hint="eastAsia"/>
                <w:szCs w:val="21"/>
              </w:rPr>
              <w:t>（4）每次付款前，中标人需向采购人提供对应金额的正规发票，中标人逾期提供发票造成采购人逾期付款的，采购人不承担逾期付款的法律责任；</w:t>
            </w:r>
          </w:p>
          <w:p w14:paraId="201E277B">
            <w:pPr>
              <w:rPr>
                <w:szCs w:val="21"/>
              </w:rPr>
            </w:pPr>
            <w:r>
              <w:rPr>
                <w:rFonts w:hint="eastAsia"/>
                <w:szCs w:val="21"/>
              </w:rPr>
              <w:t>（5）因财政支付流程导致采购人未在约定期限内支付合同费用的，中标人不得要求采购人承担逾期付款的违约责任；</w:t>
            </w:r>
          </w:p>
          <w:p w14:paraId="1C8C1DF6">
            <w:pPr>
              <w:rPr>
                <w:b/>
                <w:bCs/>
                <w:szCs w:val="21"/>
              </w:rPr>
            </w:pPr>
            <w:r>
              <w:rPr>
                <w:rFonts w:hint="eastAsia"/>
                <w:szCs w:val="21"/>
              </w:rPr>
              <w:t>（6）具体付款方式按深圳市坪山区财政局有关规定执行。</w:t>
            </w:r>
          </w:p>
        </w:tc>
      </w:tr>
      <w:tr w14:paraId="3BABE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76" w:type="pct"/>
            <w:vMerge w:val="restart"/>
            <w:vAlign w:val="center"/>
          </w:tcPr>
          <w:p w14:paraId="578F92E8">
            <w:pPr>
              <w:jc w:val="center"/>
              <w:rPr>
                <w:rFonts w:ascii="宋体" w:hAnsi="宋体"/>
                <w:b/>
                <w:szCs w:val="21"/>
              </w:rPr>
            </w:pPr>
            <w:r>
              <w:rPr>
                <w:rFonts w:hint="eastAsia" w:ascii="宋体" w:hAnsi="宋体"/>
                <w:b/>
                <w:szCs w:val="21"/>
              </w:rPr>
              <w:t>3</w:t>
            </w:r>
          </w:p>
        </w:tc>
        <w:tc>
          <w:tcPr>
            <w:tcW w:w="825" w:type="pct"/>
            <w:vMerge w:val="restart"/>
            <w:vAlign w:val="center"/>
          </w:tcPr>
          <w:p w14:paraId="3A03A20D">
            <w:pPr>
              <w:jc w:val="center"/>
              <w:rPr>
                <w:rFonts w:ascii="宋体" w:hAnsi="宋体" w:cs="宋体"/>
                <w:b/>
                <w:color w:val="000000"/>
                <w:szCs w:val="21"/>
              </w:rPr>
            </w:pPr>
            <w:r>
              <w:rPr>
                <w:rFonts w:hint="eastAsia" w:ascii="宋体" w:hAnsi="宋体" w:cs="宋体"/>
                <w:b/>
                <w:color w:val="000000"/>
                <w:szCs w:val="21"/>
              </w:rPr>
              <w:t>验收条件</w:t>
            </w:r>
          </w:p>
        </w:tc>
        <w:tc>
          <w:tcPr>
            <w:tcW w:w="3699" w:type="pct"/>
            <w:vAlign w:val="center"/>
          </w:tcPr>
          <w:p w14:paraId="386CA969">
            <w:pPr>
              <w:rPr>
                <w:rFonts w:ascii="宋体" w:hAnsi="宋体" w:cs="宋体"/>
                <w:color w:val="000000"/>
                <w:szCs w:val="21"/>
              </w:rPr>
            </w:pPr>
            <w:r>
              <w:rPr>
                <w:bCs/>
                <w:szCs w:val="21"/>
              </w:rPr>
              <w:t xml:space="preserve">3.1 </w:t>
            </w:r>
            <w:r>
              <w:rPr>
                <w:rFonts w:hint="eastAsia"/>
                <w:bCs/>
                <w:szCs w:val="21"/>
              </w:rPr>
              <w:t>由采购人按合同和招标、投标文件约定的要求和标准及中华人民共和国现行的验收规范和评定标准进行交货验收。</w:t>
            </w:r>
          </w:p>
        </w:tc>
      </w:tr>
      <w:tr w14:paraId="2AE09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76" w:type="pct"/>
            <w:vMerge w:val="continue"/>
            <w:vAlign w:val="center"/>
          </w:tcPr>
          <w:p w14:paraId="4703C55D">
            <w:pPr>
              <w:jc w:val="center"/>
              <w:rPr>
                <w:rFonts w:ascii="宋体" w:hAnsi="宋体"/>
                <w:b/>
                <w:szCs w:val="21"/>
              </w:rPr>
            </w:pPr>
          </w:p>
        </w:tc>
        <w:tc>
          <w:tcPr>
            <w:tcW w:w="825" w:type="pct"/>
            <w:vMerge w:val="continue"/>
            <w:vAlign w:val="center"/>
          </w:tcPr>
          <w:p w14:paraId="76B76004">
            <w:pPr>
              <w:jc w:val="center"/>
              <w:rPr>
                <w:rFonts w:ascii="宋体" w:hAnsi="宋体" w:cs="宋体"/>
                <w:b/>
                <w:color w:val="000000"/>
                <w:szCs w:val="21"/>
              </w:rPr>
            </w:pPr>
          </w:p>
        </w:tc>
        <w:tc>
          <w:tcPr>
            <w:tcW w:w="3699" w:type="pct"/>
            <w:vAlign w:val="center"/>
          </w:tcPr>
          <w:p w14:paraId="73EB747C">
            <w:pPr>
              <w:rPr>
                <w:rFonts w:ascii="宋体" w:hAnsi="宋体" w:cs="宋体"/>
                <w:color w:val="000000"/>
                <w:szCs w:val="21"/>
              </w:rPr>
            </w:pPr>
            <w:r>
              <w:rPr>
                <w:bCs/>
                <w:szCs w:val="21"/>
              </w:rPr>
              <w:t xml:space="preserve">3.2 </w:t>
            </w:r>
            <w:r>
              <w:rPr>
                <w:rFonts w:hint="eastAsia"/>
                <w:bCs/>
                <w:szCs w:val="21"/>
              </w:rPr>
              <w:t>中标人货物经过双方检验认可后，签署验收报告，产品保修期自验收合格之日起算，由中标人提供产品保修文件。</w:t>
            </w:r>
          </w:p>
        </w:tc>
      </w:tr>
      <w:tr w14:paraId="7BA61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76" w:type="pct"/>
            <w:vMerge w:val="continue"/>
            <w:vAlign w:val="center"/>
          </w:tcPr>
          <w:p w14:paraId="1B7D6001">
            <w:pPr>
              <w:jc w:val="center"/>
              <w:rPr>
                <w:rFonts w:ascii="宋体" w:hAnsi="宋体"/>
                <w:b/>
                <w:szCs w:val="21"/>
              </w:rPr>
            </w:pPr>
          </w:p>
        </w:tc>
        <w:tc>
          <w:tcPr>
            <w:tcW w:w="825" w:type="pct"/>
            <w:vMerge w:val="continue"/>
            <w:vAlign w:val="center"/>
          </w:tcPr>
          <w:p w14:paraId="33D8D2A4">
            <w:pPr>
              <w:jc w:val="center"/>
              <w:rPr>
                <w:rFonts w:ascii="宋体" w:hAnsi="宋体" w:cs="宋体"/>
                <w:b/>
                <w:color w:val="000000"/>
                <w:szCs w:val="21"/>
              </w:rPr>
            </w:pPr>
          </w:p>
        </w:tc>
        <w:tc>
          <w:tcPr>
            <w:tcW w:w="3699" w:type="pct"/>
            <w:vAlign w:val="center"/>
          </w:tcPr>
          <w:p w14:paraId="2B5DBE72">
            <w:pPr>
              <w:spacing w:line="340" w:lineRule="exact"/>
              <w:rPr>
                <w:bCs/>
                <w:szCs w:val="21"/>
              </w:rPr>
            </w:pPr>
            <w:r>
              <w:rPr>
                <w:bCs/>
                <w:szCs w:val="21"/>
              </w:rPr>
              <w:t xml:space="preserve">3.3 </w:t>
            </w:r>
            <w:r>
              <w:rPr>
                <w:rFonts w:hint="eastAsia"/>
                <w:bCs/>
                <w:szCs w:val="21"/>
              </w:rPr>
              <w:t>当满足以下条件时，采购人才向中标人签发货物验收报告：</w:t>
            </w:r>
          </w:p>
          <w:p w14:paraId="465FDB54">
            <w:pPr>
              <w:rPr>
                <w:bCs/>
                <w:szCs w:val="21"/>
              </w:rPr>
            </w:pPr>
            <w:r>
              <w:rPr>
                <w:rFonts w:hint="eastAsia"/>
                <w:bCs/>
                <w:szCs w:val="21"/>
              </w:rPr>
              <w:t>（1）设备全新，外观无伤痕变形或明显修饰痕迹。</w:t>
            </w:r>
          </w:p>
          <w:p w14:paraId="666DFD08">
            <w:pPr>
              <w:rPr>
                <w:bCs/>
                <w:szCs w:val="21"/>
              </w:rPr>
            </w:pPr>
            <w:r>
              <w:rPr>
                <w:rFonts w:hint="eastAsia"/>
                <w:bCs/>
                <w:szCs w:val="21"/>
              </w:rPr>
              <w:t>（2）如有国标，需符合有关规定；如无国标，则按照行业标准；如无国标及行业标准，则按双方约定执行。投标文件提供的技术数据经实测证实是真实的。检验及质量保证期内达到的性能指标与要求一致，达到或优于相应标准。</w:t>
            </w:r>
          </w:p>
          <w:p w14:paraId="2490FBBE">
            <w:pPr>
              <w:rPr>
                <w:bCs/>
                <w:szCs w:val="21"/>
              </w:rPr>
            </w:pPr>
            <w:r>
              <w:rPr>
                <w:rFonts w:hint="eastAsia"/>
                <w:bCs/>
                <w:szCs w:val="21"/>
              </w:rPr>
              <w:t>（3）技术文件资料、备件等已按规定数量移交完毕。</w:t>
            </w:r>
          </w:p>
          <w:p w14:paraId="691667B6">
            <w:pPr>
              <w:rPr>
                <w:bCs/>
                <w:szCs w:val="21"/>
              </w:rPr>
            </w:pPr>
            <w:r>
              <w:rPr>
                <w:rFonts w:hint="eastAsia"/>
                <w:bCs/>
                <w:szCs w:val="21"/>
              </w:rPr>
              <w:t>（4）按照招标书要求及投标文件提供的技术要求验收必须合格。</w:t>
            </w:r>
          </w:p>
          <w:p w14:paraId="5545508D">
            <w:pPr>
              <w:rPr>
                <w:bCs/>
                <w:szCs w:val="21"/>
              </w:rPr>
            </w:pPr>
            <w:r>
              <w:rPr>
                <w:rFonts w:hint="eastAsia"/>
                <w:bCs/>
                <w:szCs w:val="21"/>
              </w:rPr>
              <w:t>（5）货物具备产品合格证。</w:t>
            </w:r>
          </w:p>
          <w:p w14:paraId="2015B3F9">
            <w:pPr>
              <w:rPr>
                <w:rFonts w:ascii="宋体" w:hAnsi="宋体" w:cs="宋体"/>
                <w:color w:val="000000"/>
                <w:szCs w:val="21"/>
              </w:rPr>
            </w:pPr>
            <w:r>
              <w:rPr>
                <w:rFonts w:hint="eastAsia"/>
                <w:bCs/>
                <w:szCs w:val="21"/>
              </w:rPr>
              <w:t>（</w:t>
            </w:r>
            <w:r>
              <w:rPr>
                <w:bCs/>
                <w:szCs w:val="21"/>
              </w:rPr>
              <w:t>6</w:t>
            </w:r>
            <w:r>
              <w:rPr>
                <w:rFonts w:hint="eastAsia"/>
                <w:bCs/>
                <w:szCs w:val="21"/>
              </w:rPr>
              <w:t>）在货物安装调试合格后，所有技术指标达到技术规范书要求，经验收合格后，双方共同签署验收报告。</w:t>
            </w:r>
          </w:p>
        </w:tc>
      </w:tr>
      <w:bookmarkEnd w:id="46"/>
      <w:tr w14:paraId="34E18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76" w:type="pct"/>
            <w:vAlign w:val="center"/>
          </w:tcPr>
          <w:p w14:paraId="03A8D22E">
            <w:pPr>
              <w:jc w:val="center"/>
              <w:rPr>
                <w:rFonts w:ascii="宋体" w:hAnsi="宋体"/>
                <w:b/>
                <w:szCs w:val="21"/>
              </w:rPr>
            </w:pPr>
            <w:r>
              <w:rPr>
                <w:rFonts w:ascii="宋体" w:hAnsi="宋体"/>
                <w:b/>
                <w:szCs w:val="21"/>
              </w:rPr>
              <w:t>4</w:t>
            </w:r>
          </w:p>
        </w:tc>
        <w:tc>
          <w:tcPr>
            <w:tcW w:w="825" w:type="pct"/>
            <w:vAlign w:val="center"/>
          </w:tcPr>
          <w:p w14:paraId="7E93F24B">
            <w:pPr>
              <w:jc w:val="center"/>
              <w:rPr>
                <w:rFonts w:ascii="宋体" w:hAnsi="宋体"/>
                <w:color w:val="000000"/>
                <w:szCs w:val="21"/>
              </w:rPr>
            </w:pPr>
            <w:r>
              <w:rPr>
                <w:rFonts w:hint="eastAsia" w:ascii="宋体" w:hAnsi="宋体" w:cs="宋体"/>
                <w:b/>
                <w:bCs/>
                <w:color w:val="000000"/>
                <w:szCs w:val="21"/>
              </w:rPr>
              <w:t>运输、安装条件</w:t>
            </w:r>
          </w:p>
        </w:tc>
        <w:tc>
          <w:tcPr>
            <w:tcW w:w="3699" w:type="pct"/>
            <w:vAlign w:val="center"/>
          </w:tcPr>
          <w:p w14:paraId="0CC3214F">
            <w:pPr>
              <w:rPr>
                <w:rFonts w:ascii="宋体" w:hAnsi="宋体"/>
                <w:bCs/>
                <w:color w:val="000000"/>
                <w:szCs w:val="21"/>
              </w:rPr>
            </w:pPr>
            <w:r>
              <w:rPr>
                <w:rFonts w:hint="eastAsia" w:ascii="宋体" w:hAnsi="宋体" w:cs="宋体"/>
                <w:color w:val="000000"/>
                <w:szCs w:val="21"/>
              </w:rPr>
              <w:t>投标供应商须在签订合同之日起3天内向采购人提供设备的运行、安装、使用环境要求。</w:t>
            </w:r>
          </w:p>
        </w:tc>
      </w:tr>
      <w:tr w14:paraId="47FE2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76" w:type="pct"/>
            <w:vMerge w:val="restart"/>
            <w:vAlign w:val="center"/>
          </w:tcPr>
          <w:p w14:paraId="796F08B7">
            <w:pPr>
              <w:jc w:val="center"/>
              <w:rPr>
                <w:rFonts w:ascii="宋体" w:hAnsi="宋体"/>
                <w:b/>
                <w:szCs w:val="21"/>
              </w:rPr>
            </w:pPr>
            <w:r>
              <w:rPr>
                <w:rFonts w:ascii="宋体" w:hAnsi="宋体"/>
                <w:b/>
                <w:szCs w:val="21"/>
              </w:rPr>
              <w:t>5</w:t>
            </w:r>
          </w:p>
        </w:tc>
        <w:tc>
          <w:tcPr>
            <w:tcW w:w="825" w:type="pct"/>
            <w:vMerge w:val="restart"/>
            <w:vAlign w:val="center"/>
          </w:tcPr>
          <w:p w14:paraId="33AE434D">
            <w:pPr>
              <w:jc w:val="center"/>
              <w:rPr>
                <w:rFonts w:ascii="宋体" w:hAnsi="宋体"/>
                <w:b/>
                <w:szCs w:val="21"/>
              </w:rPr>
            </w:pPr>
            <w:r>
              <w:rPr>
                <w:rFonts w:ascii="宋体" w:hAnsi="宋体"/>
                <w:b/>
                <w:szCs w:val="21"/>
              </w:rPr>
              <w:t>培训</w:t>
            </w:r>
          </w:p>
        </w:tc>
        <w:tc>
          <w:tcPr>
            <w:tcW w:w="3699" w:type="pct"/>
            <w:vAlign w:val="center"/>
          </w:tcPr>
          <w:p w14:paraId="3F58AD53">
            <w:pPr>
              <w:widowControl/>
              <w:jc w:val="left"/>
              <w:rPr>
                <w:rFonts w:ascii="宋体" w:hAnsi="宋体" w:cs="宋体"/>
                <w:color w:val="000000"/>
                <w:szCs w:val="21"/>
              </w:rPr>
            </w:pPr>
            <w:r>
              <w:rPr>
                <w:rFonts w:ascii="宋体" w:hAnsi="宋体" w:cs="宋体"/>
                <w:color w:val="000000"/>
                <w:szCs w:val="21"/>
              </w:rPr>
              <w:t>5</w:t>
            </w:r>
            <w:r>
              <w:rPr>
                <w:rFonts w:hint="eastAsia" w:ascii="宋体" w:hAnsi="宋体" w:cs="宋体"/>
                <w:color w:val="000000"/>
                <w:szCs w:val="21"/>
              </w:rPr>
              <w:t>.1投标供应商应派专业技术人员免费对采购单位指定人员进行定期培训及指导，直至其完全掌握设备的基本故障处理技术。</w:t>
            </w:r>
          </w:p>
        </w:tc>
      </w:tr>
      <w:tr w14:paraId="0D2A9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76" w:type="pct"/>
            <w:vMerge w:val="continue"/>
            <w:vAlign w:val="center"/>
          </w:tcPr>
          <w:p w14:paraId="7C1855DD">
            <w:pPr>
              <w:jc w:val="center"/>
              <w:rPr>
                <w:rFonts w:ascii="宋体" w:hAnsi="宋体"/>
                <w:b/>
                <w:szCs w:val="21"/>
              </w:rPr>
            </w:pPr>
          </w:p>
        </w:tc>
        <w:tc>
          <w:tcPr>
            <w:tcW w:w="825" w:type="pct"/>
            <w:vMerge w:val="continue"/>
            <w:vAlign w:val="center"/>
          </w:tcPr>
          <w:p w14:paraId="4CA2FD2A">
            <w:pPr>
              <w:rPr>
                <w:rFonts w:ascii="宋体" w:hAnsi="宋体"/>
                <w:b/>
                <w:szCs w:val="21"/>
              </w:rPr>
            </w:pPr>
          </w:p>
        </w:tc>
        <w:tc>
          <w:tcPr>
            <w:tcW w:w="3699" w:type="pct"/>
            <w:vAlign w:val="center"/>
          </w:tcPr>
          <w:p w14:paraId="23D71418">
            <w:pPr>
              <w:widowControl/>
              <w:jc w:val="left"/>
              <w:rPr>
                <w:rFonts w:ascii="宋体" w:hAnsi="宋体" w:cs="宋体"/>
                <w:color w:val="000000"/>
                <w:szCs w:val="21"/>
              </w:rPr>
            </w:pPr>
            <w:r>
              <w:rPr>
                <w:rFonts w:ascii="宋体" w:hAnsi="宋体" w:cs="宋体"/>
                <w:color w:val="000000"/>
                <w:szCs w:val="21"/>
              </w:rPr>
              <w:t>5</w:t>
            </w:r>
            <w:r>
              <w:rPr>
                <w:rFonts w:hint="eastAsia" w:ascii="宋体" w:hAnsi="宋体" w:cs="宋体"/>
                <w:color w:val="000000"/>
                <w:szCs w:val="21"/>
              </w:rPr>
              <w:t>.2 现场培训：投标供应商应提供现场技术培训，保证使用人员正常操作设备的各种功能。</w:t>
            </w:r>
          </w:p>
        </w:tc>
      </w:tr>
      <w:tr w14:paraId="0267F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76" w:type="pct"/>
            <w:vAlign w:val="center"/>
          </w:tcPr>
          <w:p w14:paraId="301D9EBC">
            <w:pPr>
              <w:jc w:val="center"/>
              <w:rPr>
                <w:rFonts w:ascii="宋体" w:hAnsi="宋体"/>
                <w:b/>
                <w:szCs w:val="21"/>
              </w:rPr>
            </w:pPr>
            <w:r>
              <w:rPr>
                <w:b/>
                <w:szCs w:val="21"/>
              </w:rPr>
              <w:t>6</w:t>
            </w:r>
          </w:p>
        </w:tc>
        <w:tc>
          <w:tcPr>
            <w:tcW w:w="825" w:type="pct"/>
            <w:vAlign w:val="center"/>
          </w:tcPr>
          <w:p w14:paraId="7B5F5115">
            <w:pPr>
              <w:jc w:val="center"/>
              <w:rPr>
                <w:rFonts w:ascii="宋体" w:hAnsi="宋体"/>
                <w:b/>
                <w:szCs w:val="21"/>
              </w:rPr>
            </w:pPr>
            <w:r>
              <w:rPr>
                <w:rFonts w:ascii="宋体" w:hAnsi="宋体"/>
                <w:b/>
                <w:color w:val="000000"/>
                <w:szCs w:val="21"/>
              </w:rPr>
              <w:t>其他</w:t>
            </w:r>
          </w:p>
        </w:tc>
        <w:tc>
          <w:tcPr>
            <w:tcW w:w="3699" w:type="pct"/>
            <w:vAlign w:val="center"/>
          </w:tcPr>
          <w:p w14:paraId="12B69B14">
            <w:pPr>
              <w:widowControl/>
              <w:jc w:val="left"/>
              <w:rPr>
                <w:rFonts w:ascii="宋体" w:hAnsi="宋体" w:cs="宋体"/>
                <w:color w:val="000000"/>
                <w:szCs w:val="21"/>
              </w:rPr>
            </w:pPr>
            <w:r>
              <w:rPr>
                <w:rFonts w:hint="eastAsia" w:ascii="宋体" w:hAnsi="宋体" w:cs="宋体"/>
                <w:color w:val="000000"/>
                <w:szCs w:val="21"/>
              </w:rPr>
              <w:t>投标供应商应按其投标文件中的承诺，进行其他售后服务工作。</w:t>
            </w:r>
          </w:p>
        </w:tc>
      </w:tr>
    </w:tbl>
    <w:p w14:paraId="1492604D">
      <w:pPr>
        <w:rPr>
          <w:b/>
        </w:rPr>
      </w:pPr>
    </w:p>
    <w:p w14:paraId="4C53C7B5">
      <w:pPr>
        <w:pStyle w:val="8"/>
        <w:spacing w:before="60" w:beforeLines="25" w:after="60" w:afterLines="25"/>
        <w:ind w:firstLine="0"/>
        <w:rPr>
          <w:rFonts w:ascii="宋体" w:hAnsi="宋体"/>
          <w:szCs w:val="21"/>
        </w:rPr>
      </w:pPr>
    </w:p>
    <w:p w14:paraId="1E45A021">
      <w:pPr>
        <w:pStyle w:val="6"/>
        <w:spacing w:before="120" w:beforeLines="50" w:after="120" w:afterLines="50"/>
        <w:rPr>
          <w:sz w:val="28"/>
          <w:szCs w:val="28"/>
        </w:rPr>
      </w:pPr>
      <w:r>
        <w:rPr>
          <w:rFonts w:hint="eastAsia"/>
          <w:sz w:val="28"/>
          <w:szCs w:val="28"/>
        </w:rPr>
        <w:t>六、其他重要条款</w:t>
      </w:r>
    </w:p>
    <w:p w14:paraId="6EA6F6EA">
      <w:pPr>
        <w:ind w:firstLine="420" w:firstLineChars="200"/>
        <w:rPr>
          <w:bCs/>
          <w:szCs w:val="21"/>
        </w:rPr>
      </w:pPr>
      <w:r>
        <w:rPr>
          <w:rFonts w:hint="eastAsia"/>
          <w:bCs/>
          <w:szCs w:val="21"/>
        </w:rPr>
        <w:t>1、本项目投标报价采用包干制，应包括成本、法定税费和相应的利润，应涵盖本项目招标范围和招标文件所列的各项内容中所述的全部。由投标人根据招标需求自行测算投标报价；一经中标，投标报价即作为中标单位与采购人签订的合同金额。</w:t>
      </w:r>
    </w:p>
    <w:p w14:paraId="24DB6500">
      <w:pPr>
        <w:pStyle w:val="8"/>
        <w:spacing w:before="60" w:beforeLines="25" w:after="60" w:afterLines="25"/>
        <w:ind w:firstLine="392" w:firstLineChars="187"/>
        <w:rPr>
          <w:rFonts w:ascii="宋体" w:hAnsi="宋体"/>
          <w:szCs w:val="21"/>
        </w:rPr>
      </w:pPr>
      <w:r>
        <w:rPr>
          <w:bCs/>
          <w:szCs w:val="21"/>
        </w:rPr>
        <w:t>2</w:t>
      </w:r>
      <w:r>
        <w:rPr>
          <w:rFonts w:hint="eastAsia"/>
          <w:bCs/>
          <w:szCs w:val="21"/>
        </w:rPr>
        <w:t>、投标人应充分了解项目的位置、情况、道路及任何其它足以影响投标报价的情况，任何因忽视或误解项目情况而导致的索赔或服务期限延长申请将不获批准。</w:t>
      </w:r>
    </w:p>
    <w:p w14:paraId="22A17ABE">
      <w:pPr>
        <w:ind w:firstLine="420" w:firstLineChars="200"/>
        <w:rPr>
          <w:bCs/>
          <w:szCs w:val="21"/>
        </w:rPr>
      </w:pPr>
      <w:r>
        <w:rPr>
          <w:bCs/>
          <w:szCs w:val="21"/>
        </w:rPr>
        <w:t>3</w:t>
      </w:r>
      <w:r>
        <w:rPr>
          <w:rFonts w:hint="eastAsia"/>
          <w:bCs/>
          <w:szCs w:val="21"/>
        </w:rPr>
        <w:t>、投标人不得期望通过索赔等方式获取补偿，否则，除可能遭到拒绝外，还可能将被作为不良行为记录在案，并可能影响其以后参加政府采购的项目投标。各投标人在投标报价时，应充分考虑投标报价的风险。</w:t>
      </w:r>
    </w:p>
    <w:p w14:paraId="47DCA9BF">
      <w:pPr>
        <w:ind w:firstLine="420" w:firstLineChars="200"/>
        <w:rPr>
          <w:bCs/>
          <w:szCs w:val="21"/>
        </w:rPr>
      </w:pPr>
      <w:r>
        <w:rPr>
          <w:rFonts w:hint="eastAsia"/>
          <w:bCs/>
          <w:szCs w:val="21"/>
        </w:rPr>
        <w:t>4、除采购合同继续履行将损害国家利益和社会公共利益外，双方当事人不得擅自变更、中止或者终止合同。</w:t>
      </w:r>
    </w:p>
    <w:p w14:paraId="45D83198">
      <w:pPr>
        <w:ind w:firstLine="420" w:firstLineChars="200"/>
        <w:rPr>
          <w:bCs/>
          <w:szCs w:val="21"/>
        </w:rPr>
      </w:pPr>
      <w:r>
        <w:rPr>
          <w:rFonts w:hint="eastAsia"/>
          <w:bCs/>
          <w:szCs w:val="21"/>
        </w:rPr>
        <w:t>5、“信用中国”中“信用服务”栏的“重大税收违法失信主体”“失信被执行人”，“中国政府采购网”中的“政府采购严重违法失信行为记录名单”，以及“深圳市政府采购监管网”为供应商信用信息的查询渠道，相关信息以开标当日的查询结果为准。</w:t>
      </w:r>
    </w:p>
    <w:p w14:paraId="5B77E7B2">
      <w:pPr>
        <w:rPr>
          <w:rFonts w:ascii="宋体" w:hAnsi="宋体"/>
        </w:rPr>
      </w:pPr>
    </w:p>
    <w:p w14:paraId="67F1439C">
      <w:pPr>
        <w:rPr>
          <w:rFonts w:asciiTheme="minorEastAsia" w:hAnsiTheme="minorEastAsia" w:eastAsiaTheme="minorEastAsia" w:cstheme="minorEastAsia"/>
          <w:bCs/>
          <w:color w:val="000000"/>
          <w:szCs w:val="21"/>
        </w:rPr>
      </w:pPr>
    </w:p>
    <w:p w14:paraId="633B96D7">
      <w:pPr>
        <w:pStyle w:val="2"/>
        <w:rPr>
          <w:rFonts w:ascii="宋体" w:hAnsi="宋体"/>
        </w:rPr>
      </w:pPr>
    </w:p>
    <w:p w14:paraId="4346BA9E">
      <w:pPr>
        <w:pStyle w:val="36"/>
      </w:pPr>
    </w:p>
    <w:p w14:paraId="23140151">
      <w:pPr>
        <w:pStyle w:val="2"/>
        <w:rPr>
          <w:rFonts w:ascii="宋体" w:hAnsi="宋体"/>
        </w:rPr>
        <w:sectPr>
          <w:pgSz w:w="11907" w:h="16840"/>
          <w:pgMar w:top="1440" w:right="1797" w:bottom="1440" w:left="1797" w:header="851" w:footer="992" w:gutter="0"/>
          <w:cols w:space="425" w:num="1"/>
          <w:titlePg/>
          <w:docGrid w:linePitch="462" w:charSpace="0"/>
        </w:sectPr>
      </w:pPr>
    </w:p>
    <w:p w14:paraId="2E2D4EC5">
      <w:pPr>
        <w:pStyle w:val="6"/>
        <w:rPr>
          <w:kern w:val="2"/>
        </w:rPr>
      </w:pPr>
      <w:r>
        <w:rPr>
          <w:rFonts w:hint="eastAsia"/>
          <w:kern w:val="2"/>
        </w:rPr>
        <w:t>第四章</w:t>
      </w:r>
      <w:r>
        <w:rPr>
          <w:kern w:val="2"/>
        </w:rPr>
        <w:t xml:space="preserve"> </w:t>
      </w:r>
      <w:r>
        <w:rPr>
          <w:rFonts w:hint="eastAsia"/>
          <w:kern w:val="2"/>
        </w:rPr>
        <w:t xml:space="preserve"> 投标文件组成要求及格式</w:t>
      </w:r>
    </w:p>
    <w:p w14:paraId="4A98F934">
      <w:r>
        <w:rPr>
          <w:rFonts w:hint="eastAsia"/>
        </w:rPr>
        <w:t>投标文件组成</w:t>
      </w:r>
      <w:bookmarkStart w:id="48" w:name="_Hlk72257253"/>
      <w:r>
        <w:rPr>
          <w:rFonts w:hint="eastAsia"/>
        </w:rPr>
        <w:t>主要包括以下内容：</w:t>
      </w:r>
    </w:p>
    <w:p w14:paraId="455359CC">
      <w:pPr>
        <w:ind w:left="718" w:leftChars="342" w:firstLine="1417" w:firstLineChars="675"/>
        <w:rPr>
          <w:szCs w:val="21"/>
        </w:rPr>
      </w:pPr>
      <w:r>
        <w:rPr>
          <w:rFonts w:hint="eastAsia"/>
          <w:szCs w:val="21"/>
        </w:rPr>
        <w:t>（1）</w:t>
      </w:r>
      <w:bookmarkStart w:id="49" w:name="_Hlk72070784"/>
      <w:r>
        <w:rPr>
          <w:rFonts w:hint="eastAsia"/>
          <w:szCs w:val="21"/>
        </w:rPr>
        <w:t>投标函</w:t>
      </w:r>
      <w:bookmarkEnd w:id="49"/>
    </w:p>
    <w:p w14:paraId="59AEB000">
      <w:pPr>
        <w:ind w:left="718" w:leftChars="342" w:firstLine="1417" w:firstLineChars="675"/>
        <w:rPr>
          <w:szCs w:val="21"/>
        </w:rPr>
      </w:pPr>
      <w:r>
        <w:rPr>
          <w:rFonts w:hint="eastAsia"/>
          <w:szCs w:val="21"/>
        </w:rPr>
        <w:t>（2）</w:t>
      </w:r>
      <w:bookmarkStart w:id="50" w:name="_Hlk72062521"/>
      <w:r>
        <w:rPr>
          <w:rFonts w:hint="eastAsia"/>
          <w:szCs w:val="21"/>
        </w:rPr>
        <w:t>采购投标及履约承诺函</w:t>
      </w:r>
      <w:bookmarkEnd w:id="50"/>
    </w:p>
    <w:p w14:paraId="7A020787">
      <w:pPr>
        <w:ind w:left="718" w:leftChars="342" w:firstLine="1417" w:firstLineChars="675"/>
        <w:rPr>
          <w:szCs w:val="21"/>
        </w:rPr>
      </w:pPr>
      <w:r>
        <w:rPr>
          <w:rFonts w:hint="eastAsia"/>
          <w:szCs w:val="21"/>
        </w:rPr>
        <w:t>（</w:t>
      </w:r>
      <w:r>
        <w:rPr>
          <w:szCs w:val="21"/>
        </w:rPr>
        <w:t>3</w:t>
      </w:r>
      <w:r>
        <w:rPr>
          <w:rFonts w:hint="eastAsia"/>
          <w:szCs w:val="21"/>
        </w:rPr>
        <w:t>）投标人情况及资格证明文件</w:t>
      </w:r>
    </w:p>
    <w:p w14:paraId="1A61DFAF">
      <w:pPr>
        <w:ind w:left="718" w:leftChars="342" w:firstLine="1417" w:firstLineChars="675"/>
        <w:rPr>
          <w:szCs w:val="21"/>
        </w:rPr>
      </w:pPr>
      <w:bookmarkStart w:id="51" w:name="_Hlk72257201"/>
      <w:r>
        <w:rPr>
          <w:rFonts w:hint="eastAsia"/>
          <w:szCs w:val="21"/>
        </w:rPr>
        <w:t>（</w:t>
      </w:r>
      <w:r>
        <w:rPr>
          <w:szCs w:val="21"/>
        </w:rPr>
        <w:t>4</w:t>
      </w:r>
      <w:r>
        <w:rPr>
          <w:rFonts w:hint="eastAsia"/>
          <w:szCs w:val="21"/>
        </w:rPr>
        <w:t>）项目详细报价</w:t>
      </w:r>
    </w:p>
    <w:bookmarkEnd w:id="51"/>
    <w:p w14:paraId="742F04AA">
      <w:pPr>
        <w:ind w:firstLine="2100" w:firstLineChars="1000"/>
        <w:rPr>
          <w:szCs w:val="21"/>
        </w:rPr>
      </w:pPr>
      <w:r>
        <w:rPr>
          <w:rFonts w:hint="eastAsia"/>
          <w:szCs w:val="21"/>
        </w:rPr>
        <w:t>（5）供应商基本情况表</w:t>
      </w:r>
    </w:p>
    <w:p w14:paraId="7857DFCD">
      <w:pPr>
        <w:ind w:firstLine="2100" w:firstLineChars="1000"/>
        <w:rPr>
          <w:szCs w:val="21"/>
        </w:rPr>
      </w:pPr>
      <w:r>
        <w:rPr>
          <w:rFonts w:hint="eastAsia"/>
          <w:szCs w:val="21"/>
        </w:rPr>
        <w:t>（6）法定代表人（负责人）证明书</w:t>
      </w:r>
    </w:p>
    <w:p w14:paraId="1372F3D7">
      <w:pPr>
        <w:ind w:left="718" w:leftChars="342" w:firstLine="1417" w:firstLineChars="675"/>
        <w:rPr>
          <w:szCs w:val="21"/>
        </w:rPr>
      </w:pPr>
      <w:r>
        <w:rPr>
          <w:rFonts w:hint="eastAsia"/>
          <w:szCs w:val="21"/>
        </w:rPr>
        <w:t>（7）投标文件签署授权委托书</w:t>
      </w:r>
    </w:p>
    <w:p w14:paraId="3013674F">
      <w:pPr>
        <w:ind w:left="718" w:leftChars="342" w:firstLine="1417" w:firstLineChars="675"/>
        <w:rPr>
          <w:szCs w:val="21"/>
        </w:rPr>
      </w:pPr>
      <w:r>
        <w:rPr>
          <w:rFonts w:hint="eastAsia"/>
          <w:szCs w:val="21"/>
        </w:rPr>
        <w:t>（8）实质性条款响应情况表</w:t>
      </w:r>
    </w:p>
    <w:p w14:paraId="6A1A6DA1">
      <w:pPr>
        <w:ind w:left="718" w:leftChars="342" w:firstLine="1417" w:firstLineChars="675"/>
        <w:rPr>
          <w:szCs w:val="21"/>
        </w:rPr>
      </w:pPr>
      <w:r>
        <w:rPr>
          <w:rFonts w:hint="eastAsia"/>
          <w:szCs w:val="21"/>
        </w:rPr>
        <w:t>（9）技术要求偏离表</w:t>
      </w:r>
    </w:p>
    <w:p w14:paraId="7DAE87A5">
      <w:pPr>
        <w:ind w:left="718" w:leftChars="342" w:firstLine="1417" w:firstLineChars="675"/>
        <w:rPr>
          <w:szCs w:val="21"/>
        </w:rPr>
      </w:pPr>
      <w:r>
        <w:rPr>
          <w:rFonts w:hint="eastAsia"/>
          <w:szCs w:val="21"/>
        </w:rPr>
        <w:t>（10）</w:t>
      </w:r>
      <w:r>
        <w:rPr>
          <w:rFonts w:hint="eastAsia" w:ascii="宋体" w:hAnsi="宋体" w:cs="宋体"/>
          <w:kern w:val="0"/>
          <w:szCs w:val="21"/>
        </w:rPr>
        <w:t>组织实施方案</w:t>
      </w:r>
    </w:p>
    <w:p w14:paraId="2AD1037D">
      <w:pPr>
        <w:ind w:left="718" w:leftChars="342" w:firstLine="1417" w:firstLineChars="675"/>
        <w:rPr>
          <w:rFonts w:hint="default" w:eastAsia="宋体"/>
          <w:szCs w:val="21"/>
          <w:lang w:val="en-US" w:eastAsia="zh-CN"/>
        </w:rPr>
      </w:pPr>
      <w:r>
        <w:rPr>
          <w:rFonts w:hint="eastAsia"/>
          <w:szCs w:val="21"/>
          <w:lang w:eastAsia="zh-CN"/>
        </w:rPr>
        <w:t>（</w:t>
      </w:r>
      <w:r>
        <w:rPr>
          <w:rFonts w:hint="eastAsia"/>
          <w:szCs w:val="21"/>
          <w:lang w:val="en-US" w:eastAsia="zh-CN"/>
        </w:rPr>
        <w:t>11）</w:t>
      </w:r>
      <w:r>
        <w:rPr>
          <w:rFonts w:hint="eastAsia" w:ascii="宋体" w:hAnsi="宋体" w:cs="宋体"/>
          <w:szCs w:val="21"/>
        </w:rPr>
        <w:t>项目质量保障措施</w:t>
      </w:r>
    </w:p>
    <w:p w14:paraId="0DB72727">
      <w:pPr>
        <w:ind w:left="718" w:leftChars="342" w:firstLine="1417" w:firstLineChars="675"/>
        <w:rPr>
          <w:rFonts w:hint="default" w:eastAsia="宋体"/>
          <w:szCs w:val="21"/>
          <w:lang w:val="en-US" w:eastAsia="zh-CN"/>
        </w:rPr>
      </w:pPr>
      <w:r>
        <w:rPr>
          <w:rFonts w:hint="eastAsia"/>
          <w:szCs w:val="21"/>
          <w:lang w:eastAsia="zh-CN"/>
        </w:rPr>
        <w:t>（</w:t>
      </w:r>
      <w:r>
        <w:rPr>
          <w:rFonts w:hint="eastAsia"/>
          <w:szCs w:val="21"/>
          <w:lang w:val="en-US" w:eastAsia="zh-CN"/>
        </w:rPr>
        <w:t>12）</w:t>
      </w:r>
      <w:r>
        <w:rPr>
          <w:rFonts w:hint="eastAsia" w:ascii="宋体" w:hAnsi="宋体" w:cs="宋体"/>
          <w:szCs w:val="21"/>
        </w:rPr>
        <w:t>售后服务方案</w:t>
      </w:r>
    </w:p>
    <w:p w14:paraId="42CBB8F1">
      <w:pPr>
        <w:ind w:left="718" w:leftChars="342" w:firstLine="1417" w:firstLineChars="675"/>
        <w:rPr>
          <w:rFonts w:hint="default" w:eastAsia="宋体"/>
          <w:szCs w:val="21"/>
          <w:lang w:val="en-US" w:eastAsia="zh-CN"/>
        </w:rPr>
      </w:pPr>
      <w:r>
        <w:rPr>
          <w:rFonts w:hint="eastAsia"/>
          <w:szCs w:val="21"/>
          <w:lang w:eastAsia="zh-CN"/>
        </w:rPr>
        <w:t>（</w:t>
      </w:r>
      <w:r>
        <w:rPr>
          <w:rFonts w:hint="eastAsia"/>
          <w:szCs w:val="21"/>
          <w:lang w:val="en-US" w:eastAsia="zh-CN"/>
        </w:rPr>
        <w:t>13）</w:t>
      </w:r>
      <w:r>
        <w:rPr>
          <w:rFonts w:hint="eastAsia" w:ascii="宋体" w:hAnsi="宋体" w:cs="宋体"/>
          <w:kern w:val="0"/>
          <w:szCs w:val="21"/>
        </w:rPr>
        <w:t>经验评价</w:t>
      </w:r>
    </w:p>
    <w:p w14:paraId="3A3C5C81">
      <w:pPr>
        <w:ind w:left="718" w:leftChars="342" w:firstLine="1417" w:firstLineChars="675"/>
        <w:rPr>
          <w:rFonts w:hint="default" w:eastAsia="宋体"/>
          <w:szCs w:val="21"/>
          <w:lang w:val="en-US" w:eastAsia="zh-CN"/>
        </w:rPr>
      </w:pPr>
      <w:r>
        <w:rPr>
          <w:rFonts w:hint="eastAsia"/>
          <w:szCs w:val="21"/>
          <w:lang w:eastAsia="zh-CN"/>
        </w:rPr>
        <w:t>（</w:t>
      </w:r>
      <w:r>
        <w:rPr>
          <w:rFonts w:hint="eastAsia"/>
          <w:szCs w:val="21"/>
          <w:lang w:val="en-US" w:eastAsia="zh-CN"/>
        </w:rPr>
        <w:t>14）</w:t>
      </w:r>
      <w:r>
        <w:rPr>
          <w:rFonts w:hint="eastAsia" w:ascii="宋体" w:hAnsi="宋体" w:cs="宋体"/>
          <w:szCs w:val="21"/>
        </w:rPr>
        <w:t>体系认证</w:t>
      </w:r>
    </w:p>
    <w:p w14:paraId="15B99BC8">
      <w:pPr>
        <w:ind w:left="718" w:leftChars="342" w:firstLine="1417" w:firstLineChars="675"/>
        <w:rPr>
          <w:szCs w:val="21"/>
        </w:rPr>
      </w:pPr>
      <w:r>
        <w:rPr>
          <w:rFonts w:hint="eastAsia"/>
          <w:szCs w:val="21"/>
        </w:rPr>
        <w:t>（1</w:t>
      </w:r>
      <w:r>
        <w:rPr>
          <w:rFonts w:hint="eastAsia"/>
          <w:szCs w:val="21"/>
          <w:lang w:val="en-US" w:eastAsia="zh-CN"/>
        </w:rPr>
        <w:t>5</w:t>
      </w:r>
      <w:r>
        <w:rPr>
          <w:rFonts w:hint="eastAsia"/>
          <w:szCs w:val="21"/>
        </w:rPr>
        <w:t>）投标人认为需要加以说明的其他内容</w:t>
      </w:r>
    </w:p>
    <w:p w14:paraId="1F8073A7">
      <w:pPr>
        <w:pStyle w:val="2"/>
      </w:pPr>
    </w:p>
    <w:bookmarkEnd w:id="48"/>
    <w:p w14:paraId="37A032EE">
      <w:pPr>
        <w:ind w:left="718" w:leftChars="342" w:firstLine="1417" w:firstLineChars="675"/>
        <w:rPr>
          <w:szCs w:val="21"/>
        </w:rPr>
      </w:pPr>
    </w:p>
    <w:p w14:paraId="4AA28CB7">
      <w:pPr>
        <w:ind w:firstLine="426" w:firstLineChars="202"/>
        <w:rPr>
          <w:rFonts w:ascii="宋体" w:hAnsi="宋体"/>
          <w:b/>
          <w:szCs w:val="21"/>
        </w:rPr>
      </w:pPr>
      <w:bookmarkStart w:id="52" w:name="_Hlk72257771"/>
      <w:r>
        <w:rPr>
          <w:rFonts w:hint="eastAsia" w:ascii="宋体" w:hAnsi="宋体"/>
          <w:b/>
          <w:szCs w:val="21"/>
        </w:rPr>
        <w:t>备注：</w:t>
      </w:r>
    </w:p>
    <w:p w14:paraId="6025E50E">
      <w:pPr>
        <w:ind w:firstLine="426" w:firstLineChars="202"/>
        <w:rPr>
          <w:rFonts w:ascii="宋体" w:hAnsi="宋体"/>
          <w:b/>
          <w:szCs w:val="21"/>
        </w:rPr>
      </w:pPr>
      <w:r>
        <w:rPr>
          <w:rFonts w:hint="eastAsia" w:ascii="宋体" w:hAnsi="宋体"/>
          <w:b/>
          <w:szCs w:val="21"/>
        </w:rPr>
        <w:t>1.本项目为网上电子投标项目，投标文件不需法人或授权委托人另行签字，无需加盖单位公章，招标文件另有规定的除外。</w:t>
      </w:r>
    </w:p>
    <w:p w14:paraId="31C3D7D2">
      <w:pPr>
        <w:ind w:firstLine="422" w:firstLineChars="200"/>
        <w:rPr>
          <w:rFonts w:ascii="宋体" w:hAnsi="宋体"/>
          <w:color w:val="FF0000"/>
          <w:sz w:val="24"/>
        </w:rPr>
      </w:pPr>
      <w:bookmarkStart w:id="53" w:name="_Hlk72263559"/>
      <w:r>
        <w:rPr>
          <w:rFonts w:hint="eastAsia" w:ascii="宋体" w:hAnsi="宋体"/>
          <w:b/>
          <w:szCs w:val="21"/>
        </w:rPr>
        <w:t>2.关于填写“开标一览表”的说明：“开标一览表”中除“投标总价”外，其他信息不作评审依据。</w:t>
      </w:r>
      <w:bookmarkEnd w:id="52"/>
      <w:bookmarkEnd w:id="53"/>
    </w:p>
    <w:p w14:paraId="3B9FD60E">
      <w:pPr>
        <w:rPr>
          <w:rFonts w:ascii="宋体" w:hAnsi="宋体"/>
          <w:color w:val="FF0000"/>
          <w:sz w:val="24"/>
        </w:rPr>
      </w:pPr>
    </w:p>
    <w:p w14:paraId="44075197">
      <w:pPr>
        <w:rPr>
          <w:rFonts w:ascii="宋体" w:hAnsi="宋体"/>
          <w:color w:val="FF0000"/>
          <w:sz w:val="24"/>
        </w:rPr>
      </w:pPr>
    </w:p>
    <w:p w14:paraId="44B1A174">
      <w:pPr>
        <w:rPr>
          <w:rFonts w:ascii="宋体" w:hAnsi="宋体"/>
          <w:color w:val="FF0000"/>
          <w:sz w:val="24"/>
        </w:rPr>
      </w:pPr>
    </w:p>
    <w:p w14:paraId="371176BE">
      <w:pPr>
        <w:rPr>
          <w:rFonts w:ascii="宋体" w:hAnsi="宋体"/>
          <w:color w:val="FF0000"/>
          <w:sz w:val="24"/>
        </w:rPr>
        <w:sectPr>
          <w:pgSz w:w="11907" w:h="16840"/>
          <w:pgMar w:top="1440" w:right="1797" w:bottom="1440" w:left="1797" w:header="851" w:footer="992" w:gutter="0"/>
          <w:cols w:space="425" w:num="1"/>
          <w:titlePg/>
          <w:docGrid w:linePitch="462" w:charSpace="0"/>
        </w:sectPr>
      </w:pPr>
    </w:p>
    <w:p w14:paraId="40D47881">
      <w:pPr>
        <w:pStyle w:val="4"/>
        <w:jc w:val="center"/>
        <w:rPr>
          <w:rFonts w:ascii="黑体" w:eastAsia="黑体"/>
          <w:b w:val="0"/>
          <w:sz w:val="24"/>
        </w:rPr>
      </w:pPr>
      <w:r>
        <w:rPr>
          <w:rFonts w:hint="eastAsia" w:ascii="黑体" w:eastAsia="黑体"/>
          <w:b w:val="0"/>
          <w:sz w:val="24"/>
        </w:rPr>
        <w:t>一、投标函</w:t>
      </w:r>
    </w:p>
    <w:p w14:paraId="216AC101">
      <w:pPr>
        <w:spacing w:line="360" w:lineRule="auto"/>
        <w:rPr>
          <w:rFonts w:ascii="宋体" w:hAnsi="宋体"/>
          <w:szCs w:val="21"/>
        </w:rPr>
      </w:pPr>
      <w:bookmarkStart w:id="54" w:name="_Hlk72257506"/>
      <w:r>
        <w:rPr>
          <w:rFonts w:hint="eastAsia" w:ascii="宋体" w:hAnsi="宋体"/>
          <w:szCs w:val="21"/>
        </w:rPr>
        <w:t>致：</w:t>
      </w:r>
      <w:r>
        <w:rPr>
          <w:rFonts w:hint="eastAsia" w:ascii="宋体" w:hAnsi="宋体"/>
          <w:szCs w:val="21"/>
          <w:u w:val="single"/>
        </w:rPr>
        <w:t xml:space="preserve">  </w:t>
      </w:r>
      <w:r>
        <w:rPr>
          <w:rFonts w:hint="eastAsia" w:ascii="宋体" w:hAnsi="宋体"/>
          <w:color w:val="FF0000"/>
          <w:szCs w:val="21"/>
          <w:u w:val="single"/>
        </w:rPr>
        <w:t>深圳公共资源交易中心</w:t>
      </w:r>
      <w:r>
        <w:rPr>
          <w:rFonts w:hint="eastAsia" w:ascii="宋体" w:hAnsi="宋体"/>
          <w:szCs w:val="21"/>
          <w:u w:val="single"/>
        </w:rPr>
        <w:t xml:space="preserve">  </w:t>
      </w:r>
    </w:p>
    <w:p w14:paraId="1A7022D3">
      <w:pPr>
        <w:ind w:firstLine="420" w:firstLineChars="200"/>
        <w:rPr>
          <w:rFonts w:ascii="宋体" w:hAnsi="宋体"/>
          <w:szCs w:val="21"/>
        </w:rPr>
      </w:pPr>
      <w:bookmarkStart w:id="55" w:name="_Hlk73818812"/>
      <w:r>
        <w:rPr>
          <w:rFonts w:hint="eastAsia"/>
          <w:szCs w:val="21"/>
        </w:rPr>
        <w:t>1、根据已收到贵单位的项目编号为</w:t>
      </w:r>
      <w:r>
        <w:rPr>
          <w:rFonts w:hint="eastAsia"/>
          <w:szCs w:val="21"/>
          <w:u w:val="thick"/>
        </w:rPr>
        <w:t xml:space="preserve">                 </w:t>
      </w:r>
      <w:r>
        <w:rPr>
          <w:rFonts w:hint="eastAsia"/>
          <w:szCs w:val="21"/>
        </w:rPr>
        <w:t>的</w:t>
      </w:r>
      <w:r>
        <w:rPr>
          <w:rFonts w:hint="eastAsia"/>
          <w:szCs w:val="21"/>
          <w:u w:val="thick"/>
        </w:rPr>
        <w:t xml:space="preserve">       （项目名称）          </w:t>
      </w:r>
      <w:r>
        <w:rPr>
          <w:rFonts w:hint="eastAsia"/>
          <w:szCs w:val="21"/>
        </w:rPr>
        <w:t>项目的招标文件，遵照《深圳经济特区政府采购条例》和《深圳网上政府采购管理暂行办法》等有关规定，我单位经研究上述招标文件的专用条款及通用条款后，</w:t>
      </w:r>
      <w:bookmarkStart w:id="56" w:name="_Hlk72263588"/>
      <w:r>
        <w:rPr>
          <w:rFonts w:hint="eastAsia"/>
          <w:szCs w:val="21"/>
        </w:rPr>
        <w:t>愿意按照招标文件要求承包上述项目并修补其任何缺陷。</w:t>
      </w:r>
      <w:bookmarkEnd w:id="56"/>
    </w:p>
    <w:p w14:paraId="51BF2135">
      <w:pPr>
        <w:ind w:firstLine="420" w:firstLineChars="200"/>
        <w:rPr>
          <w:rFonts w:ascii="宋体" w:hAnsi="宋体"/>
          <w:szCs w:val="21"/>
        </w:rPr>
      </w:pPr>
      <w:r>
        <w:rPr>
          <w:rFonts w:ascii="宋体" w:hAnsi="宋体"/>
          <w:szCs w:val="21"/>
        </w:rPr>
        <w:t>2</w:t>
      </w:r>
      <w:r>
        <w:rPr>
          <w:rFonts w:hint="eastAsia" w:ascii="宋体" w:hAnsi="宋体"/>
          <w:szCs w:val="21"/>
        </w:rPr>
        <w:t>、</w:t>
      </w:r>
      <w:bookmarkStart w:id="57" w:name="_Hlk73819847"/>
      <w:r>
        <w:rPr>
          <w:rFonts w:hint="eastAsia" w:ascii="宋体" w:hAnsi="宋体"/>
          <w:szCs w:val="21"/>
        </w:rPr>
        <w:t>投标价格见</w:t>
      </w:r>
      <w:r>
        <w:rPr>
          <w:rFonts w:hint="eastAsia"/>
          <w:szCs w:val="21"/>
        </w:rPr>
        <w:t>投标书编制软件中填写的投标报价。</w:t>
      </w:r>
      <w:bookmarkEnd w:id="57"/>
    </w:p>
    <w:p w14:paraId="1244E38E">
      <w:pPr>
        <w:ind w:firstLine="420" w:firstLineChars="200"/>
        <w:rPr>
          <w:rFonts w:ascii="宋体" w:hAnsi="宋体"/>
          <w:szCs w:val="21"/>
        </w:rPr>
      </w:pPr>
      <w:r>
        <w:rPr>
          <w:rFonts w:hint="eastAsia" w:ascii="宋体" w:hAnsi="宋体"/>
          <w:szCs w:val="21"/>
        </w:rPr>
        <w:t>3、如果我单位中标，我单位将按照招标文件的要求足额提交履约担保。</w:t>
      </w:r>
    </w:p>
    <w:p w14:paraId="5BF20638">
      <w:pPr>
        <w:ind w:firstLine="420" w:firstLineChars="200"/>
        <w:rPr>
          <w:rFonts w:ascii="宋体" w:hAnsi="宋体"/>
          <w:szCs w:val="21"/>
        </w:rPr>
      </w:pPr>
      <w:r>
        <w:rPr>
          <w:rFonts w:hint="eastAsia" w:ascii="宋体" w:hAnsi="宋体"/>
          <w:szCs w:val="21"/>
        </w:rPr>
        <w:t>4、我单位同意所递交的投标文件在“对通用条款的补充内容”中明确的投标有效期内有效，在此期间内我单位的投标有可能中标，我方将受此约束。</w:t>
      </w:r>
    </w:p>
    <w:p w14:paraId="3FDE15B5">
      <w:pPr>
        <w:ind w:firstLine="420" w:firstLineChars="200"/>
        <w:rPr>
          <w:rFonts w:ascii="宋体" w:hAnsi="宋体"/>
          <w:szCs w:val="21"/>
        </w:rPr>
      </w:pPr>
      <w:r>
        <w:rPr>
          <w:rFonts w:hint="eastAsia" w:ascii="宋体" w:hAnsi="宋体"/>
          <w:szCs w:val="21"/>
        </w:rPr>
        <w:t>5、除非另外达成协议并生效，贵单位的中标通知书和本投标文件将构成合同的重要内容。</w:t>
      </w:r>
    </w:p>
    <w:p w14:paraId="41ED141C">
      <w:pPr>
        <w:ind w:firstLine="420" w:firstLineChars="200"/>
        <w:rPr>
          <w:rFonts w:ascii="宋体" w:hAnsi="宋体"/>
          <w:szCs w:val="21"/>
        </w:rPr>
      </w:pPr>
      <w:r>
        <w:rPr>
          <w:rFonts w:hint="eastAsia" w:ascii="宋体" w:hAnsi="宋体"/>
          <w:szCs w:val="21"/>
        </w:rPr>
        <w:t>6、我单位理解贵单位将不受必须接受所收到的最低报价或其它任何投标文件的约束</w:t>
      </w:r>
      <w:bookmarkEnd w:id="55"/>
      <w:r>
        <w:rPr>
          <w:rFonts w:hint="eastAsia" w:ascii="宋体" w:hAnsi="宋体"/>
          <w:szCs w:val="21"/>
        </w:rPr>
        <w:t>。</w:t>
      </w:r>
    </w:p>
    <w:p w14:paraId="48208126">
      <w:pPr>
        <w:ind w:firstLine="422" w:firstLineChars="200"/>
        <w:rPr>
          <w:rFonts w:ascii="宋体" w:hAnsi="宋体"/>
          <w:b/>
          <w:szCs w:val="21"/>
        </w:rPr>
      </w:pPr>
      <w:r>
        <w:rPr>
          <w:rFonts w:hint="eastAsia" w:ascii="宋体" w:hAnsi="宋体"/>
          <w:b/>
          <w:szCs w:val="21"/>
        </w:rPr>
        <w:t>7</w:t>
      </w:r>
      <w:r>
        <w:rPr>
          <w:rFonts w:ascii="宋体" w:hAnsi="宋体"/>
          <w:b/>
          <w:szCs w:val="21"/>
        </w:rPr>
        <w:t>、如我单位提交样品，且未在规定时间内取回样品的，视同放弃取回，同意深圳公共资源交易中心对我单位提交的样品进行清理。</w:t>
      </w:r>
    </w:p>
    <w:p w14:paraId="4D886429">
      <w:pPr>
        <w:ind w:left="420" w:leftChars="200" w:firstLine="210" w:firstLineChars="100"/>
        <w:rPr>
          <w:szCs w:val="21"/>
        </w:rPr>
      </w:pPr>
    </w:p>
    <w:p w14:paraId="7B4E6A3B">
      <w:pPr>
        <w:ind w:left="420" w:leftChars="200" w:firstLine="210" w:firstLineChars="100"/>
        <w:rPr>
          <w:szCs w:val="21"/>
        </w:rPr>
      </w:pPr>
      <w:r>
        <w:rPr>
          <w:rFonts w:hint="eastAsia"/>
          <w:szCs w:val="21"/>
        </w:rPr>
        <w:t>投标人：</w:t>
      </w:r>
      <w:r>
        <w:rPr>
          <w:rFonts w:hint="eastAsia"/>
          <w:szCs w:val="21"/>
          <w:u w:val="thick"/>
        </w:rPr>
        <w:t xml:space="preserve">                   </w:t>
      </w:r>
      <w:r>
        <w:rPr>
          <w:rFonts w:hint="eastAsia"/>
          <w:szCs w:val="21"/>
        </w:rPr>
        <w:t xml:space="preserve">  ；  单位地址：</w:t>
      </w:r>
      <w:r>
        <w:rPr>
          <w:rFonts w:hint="eastAsia"/>
          <w:szCs w:val="21"/>
          <w:u w:val="thick"/>
        </w:rPr>
        <w:t xml:space="preserve">                                            </w:t>
      </w:r>
      <w:r>
        <w:rPr>
          <w:rFonts w:hint="eastAsia"/>
          <w:szCs w:val="21"/>
        </w:rPr>
        <w:t>；</w:t>
      </w:r>
    </w:p>
    <w:p w14:paraId="072759C8">
      <w:pPr>
        <w:ind w:left="420" w:leftChars="200" w:firstLine="210" w:firstLineChars="100"/>
        <w:rPr>
          <w:szCs w:val="21"/>
        </w:rPr>
      </w:pPr>
      <w:r>
        <w:rPr>
          <w:rFonts w:hint="eastAsia"/>
          <w:szCs w:val="21"/>
        </w:rPr>
        <w:t>法定代表人（负责人）或其授权委托代理人：</w:t>
      </w:r>
      <w:r>
        <w:rPr>
          <w:rFonts w:hint="eastAsia"/>
          <w:szCs w:val="21"/>
          <w:u w:val="thick"/>
        </w:rPr>
        <w:t xml:space="preserve">                       </w:t>
      </w:r>
      <w:r>
        <w:rPr>
          <w:rFonts w:hint="eastAsia"/>
          <w:szCs w:val="21"/>
        </w:rPr>
        <w:t>；</w:t>
      </w:r>
    </w:p>
    <w:p w14:paraId="71B5D25A">
      <w:pPr>
        <w:ind w:left="420" w:leftChars="200" w:firstLine="210" w:firstLineChars="100"/>
        <w:rPr>
          <w:szCs w:val="21"/>
        </w:rPr>
      </w:pPr>
      <w:r>
        <w:rPr>
          <w:rFonts w:hint="eastAsia"/>
          <w:szCs w:val="21"/>
        </w:rPr>
        <w:t>电话：</w:t>
      </w:r>
      <w:r>
        <w:rPr>
          <w:rFonts w:hint="eastAsia"/>
          <w:szCs w:val="21"/>
          <w:u w:val="thick"/>
        </w:rPr>
        <w:t xml:space="preserve">                            </w:t>
      </w:r>
      <w:r>
        <w:rPr>
          <w:rFonts w:hint="eastAsia"/>
          <w:szCs w:val="21"/>
        </w:rPr>
        <w:t xml:space="preserve">；     </w:t>
      </w:r>
    </w:p>
    <w:p w14:paraId="0F3A700D">
      <w:pPr>
        <w:ind w:left="420" w:leftChars="200" w:firstLine="210" w:firstLineChars="100"/>
        <w:rPr>
          <w:sz w:val="24"/>
        </w:rPr>
      </w:pPr>
      <w:r>
        <w:rPr>
          <w:rFonts w:hint="eastAsia" w:ascii="宋体" w:hAnsi="宋体"/>
          <w:szCs w:val="21"/>
        </w:rPr>
        <w:t>日期：</w:t>
      </w:r>
      <w:r>
        <w:rPr>
          <w:rFonts w:hint="eastAsia" w:ascii="宋体" w:hAnsi="宋体"/>
          <w:szCs w:val="21"/>
          <w:u w:val="thick"/>
        </w:rPr>
        <w:t xml:space="preserve">       </w:t>
      </w:r>
      <w:r>
        <w:rPr>
          <w:rFonts w:hint="eastAsia" w:ascii="宋体" w:hAnsi="宋体"/>
          <w:szCs w:val="21"/>
        </w:rPr>
        <w:t>年</w:t>
      </w:r>
      <w:r>
        <w:rPr>
          <w:rFonts w:hint="eastAsia" w:ascii="宋体" w:hAnsi="宋体"/>
          <w:szCs w:val="21"/>
          <w:u w:val="thick"/>
        </w:rPr>
        <w:t xml:space="preserve">     </w:t>
      </w:r>
      <w:r>
        <w:rPr>
          <w:rFonts w:hint="eastAsia" w:ascii="宋体" w:hAnsi="宋体"/>
          <w:szCs w:val="21"/>
        </w:rPr>
        <w:t>月</w:t>
      </w:r>
      <w:r>
        <w:rPr>
          <w:rFonts w:hint="eastAsia" w:ascii="宋体" w:hAnsi="宋体"/>
          <w:szCs w:val="21"/>
          <w:u w:val="thick"/>
        </w:rPr>
        <w:t xml:space="preserve">    </w:t>
      </w:r>
      <w:r>
        <w:rPr>
          <w:rFonts w:hint="eastAsia" w:ascii="宋体" w:hAnsi="宋体"/>
          <w:szCs w:val="21"/>
        </w:rPr>
        <w:t>日</w:t>
      </w:r>
      <w:r>
        <w:rPr>
          <w:rFonts w:hint="eastAsia"/>
          <w:sz w:val="24"/>
        </w:rPr>
        <w:t xml:space="preserve">                                </w:t>
      </w:r>
    </w:p>
    <w:p w14:paraId="4B34A147">
      <w:pPr>
        <w:rPr>
          <w:rFonts w:ascii="黑体" w:hAnsi="宋体" w:eastAsia="黑体"/>
        </w:rPr>
      </w:pPr>
    </w:p>
    <w:p w14:paraId="5A700964">
      <w:pPr>
        <w:rPr>
          <w:rFonts w:ascii="黑体" w:hAnsi="宋体" w:eastAsia="黑体"/>
        </w:rPr>
      </w:pPr>
    </w:p>
    <w:bookmarkEnd w:id="54"/>
    <w:p w14:paraId="49604664">
      <w:pPr>
        <w:pStyle w:val="4"/>
        <w:jc w:val="center"/>
        <w:rPr>
          <w:rFonts w:ascii="黑体" w:eastAsia="黑体"/>
          <w:b w:val="0"/>
          <w:sz w:val="24"/>
        </w:rPr>
      </w:pPr>
      <w:r>
        <w:rPr>
          <w:rFonts w:hint="eastAsia" w:ascii="黑体" w:eastAsia="黑体"/>
          <w:b w:val="0"/>
          <w:sz w:val="24"/>
        </w:rPr>
        <w:t>二、采购投标及履约承诺函</w:t>
      </w:r>
    </w:p>
    <w:p w14:paraId="2C4E87B4">
      <w:pPr>
        <w:rPr>
          <w:rFonts w:ascii="宋体" w:hAnsi="宋体"/>
          <w:color w:val="FF0000"/>
          <w:szCs w:val="21"/>
        </w:rPr>
      </w:pPr>
      <w:bookmarkStart w:id="58" w:name="_Hlk72257530"/>
      <w:r>
        <w:rPr>
          <w:rFonts w:hint="eastAsia" w:ascii="宋体" w:hAnsi="宋体"/>
          <w:color w:val="FF0000"/>
          <w:szCs w:val="21"/>
        </w:rPr>
        <w:t>致：</w:t>
      </w:r>
      <w:r>
        <w:rPr>
          <w:rFonts w:hint="eastAsia" w:ascii="宋体" w:hAnsi="宋体"/>
          <w:color w:val="FF0000"/>
          <w:szCs w:val="21"/>
          <w:u w:val="single"/>
        </w:rPr>
        <w:t>深圳公共资源交易中心</w:t>
      </w:r>
    </w:p>
    <w:p w14:paraId="692A8383">
      <w:pPr>
        <w:ind w:right="-815" w:firstLine="420" w:firstLineChars="200"/>
        <w:rPr>
          <w:rFonts w:ascii="宋体" w:hAnsi="宋体"/>
          <w:szCs w:val="21"/>
        </w:rPr>
      </w:pPr>
      <w:r>
        <w:rPr>
          <w:rFonts w:hint="eastAsia" w:ascii="宋体" w:hAnsi="宋体"/>
          <w:szCs w:val="21"/>
        </w:rPr>
        <w:t>我单位承诺：</w:t>
      </w:r>
    </w:p>
    <w:p w14:paraId="718E8DE1">
      <w:pPr>
        <w:ind w:firstLine="420" w:firstLineChars="200"/>
        <w:rPr>
          <w:rFonts w:ascii="宋体" w:hAnsi="宋体"/>
          <w:b/>
          <w:szCs w:val="21"/>
        </w:rPr>
      </w:pPr>
      <w:r>
        <w:rPr>
          <w:rFonts w:hint="eastAsia" w:ascii="宋体" w:hAnsi="宋体"/>
          <w:bCs/>
          <w:szCs w:val="21"/>
        </w:rPr>
        <w:t>1.我单位参与本项目所投标（响应）的货物、工程或服务，不存在侵犯知识产权的情况。</w:t>
      </w:r>
    </w:p>
    <w:p w14:paraId="30D9D31A">
      <w:pPr>
        <w:ind w:firstLine="420" w:firstLineChars="200"/>
        <w:rPr>
          <w:rFonts w:ascii="宋体" w:hAnsi="宋体"/>
          <w:szCs w:val="21"/>
        </w:rPr>
      </w:pPr>
      <w:r>
        <w:rPr>
          <w:rFonts w:hint="eastAsia" w:ascii="宋体" w:hAnsi="宋体"/>
          <w:szCs w:val="21"/>
        </w:rPr>
        <w:t>2.我单位参与本项目</w:t>
      </w:r>
      <w:r>
        <w:rPr>
          <w:rFonts w:hint="eastAsia"/>
        </w:rPr>
        <w:t>采购活动时不存在被有关部门禁止参与采购活动且在有效期内的情况。</w:t>
      </w:r>
    </w:p>
    <w:p w14:paraId="1F4E276D">
      <w:pPr>
        <w:ind w:firstLine="420" w:firstLineChars="200"/>
        <w:rPr>
          <w:rFonts w:ascii="宋体" w:hAnsi="宋体"/>
          <w:szCs w:val="21"/>
        </w:rPr>
      </w:pPr>
      <w:r>
        <w:rPr>
          <w:rFonts w:hint="eastAsia" w:ascii="宋体" w:hAnsi="宋体"/>
          <w:szCs w:val="21"/>
        </w:rPr>
        <w:t>3.我单位具备《中华人民共和国政府采购法》第二十二条第一款规定的六项条件。</w:t>
      </w:r>
    </w:p>
    <w:p w14:paraId="2796D335">
      <w:pPr>
        <w:ind w:firstLine="420" w:firstLineChars="200"/>
      </w:pPr>
      <w:r>
        <w:rPr>
          <w:rFonts w:hint="eastAsia" w:ascii="宋体" w:hAnsi="宋体"/>
          <w:szCs w:val="21"/>
        </w:rPr>
        <w:t>4.我单位</w:t>
      </w:r>
      <w:r>
        <w:rPr>
          <w:rFonts w:hint="eastAsia"/>
        </w:rPr>
        <w:t>未被列入失信被执行人、重大税收违法案件当事人名单、政府采购严重违法失信行为记录名单。</w:t>
      </w:r>
    </w:p>
    <w:p w14:paraId="19C78D1C">
      <w:pPr>
        <w:ind w:firstLine="420" w:firstLineChars="200"/>
        <w:rPr>
          <w:color w:val="FF0000"/>
        </w:rPr>
      </w:pPr>
      <w:r>
        <w:rPr>
          <w:rFonts w:hint="eastAsia"/>
          <w:color w:val="FF0000"/>
        </w:rPr>
        <w:t>5.我单位不存在《深圳市财政局政府采购供应商信用信息管理办法》（深财规〔2023〕3号）列明的严重违法失信行为。</w:t>
      </w:r>
    </w:p>
    <w:p w14:paraId="479DDF88">
      <w:pPr>
        <w:ind w:firstLine="420" w:firstLineChars="200"/>
        <w:rPr>
          <w:rFonts w:ascii="宋体" w:hAnsi="宋体"/>
          <w:szCs w:val="21"/>
        </w:rPr>
      </w:pPr>
      <w:r>
        <w:rPr>
          <w:rFonts w:hint="eastAsia" w:ascii="宋体" w:hAnsi="宋体"/>
          <w:szCs w:val="21"/>
        </w:rPr>
        <w:t>6.</w:t>
      </w:r>
      <w:bookmarkStart w:id="59" w:name="_Hlk72587269"/>
      <w:bookmarkStart w:id="60" w:name="_Hlk72587299"/>
      <w:r>
        <w:rPr>
          <w:rFonts w:hint="eastAsia" w:ascii="宋体" w:hAnsi="宋体"/>
          <w:szCs w:val="21"/>
        </w:rPr>
        <w:t>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w:t>
      </w:r>
      <w:bookmarkEnd w:id="59"/>
      <w:r>
        <w:rPr>
          <w:rFonts w:hint="eastAsia" w:ascii="宋体" w:hAnsi="宋体"/>
          <w:szCs w:val="21"/>
        </w:rPr>
        <w:t>。</w:t>
      </w:r>
    </w:p>
    <w:bookmarkEnd w:id="60"/>
    <w:p w14:paraId="79ADF2EC">
      <w:pPr>
        <w:ind w:firstLine="420" w:firstLineChars="200"/>
        <w:rPr>
          <w:rFonts w:ascii="宋体" w:hAnsi="宋体"/>
          <w:szCs w:val="21"/>
        </w:rPr>
      </w:pPr>
      <w:r>
        <w:rPr>
          <w:rFonts w:hint="eastAsia" w:ascii="宋体" w:hAnsi="宋体"/>
          <w:szCs w:val="21"/>
        </w:rPr>
        <w:t>7.我单位如果中标，做到守信，不偷工减料，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14:paraId="37F56FFD">
      <w:pPr>
        <w:ind w:firstLine="420" w:firstLineChars="200"/>
        <w:rPr>
          <w:rFonts w:ascii="宋体" w:hAnsi="宋体"/>
          <w:szCs w:val="21"/>
        </w:rPr>
      </w:pPr>
      <w:r>
        <w:rPr>
          <w:rFonts w:hint="eastAsia" w:ascii="宋体" w:hAnsi="宋体"/>
          <w:szCs w:val="21"/>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14:paraId="41C4702B">
      <w:pPr>
        <w:ind w:firstLine="420" w:firstLineChars="200"/>
        <w:rPr>
          <w:rFonts w:ascii="宋体" w:hAnsi="宋体"/>
          <w:szCs w:val="21"/>
        </w:rPr>
      </w:pPr>
      <w:r>
        <w:rPr>
          <w:rFonts w:hint="eastAsia" w:ascii="宋体" w:hAnsi="宋体"/>
          <w:szCs w:val="21"/>
        </w:rPr>
        <w:t>8.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14:paraId="03FA72E2">
      <w:pPr>
        <w:ind w:firstLine="420" w:firstLineChars="200"/>
        <w:rPr>
          <w:rFonts w:ascii="宋体" w:hAnsi="宋体"/>
          <w:szCs w:val="21"/>
        </w:rPr>
      </w:pPr>
      <w:r>
        <w:rPr>
          <w:rFonts w:hint="eastAsia" w:ascii="宋体" w:hAnsi="宋体"/>
          <w:szCs w:val="21"/>
        </w:rPr>
        <w:t>9.我单位承诺中标后项目不转包，未经采购人同意不进行分包。</w:t>
      </w:r>
    </w:p>
    <w:p w14:paraId="0D0EEB4E">
      <w:pPr>
        <w:ind w:firstLine="420" w:firstLineChars="200"/>
        <w:rPr>
          <w:rFonts w:ascii="宋体" w:hAnsi="宋体"/>
        </w:rPr>
      </w:pPr>
      <w:r>
        <w:rPr>
          <w:rFonts w:hint="eastAsia" w:ascii="宋体" w:hAnsi="宋体"/>
          <w:szCs w:val="21"/>
        </w:rPr>
        <w:t>10</w:t>
      </w:r>
      <w:r>
        <w:rPr>
          <w:rFonts w:ascii="宋体" w:hAnsi="宋体"/>
          <w:szCs w:val="21"/>
        </w:rPr>
        <w:t>.</w:t>
      </w:r>
      <w:r>
        <w:rPr>
          <w:rFonts w:hint="eastAsia" w:ascii="宋体" w:hAnsi="宋体"/>
        </w:rPr>
        <w:t>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14:paraId="56EFFB82">
      <w:pPr>
        <w:ind w:firstLine="420" w:firstLineChars="200"/>
        <w:rPr>
          <w:rFonts w:ascii="宋体" w:hAnsi="宋体"/>
        </w:rPr>
      </w:pPr>
      <w:r>
        <w:rPr>
          <w:rFonts w:hint="eastAsia" w:ascii="宋体" w:hAnsi="宋体"/>
        </w:rPr>
        <w:t>11</w:t>
      </w:r>
      <w:r>
        <w:rPr>
          <w:rFonts w:ascii="宋体" w:hAnsi="宋体"/>
        </w:rPr>
        <w:t>.</w:t>
      </w:r>
      <w:r>
        <w:rPr>
          <w:rFonts w:hint="eastAsia" w:ascii="宋体" w:hAnsi="宋体"/>
        </w:rPr>
        <w:t>我单位保证，若所投货物涉及</w:t>
      </w:r>
      <w:r>
        <w:rPr>
          <w:rFonts w:ascii="宋体" w:hAnsi="宋体"/>
        </w:rPr>
        <w:t>《</w:t>
      </w:r>
      <w:r>
        <w:rPr>
          <w:rFonts w:hint="eastAsia" w:ascii="宋体" w:hAnsi="宋体"/>
        </w:rPr>
        <w:t>财政部生态环境部关于印发节能产品政府采购品目清单的通知》（财库〔20</w:t>
      </w:r>
      <w:r>
        <w:rPr>
          <w:rFonts w:ascii="宋体" w:hAnsi="宋体"/>
        </w:rPr>
        <w:t>19</w:t>
      </w:r>
      <w:r>
        <w:rPr>
          <w:rFonts w:hint="eastAsia" w:ascii="宋体" w:hAnsi="宋体"/>
        </w:rPr>
        <w:t>〕</w:t>
      </w:r>
      <w:r>
        <w:rPr>
          <w:rFonts w:ascii="宋体" w:hAnsi="宋体"/>
        </w:rPr>
        <w:t>19</w:t>
      </w:r>
      <w:r>
        <w:rPr>
          <w:rFonts w:hint="eastAsia" w:ascii="宋体" w:hAnsi="宋体"/>
        </w:rPr>
        <w:t>号）列明的政府采购强制产品，则所投该产品符合节能产品的认证要求。若所投产品包括数据中心相关设备的，应满足</w:t>
      </w:r>
      <w:r>
        <w:rPr>
          <w:rFonts w:hint="eastAsia"/>
        </w:rPr>
        <w:t>《财政部 生态环境部 工业和信息化部关于印发&lt;绿色数据中心政府采购需求标准（试行）&gt;的通知》（财库〔2023〕7号）要求。若所投产品涉及国家强制性标准的，所投产品应符合国家强制性标准相关要求。</w:t>
      </w:r>
    </w:p>
    <w:p w14:paraId="1B0F8706">
      <w:pPr>
        <w:ind w:firstLine="420" w:firstLineChars="200"/>
        <w:rPr>
          <w:rFonts w:ascii="宋体" w:hAnsi="宋体"/>
          <w:bCs/>
        </w:rPr>
      </w:pPr>
      <w:r>
        <w:rPr>
          <w:rFonts w:hint="eastAsia" w:ascii="宋体" w:hAnsi="宋体" w:cs="宋体"/>
          <w:bCs/>
          <w:kern w:val="0"/>
          <w:szCs w:val="21"/>
        </w:rPr>
        <w:t>12.</w:t>
      </w:r>
      <w:r>
        <w:rPr>
          <w:rFonts w:hint="eastAsia" w:ascii="宋体" w:hAnsi="宋体"/>
          <w:bCs/>
        </w:rPr>
        <w:t>我单位已知悉并同意中标（成交）结果信息公示（公开）的内容。</w:t>
      </w:r>
    </w:p>
    <w:p w14:paraId="5584DCEC">
      <w:pPr>
        <w:ind w:firstLine="420" w:firstLineChars="200"/>
        <w:rPr>
          <w:rFonts w:ascii="宋体" w:hAnsi="宋体" w:cs="宋体"/>
          <w:b/>
          <w:color w:val="FF0000"/>
          <w:kern w:val="0"/>
          <w:szCs w:val="21"/>
        </w:rPr>
      </w:pPr>
      <w:r>
        <w:rPr>
          <w:rFonts w:hint="eastAsia" w:ascii="宋体" w:hAnsi="宋体"/>
          <w:bCs/>
        </w:rPr>
        <w:t>13</w:t>
      </w:r>
      <w:r>
        <w:rPr>
          <w:rFonts w:ascii="宋体" w:hAnsi="宋体"/>
          <w:bCs/>
        </w:rPr>
        <w:t>.我单位保证，符合《中华人民共和国政府采购法实施条例》第十八条规定，与其他投标供应商不存在单位负责人为同一人或者存在直接控股、管理关系；</w:t>
      </w:r>
      <w:r>
        <w:rPr>
          <w:rFonts w:hint="eastAsia" w:ascii="宋体" w:hAnsi="宋体"/>
          <w:bCs/>
        </w:rPr>
        <w:t>不存在为</w:t>
      </w:r>
      <w:r>
        <w:rPr>
          <w:rFonts w:ascii="宋体" w:hAnsi="宋体"/>
          <w:bCs/>
        </w:rPr>
        <w:t>本次采购项目提供整体设计、规范编制或者项目管理、监理、检测等服务的情形。</w:t>
      </w:r>
      <w:r>
        <w:rPr>
          <w:rFonts w:hint="eastAsia" w:ascii="宋体" w:hAnsi="宋体"/>
          <w:bCs/>
        </w:rPr>
        <w:t>若存在“不同供应商的董事、股东或其他高级管理人员为同一人的”情形的，我单位保证不存在串通投标、恶意串通或者视为串通投标的情形。</w:t>
      </w:r>
    </w:p>
    <w:p w14:paraId="3E5A4D13">
      <w:pPr>
        <w:ind w:firstLine="422" w:firstLineChars="200"/>
        <w:rPr>
          <w:rFonts w:ascii="宋体" w:hAnsi="宋体"/>
          <w:b/>
          <w:szCs w:val="21"/>
        </w:rPr>
      </w:pPr>
      <w:r>
        <w:rPr>
          <w:rFonts w:hint="eastAsia" w:ascii="宋体" w:hAnsi="宋体"/>
          <w:b/>
        </w:rPr>
        <w:t>14.我单位清楚，如存在违反投标承诺行为情节严重的，将根据《深圳市财政局关于印发&lt;深圳市财政局政府采购供应商信用信息管理办法&gt;的通知》，依法被列入失信信息。</w:t>
      </w:r>
    </w:p>
    <w:p w14:paraId="0068CC77">
      <w:pPr>
        <w:ind w:firstLine="420" w:firstLineChars="200"/>
        <w:rPr>
          <w:rFonts w:ascii="宋体" w:hAnsi="宋体"/>
        </w:rPr>
      </w:pPr>
    </w:p>
    <w:p w14:paraId="5E4F5B54">
      <w:pPr>
        <w:ind w:firstLine="420" w:firstLineChars="200"/>
        <w:rPr>
          <w:rFonts w:ascii="宋体" w:hAnsi="宋体"/>
          <w:szCs w:val="21"/>
        </w:rPr>
      </w:pPr>
      <w:r>
        <w:rPr>
          <w:rFonts w:hint="eastAsia" w:ascii="宋体" w:hAnsi="宋体"/>
          <w:szCs w:val="21"/>
        </w:rPr>
        <w:t>以上承诺，如有违反，愿依照国家相关法律法规处理，并承担由此给采购人带来的损失。</w:t>
      </w:r>
    </w:p>
    <w:p w14:paraId="1A77EE39">
      <w:pPr>
        <w:spacing w:before="60" w:beforeLines="25" w:after="60" w:afterLines="25"/>
        <w:ind w:firstLine="5460" w:firstLineChars="2600"/>
        <w:rPr>
          <w:rFonts w:ascii="宋体" w:hAnsi="宋体"/>
          <w:szCs w:val="21"/>
        </w:rPr>
      </w:pPr>
      <w:r>
        <w:rPr>
          <w:rFonts w:hint="eastAsia" w:ascii="宋体" w:hAnsi="宋体"/>
          <w:szCs w:val="21"/>
        </w:rPr>
        <w:t xml:space="preserve">                                    </w:t>
      </w:r>
    </w:p>
    <w:bookmarkEnd w:id="58"/>
    <w:p w14:paraId="53392261">
      <w:pPr>
        <w:spacing w:before="60" w:beforeLines="25" w:after="60" w:afterLines="25"/>
        <w:ind w:firstLine="5460" w:firstLineChars="2600"/>
        <w:rPr>
          <w:color w:val="FF0000"/>
        </w:rPr>
      </w:pPr>
      <w:r>
        <w:rPr>
          <w:rFonts w:hint="eastAsia"/>
          <w:color w:val="FF0000"/>
          <w:szCs w:val="21"/>
        </w:rPr>
        <w:t>投标人：</w:t>
      </w:r>
      <w:r>
        <w:rPr>
          <w:rFonts w:hint="eastAsia"/>
          <w:color w:val="FF0000"/>
          <w:szCs w:val="21"/>
          <w:u w:val="thick"/>
        </w:rPr>
        <w:t xml:space="preserve">                           </w:t>
      </w:r>
      <w:r>
        <w:rPr>
          <w:rFonts w:hint="eastAsia"/>
          <w:color w:val="FF0000"/>
          <w:szCs w:val="21"/>
        </w:rPr>
        <w:t>.</w:t>
      </w:r>
    </w:p>
    <w:p w14:paraId="2F9E9E94">
      <w:pPr>
        <w:ind w:firstLine="645"/>
        <w:rPr>
          <w:rFonts w:ascii="宋体" w:hAnsi="宋体"/>
          <w:color w:val="FF0000"/>
          <w:szCs w:val="21"/>
        </w:rPr>
      </w:pPr>
      <w:r>
        <w:rPr>
          <w:rFonts w:hint="eastAsia" w:ascii="宋体" w:hAnsi="宋体"/>
          <w:color w:val="FF0000"/>
          <w:szCs w:val="21"/>
        </w:rPr>
        <w:t xml:space="preserve">                                              日期：</w:t>
      </w:r>
      <w:r>
        <w:rPr>
          <w:rFonts w:hint="eastAsia"/>
          <w:color w:val="FF0000"/>
          <w:szCs w:val="21"/>
          <w:u w:val="thick"/>
        </w:rPr>
        <w:t xml:space="preserve">        </w:t>
      </w:r>
      <w:r>
        <w:rPr>
          <w:rFonts w:hint="eastAsia" w:ascii="宋体" w:hAnsi="宋体"/>
          <w:color w:val="FF0000"/>
          <w:szCs w:val="21"/>
        </w:rPr>
        <w:t>年</w:t>
      </w:r>
      <w:r>
        <w:rPr>
          <w:rFonts w:hint="eastAsia"/>
          <w:color w:val="FF0000"/>
          <w:szCs w:val="21"/>
          <w:u w:val="thick"/>
        </w:rPr>
        <w:t xml:space="preserve">       </w:t>
      </w:r>
      <w:r>
        <w:rPr>
          <w:rFonts w:hint="eastAsia" w:ascii="宋体" w:hAnsi="宋体"/>
          <w:color w:val="FF0000"/>
          <w:szCs w:val="21"/>
        </w:rPr>
        <w:t>月</w:t>
      </w:r>
      <w:r>
        <w:rPr>
          <w:rFonts w:hint="eastAsia"/>
          <w:color w:val="FF0000"/>
          <w:szCs w:val="21"/>
          <w:u w:val="thick"/>
        </w:rPr>
        <w:t xml:space="preserve">       </w:t>
      </w:r>
      <w:r>
        <w:rPr>
          <w:rFonts w:hint="eastAsia" w:ascii="宋体" w:hAnsi="宋体"/>
          <w:color w:val="FF0000"/>
          <w:szCs w:val="21"/>
        </w:rPr>
        <w:t>日</w:t>
      </w:r>
    </w:p>
    <w:p w14:paraId="226EA41C">
      <w:pPr>
        <w:ind w:firstLine="645"/>
        <w:rPr>
          <w:rFonts w:ascii="宋体" w:hAnsi="宋体"/>
          <w:szCs w:val="21"/>
        </w:rPr>
      </w:pPr>
    </w:p>
    <w:p w14:paraId="036FAA77">
      <w:pPr>
        <w:rPr>
          <w:rFonts w:ascii="宋体"/>
          <w:b/>
          <w:szCs w:val="21"/>
        </w:rPr>
      </w:pPr>
    </w:p>
    <w:p w14:paraId="333C91CB">
      <w:pPr>
        <w:ind w:firstLine="482" w:firstLineChars="200"/>
        <w:jc w:val="center"/>
        <w:rPr>
          <w:rFonts w:hAnsi="宋体"/>
          <w:b/>
          <w:bCs/>
          <w:sz w:val="24"/>
        </w:rPr>
      </w:pPr>
    </w:p>
    <w:p w14:paraId="2C370E00">
      <w:pPr>
        <w:pStyle w:val="4"/>
        <w:jc w:val="center"/>
        <w:rPr>
          <w:rFonts w:ascii="黑体" w:eastAsia="黑体"/>
          <w:b w:val="0"/>
          <w:sz w:val="24"/>
          <w:szCs w:val="24"/>
        </w:rPr>
      </w:pPr>
      <w:r>
        <w:rPr>
          <w:rFonts w:hint="eastAsia" w:ascii="黑体" w:eastAsia="黑体"/>
          <w:b w:val="0"/>
          <w:sz w:val="24"/>
          <w:szCs w:val="24"/>
        </w:rPr>
        <w:t>三、投标人情况及资格证明文件</w:t>
      </w:r>
    </w:p>
    <w:p w14:paraId="6A4A8D00">
      <w:pPr>
        <w:rPr>
          <w:b/>
          <w:bCs/>
          <w:sz w:val="24"/>
        </w:rPr>
      </w:pPr>
    </w:p>
    <w:p w14:paraId="473C3577">
      <w:pPr>
        <w:ind w:firstLine="2640" w:firstLineChars="1100"/>
        <w:outlineLvl w:val="3"/>
        <w:rPr>
          <w:rFonts w:ascii="黑体" w:hAnsi="宋体" w:eastAsia="黑体"/>
          <w:bCs/>
          <w:kern w:val="0"/>
          <w:sz w:val="24"/>
          <w:szCs w:val="32"/>
        </w:rPr>
      </w:pPr>
      <w:bookmarkStart w:id="61" w:name="_Hlk72257590"/>
      <w:r>
        <w:rPr>
          <w:rFonts w:hint="eastAsia" w:ascii="黑体" w:hAnsi="宋体" w:eastAsia="黑体"/>
          <w:bCs/>
          <w:kern w:val="0"/>
          <w:sz w:val="24"/>
          <w:szCs w:val="32"/>
        </w:rPr>
        <w:t>（一）投标人资格证明文件</w:t>
      </w:r>
    </w:p>
    <w:p w14:paraId="22653867">
      <w:pPr>
        <w:spacing w:before="120" w:beforeLines="50"/>
        <w:ind w:firstLine="422" w:firstLineChars="200"/>
        <w:rPr>
          <w:b/>
          <w:bCs/>
          <w:color w:val="FF0000"/>
        </w:rPr>
      </w:pPr>
      <w:r>
        <w:rPr>
          <w:rFonts w:hint="eastAsia"/>
          <w:b/>
          <w:bCs/>
          <w:color w:val="FF0000"/>
        </w:rPr>
        <w:t>（特别提示：投标人须按本招标文件第一册第一章招标公告“申请人的资格要求”（即投标人资格要求）提供相关的资格证明资料，未提供或提供不完整、不符合要求的，将作投标无效处理，其中要求提供《采购投标及履约承诺函》《供应商基本情况表》且已在规定章节中提供的，此处不重复提供。）</w:t>
      </w:r>
    </w:p>
    <w:p w14:paraId="425BF126">
      <w:pPr>
        <w:rPr>
          <w:b/>
          <w:bCs/>
          <w:sz w:val="24"/>
        </w:rPr>
      </w:pPr>
    </w:p>
    <w:p w14:paraId="603FED00">
      <w:pPr>
        <w:ind w:firstLine="480" w:firstLineChars="200"/>
        <w:outlineLvl w:val="3"/>
        <w:rPr>
          <w:rFonts w:ascii="黑体" w:hAnsi="宋体" w:eastAsia="黑体"/>
          <w:bCs/>
          <w:kern w:val="0"/>
          <w:sz w:val="24"/>
          <w:szCs w:val="32"/>
        </w:rPr>
      </w:pPr>
      <w:bookmarkStart w:id="62" w:name="_Hlk72257908"/>
      <w:r>
        <w:rPr>
          <w:rFonts w:hint="eastAsia" w:ascii="黑体" w:hAnsi="宋体" w:eastAsia="黑体"/>
          <w:bCs/>
          <w:kern w:val="0"/>
          <w:sz w:val="24"/>
          <w:szCs w:val="32"/>
        </w:rPr>
        <w:t>（二）中小企业声明函、残疾人福利性单位声明函及监狱企业声明函</w:t>
      </w:r>
    </w:p>
    <w:bookmarkEnd w:id="61"/>
    <w:p w14:paraId="27CE7135">
      <w:pPr>
        <w:jc w:val="left"/>
        <w:rPr>
          <w:rFonts w:ascii="黑体" w:hAnsi="宋体" w:eastAsia="黑体"/>
          <w:bCs/>
          <w:kern w:val="0"/>
          <w:sz w:val="24"/>
          <w:szCs w:val="32"/>
        </w:rPr>
      </w:pPr>
    </w:p>
    <w:p w14:paraId="4F067BEA">
      <w:pPr>
        <w:ind w:firstLine="420" w:firstLineChars="200"/>
        <w:rPr>
          <w:rFonts w:ascii="黑体" w:hAnsi="宋体" w:eastAsia="黑体"/>
          <w:bCs/>
          <w:color w:val="FF0000"/>
          <w:kern w:val="0"/>
          <w:szCs w:val="21"/>
        </w:rPr>
      </w:pPr>
      <w:r>
        <w:rPr>
          <w:rFonts w:hint="eastAsia" w:ascii="黑体" w:hAnsi="宋体" w:eastAsia="黑体"/>
          <w:bCs/>
          <w:color w:val="FF0000"/>
          <w:kern w:val="0"/>
          <w:szCs w:val="21"/>
        </w:rPr>
        <w:t>填写指引：</w:t>
      </w:r>
    </w:p>
    <w:p w14:paraId="69C63D5C">
      <w:pPr>
        <w:ind w:firstLine="420" w:firstLineChars="200"/>
        <w:rPr>
          <w:rFonts w:ascii="黑体" w:hAnsi="黑体" w:eastAsia="黑体"/>
          <w:color w:val="FF0000"/>
          <w:szCs w:val="21"/>
        </w:rPr>
      </w:pPr>
      <w:r>
        <w:rPr>
          <w:rFonts w:hint="eastAsia" w:ascii="黑体" w:hAnsi="宋体" w:eastAsia="黑体"/>
          <w:bCs/>
          <w:color w:val="FF0000"/>
          <w:kern w:val="0"/>
          <w:szCs w:val="21"/>
        </w:rPr>
        <w:t>1、该部分内容由投标人根据自身实际情况填写，不符合要求的投标人可以不填写或直接删除相应的声明函。</w:t>
      </w:r>
      <w:r>
        <w:rPr>
          <w:rFonts w:hint="eastAsia" w:ascii="黑体" w:hAnsi="黑体" w:eastAsia="黑体"/>
          <w:color w:val="FF0000"/>
          <w:szCs w:val="21"/>
        </w:rPr>
        <w:t>投标人提供的声明函不属实的，属于提供虚假资料谋取中标，依照《中华人民共和国政府采购法》等国家有关规定追究相应责任。</w:t>
      </w:r>
    </w:p>
    <w:p w14:paraId="45FECE2B">
      <w:pPr>
        <w:ind w:firstLine="420" w:firstLineChars="200"/>
        <w:rPr>
          <w:rFonts w:ascii="黑体" w:hAnsi="黑体" w:eastAsia="黑体"/>
          <w:color w:val="FF0000"/>
          <w:szCs w:val="21"/>
        </w:rPr>
      </w:pPr>
      <w:r>
        <w:rPr>
          <w:rFonts w:hint="eastAsia" w:ascii="黑体" w:hAnsi="黑体" w:eastAsia="黑体"/>
          <w:color w:val="FF0000"/>
          <w:szCs w:val="21"/>
        </w:rPr>
        <w:t>2、该部分内容填写需要参考的相关文件：</w:t>
      </w:r>
    </w:p>
    <w:p w14:paraId="5BF8652D">
      <w:pPr>
        <w:ind w:firstLine="420" w:firstLineChars="200"/>
        <w:rPr>
          <w:rFonts w:ascii="黑体" w:hAnsi="黑体" w:eastAsia="黑体"/>
          <w:color w:val="FF0000"/>
          <w:szCs w:val="21"/>
        </w:rPr>
      </w:pPr>
      <w:r>
        <w:rPr>
          <w:rFonts w:hint="eastAsia" w:ascii="黑体" w:hAnsi="黑体" w:eastAsia="黑体"/>
          <w:color w:val="FF0000"/>
          <w:szCs w:val="21"/>
        </w:rPr>
        <w:t>(</w:t>
      </w:r>
      <w:r>
        <w:rPr>
          <w:rFonts w:ascii="黑体" w:hAnsi="黑体" w:eastAsia="黑体"/>
          <w:color w:val="FF0000"/>
          <w:szCs w:val="21"/>
        </w:rPr>
        <w:t>1</w:t>
      </w:r>
      <w:r>
        <w:rPr>
          <w:rFonts w:hint="eastAsia" w:ascii="黑体" w:hAnsi="黑体" w:eastAsia="黑体"/>
          <w:color w:val="FF0000"/>
          <w:szCs w:val="21"/>
        </w:rPr>
        <w:t>)财政部《政府采购促进中小企业发展管理办法》（财库〔2020〕46号）；</w:t>
      </w:r>
    </w:p>
    <w:p w14:paraId="3648D070">
      <w:pPr>
        <w:ind w:firstLine="420" w:firstLineChars="200"/>
        <w:rPr>
          <w:rFonts w:ascii="黑体" w:hAnsi="黑体" w:eastAsia="黑体"/>
          <w:color w:val="FF0000"/>
          <w:szCs w:val="21"/>
        </w:rPr>
      </w:pPr>
      <w:r>
        <w:rPr>
          <w:rFonts w:hint="eastAsia" w:ascii="黑体" w:hAnsi="黑体" w:eastAsia="黑体"/>
          <w:color w:val="FF0000"/>
          <w:szCs w:val="21"/>
        </w:rPr>
        <w:t>(</w:t>
      </w:r>
      <w:r>
        <w:rPr>
          <w:rFonts w:ascii="黑体" w:hAnsi="黑体" w:eastAsia="黑体"/>
          <w:color w:val="FF0000"/>
          <w:szCs w:val="21"/>
        </w:rPr>
        <w:t>2</w:t>
      </w:r>
      <w:r>
        <w:rPr>
          <w:rFonts w:hint="eastAsia" w:ascii="黑体" w:hAnsi="黑体" w:eastAsia="黑体"/>
          <w:color w:val="FF0000"/>
          <w:szCs w:val="21"/>
        </w:rPr>
        <w:t>)《工业和信息化部、国家统计局、国家发展和改革委员会、财政部关于印发中小企业划型标准规定的通知》（工信部联企业〔2011〕300号）；</w:t>
      </w:r>
    </w:p>
    <w:p w14:paraId="522D438E">
      <w:pPr>
        <w:ind w:firstLine="420" w:firstLineChars="200"/>
        <w:rPr>
          <w:rFonts w:ascii="黑体" w:hAnsi="黑体" w:eastAsia="黑体"/>
          <w:color w:val="FF0000"/>
          <w:szCs w:val="21"/>
        </w:rPr>
      </w:pPr>
      <w:r>
        <w:rPr>
          <w:rFonts w:hint="eastAsia" w:ascii="黑体" w:hAnsi="黑体" w:eastAsia="黑体"/>
          <w:color w:val="FF0000"/>
          <w:szCs w:val="21"/>
        </w:rPr>
        <w:t>(3)《统计上大中小微型企业划分办法(2017)》（国统字〔2017〕213号）；</w:t>
      </w:r>
    </w:p>
    <w:p w14:paraId="1CFBA61C">
      <w:pPr>
        <w:ind w:firstLine="420" w:firstLineChars="200"/>
        <w:rPr>
          <w:rFonts w:ascii="黑体" w:hAnsi="黑体" w:eastAsia="黑体"/>
          <w:color w:val="FF0000"/>
          <w:szCs w:val="21"/>
        </w:rPr>
      </w:pPr>
      <w:r>
        <w:rPr>
          <w:rFonts w:hint="eastAsia" w:ascii="黑体" w:hAnsi="黑体" w:eastAsia="黑体"/>
          <w:color w:val="FF0000"/>
          <w:szCs w:val="21"/>
        </w:rPr>
        <w:t>(4)《关于促进残疾人就业政府采购政策的通知》（财库〔2017〕141号）；</w:t>
      </w:r>
    </w:p>
    <w:p w14:paraId="5D6C44D9">
      <w:pPr>
        <w:ind w:firstLine="420" w:firstLineChars="200"/>
        <w:rPr>
          <w:rFonts w:ascii="黑体" w:hAnsi="黑体" w:eastAsia="黑体"/>
          <w:color w:val="FF0000"/>
          <w:szCs w:val="21"/>
        </w:rPr>
      </w:pPr>
      <w:r>
        <w:rPr>
          <w:rFonts w:hint="eastAsia" w:ascii="黑体" w:hAnsi="黑体" w:eastAsia="黑体"/>
          <w:color w:val="FF0000"/>
          <w:szCs w:val="21"/>
        </w:rPr>
        <w:t>(5)《关于政府采购支持监狱企业发展有关问题的通知》（财库〔2014〕68号）</w:t>
      </w:r>
    </w:p>
    <w:p w14:paraId="5B78CE07">
      <w:pPr>
        <w:ind w:firstLine="420" w:firstLineChars="200"/>
        <w:rPr>
          <w:rFonts w:ascii="黑体" w:hAnsi="宋体" w:eastAsia="黑体"/>
          <w:bCs/>
          <w:color w:val="FF0000"/>
          <w:kern w:val="0"/>
          <w:szCs w:val="21"/>
        </w:rPr>
      </w:pPr>
      <w:r>
        <w:rPr>
          <w:rFonts w:hint="eastAsia" w:ascii="黑体" w:hAnsi="宋体" w:eastAsia="黑体"/>
          <w:bCs/>
          <w:color w:val="FF0000"/>
          <w:kern w:val="0"/>
          <w:szCs w:val="21"/>
        </w:rPr>
        <w:t>3、请依照提供的格式和内容填写声明函，不要随意变更格式；声明函不需要盖章或签字；</w:t>
      </w:r>
      <w:r>
        <w:rPr>
          <w:rFonts w:hint="eastAsia" w:ascii="黑体" w:hAnsi="黑体" w:eastAsia="黑体"/>
          <w:color w:val="FF0000"/>
          <w:szCs w:val="21"/>
        </w:rPr>
        <w:t>满足多项优惠政策的投标人，不重复享受多项价格扣除政策。</w:t>
      </w:r>
    </w:p>
    <w:p w14:paraId="682B2E20">
      <w:pPr>
        <w:ind w:firstLine="420" w:firstLineChars="200"/>
        <w:rPr>
          <w:rFonts w:ascii="黑体" w:hAnsi="宋体" w:eastAsia="黑体"/>
          <w:bCs/>
          <w:color w:val="FF0000"/>
          <w:kern w:val="0"/>
          <w:szCs w:val="21"/>
        </w:rPr>
      </w:pPr>
      <w:r>
        <w:rPr>
          <w:rFonts w:hint="eastAsia" w:ascii="黑体" w:hAnsi="宋体" w:eastAsia="黑体"/>
          <w:bCs/>
          <w:color w:val="FF0000"/>
          <w:kern w:val="0"/>
          <w:szCs w:val="21"/>
        </w:rPr>
        <w:t>4、声明函具体填写要求：</w:t>
      </w:r>
    </w:p>
    <w:p w14:paraId="2E5DD3DF">
      <w:pPr>
        <w:ind w:firstLine="420" w:firstLineChars="200"/>
        <w:rPr>
          <w:rFonts w:ascii="黑体" w:hAnsi="宋体" w:eastAsia="黑体"/>
          <w:bCs/>
          <w:color w:val="FF0000"/>
          <w:kern w:val="0"/>
          <w:szCs w:val="21"/>
        </w:rPr>
      </w:pPr>
      <w:r>
        <w:rPr>
          <w:rFonts w:hint="eastAsia" w:ascii="黑体" w:hAnsi="宋体" w:eastAsia="黑体"/>
          <w:bCs/>
          <w:color w:val="FF0000"/>
          <w:kern w:val="0"/>
          <w:szCs w:val="21"/>
        </w:rPr>
        <w:t>（1）声明是中小企业须填写《中小企业声明函》的以下内容：</w:t>
      </w:r>
    </w:p>
    <w:p w14:paraId="0FCE7C9C">
      <w:pPr>
        <w:ind w:firstLine="420" w:firstLineChars="200"/>
        <w:rPr>
          <w:rFonts w:ascii="黑体" w:hAnsi="宋体" w:eastAsia="黑体"/>
          <w:bCs/>
          <w:color w:val="FF0000"/>
          <w:kern w:val="0"/>
          <w:szCs w:val="21"/>
        </w:rPr>
      </w:pPr>
      <w:r>
        <w:rPr>
          <w:rFonts w:hint="eastAsia" w:ascii="黑体" w:hAnsi="宋体" w:eastAsia="黑体"/>
          <w:bCs/>
          <w:color w:val="FF0000"/>
          <w:kern w:val="0"/>
          <w:szCs w:val="21"/>
        </w:rPr>
        <w:t>第一处，在“单位名称”下划线处如实填写采购人名称（深圳公共资源交易中心不是本项目的采购人，而是组织实施机构）；</w:t>
      </w:r>
    </w:p>
    <w:p w14:paraId="519A9D22">
      <w:pPr>
        <w:ind w:firstLine="420" w:firstLineChars="200"/>
        <w:rPr>
          <w:rFonts w:ascii="黑体" w:hAnsi="宋体" w:eastAsia="黑体"/>
          <w:bCs/>
          <w:color w:val="FF0000"/>
          <w:kern w:val="0"/>
          <w:szCs w:val="21"/>
        </w:rPr>
      </w:pPr>
      <w:r>
        <w:rPr>
          <w:rFonts w:hint="eastAsia" w:ascii="黑体" w:hAnsi="宋体" w:eastAsia="黑体"/>
          <w:bCs/>
          <w:color w:val="FF0000"/>
          <w:kern w:val="0"/>
          <w:szCs w:val="21"/>
        </w:rPr>
        <w:t>第二处，在“项目名称”下划线处如实填写采购文件中确定的项目名称。对于分包方式面向中小企业采购的项目，应标明中小企业的具体分包内容；对于以联合体方式面向中小企业采购的项目，应标明联合体中中小企业所承担的具体内容；</w:t>
      </w:r>
    </w:p>
    <w:p w14:paraId="7032692D">
      <w:pPr>
        <w:ind w:firstLine="420" w:firstLineChars="200"/>
        <w:rPr>
          <w:rFonts w:ascii="黑体" w:hAnsi="宋体" w:eastAsia="黑体"/>
          <w:bCs/>
          <w:color w:val="FF0000"/>
          <w:kern w:val="0"/>
          <w:szCs w:val="21"/>
        </w:rPr>
      </w:pPr>
      <w:r>
        <w:rPr>
          <w:rFonts w:hint="eastAsia" w:ascii="黑体" w:hAnsi="宋体" w:eastAsia="黑体"/>
          <w:bCs/>
          <w:color w:val="FF0000"/>
          <w:kern w:val="0"/>
          <w:szCs w:val="21"/>
        </w:rPr>
        <w:t>第三处，在“标的名称”下划线处填写所采购货物（标的）的具体名称（以招标文件第一册第三章用户需求书“货物需求明细”的“货物名称”一栏为准）；如果涉及多项货物（标的）为同一企业制造，“标的名称”下划线处可以如实填写多项货物；对于分包方式面向中小企业采购的项目，“标的名称”应填写采购文件中注明的分包给中小企业的采购标的名称；对于以联合体方式面向中小企业采购的项目“标的名称”应填写采购文件中注明的联合体中中小企业承担的采购标的名称。</w:t>
      </w:r>
    </w:p>
    <w:p w14:paraId="7ECE904B">
      <w:pPr>
        <w:ind w:firstLine="420" w:firstLineChars="200"/>
        <w:rPr>
          <w:rFonts w:ascii="黑体" w:hAnsi="宋体" w:eastAsia="黑体"/>
          <w:bCs/>
          <w:color w:val="FF0000"/>
          <w:kern w:val="0"/>
          <w:szCs w:val="21"/>
        </w:rPr>
      </w:pPr>
      <w:r>
        <w:rPr>
          <w:rFonts w:hint="eastAsia" w:ascii="黑体" w:hAnsi="宋体" w:eastAsia="黑体"/>
          <w:bCs/>
          <w:color w:val="FF0000"/>
          <w:kern w:val="0"/>
          <w:szCs w:val="21"/>
        </w:rPr>
        <w:t>第四处，在“采购文件中明确的所属行业”下划线处填写采购标的对应的中小企业划分标准所属行业（所属行业以招标文件第一册第三章用户需求书“货物清单明细”的“标的所属行业”一栏为准），并应确保与采购标的涉及的货物制造商本身的所属行业保持一致。对于分包方式面向中小企业采购的项目，“采购文件中明确的所属行业”应按照采购文件中注明的分包给中小企业的采购标的所属行业填写，并应确保与该分包部分采购标的涉及的货物制造商本身的所属行业保持一致；对于以联合体方式面向中小企业采购的项目，“采购文件中明确的所属行业”应按照采购文件中注明的联合体中中小企业承担的采购标的所属行业填写，并应确保与该分包部分采购标的涉及的货物制造商本身的所属行业保持一致；</w:t>
      </w:r>
    </w:p>
    <w:p w14:paraId="12B0E14B">
      <w:pPr>
        <w:ind w:firstLine="420" w:firstLineChars="200"/>
        <w:rPr>
          <w:rFonts w:ascii="黑体" w:hAnsi="宋体" w:eastAsia="黑体"/>
          <w:bCs/>
          <w:color w:val="FF0000"/>
          <w:kern w:val="0"/>
          <w:szCs w:val="21"/>
        </w:rPr>
      </w:pPr>
      <w:r>
        <w:rPr>
          <w:rFonts w:hint="eastAsia" w:ascii="黑体" w:hAnsi="宋体" w:eastAsia="黑体"/>
          <w:bCs/>
          <w:color w:val="FF0000"/>
          <w:kern w:val="0"/>
          <w:szCs w:val="21"/>
        </w:rPr>
        <w:t>第五处，在“企业名称”下划线处如实填写</w:t>
      </w:r>
      <w:r>
        <w:rPr>
          <w:rFonts w:hint="eastAsia" w:ascii="黑体" w:hAnsi="宋体" w:eastAsia="黑体"/>
          <w:b/>
          <w:color w:val="FF0000"/>
          <w:kern w:val="0"/>
          <w:szCs w:val="21"/>
        </w:rPr>
        <w:t>货物制造商名称。</w:t>
      </w:r>
      <w:r>
        <w:rPr>
          <w:rFonts w:hint="eastAsia" w:ascii="黑体" w:hAnsi="宋体" w:eastAsia="黑体"/>
          <w:bCs/>
          <w:color w:val="FF0000"/>
          <w:kern w:val="0"/>
          <w:szCs w:val="21"/>
        </w:rPr>
        <w:t>对于分包方式面向中小企业采购的项目，“企业名称”应填写分包部分采购标的对应的货物制造商；对于以联合体方式面向中小企业采购的项目，“企业名称”应填写联合体中中小企业承担采购标的对应的货物制造商；</w:t>
      </w:r>
    </w:p>
    <w:p w14:paraId="3D877063">
      <w:pPr>
        <w:ind w:firstLine="420" w:firstLineChars="200"/>
        <w:rPr>
          <w:rFonts w:ascii="黑体" w:hAnsi="宋体" w:eastAsia="黑体"/>
          <w:bCs/>
          <w:color w:val="FF0000"/>
          <w:kern w:val="0"/>
          <w:szCs w:val="21"/>
        </w:rPr>
      </w:pPr>
      <w:r>
        <w:rPr>
          <w:rFonts w:hint="eastAsia" w:ascii="黑体" w:hAnsi="宋体" w:eastAsia="黑体"/>
          <w:bCs/>
          <w:color w:val="FF0000"/>
          <w:kern w:val="0"/>
          <w:szCs w:val="21"/>
        </w:rPr>
        <w:t>第六、七、八处，在“从业人员”、“营业收入”、“资产总额”下划线处如实填写从业人员、营业收入、资产总额。从业人员、资产总额指标以上年度末数据为依据，营业收入指标以上年度累计数据为依据。无上年度数据的新成立企业可不填报。</w:t>
      </w:r>
    </w:p>
    <w:p w14:paraId="192316DD">
      <w:pPr>
        <w:ind w:firstLine="420" w:firstLineChars="200"/>
        <w:rPr>
          <w:rFonts w:ascii="黑体" w:hAnsi="宋体" w:eastAsia="黑体"/>
          <w:bCs/>
          <w:color w:val="FF0000"/>
          <w:kern w:val="0"/>
          <w:szCs w:val="21"/>
        </w:rPr>
      </w:pPr>
      <w:r>
        <w:rPr>
          <w:rFonts w:hint="eastAsia" w:ascii="黑体" w:hAnsi="宋体" w:eastAsia="黑体"/>
          <w:bCs/>
          <w:color w:val="FF0000"/>
          <w:kern w:val="0"/>
          <w:szCs w:val="21"/>
        </w:rPr>
        <w:t>第九处，在“中型企业、小型企业、微型企业”下划线处应依据企业上年度从业人员、营业收入、资产总额等指标，按照《中小企业划型标准规定》（工信部联企业〔2011〕300号）、《金融业企业划型标准规定》（银发〔2015〕309号），判断《中小企业声明函》载明的货物制造商是否属于采购文件所属行业的中型企业/小型企业/微型企业。</w:t>
      </w:r>
    </w:p>
    <w:p w14:paraId="4D8400D0">
      <w:pPr>
        <w:pStyle w:val="53"/>
        <w:ind w:firstLine="420" w:firstLineChars="200"/>
        <w:rPr>
          <w:rFonts w:ascii="黑体" w:hAnsi="宋体" w:eastAsia="黑体"/>
          <w:bCs/>
          <w:color w:val="FF0000"/>
          <w:kern w:val="0"/>
          <w:szCs w:val="21"/>
        </w:rPr>
      </w:pPr>
      <w:r>
        <w:rPr>
          <w:rFonts w:hint="eastAsia" w:ascii="黑体" w:hAnsi="宋体" w:eastAsia="黑体"/>
          <w:bCs/>
          <w:color w:val="FF0000"/>
          <w:kern w:val="0"/>
          <w:szCs w:val="21"/>
        </w:rPr>
        <w:t>（2）对于已纳入统计部门统计范围的企业，所属行业、从业人员、营业收入、资产总额、规模类型应与统计部门报表保持一致。对于未纳入统计部门统计范围的企业，应对照《国民经济行业分类》确定所属行业，当企业从事两种以上的经济活动时，按照企业从事的主要活动确定所属行业；从业人员、营业收入、资产总额应按照上年度末实际情况填报，并应确保在争议纠纷处理时，可提供相关数据的来源依据。</w:t>
      </w:r>
    </w:p>
    <w:p w14:paraId="028678E6">
      <w:pPr>
        <w:ind w:firstLine="420" w:firstLineChars="200"/>
        <w:rPr>
          <w:rFonts w:ascii="黑体" w:hAnsi="宋体" w:eastAsia="黑体"/>
          <w:bCs/>
          <w:color w:val="FF0000"/>
          <w:kern w:val="0"/>
          <w:szCs w:val="21"/>
        </w:rPr>
      </w:pPr>
      <w:r>
        <w:rPr>
          <w:rFonts w:hint="eastAsia" w:ascii="黑体" w:hAnsi="宋体" w:eastAsia="黑体"/>
          <w:bCs/>
          <w:color w:val="FF0000"/>
          <w:kern w:val="0"/>
          <w:szCs w:val="21"/>
        </w:rPr>
        <w:t>（3）事业单位、社会组织等非企业主体不享受中小企业扶持政策，但事业单位、社会组织等非企业主体提供全部由中小企业制造的货物参加货物采购项目的除外。</w:t>
      </w:r>
    </w:p>
    <w:p w14:paraId="1947DF1B">
      <w:pPr>
        <w:ind w:firstLine="420" w:firstLineChars="200"/>
        <w:rPr>
          <w:rFonts w:ascii="黑体" w:hAnsi="宋体" w:eastAsia="黑体"/>
          <w:bCs/>
          <w:color w:val="FF0000"/>
          <w:kern w:val="0"/>
          <w:szCs w:val="21"/>
        </w:rPr>
      </w:pPr>
      <w:r>
        <w:rPr>
          <w:rFonts w:hint="eastAsia" w:ascii="黑体" w:hAnsi="宋体" w:eastAsia="黑体"/>
          <w:bCs/>
          <w:color w:val="FF0000"/>
          <w:kern w:val="0"/>
          <w:szCs w:val="21"/>
        </w:rPr>
        <w:t>（4）声明是残疾人福利性单位须填写《残疾人福利性单位声明函》的相关内容，具体参照以上《中小企业声明函》填写要求执行。</w:t>
      </w:r>
    </w:p>
    <w:p w14:paraId="114F818A">
      <w:pPr>
        <w:ind w:firstLine="420" w:firstLineChars="200"/>
        <w:rPr>
          <w:rFonts w:ascii="黑体" w:hAnsi="宋体" w:eastAsia="黑体"/>
          <w:bCs/>
          <w:color w:val="FF0000"/>
          <w:kern w:val="0"/>
          <w:szCs w:val="21"/>
        </w:rPr>
      </w:pPr>
      <w:r>
        <w:rPr>
          <w:rFonts w:hint="eastAsia" w:ascii="黑体" w:hAnsi="宋体" w:eastAsia="黑体"/>
          <w:bCs/>
          <w:color w:val="FF0000"/>
          <w:kern w:val="0"/>
          <w:szCs w:val="21"/>
        </w:rPr>
        <w:t>（5）声明是监狱企业须填写《监狱企业声明函》的三项内容（填写位置的字体已加粗），具体参照以上《中小企业声明函》填写要求执行。</w:t>
      </w:r>
    </w:p>
    <w:p w14:paraId="54A42A5C">
      <w:pPr>
        <w:ind w:firstLine="420" w:firstLineChars="200"/>
        <w:rPr>
          <w:rFonts w:ascii="黑体" w:hAnsi="宋体" w:eastAsia="黑体"/>
          <w:bCs/>
          <w:color w:val="FF0000"/>
          <w:kern w:val="0"/>
          <w:szCs w:val="21"/>
        </w:rPr>
      </w:pPr>
      <w:r>
        <w:rPr>
          <w:rFonts w:hint="eastAsia" w:ascii="黑体" w:hAnsi="宋体" w:eastAsia="黑体"/>
          <w:bCs/>
          <w:color w:val="FF0000"/>
          <w:kern w:val="0"/>
          <w:szCs w:val="21"/>
        </w:rPr>
        <w:t>5、若本项目属于专门面向中小企业、残疾人福利性单位或监狱企业，则声明函有效性由采购人或代理机构判定，如判定声明函无效的，相关供应商将作资格审查不通过处理；若本项目非专门面向中小企业、残疾人福利性单位或监狱企业，声明函的有效性由评审委员会判定，如评审委员会判定声明函无效，相关供应商不享受价格扣除（但不作投标无效处理）。</w:t>
      </w:r>
    </w:p>
    <w:p w14:paraId="76DDF8AC">
      <w:pPr>
        <w:pStyle w:val="53"/>
        <w:ind w:firstLine="420" w:firstLineChars="200"/>
        <w:rPr>
          <w:rFonts w:eastAsia="黑体"/>
        </w:rPr>
      </w:pPr>
      <w:r>
        <w:rPr>
          <w:rFonts w:hint="eastAsia" w:ascii="黑体" w:hAnsi="宋体" w:eastAsia="黑体"/>
          <w:bCs/>
          <w:color w:val="FF0000"/>
          <w:kern w:val="0"/>
          <w:szCs w:val="21"/>
        </w:rPr>
        <w:t>6、采购人、代理机构、评审委员会在依法进行资格审查、评审过程中，发现《中小企业声明函》存在明显笔误或含义不明确的，应按规定要求供应商进行澄清、说明或补正。澄清修改后符合中小企业条件的供应商，可以享受中小企业扶持政策。</w:t>
      </w:r>
    </w:p>
    <w:p w14:paraId="2DB12F21">
      <w:pPr>
        <w:ind w:firstLine="420" w:firstLineChars="200"/>
      </w:pPr>
    </w:p>
    <w:p w14:paraId="1B6F2867">
      <w:pPr>
        <w:numPr>
          <w:ilvl w:val="0"/>
          <w:numId w:val="8"/>
        </w:numPr>
        <w:jc w:val="center"/>
        <w:rPr>
          <w:b/>
          <w:sz w:val="24"/>
        </w:rPr>
      </w:pPr>
      <w:r>
        <w:rPr>
          <w:b/>
          <w:sz w:val="24"/>
        </w:rPr>
        <w:t>中小企业声明函（货物）</w:t>
      </w:r>
    </w:p>
    <w:p w14:paraId="7E75F20B">
      <w:pPr>
        <w:pStyle w:val="2"/>
      </w:pPr>
    </w:p>
    <w:p w14:paraId="18D0136F">
      <w:pPr>
        <w:pStyle w:val="36"/>
        <w:ind w:firstLine="420" w:firstLineChars="20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本公司（联合体）郑重声明，根据《政府采购促进中小企业发展管理办法》（财库﹝2020﹞46号）的规定，本公司（联合体）参加</w:t>
      </w:r>
      <w:r>
        <w:rPr>
          <w:rFonts w:hint="eastAsia" w:asciiTheme="minorEastAsia" w:hAnsiTheme="minorEastAsia" w:eastAsiaTheme="minorEastAsia" w:cstheme="minorEastAsia"/>
          <w:b/>
          <w:bCs/>
          <w:i/>
          <w:iCs/>
          <w:sz w:val="21"/>
          <w:szCs w:val="21"/>
          <w:u w:val="single"/>
        </w:rPr>
        <w:t xml:space="preserve">    （单位名称）    </w:t>
      </w:r>
      <w:r>
        <w:rPr>
          <w:rFonts w:hint="eastAsia" w:asciiTheme="minorEastAsia" w:hAnsiTheme="minorEastAsia" w:eastAsiaTheme="minorEastAsia" w:cstheme="minorEastAsia"/>
          <w:sz w:val="21"/>
          <w:szCs w:val="21"/>
        </w:rPr>
        <w:t>的</w:t>
      </w:r>
      <w:r>
        <w:rPr>
          <w:rFonts w:hint="eastAsia" w:asciiTheme="minorEastAsia" w:hAnsiTheme="minorEastAsia" w:eastAsiaTheme="minorEastAsia" w:cstheme="minorEastAsia"/>
          <w:b/>
          <w:bCs/>
          <w:i/>
          <w:iCs/>
          <w:sz w:val="21"/>
          <w:szCs w:val="21"/>
          <w:u w:val="single"/>
        </w:rPr>
        <w:t xml:space="preserve">    （项目名称）    </w:t>
      </w:r>
      <w:r>
        <w:rPr>
          <w:rFonts w:hint="eastAsia" w:asciiTheme="minorEastAsia" w:hAnsiTheme="minorEastAsia" w:eastAsiaTheme="minorEastAsia" w:cstheme="minorEastAsia"/>
          <w:sz w:val="21"/>
          <w:szCs w:val="21"/>
        </w:rPr>
        <w:t>采购活动，提供的货物全部由符合政策要求的中小企业制造。相关企业（含联合体中的中小企业、签订分包意向协议的中小企业）的具体情况如下：</w:t>
      </w:r>
    </w:p>
    <w:p w14:paraId="539743AE">
      <w:pPr>
        <w:pStyle w:val="36"/>
        <w:ind w:firstLine="420" w:firstLineChars="20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r>
        <w:rPr>
          <w:rFonts w:hint="eastAsia" w:asciiTheme="minorEastAsia" w:hAnsiTheme="minorEastAsia" w:eastAsiaTheme="minorEastAsia" w:cstheme="minorEastAsia"/>
          <w:b/>
          <w:bCs/>
          <w:i/>
          <w:iCs/>
          <w:sz w:val="21"/>
          <w:szCs w:val="21"/>
          <w:u w:val="single"/>
        </w:rPr>
        <w:t xml:space="preserve">    （标的名称）     </w:t>
      </w:r>
      <w:r>
        <w:rPr>
          <w:rFonts w:hint="eastAsia" w:asciiTheme="minorEastAsia" w:hAnsiTheme="minorEastAsia" w:eastAsiaTheme="minorEastAsia" w:cstheme="minorEastAsia"/>
          <w:sz w:val="21"/>
          <w:szCs w:val="21"/>
        </w:rPr>
        <w:t>，属于</w:t>
      </w:r>
      <w:r>
        <w:rPr>
          <w:rFonts w:hint="eastAsia" w:asciiTheme="minorEastAsia" w:hAnsiTheme="minorEastAsia" w:eastAsiaTheme="minorEastAsia" w:cstheme="minorEastAsia"/>
          <w:b/>
          <w:bCs/>
          <w:i/>
          <w:iCs/>
          <w:sz w:val="21"/>
          <w:szCs w:val="21"/>
          <w:u w:val="single"/>
        </w:rPr>
        <w:t xml:space="preserve">    （采购文件中明确的所属行业）    </w:t>
      </w:r>
      <w:r>
        <w:rPr>
          <w:rFonts w:hint="eastAsia" w:asciiTheme="minorEastAsia" w:hAnsiTheme="minorEastAsia" w:eastAsiaTheme="minorEastAsia" w:cstheme="minorEastAsia"/>
          <w:sz w:val="21"/>
          <w:szCs w:val="21"/>
        </w:rPr>
        <w:t>行业；制造商为</w:t>
      </w:r>
      <w:r>
        <w:rPr>
          <w:rFonts w:hint="eastAsia" w:asciiTheme="minorEastAsia" w:hAnsiTheme="minorEastAsia" w:eastAsiaTheme="minorEastAsia" w:cstheme="minorEastAsia"/>
          <w:b/>
          <w:bCs/>
          <w:i/>
          <w:iCs/>
          <w:sz w:val="21"/>
          <w:szCs w:val="21"/>
          <w:u w:val="single"/>
        </w:rPr>
        <w:t xml:space="preserve">    （企业名称，要求制造商本身所属行业应当与招标文件要求的行业相一致）    </w:t>
      </w:r>
      <w:r>
        <w:rPr>
          <w:rFonts w:hint="eastAsia" w:asciiTheme="minorEastAsia" w:hAnsiTheme="minorEastAsia" w:eastAsiaTheme="minorEastAsia" w:cstheme="minorEastAsia"/>
          <w:sz w:val="21"/>
          <w:szCs w:val="21"/>
        </w:rPr>
        <w:t>，从业人员</w:t>
      </w:r>
      <w:r>
        <w:rPr>
          <w:rFonts w:hint="eastAsia" w:asciiTheme="minorEastAsia" w:hAnsiTheme="minorEastAsia" w:eastAsiaTheme="minorEastAsia" w:cstheme="minorEastAsia"/>
          <w:b/>
          <w:bCs/>
          <w:i/>
          <w:iCs/>
          <w:sz w:val="21"/>
          <w:szCs w:val="21"/>
          <w:u w:val="single"/>
        </w:rPr>
        <w:t xml:space="preserve">        </w:t>
      </w:r>
      <w:r>
        <w:rPr>
          <w:rFonts w:hint="eastAsia" w:asciiTheme="minorEastAsia" w:hAnsiTheme="minorEastAsia" w:eastAsiaTheme="minorEastAsia" w:cstheme="minorEastAsia"/>
          <w:sz w:val="21"/>
          <w:szCs w:val="21"/>
        </w:rPr>
        <w:t>人，营业收入为</w:t>
      </w:r>
      <w:r>
        <w:rPr>
          <w:rFonts w:hint="eastAsia" w:asciiTheme="minorEastAsia" w:hAnsiTheme="minorEastAsia" w:eastAsiaTheme="minorEastAsia" w:cstheme="minorEastAsia"/>
          <w:b/>
          <w:bCs/>
          <w:i/>
          <w:iCs/>
          <w:sz w:val="21"/>
          <w:szCs w:val="21"/>
          <w:u w:val="single"/>
        </w:rPr>
        <w:t xml:space="preserve">         </w:t>
      </w:r>
      <w:r>
        <w:rPr>
          <w:rFonts w:hint="eastAsia" w:asciiTheme="minorEastAsia" w:hAnsiTheme="minorEastAsia" w:eastAsiaTheme="minorEastAsia" w:cstheme="minorEastAsia"/>
          <w:sz w:val="21"/>
          <w:szCs w:val="21"/>
        </w:rPr>
        <w:t>万元，资产总额为</w:t>
      </w:r>
      <w:r>
        <w:rPr>
          <w:rFonts w:hint="eastAsia" w:asciiTheme="minorEastAsia" w:hAnsiTheme="minorEastAsia" w:eastAsiaTheme="minorEastAsia" w:cstheme="minorEastAsia"/>
          <w:b/>
          <w:bCs/>
          <w:i/>
          <w:iCs/>
          <w:sz w:val="21"/>
          <w:szCs w:val="21"/>
          <w:u w:val="single"/>
        </w:rPr>
        <w:t xml:space="preserve">         </w:t>
      </w:r>
      <w:r>
        <w:rPr>
          <w:rFonts w:hint="eastAsia" w:asciiTheme="minorEastAsia" w:hAnsiTheme="minorEastAsia" w:eastAsiaTheme="minorEastAsia" w:cstheme="minorEastAsia"/>
          <w:sz w:val="21"/>
          <w:szCs w:val="21"/>
        </w:rPr>
        <w:t>万元，属于</w:t>
      </w:r>
      <w:r>
        <w:rPr>
          <w:rFonts w:hint="eastAsia" w:asciiTheme="minorEastAsia" w:hAnsiTheme="minorEastAsia" w:eastAsiaTheme="minorEastAsia" w:cstheme="minorEastAsia"/>
          <w:b/>
          <w:bCs/>
          <w:i/>
          <w:iCs/>
          <w:sz w:val="21"/>
          <w:szCs w:val="21"/>
          <w:u w:val="single"/>
        </w:rPr>
        <w:t xml:space="preserve">    （中型企业、小型企业、微型企业）    </w:t>
      </w:r>
      <w:r>
        <w:rPr>
          <w:rFonts w:hint="eastAsia" w:asciiTheme="minorEastAsia" w:hAnsiTheme="minorEastAsia" w:eastAsiaTheme="minorEastAsia" w:cstheme="minorEastAsia"/>
          <w:sz w:val="21"/>
          <w:szCs w:val="21"/>
        </w:rPr>
        <w:t>；</w:t>
      </w:r>
    </w:p>
    <w:p w14:paraId="786605CE">
      <w:pPr>
        <w:pStyle w:val="36"/>
        <w:ind w:firstLine="420" w:firstLineChars="20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r>
        <w:rPr>
          <w:rFonts w:hint="eastAsia" w:asciiTheme="minorEastAsia" w:hAnsiTheme="minorEastAsia" w:eastAsiaTheme="minorEastAsia" w:cstheme="minorEastAsia"/>
          <w:b/>
          <w:bCs/>
          <w:i/>
          <w:iCs/>
          <w:sz w:val="21"/>
          <w:szCs w:val="21"/>
          <w:u w:val="single"/>
        </w:rPr>
        <w:t xml:space="preserve">    （标的名称）     </w:t>
      </w:r>
      <w:r>
        <w:rPr>
          <w:rFonts w:hint="eastAsia" w:asciiTheme="minorEastAsia" w:hAnsiTheme="minorEastAsia" w:eastAsiaTheme="minorEastAsia" w:cstheme="minorEastAsia"/>
          <w:sz w:val="21"/>
          <w:szCs w:val="21"/>
        </w:rPr>
        <w:t>，属于</w:t>
      </w:r>
      <w:r>
        <w:rPr>
          <w:rFonts w:hint="eastAsia" w:asciiTheme="minorEastAsia" w:hAnsiTheme="minorEastAsia" w:eastAsiaTheme="minorEastAsia" w:cstheme="minorEastAsia"/>
          <w:b/>
          <w:bCs/>
          <w:i/>
          <w:iCs/>
          <w:sz w:val="21"/>
          <w:szCs w:val="21"/>
          <w:u w:val="single"/>
        </w:rPr>
        <w:t xml:space="preserve">    （采购文件中明确的所属行业）    </w:t>
      </w:r>
      <w:r>
        <w:rPr>
          <w:rFonts w:hint="eastAsia" w:asciiTheme="minorEastAsia" w:hAnsiTheme="minorEastAsia" w:eastAsiaTheme="minorEastAsia" w:cstheme="minorEastAsia"/>
          <w:sz w:val="21"/>
          <w:szCs w:val="21"/>
        </w:rPr>
        <w:t>行业；制造商为</w:t>
      </w:r>
      <w:r>
        <w:rPr>
          <w:rFonts w:hint="eastAsia" w:asciiTheme="minorEastAsia" w:hAnsiTheme="minorEastAsia" w:eastAsiaTheme="minorEastAsia" w:cstheme="minorEastAsia"/>
          <w:b/>
          <w:bCs/>
          <w:i/>
          <w:iCs/>
          <w:sz w:val="21"/>
          <w:szCs w:val="21"/>
          <w:u w:val="single"/>
        </w:rPr>
        <w:t xml:space="preserve">    （企业名称，要求制造商本身所属行业应当与招标文件要求的行业相一致）    </w:t>
      </w:r>
      <w:r>
        <w:rPr>
          <w:rFonts w:hint="eastAsia" w:asciiTheme="minorEastAsia" w:hAnsiTheme="minorEastAsia" w:eastAsiaTheme="minorEastAsia" w:cstheme="minorEastAsia"/>
          <w:sz w:val="21"/>
          <w:szCs w:val="21"/>
        </w:rPr>
        <w:t>，从业人员</w:t>
      </w:r>
      <w:r>
        <w:rPr>
          <w:rFonts w:hint="eastAsia" w:asciiTheme="minorEastAsia" w:hAnsiTheme="minorEastAsia" w:eastAsiaTheme="minorEastAsia" w:cstheme="minorEastAsia"/>
          <w:b/>
          <w:bCs/>
          <w:i/>
          <w:iCs/>
          <w:sz w:val="21"/>
          <w:szCs w:val="21"/>
          <w:u w:val="single"/>
        </w:rPr>
        <w:t xml:space="preserve">        </w:t>
      </w:r>
      <w:r>
        <w:rPr>
          <w:rFonts w:hint="eastAsia" w:asciiTheme="minorEastAsia" w:hAnsiTheme="minorEastAsia" w:eastAsiaTheme="minorEastAsia" w:cstheme="minorEastAsia"/>
          <w:sz w:val="21"/>
          <w:szCs w:val="21"/>
        </w:rPr>
        <w:t>人，营业收入为</w:t>
      </w:r>
      <w:r>
        <w:rPr>
          <w:rFonts w:hint="eastAsia" w:asciiTheme="minorEastAsia" w:hAnsiTheme="minorEastAsia" w:eastAsiaTheme="minorEastAsia" w:cstheme="minorEastAsia"/>
          <w:b/>
          <w:bCs/>
          <w:i/>
          <w:iCs/>
          <w:sz w:val="21"/>
          <w:szCs w:val="21"/>
          <w:u w:val="single"/>
        </w:rPr>
        <w:t xml:space="preserve">         </w:t>
      </w:r>
      <w:r>
        <w:rPr>
          <w:rFonts w:hint="eastAsia" w:asciiTheme="minorEastAsia" w:hAnsiTheme="minorEastAsia" w:eastAsiaTheme="minorEastAsia" w:cstheme="minorEastAsia"/>
          <w:sz w:val="21"/>
          <w:szCs w:val="21"/>
        </w:rPr>
        <w:t>万元，资产总额为</w:t>
      </w:r>
      <w:r>
        <w:rPr>
          <w:rFonts w:hint="eastAsia" w:asciiTheme="minorEastAsia" w:hAnsiTheme="minorEastAsia" w:eastAsiaTheme="minorEastAsia" w:cstheme="minorEastAsia"/>
          <w:b/>
          <w:bCs/>
          <w:i/>
          <w:iCs/>
          <w:sz w:val="21"/>
          <w:szCs w:val="21"/>
          <w:u w:val="single"/>
        </w:rPr>
        <w:t xml:space="preserve">         </w:t>
      </w:r>
      <w:r>
        <w:rPr>
          <w:rFonts w:hint="eastAsia" w:asciiTheme="minorEastAsia" w:hAnsiTheme="minorEastAsia" w:eastAsiaTheme="minorEastAsia" w:cstheme="minorEastAsia"/>
          <w:sz w:val="21"/>
          <w:szCs w:val="21"/>
        </w:rPr>
        <w:t>万元，属于</w:t>
      </w:r>
      <w:r>
        <w:rPr>
          <w:rFonts w:hint="eastAsia" w:asciiTheme="minorEastAsia" w:hAnsiTheme="minorEastAsia" w:eastAsiaTheme="minorEastAsia" w:cstheme="minorEastAsia"/>
          <w:b/>
          <w:bCs/>
          <w:i/>
          <w:iCs/>
          <w:sz w:val="21"/>
          <w:szCs w:val="21"/>
          <w:u w:val="single"/>
        </w:rPr>
        <w:t xml:space="preserve">    （中型企业、小型企业、微型企业）    </w:t>
      </w:r>
      <w:r>
        <w:rPr>
          <w:rFonts w:hint="eastAsia" w:asciiTheme="minorEastAsia" w:hAnsiTheme="minorEastAsia" w:eastAsiaTheme="minorEastAsia" w:cstheme="minorEastAsia"/>
          <w:sz w:val="21"/>
          <w:szCs w:val="21"/>
        </w:rPr>
        <w:t>；</w:t>
      </w:r>
    </w:p>
    <w:p w14:paraId="31D6BDBB">
      <w:pPr>
        <w:pStyle w:val="36"/>
        <w:ind w:firstLine="420" w:firstLineChars="200"/>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p>
    <w:p w14:paraId="23371BCF">
      <w:pPr>
        <w:pStyle w:val="36"/>
        <w:ind w:firstLine="420" w:firstLineChars="200"/>
        <w:rPr>
          <w:rFonts w:asciiTheme="minorEastAsia" w:hAnsiTheme="minorEastAsia" w:eastAsiaTheme="minorEastAsia" w:cstheme="minorEastAsia"/>
          <w:sz w:val="21"/>
          <w:szCs w:val="21"/>
        </w:rPr>
      </w:pPr>
    </w:p>
    <w:p w14:paraId="7AFCC2A0">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以上企业，不属于大企业的分支机构，不存在控股股东为大企业的情形，也不存在与大企业的负责人为同一人的情形。</w:t>
      </w:r>
    </w:p>
    <w:p w14:paraId="1AD11DA2">
      <w:pPr>
        <w:spacing w:line="360" w:lineRule="auto"/>
        <w:ind w:firstLine="420" w:firstLineChars="200"/>
        <w:rPr>
          <w:rFonts w:asciiTheme="minorEastAsia" w:hAnsiTheme="minorEastAsia" w:eastAsiaTheme="minorEastAsia" w:cstheme="minorEastAsia"/>
          <w:szCs w:val="21"/>
        </w:rPr>
      </w:pPr>
      <w:bookmarkStart w:id="63" w:name="_Hlk73562203"/>
      <w:r>
        <w:rPr>
          <w:rFonts w:hint="eastAsia" w:asciiTheme="minorEastAsia" w:hAnsiTheme="minorEastAsia" w:eastAsiaTheme="minorEastAsia" w:cstheme="minorEastAsia"/>
          <w:szCs w:val="21"/>
        </w:rPr>
        <w:t>本投标人对上述声明内容的真实性负责。如有虚假，将依法承担相应责任。</w:t>
      </w:r>
    </w:p>
    <w:p w14:paraId="7FB79CA0">
      <w:pPr>
        <w:spacing w:line="360" w:lineRule="auto"/>
        <w:ind w:firstLine="420" w:firstLineChars="200"/>
        <w:rPr>
          <w:sz w:val="24"/>
        </w:rPr>
      </w:pPr>
      <w:r>
        <w:rPr>
          <w:rFonts w:hint="eastAsia" w:asciiTheme="minorEastAsia" w:hAnsiTheme="minorEastAsia" w:eastAsiaTheme="minorEastAsia" w:cstheme="minorEastAsia"/>
          <w:szCs w:val="21"/>
        </w:rPr>
        <w:t>本投标人已知悉《政府采购促进中小企业发展管理办法》（财库〔2020〕46号）、《中小企业划型标准规定》（工信部联企〔2011〕300号）、《统计上大中小微型企业划分办法（2017）》等规定，承诺提供的声明函内容是真实的，并知悉根据《政府采购促进中小企业发展管理办法》（财库〔2020〕46 号）第二十条规定，投标人按照本办法规定提供声明函内容不实的，属于提供虚假材料谋取中标，依照《政府采购法》等政府采购有关法律法规规定追究相应责任。</w:t>
      </w:r>
      <w:bookmarkEnd w:id="63"/>
    </w:p>
    <w:p w14:paraId="5FA52F3C">
      <w:pPr>
        <w:ind w:firstLine="420" w:firstLineChars="200"/>
        <w:rPr>
          <w:rFonts w:ascii="宋体" w:hAnsi="宋体"/>
          <w:bCs/>
          <w:color w:val="FF0000"/>
          <w:kern w:val="0"/>
          <w:szCs w:val="21"/>
        </w:rPr>
      </w:pPr>
    </w:p>
    <w:p w14:paraId="07AB3500"/>
    <w:p w14:paraId="03F13126">
      <w:pPr>
        <w:ind w:firstLine="420" w:firstLineChars="200"/>
      </w:pPr>
    </w:p>
    <w:p w14:paraId="04B6808B">
      <w:pPr>
        <w:jc w:val="center"/>
        <w:rPr>
          <w:b/>
          <w:sz w:val="24"/>
        </w:rPr>
      </w:pPr>
      <w:r>
        <w:rPr>
          <w:rFonts w:hint="eastAsia"/>
          <w:b/>
          <w:sz w:val="24"/>
        </w:rPr>
        <w:t>2、残疾人福利性单位声明函（货物类）</w:t>
      </w:r>
    </w:p>
    <w:p w14:paraId="075C79FB">
      <w:pPr>
        <w:rPr>
          <w:b/>
          <w:bCs/>
        </w:rPr>
      </w:pPr>
    </w:p>
    <w:p w14:paraId="1904933E">
      <w:pPr>
        <w:spacing w:line="360" w:lineRule="auto"/>
        <w:ind w:firstLine="420" w:firstLineChars="200"/>
        <w:rPr>
          <w:rFonts w:asciiTheme="minorEastAsia" w:hAnsiTheme="minorEastAsia" w:eastAsiaTheme="minorEastAsia" w:cstheme="minorEastAsia"/>
          <w:szCs w:val="21"/>
        </w:rPr>
      </w:pPr>
      <w:bookmarkStart w:id="64" w:name="_Hlk73562331"/>
      <w:bookmarkStart w:id="65" w:name="_Hlk73562245"/>
      <w:r>
        <w:rPr>
          <w:rFonts w:hint="eastAsia" w:asciiTheme="minorEastAsia" w:hAnsiTheme="minorEastAsia" w:eastAsiaTheme="minorEastAsia" w:cstheme="minorEastAsia"/>
          <w:szCs w:val="21"/>
        </w:rPr>
        <w:t>本单位郑重声明，根据《财政部 民政部 中国残疾人联合会关于促进残疾人就业政府采购政策的通知》（财库〔2017〕141号）的规定，本单位为符合条件的残疾人福利性单位，且本单位参加</w:t>
      </w:r>
      <w:r>
        <w:rPr>
          <w:rFonts w:hint="eastAsia" w:asciiTheme="minorEastAsia" w:hAnsiTheme="minorEastAsia" w:eastAsiaTheme="minorEastAsia" w:cstheme="minorEastAsia"/>
          <w:b/>
          <w:bCs/>
          <w:i/>
          <w:iCs/>
          <w:szCs w:val="21"/>
          <w:u w:val="single"/>
        </w:rPr>
        <w:t xml:space="preserve">    （单位名称）    </w:t>
      </w:r>
      <w:r>
        <w:rPr>
          <w:rFonts w:hint="eastAsia" w:asciiTheme="minorEastAsia" w:hAnsiTheme="minorEastAsia" w:eastAsiaTheme="minorEastAsia" w:cstheme="minorEastAsia"/>
          <w:szCs w:val="21"/>
        </w:rPr>
        <w:t>单位的</w:t>
      </w:r>
      <w:r>
        <w:rPr>
          <w:rFonts w:hint="eastAsia" w:asciiTheme="minorEastAsia" w:hAnsiTheme="minorEastAsia" w:eastAsiaTheme="minorEastAsia" w:cstheme="minorEastAsia"/>
          <w:b/>
          <w:bCs/>
          <w:i/>
          <w:iCs/>
          <w:szCs w:val="21"/>
          <w:u w:val="single"/>
        </w:rPr>
        <w:t xml:space="preserve">    （项目名称）    </w:t>
      </w:r>
      <w:r>
        <w:rPr>
          <w:rFonts w:hint="eastAsia" w:asciiTheme="minorEastAsia" w:hAnsiTheme="minorEastAsia" w:eastAsiaTheme="minorEastAsia" w:cstheme="minorEastAsia"/>
          <w:szCs w:val="21"/>
        </w:rPr>
        <w:t>项目采购活动提供本单位制造的货物（由本单位承担工程/提供服务），或者提供其他残疾人福利性单位制造的货物（不包括使用非残疾人福利性单位注册商标的货物）。</w:t>
      </w:r>
    </w:p>
    <w:p w14:paraId="0992C160">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本单位对上述声明的真实性负责。如有虚假，将依法承担相应责任。</w:t>
      </w:r>
    </w:p>
    <w:p w14:paraId="1E409964">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本投标人已知悉《财政部民政部中国残疾人联合会关于促进残疾人就业政府采购政策的通知》（财库〔2017〕141号）的规定，承诺提供的声明函内容是真实的，如提供声明函内容不实，则依法追究相关法律责任。</w:t>
      </w:r>
      <w:bookmarkEnd w:id="64"/>
    </w:p>
    <w:bookmarkEnd w:id="65"/>
    <w:p w14:paraId="4F717E1E">
      <w:pPr>
        <w:ind w:firstLine="420" w:firstLineChars="200"/>
        <w:rPr>
          <w:rFonts w:ascii="宋体" w:hAnsi="宋体"/>
          <w:szCs w:val="21"/>
        </w:rPr>
      </w:pPr>
    </w:p>
    <w:p w14:paraId="040B7576">
      <w:pPr>
        <w:ind w:firstLine="420" w:firstLineChars="200"/>
        <w:rPr>
          <w:rFonts w:ascii="宋体" w:hAnsi="宋体"/>
          <w:szCs w:val="21"/>
        </w:rPr>
      </w:pPr>
    </w:p>
    <w:p w14:paraId="627422E7">
      <w:pPr>
        <w:jc w:val="center"/>
        <w:rPr>
          <w:b/>
          <w:sz w:val="24"/>
        </w:rPr>
      </w:pPr>
      <w:r>
        <w:rPr>
          <w:rFonts w:hint="eastAsia"/>
          <w:b/>
          <w:sz w:val="24"/>
        </w:rPr>
        <w:t>3、监狱企业声明函【货物类，提供监狱企业货物的供应商如需享受优惠政策，还须另行提供省级以上监狱管理局、戒毒管理局（含新疆生产建设兵团）出具的监狱企业证明文件】</w:t>
      </w:r>
    </w:p>
    <w:p w14:paraId="60CB0388">
      <w:pPr>
        <w:spacing w:line="360" w:lineRule="auto"/>
        <w:ind w:firstLine="420" w:firstLineChars="200"/>
        <w:rPr>
          <w:rFonts w:ascii="宋体" w:hAnsi="宋体"/>
          <w:szCs w:val="21"/>
        </w:rPr>
      </w:pPr>
      <w:r>
        <w:rPr>
          <w:rFonts w:hint="eastAsia" w:ascii="宋体" w:hAnsi="宋体"/>
          <w:szCs w:val="21"/>
        </w:rPr>
        <w:t>本投标人郑重声明，根据《财政部司法部关于政府采购支持监狱企业发展有关问题的通知》（财库〔</w:t>
      </w:r>
      <w:r>
        <w:rPr>
          <w:rFonts w:ascii="宋体" w:hAnsi="宋体"/>
          <w:szCs w:val="21"/>
        </w:rPr>
        <w:t>2014</w:t>
      </w:r>
      <w:r>
        <w:rPr>
          <w:rFonts w:hint="eastAsia" w:ascii="宋体" w:hAnsi="宋体"/>
          <w:szCs w:val="21"/>
        </w:rPr>
        <w:t>〕</w:t>
      </w:r>
      <w:r>
        <w:rPr>
          <w:rFonts w:ascii="宋体" w:hAnsi="宋体"/>
          <w:szCs w:val="21"/>
        </w:rPr>
        <w:t>68</w:t>
      </w:r>
      <w:r>
        <w:rPr>
          <w:rFonts w:hint="eastAsia" w:ascii="宋体" w:hAnsi="宋体"/>
          <w:szCs w:val="21"/>
        </w:rPr>
        <w:t>号）的规定，本投标人</w:t>
      </w:r>
      <w:r>
        <w:rPr>
          <w:rFonts w:ascii="宋体" w:hAnsi="宋体" w:cstheme="minorBidi"/>
          <w:szCs w:val="21"/>
        </w:rPr>
        <w:t>参加</w:t>
      </w:r>
      <w:r>
        <w:rPr>
          <w:rFonts w:ascii="宋体" w:hAnsi="宋体"/>
          <w:b/>
          <w:bCs/>
          <w:i/>
          <w:iCs/>
          <w:szCs w:val="21"/>
          <w:u w:val="single"/>
        </w:rPr>
        <w:t>（</w:t>
      </w:r>
      <w:r>
        <w:rPr>
          <w:rFonts w:hint="eastAsia" w:ascii="宋体" w:hAnsi="宋体"/>
          <w:b/>
          <w:bCs/>
          <w:i/>
          <w:iCs/>
          <w:szCs w:val="21"/>
          <w:u w:val="single"/>
        </w:rPr>
        <w:t>采购人</w:t>
      </w:r>
      <w:r>
        <w:rPr>
          <w:rFonts w:ascii="宋体" w:hAnsi="宋体"/>
          <w:b/>
          <w:bCs/>
          <w:i/>
          <w:iCs/>
          <w:szCs w:val="21"/>
          <w:u w:val="single"/>
        </w:rPr>
        <w:t>名称）</w:t>
      </w:r>
      <w:r>
        <w:rPr>
          <w:rFonts w:ascii="宋体" w:hAnsi="宋体"/>
          <w:szCs w:val="21"/>
        </w:rPr>
        <w:t>的</w:t>
      </w:r>
      <w:r>
        <w:rPr>
          <w:rFonts w:ascii="宋体" w:hAnsi="宋体"/>
          <w:b/>
          <w:bCs/>
          <w:i/>
          <w:iCs/>
          <w:szCs w:val="21"/>
          <w:u w:val="single"/>
        </w:rPr>
        <w:t>（项目名称）</w:t>
      </w:r>
      <w:r>
        <w:rPr>
          <w:rFonts w:ascii="宋体" w:hAnsi="宋体"/>
          <w:szCs w:val="21"/>
        </w:rPr>
        <w:t>采购活动，提供的货物全部由符合政策要求的</w:t>
      </w:r>
      <w:r>
        <w:rPr>
          <w:rFonts w:hint="eastAsia" w:ascii="宋体" w:hAnsi="宋体"/>
          <w:szCs w:val="21"/>
        </w:rPr>
        <w:t>监狱企业</w:t>
      </w:r>
      <w:r>
        <w:rPr>
          <w:rFonts w:ascii="宋体" w:hAnsi="宋体"/>
          <w:szCs w:val="21"/>
        </w:rPr>
        <w:t>制造。相关</w:t>
      </w:r>
      <w:r>
        <w:rPr>
          <w:rFonts w:hint="eastAsia" w:ascii="宋体" w:hAnsi="宋体"/>
          <w:szCs w:val="21"/>
        </w:rPr>
        <w:t>监狱企业</w:t>
      </w:r>
      <w:r>
        <w:rPr>
          <w:rFonts w:ascii="宋体" w:hAnsi="宋体"/>
          <w:szCs w:val="21"/>
        </w:rPr>
        <w:t>的具体情况如下：</w:t>
      </w:r>
    </w:p>
    <w:p w14:paraId="077124D0">
      <w:pPr>
        <w:spacing w:line="360" w:lineRule="auto"/>
        <w:ind w:firstLine="420" w:firstLineChars="200"/>
        <w:rPr>
          <w:rFonts w:ascii="宋体" w:hAnsi="宋体"/>
          <w:szCs w:val="21"/>
        </w:rPr>
      </w:pPr>
      <w:r>
        <w:rPr>
          <w:rFonts w:ascii="宋体" w:hAnsi="宋体"/>
          <w:szCs w:val="21"/>
        </w:rPr>
        <w:t>1.</w:t>
      </w:r>
      <w:r>
        <w:rPr>
          <w:rFonts w:ascii="宋体" w:hAnsi="宋体"/>
          <w:b/>
          <w:bCs/>
          <w:i/>
          <w:iCs/>
          <w:szCs w:val="21"/>
          <w:u w:val="single"/>
        </w:rPr>
        <w:t xml:space="preserve"> </w:t>
      </w:r>
      <w:r>
        <w:rPr>
          <w:rFonts w:hint="eastAsia" w:ascii="宋体" w:hAnsi="宋体"/>
          <w:b/>
          <w:bCs/>
          <w:i/>
          <w:iCs/>
          <w:szCs w:val="21"/>
          <w:u w:val="single"/>
        </w:rPr>
        <w:t xml:space="preserve">   </w:t>
      </w:r>
      <w:r>
        <w:rPr>
          <w:rFonts w:ascii="宋体" w:hAnsi="宋体"/>
          <w:b/>
          <w:bCs/>
          <w:i/>
          <w:iCs/>
          <w:szCs w:val="21"/>
          <w:u w:val="single"/>
        </w:rPr>
        <w:t>（标的名称）</w:t>
      </w:r>
      <w:r>
        <w:rPr>
          <w:rFonts w:hint="eastAsia" w:ascii="宋体" w:hAnsi="宋体"/>
          <w:b/>
          <w:bCs/>
          <w:i/>
          <w:iCs/>
          <w:szCs w:val="21"/>
          <w:u w:val="single"/>
        </w:rPr>
        <w:t xml:space="preserve">    </w:t>
      </w:r>
      <w:r>
        <w:rPr>
          <w:rFonts w:hint="eastAsia" w:ascii="宋体" w:hAnsi="宋体"/>
          <w:szCs w:val="21"/>
        </w:rPr>
        <w:t>，</w:t>
      </w:r>
      <w:r>
        <w:rPr>
          <w:rFonts w:ascii="宋体" w:hAnsi="宋体"/>
          <w:szCs w:val="21"/>
        </w:rPr>
        <w:t>制造商为</w:t>
      </w:r>
      <w:r>
        <w:rPr>
          <w:rFonts w:hint="eastAsia" w:ascii="宋体" w:hAnsi="宋体"/>
          <w:szCs w:val="21"/>
          <w:u w:val="single"/>
        </w:rPr>
        <w:t xml:space="preserve">    </w:t>
      </w:r>
      <w:r>
        <w:rPr>
          <w:rFonts w:ascii="宋体" w:hAnsi="宋体"/>
          <w:b/>
          <w:bCs/>
          <w:i/>
          <w:iCs/>
          <w:szCs w:val="21"/>
          <w:u w:val="single"/>
        </w:rPr>
        <w:t>（</w:t>
      </w:r>
      <w:r>
        <w:rPr>
          <w:rFonts w:hint="eastAsia" w:ascii="宋体" w:hAnsi="宋体"/>
          <w:b/>
          <w:bCs/>
          <w:i/>
          <w:iCs/>
          <w:szCs w:val="21"/>
          <w:u w:val="single"/>
        </w:rPr>
        <w:t>企业</w:t>
      </w:r>
      <w:r>
        <w:rPr>
          <w:rFonts w:ascii="宋体" w:hAnsi="宋体"/>
          <w:b/>
          <w:bCs/>
          <w:i/>
          <w:iCs/>
          <w:szCs w:val="21"/>
          <w:u w:val="single"/>
        </w:rPr>
        <w:t>名称）</w:t>
      </w:r>
      <w:r>
        <w:rPr>
          <w:rFonts w:hint="eastAsia" w:ascii="宋体" w:hAnsi="宋体"/>
          <w:b/>
          <w:bCs/>
          <w:i/>
          <w:iCs/>
          <w:szCs w:val="21"/>
          <w:u w:val="single"/>
        </w:rPr>
        <w:t xml:space="preserve">    </w:t>
      </w:r>
      <w:r>
        <w:rPr>
          <w:rFonts w:ascii="宋体" w:hAnsi="宋体"/>
          <w:szCs w:val="21"/>
        </w:rPr>
        <w:t>，属于</w:t>
      </w:r>
      <w:r>
        <w:rPr>
          <w:rFonts w:hint="eastAsia" w:ascii="宋体" w:hAnsi="宋体"/>
          <w:szCs w:val="21"/>
          <w:u w:val="single"/>
        </w:rPr>
        <w:t xml:space="preserve">  </w:t>
      </w:r>
      <w:r>
        <w:rPr>
          <w:rFonts w:hint="eastAsia" w:ascii="宋体" w:hAnsi="宋体"/>
          <w:b/>
          <w:bCs/>
          <w:szCs w:val="21"/>
          <w:u w:val="single"/>
        </w:rPr>
        <w:t xml:space="preserve">监狱企业  </w:t>
      </w:r>
      <w:r>
        <w:rPr>
          <w:rFonts w:ascii="宋体" w:hAnsi="宋体"/>
          <w:szCs w:val="21"/>
        </w:rPr>
        <w:t>；</w:t>
      </w:r>
    </w:p>
    <w:p w14:paraId="02714016">
      <w:pPr>
        <w:spacing w:line="360" w:lineRule="auto"/>
        <w:ind w:firstLine="420" w:firstLineChars="200"/>
        <w:rPr>
          <w:rFonts w:ascii="宋体" w:hAnsi="宋体"/>
          <w:szCs w:val="21"/>
        </w:rPr>
      </w:pPr>
      <w:r>
        <w:rPr>
          <w:rFonts w:ascii="宋体" w:hAnsi="宋体"/>
          <w:szCs w:val="21"/>
        </w:rPr>
        <w:t>2.</w:t>
      </w:r>
      <w:r>
        <w:rPr>
          <w:rFonts w:ascii="宋体" w:hAnsi="宋体"/>
          <w:b/>
          <w:bCs/>
          <w:i/>
          <w:iCs/>
          <w:szCs w:val="21"/>
          <w:u w:val="single"/>
        </w:rPr>
        <w:t xml:space="preserve"> </w:t>
      </w:r>
      <w:r>
        <w:rPr>
          <w:rFonts w:hint="eastAsia" w:ascii="宋体" w:hAnsi="宋体"/>
          <w:b/>
          <w:bCs/>
          <w:i/>
          <w:iCs/>
          <w:szCs w:val="21"/>
          <w:u w:val="single"/>
        </w:rPr>
        <w:t xml:space="preserve">   </w:t>
      </w:r>
      <w:r>
        <w:rPr>
          <w:rFonts w:ascii="宋体" w:hAnsi="宋体"/>
          <w:b/>
          <w:bCs/>
          <w:i/>
          <w:iCs/>
          <w:szCs w:val="21"/>
          <w:u w:val="single"/>
        </w:rPr>
        <w:t>（标的名称）</w:t>
      </w:r>
      <w:r>
        <w:rPr>
          <w:rFonts w:hint="eastAsia" w:ascii="宋体" w:hAnsi="宋体"/>
          <w:b/>
          <w:bCs/>
          <w:i/>
          <w:iCs/>
          <w:szCs w:val="21"/>
          <w:u w:val="single"/>
        </w:rPr>
        <w:t xml:space="preserve">    </w:t>
      </w:r>
      <w:r>
        <w:rPr>
          <w:rFonts w:hint="eastAsia" w:ascii="宋体" w:hAnsi="宋体"/>
          <w:szCs w:val="21"/>
        </w:rPr>
        <w:t>，</w:t>
      </w:r>
      <w:r>
        <w:rPr>
          <w:rFonts w:ascii="宋体" w:hAnsi="宋体"/>
          <w:szCs w:val="21"/>
        </w:rPr>
        <w:t>制造商为</w:t>
      </w:r>
      <w:r>
        <w:rPr>
          <w:rFonts w:hint="eastAsia" w:ascii="宋体" w:hAnsi="宋体"/>
          <w:szCs w:val="21"/>
          <w:u w:val="single"/>
        </w:rPr>
        <w:t xml:space="preserve">    </w:t>
      </w:r>
      <w:r>
        <w:rPr>
          <w:rFonts w:ascii="宋体" w:hAnsi="宋体"/>
          <w:b/>
          <w:bCs/>
          <w:i/>
          <w:iCs/>
          <w:szCs w:val="21"/>
          <w:u w:val="single"/>
        </w:rPr>
        <w:t>（</w:t>
      </w:r>
      <w:r>
        <w:rPr>
          <w:rFonts w:hint="eastAsia" w:ascii="宋体" w:hAnsi="宋体"/>
          <w:b/>
          <w:bCs/>
          <w:i/>
          <w:iCs/>
          <w:szCs w:val="21"/>
          <w:u w:val="single"/>
        </w:rPr>
        <w:t>企业</w:t>
      </w:r>
      <w:r>
        <w:rPr>
          <w:rFonts w:ascii="宋体" w:hAnsi="宋体"/>
          <w:b/>
          <w:bCs/>
          <w:i/>
          <w:iCs/>
          <w:szCs w:val="21"/>
          <w:u w:val="single"/>
        </w:rPr>
        <w:t>名称）</w:t>
      </w:r>
      <w:r>
        <w:rPr>
          <w:rFonts w:hint="eastAsia" w:ascii="宋体" w:hAnsi="宋体"/>
          <w:b/>
          <w:bCs/>
          <w:i/>
          <w:iCs/>
          <w:szCs w:val="21"/>
          <w:u w:val="single"/>
        </w:rPr>
        <w:t xml:space="preserve">    </w:t>
      </w:r>
      <w:r>
        <w:rPr>
          <w:rFonts w:ascii="宋体" w:hAnsi="宋体"/>
          <w:szCs w:val="21"/>
        </w:rPr>
        <w:t>，属于</w:t>
      </w:r>
      <w:r>
        <w:rPr>
          <w:rFonts w:hint="eastAsia" w:ascii="宋体" w:hAnsi="宋体"/>
          <w:szCs w:val="21"/>
          <w:u w:val="single"/>
        </w:rPr>
        <w:t xml:space="preserve">  </w:t>
      </w:r>
      <w:r>
        <w:rPr>
          <w:rFonts w:hint="eastAsia" w:ascii="宋体" w:hAnsi="宋体"/>
          <w:b/>
          <w:bCs/>
          <w:szCs w:val="21"/>
          <w:u w:val="single"/>
        </w:rPr>
        <w:t xml:space="preserve">监狱企业  </w:t>
      </w:r>
      <w:r>
        <w:rPr>
          <w:rFonts w:hint="eastAsia" w:ascii="宋体" w:hAnsi="宋体"/>
          <w:szCs w:val="21"/>
        </w:rPr>
        <w:t>。</w:t>
      </w:r>
    </w:p>
    <w:p w14:paraId="4767E9DC">
      <w:pPr>
        <w:spacing w:line="360" w:lineRule="auto"/>
        <w:ind w:firstLine="420" w:firstLineChars="200"/>
        <w:rPr>
          <w:rFonts w:ascii="宋体" w:hAnsi="宋体"/>
          <w:szCs w:val="21"/>
        </w:rPr>
      </w:pPr>
      <w:r>
        <w:rPr>
          <w:rFonts w:ascii="宋体" w:hAnsi="宋体"/>
          <w:szCs w:val="21"/>
        </w:rPr>
        <w:t xml:space="preserve">…… </w:t>
      </w:r>
    </w:p>
    <w:p w14:paraId="64D7BEC8">
      <w:pPr>
        <w:spacing w:line="360" w:lineRule="auto"/>
        <w:ind w:firstLine="420" w:firstLineChars="200"/>
        <w:rPr>
          <w:rFonts w:ascii="宋体" w:hAnsi="宋体"/>
          <w:szCs w:val="21"/>
        </w:rPr>
      </w:pPr>
      <w:r>
        <w:rPr>
          <w:rFonts w:ascii="宋体" w:hAnsi="宋体" w:cstheme="minorBidi"/>
          <w:szCs w:val="21"/>
        </w:rPr>
        <w:t>本</w:t>
      </w:r>
      <w:r>
        <w:rPr>
          <w:rFonts w:hint="eastAsia" w:ascii="宋体" w:hAnsi="宋体" w:cstheme="minorBidi"/>
          <w:szCs w:val="21"/>
        </w:rPr>
        <w:t>投标人</w:t>
      </w:r>
      <w:r>
        <w:rPr>
          <w:rFonts w:ascii="宋体" w:hAnsi="宋体"/>
          <w:szCs w:val="21"/>
        </w:rPr>
        <w:t>对上述声明内容的真实性负责。如有虚假，将依法承担相应责任。</w:t>
      </w:r>
    </w:p>
    <w:p w14:paraId="17DCCD18">
      <w:pPr>
        <w:spacing w:line="360" w:lineRule="auto"/>
        <w:ind w:firstLine="420" w:firstLineChars="200"/>
        <w:rPr>
          <w:b/>
          <w:bCs/>
          <w:color w:val="FF0000"/>
          <w:szCs w:val="21"/>
        </w:rPr>
      </w:pPr>
      <w:r>
        <w:rPr>
          <w:rFonts w:hint="eastAsia" w:ascii="宋体" w:hAnsi="宋体"/>
          <w:szCs w:val="21"/>
        </w:rPr>
        <w:t>附：省级以上监狱管理局、戒毒管理局（含新疆生产建设兵团）出具的监狱企业证明文件。</w:t>
      </w:r>
      <w:bookmarkEnd w:id="62"/>
    </w:p>
    <w:p w14:paraId="703BA727">
      <w:pPr>
        <w:pStyle w:val="4"/>
        <w:jc w:val="center"/>
        <w:rPr>
          <w:rFonts w:ascii="黑体" w:eastAsia="黑体"/>
          <w:b w:val="0"/>
          <w:sz w:val="24"/>
          <w:szCs w:val="24"/>
        </w:rPr>
      </w:pPr>
      <w:bookmarkStart w:id="66" w:name="_Hlk72259976"/>
      <w:r>
        <w:rPr>
          <w:rFonts w:hint="eastAsia" w:ascii="黑体" w:eastAsia="黑体"/>
          <w:b w:val="0"/>
          <w:sz w:val="24"/>
          <w:szCs w:val="24"/>
        </w:rPr>
        <w:t>四、项目详细报价</w:t>
      </w:r>
    </w:p>
    <w:p w14:paraId="7E5B24BC">
      <w:pPr>
        <w:tabs>
          <w:tab w:val="left" w:pos="720"/>
        </w:tabs>
        <w:ind w:firstLine="3132" w:firstLineChars="1300"/>
        <w:rPr>
          <w:b/>
          <w:sz w:val="24"/>
        </w:rPr>
      </w:pPr>
      <w:r>
        <w:rPr>
          <w:rFonts w:hint="eastAsia"/>
          <w:b/>
          <w:sz w:val="24"/>
        </w:rPr>
        <w:t>（一）分项报价表</w:t>
      </w:r>
    </w:p>
    <w:tbl>
      <w:tblPr>
        <w:tblStyle w:val="43"/>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5"/>
        <w:gridCol w:w="1355"/>
        <w:gridCol w:w="821"/>
        <w:gridCol w:w="821"/>
        <w:gridCol w:w="708"/>
        <w:gridCol w:w="846"/>
        <w:gridCol w:w="528"/>
        <w:gridCol w:w="488"/>
        <w:gridCol w:w="662"/>
        <w:gridCol w:w="650"/>
        <w:gridCol w:w="1162"/>
      </w:tblGrid>
      <w:tr w14:paraId="25F30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 w:type="pct"/>
            <w:vAlign w:val="center"/>
          </w:tcPr>
          <w:p w14:paraId="43F28316">
            <w:pPr>
              <w:jc w:val="center"/>
              <w:rPr>
                <w:bCs/>
                <w:szCs w:val="21"/>
              </w:rPr>
            </w:pPr>
            <w:r>
              <w:rPr>
                <w:rFonts w:hint="eastAsia"/>
                <w:bCs/>
                <w:szCs w:val="21"/>
              </w:rPr>
              <w:t>序号</w:t>
            </w:r>
          </w:p>
        </w:tc>
        <w:tc>
          <w:tcPr>
            <w:tcW w:w="812" w:type="pct"/>
            <w:vAlign w:val="center"/>
          </w:tcPr>
          <w:p w14:paraId="15D268A9">
            <w:pPr>
              <w:jc w:val="center"/>
              <w:rPr>
                <w:bCs/>
                <w:szCs w:val="21"/>
              </w:rPr>
            </w:pPr>
            <w:r>
              <w:rPr>
                <w:rFonts w:hint="eastAsia"/>
                <w:bCs/>
                <w:szCs w:val="21"/>
              </w:rPr>
              <w:t>货物名称</w:t>
            </w:r>
          </w:p>
        </w:tc>
        <w:tc>
          <w:tcPr>
            <w:tcW w:w="499" w:type="pct"/>
            <w:vAlign w:val="center"/>
          </w:tcPr>
          <w:p w14:paraId="734F29BD">
            <w:pPr>
              <w:jc w:val="center"/>
              <w:rPr>
                <w:bCs/>
                <w:szCs w:val="21"/>
              </w:rPr>
            </w:pPr>
            <w:r>
              <w:rPr>
                <w:rFonts w:hint="eastAsia"/>
                <w:szCs w:val="21"/>
              </w:rPr>
              <w:t>品牌</w:t>
            </w:r>
          </w:p>
        </w:tc>
        <w:tc>
          <w:tcPr>
            <w:tcW w:w="499" w:type="pct"/>
            <w:vAlign w:val="center"/>
          </w:tcPr>
          <w:p w14:paraId="240DAA0E">
            <w:pPr>
              <w:jc w:val="center"/>
              <w:rPr>
                <w:bCs/>
                <w:szCs w:val="21"/>
              </w:rPr>
            </w:pPr>
            <w:r>
              <w:rPr>
                <w:rFonts w:hint="eastAsia"/>
                <w:szCs w:val="21"/>
              </w:rPr>
              <w:t>规格/型号</w:t>
            </w:r>
          </w:p>
        </w:tc>
        <w:tc>
          <w:tcPr>
            <w:tcW w:w="433" w:type="pct"/>
            <w:vAlign w:val="center"/>
          </w:tcPr>
          <w:p w14:paraId="4B5FBCAA">
            <w:pPr>
              <w:jc w:val="center"/>
              <w:rPr>
                <w:bCs/>
                <w:szCs w:val="21"/>
              </w:rPr>
            </w:pPr>
            <w:r>
              <w:rPr>
                <w:rFonts w:hint="eastAsia"/>
                <w:b/>
                <w:color w:val="FF0000"/>
                <w:szCs w:val="21"/>
              </w:rPr>
              <w:t>原产地</w:t>
            </w:r>
          </w:p>
        </w:tc>
        <w:tc>
          <w:tcPr>
            <w:tcW w:w="514" w:type="pct"/>
            <w:vAlign w:val="center"/>
          </w:tcPr>
          <w:p w14:paraId="49B2F4DB">
            <w:pPr>
              <w:jc w:val="center"/>
              <w:rPr>
                <w:bCs/>
                <w:szCs w:val="21"/>
              </w:rPr>
            </w:pPr>
            <w:r>
              <w:rPr>
                <w:rFonts w:hint="eastAsia"/>
                <w:szCs w:val="21"/>
              </w:rPr>
              <w:t>制造商名称</w:t>
            </w:r>
          </w:p>
        </w:tc>
        <w:tc>
          <w:tcPr>
            <w:tcW w:w="327" w:type="pct"/>
            <w:vAlign w:val="center"/>
          </w:tcPr>
          <w:p w14:paraId="585CD19D">
            <w:pPr>
              <w:jc w:val="center"/>
              <w:rPr>
                <w:bCs/>
                <w:szCs w:val="21"/>
              </w:rPr>
            </w:pPr>
            <w:r>
              <w:rPr>
                <w:rFonts w:hint="eastAsia"/>
                <w:bCs/>
                <w:szCs w:val="21"/>
              </w:rPr>
              <w:t>数量</w:t>
            </w:r>
          </w:p>
        </w:tc>
        <w:tc>
          <w:tcPr>
            <w:tcW w:w="303" w:type="pct"/>
            <w:vAlign w:val="center"/>
          </w:tcPr>
          <w:p w14:paraId="45475DF9">
            <w:pPr>
              <w:jc w:val="center"/>
              <w:rPr>
                <w:bCs/>
                <w:szCs w:val="21"/>
              </w:rPr>
            </w:pPr>
            <w:r>
              <w:rPr>
                <w:rFonts w:hint="eastAsia"/>
                <w:bCs/>
                <w:szCs w:val="21"/>
              </w:rPr>
              <w:t>单位</w:t>
            </w:r>
          </w:p>
        </w:tc>
        <w:tc>
          <w:tcPr>
            <w:tcW w:w="405" w:type="pct"/>
            <w:vAlign w:val="center"/>
          </w:tcPr>
          <w:p w14:paraId="1AB89C49">
            <w:pPr>
              <w:jc w:val="center"/>
              <w:rPr>
                <w:bCs/>
                <w:szCs w:val="21"/>
              </w:rPr>
            </w:pPr>
            <w:r>
              <w:rPr>
                <w:rFonts w:hint="eastAsia"/>
                <w:szCs w:val="21"/>
              </w:rPr>
              <w:t>单价(元)</w:t>
            </w:r>
          </w:p>
        </w:tc>
        <w:tc>
          <w:tcPr>
            <w:tcW w:w="398" w:type="pct"/>
            <w:vAlign w:val="center"/>
          </w:tcPr>
          <w:p w14:paraId="07733CD9">
            <w:pPr>
              <w:jc w:val="center"/>
              <w:rPr>
                <w:bCs/>
                <w:szCs w:val="21"/>
              </w:rPr>
            </w:pPr>
            <w:r>
              <w:rPr>
                <w:rFonts w:hint="eastAsia"/>
                <w:szCs w:val="21"/>
              </w:rPr>
              <w:t>合价(元)</w:t>
            </w:r>
          </w:p>
        </w:tc>
        <w:tc>
          <w:tcPr>
            <w:tcW w:w="503" w:type="pct"/>
            <w:vAlign w:val="center"/>
          </w:tcPr>
          <w:p w14:paraId="6E5A17B9">
            <w:pPr>
              <w:jc w:val="center"/>
              <w:rPr>
                <w:szCs w:val="21"/>
              </w:rPr>
            </w:pPr>
            <w:r>
              <w:rPr>
                <w:rFonts w:hint="eastAsia"/>
                <w:szCs w:val="21"/>
              </w:rPr>
              <w:t>预算金额（元）</w:t>
            </w:r>
          </w:p>
        </w:tc>
      </w:tr>
      <w:tr w14:paraId="7757D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 w:type="pct"/>
            <w:vAlign w:val="center"/>
          </w:tcPr>
          <w:p w14:paraId="3B45652A">
            <w:pPr>
              <w:jc w:val="center"/>
              <w:rPr>
                <w:bCs/>
                <w:szCs w:val="21"/>
              </w:rPr>
            </w:pPr>
            <w:r>
              <w:rPr>
                <w:rFonts w:hint="eastAsia"/>
                <w:bCs/>
                <w:szCs w:val="21"/>
              </w:rPr>
              <w:t>1</w:t>
            </w:r>
          </w:p>
        </w:tc>
        <w:tc>
          <w:tcPr>
            <w:tcW w:w="812" w:type="pct"/>
            <w:vAlign w:val="center"/>
          </w:tcPr>
          <w:p w14:paraId="3518462D">
            <w:pPr>
              <w:widowControl/>
              <w:jc w:val="center"/>
              <w:rPr>
                <w:bCs/>
                <w:szCs w:val="21"/>
              </w:rPr>
            </w:pPr>
            <w:r>
              <w:rPr>
                <w:rFonts w:hint="eastAsia"/>
                <w:sz w:val="22"/>
                <w:szCs w:val="22"/>
              </w:rPr>
              <w:t>三角钢琴</w:t>
            </w:r>
          </w:p>
        </w:tc>
        <w:tc>
          <w:tcPr>
            <w:tcW w:w="499" w:type="pct"/>
            <w:vAlign w:val="center"/>
          </w:tcPr>
          <w:p w14:paraId="6B92D1A4">
            <w:pPr>
              <w:widowControl/>
              <w:jc w:val="center"/>
              <w:rPr>
                <w:bCs/>
                <w:szCs w:val="21"/>
              </w:rPr>
            </w:pPr>
          </w:p>
        </w:tc>
        <w:tc>
          <w:tcPr>
            <w:tcW w:w="499" w:type="pct"/>
            <w:vAlign w:val="center"/>
          </w:tcPr>
          <w:p w14:paraId="599780C7">
            <w:pPr>
              <w:widowControl/>
              <w:jc w:val="center"/>
              <w:rPr>
                <w:bCs/>
                <w:szCs w:val="21"/>
              </w:rPr>
            </w:pPr>
          </w:p>
        </w:tc>
        <w:tc>
          <w:tcPr>
            <w:tcW w:w="433" w:type="pct"/>
            <w:vAlign w:val="center"/>
          </w:tcPr>
          <w:p w14:paraId="3C6A3D07">
            <w:pPr>
              <w:jc w:val="center"/>
              <w:rPr>
                <w:bCs/>
                <w:szCs w:val="21"/>
              </w:rPr>
            </w:pPr>
          </w:p>
        </w:tc>
        <w:tc>
          <w:tcPr>
            <w:tcW w:w="514" w:type="pct"/>
            <w:vAlign w:val="center"/>
          </w:tcPr>
          <w:p w14:paraId="6A846A8C">
            <w:pPr>
              <w:jc w:val="center"/>
              <w:rPr>
                <w:bCs/>
                <w:szCs w:val="21"/>
              </w:rPr>
            </w:pPr>
          </w:p>
        </w:tc>
        <w:tc>
          <w:tcPr>
            <w:tcW w:w="327" w:type="pct"/>
            <w:vAlign w:val="center"/>
          </w:tcPr>
          <w:p w14:paraId="22A46171">
            <w:pPr>
              <w:widowControl/>
              <w:jc w:val="center"/>
              <w:rPr>
                <w:bCs/>
                <w:szCs w:val="21"/>
              </w:rPr>
            </w:pPr>
            <w:r>
              <w:rPr>
                <w:rFonts w:hint="eastAsia" w:ascii="宋体" w:hAnsi="宋体" w:cs="宋体"/>
                <w:color w:val="000000"/>
                <w:kern w:val="0"/>
                <w:sz w:val="22"/>
                <w:szCs w:val="22"/>
              </w:rPr>
              <w:t>1</w:t>
            </w:r>
          </w:p>
        </w:tc>
        <w:tc>
          <w:tcPr>
            <w:tcW w:w="303" w:type="pct"/>
            <w:vAlign w:val="center"/>
          </w:tcPr>
          <w:p w14:paraId="01AA80E6">
            <w:pPr>
              <w:widowControl/>
              <w:jc w:val="center"/>
              <w:rPr>
                <w:bCs/>
                <w:szCs w:val="21"/>
              </w:rPr>
            </w:pPr>
            <w:r>
              <w:rPr>
                <w:rFonts w:hint="eastAsia" w:ascii="宋体" w:hAnsi="宋体" w:cs="宋体"/>
                <w:color w:val="000000"/>
                <w:kern w:val="0"/>
                <w:sz w:val="22"/>
                <w:szCs w:val="22"/>
              </w:rPr>
              <w:t>台</w:t>
            </w:r>
          </w:p>
        </w:tc>
        <w:tc>
          <w:tcPr>
            <w:tcW w:w="405" w:type="pct"/>
            <w:vAlign w:val="center"/>
          </w:tcPr>
          <w:p w14:paraId="0FA8DFEF">
            <w:pPr>
              <w:jc w:val="center"/>
              <w:rPr>
                <w:bCs/>
                <w:szCs w:val="21"/>
              </w:rPr>
            </w:pPr>
          </w:p>
        </w:tc>
        <w:tc>
          <w:tcPr>
            <w:tcW w:w="398" w:type="pct"/>
            <w:vAlign w:val="center"/>
          </w:tcPr>
          <w:p w14:paraId="4BDDC1C5">
            <w:pPr>
              <w:jc w:val="center"/>
              <w:rPr>
                <w:bCs/>
                <w:szCs w:val="21"/>
              </w:rPr>
            </w:pPr>
          </w:p>
        </w:tc>
        <w:tc>
          <w:tcPr>
            <w:tcW w:w="503" w:type="pct"/>
            <w:vMerge w:val="restart"/>
            <w:vAlign w:val="center"/>
          </w:tcPr>
          <w:p w14:paraId="3BFD2AA4">
            <w:pPr>
              <w:jc w:val="center"/>
              <w:rPr>
                <w:b/>
                <w:bCs/>
                <w:szCs w:val="21"/>
              </w:rPr>
            </w:pPr>
            <w:r>
              <w:rPr>
                <w:rFonts w:hint="eastAsia"/>
                <w:b/>
                <w:bCs/>
                <w:szCs w:val="21"/>
              </w:rPr>
              <w:t>191,460.00</w:t>
            </w:r>
          </w:p>
        </w:tc>
      </w:tr>
      <w:tr w14:paraId="0D983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2" w:type="pct"/>
            <w:vAlign w:val="center"/>
          </w:tcPr>
          <w:p w14:paraId="1A80D85E">
            <w:pPr>
              <w:jc w:val="center"/>
              <w:rPr>
                <w:bCs/>
                <w:szCs w:val="21"/>
              </w:rPr>
            </w:pPr>
            <w:r>
              <w:rPr>
                <w:rFonts w:hint="eastAsia"/>
                <w:bCs/>
                <w:szCs w:val="21"/>
              </w:rPr>
              <w:t>2</w:t>
            </w:r>
          </w:p>
        </w:tc>
        <w:tc>
          <w:tcPr>
            <w:tcW w:w="812" w:type="pct"/>
            <w:vAlign w:val="center"/>
          </w:tcPr>
          <w:p w14:paraId="69CCA252">
            <w:pPr>
              <w:widowControl/>
              <w:jc w:val="center"/>
              <w:rPr>
                <w:bCs/>
                <w:szCs w:val="21"/>
              </w:rPr>
            </w:pPr>
            <w:r>
              <w:rPr>
                <w:rFonts w:hint="eastAsia"/>
                <w:sz w:val="22"/>
                <w:szCs w:val="22"/>
              </w:rPr>
              <w:t>立式钢琴</w:t>
            </w:r>
          </w:p>
        </w:tc>
        <w:tc>
          <w:tcPr>
            <w:tcW w:w="499" w:type="pct"/>
            <w:vAlign w:val="center"/>
          </w:tcPr>
          <w:p w14:paraId="61BE0F16">
            <w:pPr>
              <w:widowControl/>
              <w:jc w:val="center"/>
              <w:rPr>
                <w:bCs/>
                <w:szCs w:val="21"/>
              </w:rPr>
            </w:pPr>
          </w:p>
        </w:tc>
        <w:tc>
          <w:tcPr>
            <w:tcW w:w="499" w:type="pct"/>
            <w:vAlign w:val="center"/>
          </w:tcPr>
          <w:p w14:paraId="6BDC332D">
            <w:pPr>
              <w:widowControl/>
              <w:jc w:val="center"/>
              <w:rPr>
                <w:bCs/>
                <w:szCs w:val="21"/>
              </w:rPr>
            </w:pPr>
          </w:p>
        </w:tc>
        <w:tc>
          <w:tcPr>
            <w:tcW w:w="433" w:type="pct"/>
            <w:vAlign w:val="center"/>
          </w:tcPr>
          <w:p w14:paraId="70AF32DA">
            <w:pPr>
              <w:jc w:val="center"/>
              <w:rPr>
                <w:bCs/>
                <w:szCs w:val="21"/>
              </w:rPr>
            </w:pPr>
          </w:p>
        </w:tc>
        <w:tc>
          <w:tcPr>
            <w:tcW w:w="514" w:type="pct"/>
            <w:vAlign w:val="center"/>
          </w:tcPr>
          <w:p w14:paraId="61A145E3">
            <w:pPr>
              <w:jc w:val="center"/>
              <w:rPr>
                <w:bCs/>
                <w:szCs w:val="21"/>
              </w:rPr>
            </w:pPr>
          </w:p>
        </w:tc>
        <w:tc>
          <w:tcPr>
            <w:tcW w:w="327" w:type="pct"/>
            <w:vAlign w:val="center"/>
          </w:tcPr>
          <w:p w14:paraId="5A2317CA">
            <w:pPr>
              <w:widowControl/>
              <w:jc w:val="center"/>
              <w:rPr>
                <w:bCs/>
                <w:szCs w:val="21"/>
              </w:rPr>
            </w:pPr>
            <w:r>
              <w:rPr>
                <w:rFonts w:ascii="宋体" w:hAnsi="宋体" w:cs="宋体"/>
                <w:color w:val="000000"/>
                <w:kern w:val="0"/>
                <w:sz w:val="22"/>
                <w:szCs w:val="22"/>
              </w:rPr>
              <w:t>12</w:t>
            </w:r>
          </w:p>
        </w:tc>
        <w:tc>
          <w:tcPr>
            <w:tcW w:w="303" w:type="pct"/>
            <w:vAlign w:val="center"/>
          </w:tcPr>
          <w:p w14:paraId="3425500B">
            <w:pPr>
              <w:widowControl/>
              <w:jc w:val="center"/>
              <w:rPr>
                <w:bCs/>
                <w:szCs w:val="21"/>
              </w:rPr>
            </w:pPr>
            <w:r>
              <w:rPr>
                <w:rFonts w:hint="eastAsia" w:ascii="宋体" w:hAnsi="宋体" w:cs="宋体"/>
                <w:color w:val="000000"/>
                <w:kern w:val="0"/>
                <w:sz w:val="22"/>
                <w:szCs w:val="22"/>
              </w:rPr>
              <w:t>台</w:t>
            </w:r>
          </w:p>
        </w:tc>
        <w:tc>
          <w:tcPr>
            <w:tcW w:w="405" w:type="pct"/>
            <w:vAlign w:val="center"/>
          </w:tcPr>
          <w:p w14:paraId="31745A11">
            <w:pPr>
              <w:jc w:val="center"/>
              <w:rPr>
                <w:bCs/>
                <w:szCs w:val="21"/>
              </w:rPr>
            </w:pPr>
          </w:p>
        </w:tc>
        <w:tc>
          <w:tcPr>
            <w:tcW w:w="398" w:type="pct"/>
            <w:vAlign w:val="center"/>
          </w:tcPr>
          <w:p w14:paraId="05432222">
            <w:pPr>
              <w:jc w:val="center"/>
              <w:rPr>
                <w:bCs/>
                <w:szCs w:val="21"/>
              </w:rPr>
            </w:pPr>
          </w:p>
        </w:tc>
        <w:tc>
          <w:tcPr>
            <w:tcW w:w="503" w:type="pct"/>
            <w:vMerge w:val="continue"/>
            <w:vAlign w:val="center"/>
          </w:tcPr>
          <w:p w14:paraId="3CD91291">
            <w:pPr>
              <w:jc w:val="center"/>
              <w:rPr>
                <w:b/>
                <w:bCs/>
                <w:color w:val="FF0000"/>
                <w:szCs w:val="21"/>
              </w:rPr>
            </w:pPr>
          </w:p>
        </w:tc>
      </w:tr>
      <w:tr w14:paraId="2CCF8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11"/>
            <w:vAlign w:val="center"/>
          </w:tcPr>
          <w:p w14:paraId="110C80CE">
            <w:pPr>
              <w:jc w:val="center"/>
              <w:rPr>
                <w:b/>
                <w:bCs/>
                <w:color w:val="FF0000"/>
                <w:szCs w:val="21"/>
              </w:rPr>
            </w:pPr>
            <w:r>
              <w:rPr>
                <w:rFonts w:hint="eastAsia"/>
                <w:bCs/>
                <w:szCs w:val="21"/>
              </w:rPr>
              <w:t>合计（即投标总价；币种：人民币；单位：元） 小写：            大写：</w:t>
            </w:r>
          </w:p>
        </w:tc>
      </w:tr>
    </w:tbl>
    <w:p w14:paraId="101ED7B5">
      <w:pPr>
        <w:ind w:firstLine="482" w:firstLineChars="200"/>
        <w:rPr>
          <w:rFonts w:ascii="宋体" w:hAnsi="宋体"/>
          <w:b/>
          <w:sz w:val="24"/>
        </w:rPr>
      </w:pPr>
    </w:p>
    <w:p w14:paraId="13163A59">
      <w:pPr>
        <w:ind w:firstLine="482" w:firstLineChars="200"/>
        <w:rPr>
          <w:rFonts w:ascii="宋体" w:hAnsi="宋体"/>
          <w:b/>
          <w:sz w:val="24"/>
        </w:rPr>
      </w:pPr>
      <w:r>
        <w:rPr>
          <w:rFonts w:hint="eastAsia" w:ascii="宋体" w:hAnsi="宋体"/>
          <w:b/>
          <w:sz w:val="24"/>
        </w:rPr>
        <w:t>注：1.本表可按同样格式扩展。</w:t>
      </w:r>
    </w:p>
    <w:p w14:paraId="612EC58A">
      <w:pPr>
        <w:ind w:firstLine="472" w:firstLineChars="196"/>
        <w:rPr>
          <w:rFonts w:ascii="宋体" w:hAnsi="宋体"/>
          <w:b/>
          <w:sz w:val="24"/>
        </w:rPr>
      </w:pPr>
      <w:r>
        <w:rPr>
          <w:rFonts w:hint="eastAsia" w:ascii="宋体" w:hAnsi="宋体"/>
          <w:b/>
          <w:sz w:val="24"/>
        </w:rPr>
        <w:t>2</w:t>
      </w:r>
      <w:r>
        <w:rPr>
          <w:rFonts w:ascii="宋体" w:hAnsi="宋体"/>
          <w:b/>
          <w:sz w:val="24"/>
        </w:rPr>
        <w:t>.</w:t>
      </w:r>
      <w:r>
        <w:rPr>
          <w:rFonts w:hint="eastAsia" w:ascii="宋体" w:hAnsi="宋体"/>
          <w:b/>
          <w:sz w:val="24"/>
        </w:rPr>
        <w:t>“品牌”可以与商标一致，也可以填写便于区分其他公司商品的制造商简称或者制造商认可的品牌名称。此类填写错误或缺漏的不利后果由供应商承担。经评审委员会认定，在使用综合评分法的项目中一项此类填写错误或缺漏将按照一项普通招标技术要求（一般参数/普通参数）负偏离扣分处理。</w:t>
      </w:r>
    </w:p>
    <w:p w14:paraId="53DADC0C">
      <w:pPr>
        <w:ind w:firstLine="472" w:firstLineChars="196"/>
        <w:rPr>
          <w:b/>
          <w:sz w:val="24"/>
        </w:rPr>
      </w:pPr>
      <w:r>
        <w:rPr>
          <w:rFonts w:hint="eastAsia" w:ascii="宋体" w:hAnsi="宋体"/>
          <w:b/>
          <w:sz w:val="24"/>
        </w:rPr>
        <w:t>3.如所投货物属于定制类的非量产货物或无具体型号的货物，可以在“规格/型号”栏目仅填写规格信息而不填型号信息（型号信息用“定制”描述即可）；</w:t>
      </w:r>
      <w:bookmarkStart w:id="67" w:name="_Hlk73646428"/>
      <w:r>
        <w:rPr>
          <w:rFonts w:hint="eastAsia" w:ascii="宋体" w:hAnsi="宋体"/>
          <w:b/>
          <w:sz w:val="24"/>
        </w:rPr>
        <w:t>此类填写错误或缺漏（所投货物为定制类的非量产货物但供应商却错误填报了型号）的不利后果</w:t>
      </w:r>
      <w:r>
        <w:rPr>
          <w:rFonts w:hint="eastAsia"/>
          <w:b/>
          <w:sz w:val="24"/>
        </w:rPr>
        <w:t>由供应商承担。经评审委员会认定，在使用综合评分法的项目中一项此类填写错误或缺漏将按照一项普通招标技术要求（一般参数/普通参数）负偏离扣分处理。</w:t>
      </w:r>
      <w:bookmarkEnd w:id="67"/>
    </w:p>
    <w:p w14:paraId="5887DFA4">
      <w:pPr>
        <w:ind w:firstLine="472" w:firstLineChars="196"/>
        <w:rPr>
          <w:rFonts w:ascii="宋体" w:hAnsi="宋体"/>
          <w:b/>
          <w:sz w:val="24"/>
        </w:rPr>
      </w:pPr>
      <w:r>
        <w:rPr>
          <w:rFonts w:ascii="宋体" w:hAnsi="宋体"/>
          <w:b/>
          <w:sz w:val="24"/>
        </w:rPr>
        <w:t>3</w:t>
      </w:r>
      <w:r>
        <w:rPr>
          <w:rFonts w:hint="eastAsia" w:ascii="宋体" w:hAnsi="宋体"/>
          <w:b/>
          <w:sz w:val="24"/>
        </w:rPr>
        <w:t>.“原产地”是指货物的实际生产加工地，非品牌所在地</w:t>
      </w:r>
    </w:p>
    <w:p w14:paraId="6E1D1425">
      <w:pPr>
        <w:ind w:firstLine="472" w:firstLineChars="196"/>
        <w:rPr>
          <w:rFonts w:ascii="宋体" w:hAnsi="宋体"/>
          <w:b/>
          <w:sz w:val="24"/>
        </w:rPr>
      </w:pPr>
      <w:r>
        <w:rPr>
          <w:rFonts w:ascii="宋体" w:hAnsi="宋体"/>
          <w:b/>
          <w:sz w:val="24"/>
        </w:rPr>
        <w:t>4</w:t>
      </w:r>
      <w:r>
        <w:rPr>
          <w:rFonts w:hint="eastAsia" w:ascii="宋体" w:hAnsi="宋体"/>
          <w:b/>
          <w:sz w:val="24"/>
        </w:rPr>
        <w:t>.所投货物均应填写制造商名称，“制造商”是指产品品牌厂商，产品代工制造的，应填写接受委托生产制造的制造商。</w:t>
      </w:r>
    </w:p>
    <w:p w14:paraId="4E2E3613">
      <w:pPr>
        <w:ind w:firstLine="482" w:firstLineChars="200"/>
        <w:rPr>
          <w:rFonts w:ascii="宋体" w:hAnsi="宋体"/>
          <w:b/>
          <w:sz w:val="24"/>
        </w:rPr>
      </w:pPr>
      <w:r>
        <w:rPr>
          <w:rFonts w:ascii="宋体" w:hAnsi="宋体"/>
          <w:b/>
          <w:sz w:val="24"/>
        </w:rPr>
        <w:t>5</w:t>
      </w:r>
      <w:r>
        <w:rPr>
          <w:rFonts w:hint="eastAsia" w:ascii="宋体" w:hAnsi="宋体"/>
          <w:b/>
          <w:sz w:val="24"/>
        </w:rPr>
        <w:t>.以上分项报价表的投标总价应当与开标一览表的投标总价一致。</w:t>
      </w:r>
    </w:p>
    <w:p w14:paraId="71588703">
      <w:pPr>
        <w:ind w:firstLine="482" w:firstLineChars="200"/>
        <w:rPr>
          <w:rFonts w:ascii="宋体" w:hAnsi="宋体"/>
          <w:b/>
          <w:sz w:val="24"/>
        </w:rPr>
      </w:pPr>
      <w:r>
        <w:rPr>
          <w:rFonts w:ascii="宋体" w:hAnsi="宋体"/>
          <w:b/>
          <w:sz w:val="24"/>
        </w:rPr>
        <w:t>6</w:t>
      </w:r>
      <w:r>
        <w:rPr>
          <w:rFonts w:hint="eastAsia" w:ascii="宋体" w:hAnsi="宋体"/>
          <w:b/>
          <w:sz w:val="24"/>
        </w:rPr>
        <w:t>.单价、合价和投标总价为包干价，即三者均应包含货物的价款、包装、运输、装卸、安装、调试、技术指导、培训、咨询、服务、保险、税费、检测、验收合格交付使用之前以及技术和售后服务等其他各项有关费用。</w:t>
      </w:r>
    </w:p>
    <w:p w14:paraId="7442582D">
      <w:pPr>
        <w:ind w:firstLine="482" w:firstLineChars="200"/>
        <w:rPr>
          <w:rFonts w:ascii="宋体" w:hAnsi="宋体"/>
          <w:b/>
          <w:sz w:val="24"/>
        </w:rPr>
      </w:pPr>
      <w:r>
        <w:rPr>
          <w:rFonts w:ascii="宋体" w:hAnsi="宋体"/>
          <w:b/>
          <w:sz w:val="24"/>
        </w:rPr>
        <w:t>7</w:t>
      </w:r>
      <w:r>
        <w:rPr>
          <w:rFonts w:hint="eastAsia" w:ascii="宋体" w:hAnsi="宋体"/>
          <w:b/>
          <w:sz w:val="24"/>
        </w:rPr>
        <w:t>.所有价格应按“招标文件”中规定的货币单位填写；投标总价应为以上各分项价格之和；投标总价和项目报价表中单个采购预算条目报价均不得超过对应的财政预算限额，否则将导致投标无效。</w:t>
      </w:r>
    </w:p>
    <w:p w14:paraId="0ED65789">
      <w:pPr>
        <w:ind w:firstLine="482" w:firstLineChars="200"/>
        <w:rPr>
          <w:rFonts w:ascii="宋体" w:hAnsi="宋体"/>
          <w:b/>
          <w:color w:val="FF0000"/>
          <w:sz w:val="24"/>
        </w:rPr>
      </w:pPr>
    </w:p>
    <w:p w14:paraId="329F4449">
      <w:pPr>
        <w:ind w:firstLine="482" w:firstLineChars="200"/>
        <w:rPr>
          <w:rFonts w:ascii="宋体" w:hAnsi="宋体"/>
          <w:b/>
          <w:color w:val="FF0000"/>
          <w:sz w:val="24"/>
        </w:rPr>
      </w:pPr>
    </w:p>
    <w:p w14:paraId="07E2A04E">
      <w:pPr>
        <w:tabs>
          <w:tab w:val="left" w:pos="720"/>
        </w:tabs>
        <w:jc w:val="center"/>
        <w:rPr>
          <w:b/>
          <w:sz w:val="24"/>
        </w:rPr>
      </w:pPr>
      <w:r>
        <w:rPr>
          <w:rFonts w:hint="eastAsia"/>
          <w:b/>
          <w:sz w:val="24"/>
        </w:rPr>
        <w:t>（二）核心产品品牌</w:t>
      </w:r>
    </w:p>
    <w:p w14:paraId="29B258E4">
      <w:pPr>
        <w:ind w:firstLine="482" w:firstLineChars="200"/>
        <w:rPr>
          <w:rFonts w:ascii="宋体" w:hAnsi="宋体"/>
          <w:b/>
          <w:color w:val="FF0000"/>
          <w:sz w:val="24"/>
        </w:rPr>
      </w:pPr>
    </w:p>
    <w:p w14:paraId="557C4B37">
      <w:pPr>
        <w:ind w:firstLine="482" w:firstLineChars="200"/>
        <w:rPr>
          <w:rFonts w:ascii="宋体" w:hAnsi="宋体"/>
          <w:b/>
          <w:sz w:val="24"/>
        </w:rPr>
      </w:pPr>
      <w:r>
        <w:rPr>
          <w:rFonts w:hint="eastAsia"/>
          <w:b/>
          <w:sz w:val="24"/>
        </w:rPr>
        <w:t>我单位所投核心产品的品牌为：</w:t>
      </w:r>
      <w:r>
        <w:rPr>
          <w:rFonts w:hint="eastAsia"/>
          <w:b/>
          <w:sz w:val="24"/>
          <w:u w:val="single"/>
        </w:rPr>
        <w:t xml:space="preserve">               </w:t>
      </w:r>
      <w:r>
        <w:rPr>
          <w:rFonts w:hint="eastAsia"/>
          <w:b/>
          <w:sz w:val="24"/>
        </w:rPr>
        <w:t>。</w:t>
      </w:r>
    </w:p>
    <w:p w14:paraId="183CF904">
      <w:pPr>
        <w:ind w:firstLine="482" w:firstLineChars="200"/>
        <w:rPr>
          <w:rFonts w:ascii="宋体" w:hAnsi="宋体"/>
          <w:b/>
          <w:color w:val="FF0000"/>
          <w:sz w:val="24"/>
        </w:rPr>
      </w:pPr>
    </w:p>
    <w:p w14:paraId="3CC714A2">
      <w:pPr>
        <w:ind w:firstLine="480" w:firstLineChars="200"/>
        <w:rPr>
          <w:rFonts w:ascii="宋体" w:hAnsi="宋体"/>
          <w:sz w:val="24"/>
        </w:rPr>
      </w:pPr>
      <w:r>
        <w:rPr>
          <w:rFonts w:hint="eastAsia" w:ascii="宋体" w:hAnsi="宋体"/>
          <w:sz w:val="24"/>
        </w:rPr>
        <w:t>备注：单一产品采购项目，核心产品即为该单一产品。</w:t>
      </w:r>
    </w:p>
    <w:p w14:paraId="1D3FE3C4">
      <w:pPr>
        <w:ind w:firstLine="482" w:firstLineChars="200"/>
        <w:rPr>
          <w:rFonts w:ascii="宋体" w:hAnsi="宋体"/>
          <w:b/>
          <w:color w:val="FF0000"/>
          <w:sz w:val="24"/>
        </w:rPr>
      </w:pPr>
    </w:p>
    <w:p w14:paraId="5CF43CFB">
      <w:pPr>
        <w:ind w:firstLine="482" w:firstLineChars="200"/>
        <w:rPr>
          <w:rFonts w:ascii="宋体" w:hAnsi="宋体"/>
          <w:b/>
          <w:color w:val="FF0000"/>
          <w:sz w:val="24"/>
        </w:rPr>
      </w:pPr>
    </w:p>
    <w:p w14:paraId="62A84F37">
      <w:pPr>
        <w:rPr>
          <w:b/>
          <w:sz w:val="24"/>
        </w:rPr>
      </w:pPr>
    </w:p>
    <w:p w14:paraId="75595B0A">
      <w:pPr>
        <w:tabs>
          <w:tab w:val="left" w:pos="720"/>
        </w:tabs>
        <w:ind w:firstLine="1928" w:firstLineChars="800"/>
        <w:rPr>
          <w:b/>
          <w:sz w:val="24"/>
        </w:rPr>
      </w:pPr>
      <w:r>
        <w:rPr>
          <w:rFonts w:hint="eastAsia"/>
          <w:b/>
          <w:sz w:val="24"/>
        </w:rPr>
        <w:t>（三）可选配件报价清单（不包括在总报价内）</w:t>
      </w:r>
    </w:p>
    <w:p w14:paraId="6FFA06D1">
      <w:pPr>
        <w:ind w:firstLine="422" w:firstLineChars="200"/>
        <w:rPr>
          <w:rFonts w:hAnsi="宋体"/>
          <w:b/>
          <w:bCs/>
          <w:szCs w:val="21"/>
        </w:rPr>
      </w:pPr>
      <w:r>
        <w:rPr>
          <w:rFonts w:hint="eastAsia" w:hAnsi="宋体"/>
          <w:b/>
          <w:bCs/>
          <w:szCs w:val="21"/>
        </w:rPr>
        <w:t>注：格式可以参照《（一）分项报价表》表格，并提供相应的品牌/规格/型号、原产地、制造商信息（没有品牌、型号的，用“定制”描述即可）、单价等详细信息</w:t>
      </w:r>
    </w:p>
    <w:p w14:paraId="5718B271">
      <w:pPr>
        <w:ind w:firstLine="482" w:firstLineChars="200"/>
        <w:rPr>
          <w:rFonts w:hAnsi="宋体"/>
          <w:b/>
          <w:bCs/>
          <w:sz w:val="24"/>
        </w:rPr>
      </w:pPr>
    </w:p>
    <w:p w14:paraId="6FA7B602">
      <w:pPr>
        <w:ind w:firstLine="482" w:firstLineChars="200"/>
        <w:rPr>
          <w:rFonts w:hAnsi="宋体"/>
          <w:b/>
          <w:bCs/>
          <w:sz w:val="24"/>
        </w:rPr>
      </w:pPr>
    </w:p>
    <w:p w14:paraId="1AC9BD0B">
      <w:pPr>
        <w:tabs>
          <w:tab w:val="left" w:pos="720"/>
        </w:tabs>
        <w:jc w:val="center"/>
        <w:rPr>
          <w:b/>
          <w:sz w:val="24"/>
        </w:rPr>
      </w:pPr>
      <w:r>
        <w:rPr>
          <w:rFonts w:hint="eastAsia"/>
          <w:b/>
          <w:sz w:val="24"/>
        </w:rPr>
        <w:t>（四）</w:t>
      </w:r>
      <w:bookmarkStart w:id="68" w:name="_Hlk72073235"/>
      <w:r>
        <w:rPr>
          <w:rFonts w:hint="eastAsia"/>
          <w:b/>
          <w:sz w:val="24"/>
        </w:rPr>
        <w:t>投标人认为需要涉及的其他内容报价清单</w:t>
      </w:r>
      <w:bookmarkEnd w:id="68"/>
    </w:p>
    <w:p w14:paraId="64D29C09">
      <w:pPr>
        <w:rPr>
          <w:b/>
          <w:bCs/>
        </w:rPr>
      </w:pPr>
    </w:p>
    <w:bookmarkEnd w:id="66"/>
    <w:p w14:paraId="7C1F26D2">
      <w:r>
        <w:br w:type="page"/>
      </w:r>
    </w:p>
    <w:p w14:paraId="38A2D639">
      <w:pPr>
        <w:snapToGrid w:val="0"/>
        <w:jc w:val="center"/>
        <w:outlineLvl w:val="2"/>
        <w:rPr>
          <w:rFonts w:ascii="黑体" w:hAnsi="宋体" w:eastAsia="黑体"/>
          <w:bCs/>
          <w:sz w:val="24"/>
          <w:szCs w:val="32"/>
        </w:rPr>
      </w:pPr>
      <w:bookmarkStart w:id="69" w:name="_Hlk72260530"/>
      <w:r>
        <w:rPr>
          <w:rFonts w:hint="eastAsia" w:ascii="黑体" w:hAnsi="宋体" w:eastAsia="黑体"/>
          <w:bCs/>
          <w:sz w:val="24"/>
          <w:szCs w:val="32"/>
        </w:rPr>
        <w:t>五、供应商基本情况表</w:t>
      </w:r>
    </w:p>
    <w:tbl>
      <w:tblPr>
        <w:tblStyle w:val="44"/>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0"/>
        <w:gridCol w:w="645"/>
        <w:gridCol w:w="1530"/>
        <w:gridCol w:w="904"/>
        <w:gridCol w:w="752"/>
        <w:gridCol w:w="1146"/>
        <w:gridCol w:w="1429"/>
        <w:gridCol w:w="1420"/>
      </w:tblGrid>
      <w:tr w14:paraId="693BE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9" w:type="pct"/>
            <w:gridSpan w:val="2"/>
            <w:vAlign w:val="center"/>
          </w:tcPr>
          <w:p w14:paraId="08E9F665">
            <w:pPr>
              <w:rPr>
                <w:rFonts w:ascii="宋体" w:hAnsi="宋体" w:cs="宋体"/>
                <w:szCs w:val="21"/>
              </w:rPr>
            </w:pPr>
            <w:r>
              <w:rPr>
                <w:rFonts w:hint="eastAsia" w:ascii="宋体" w:hAnsi="宋体" w:cs="宋体"/>
                <w:szCs w:val="21"/>
              </w:rPr>
              <w:t>投标（响应）供应商</w:t>
            </w:r>
          </w:p>
        </w:tc>
        <w:tc>
          <w:tcPr>
            <w:tcW w:w="1427" w:type="pct"/>
            <w:gridSpan w:val="2"/>
            <w:vAlign w:val="center"/>
          </w:tcPr>
          <w:p w14:paraId="1B4066A9">
            <w:pPr>
              <w:jc w:val="center"/>
              <w:rPr>
                <w:rFonts w:ascii="宋体" w:hAnsi="宋体" w:cs="宋体"/>
                <w:szCs w:val="21"/>
              </w:rPr>
            </w:pPr>
          </w:p>
        </w:tc>
        <w:tc>
          <w:tcPr>
            <w:tcW w:w="1113" w:type="pct"/>
            <w:gridSpan w:val="2"/>
            <w:vAlign w:val="center"/>
          </w:tcPr>
          <w:p w14:paraId="1D3DCC33">
            <w:pPr>
              <w:jc w:val="center"/>
              <w:rPr>
                <w:rFonts w:ascii="宋体" w:hAnsi="宋体" w:cs="宋体"/>
                <w:szCs w:val="21"/>
              </w:rPr>
            </w:pPr>
            <w:r>
              <w:rPr>
                <w:rFonts w:hint="eastAsia" w:ascii="宋体" w:hAnsi="宋体" w:cs="宋体"/>
                <w:szCs w:val="21"/>
              </w:rPr>
              <w:t>项目名称及编号</w:t>
            </w:r>
          </w:p>
        </w:tc>
        <w:tc>
          <w:tcPr>
            <w:tcW w:w="1669" w:type="pct"/>
            <w:gridSpan w:val="2"/>
            <w:vAlign w:val="center"/>
          </w:tcPr>
          <w:p w14:paraId="791AF257">
            <w:pPr>
              <w:jc w:val="center"/>
              <w:rPr>
                <w:rFonts w:ascii="宋体" w:hAnsi="宋体" w:cs="宋体"/>
                <w:szCs w:val="21"/>
              </w:rPr>
            </w:pPr>
          </w:p>
        </w:tc>
      </w:tr>
      <w:tr w14:paraId="5A062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8"/>
            <w:vAlign w:val="center"/>
          </w:tcPr>
          <w:p w14:paraId="3EF4F5D5">
            <w:pPr>
              <w:jc w:val="center"/>
              <w:rPr>
                <w:rFonts w:ascii="宋体" w:hAnsi="宋体" w:cs="宋体"/>
                <w:szCs w:val="21"/>
              </w:rPr>
            </w:pPr>
            <w:r>
              <w:rPr>
                <w:rFonts w:hint="eastAsia" w:ascii="宋体" w:hAnsi="宋体" w:cs="宋体"/>
                <w:b/>
                <w:bCs/>
                <w:szCs w:val="21"/>
              </w:rPr>
              <w:t>投标（响应）供应商相关人员情况</w:t>
            </w:r>
          </w:p>
        </w:tc>
      </w:tr>
      <w:tr w14:paraId="2C55A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tcBorders>
              <w:bottom w:val="single" w:color="auto" w:sz="4" w:space="0"/>
            </w:tcBorders>
            <w:vAlign w:val="center"/>
          </w:tcPr>
          <w:p w14:paraId="3AC99CE0">
            <w:pPr>
              <w:snapToGrid w:val="0"/>
              <w:jc w:val="center"/>
              <w:rPr>
                <w:rFonts w:ascii="宋体" w:hAnsi="宋体" w:cs="宋体"/>
                <w:szCs w:val="21"/>
              </w:rPr>
            </w:pPr>
            <w:r>
              <w:rPr>
                <w:rFonts w:hint="eastAsia" w:ascii="宋体" w:hAnsi="宋体" w:cs="宋体"/>
                <w:szCs w:val="21"/>
              </w:rPr>
              <w:t>序号</w:t>
            </w:r>
          </w:p>
        </w:tc>
        <w:tc>
          <w:tcPr>
            <w:tcW w:w="1275" w:type="pct"/>
            <w:gridSpan w:val="2"/>
            <w:tcBorders>
              <w:bottom w:val="single" w:color="auto" w:sz="4" w:space="0"/>
            </w:tcBorders>
            <w:vAlign w:val="center"/>
          </w:tcPr>
          <w:p w14:paraId="04CB38AD">
            <w:pPr>
              <w:jc w:val="center"/>
              <w:rPr>
                <w:rFonts w:ascii="宋体" w:hAnsi="宋体" w:cs="宋体"/>
                <w:szCs w:val="21"/>
              </w:rPr>
            </w:pPr>
            <w:r>
              <w:rPr>
                <w:rFonts w:hint="eastAsia" w:ascii="宋体" w:hAnsi="宋体" w:cs="宋体"/>
                <w:szCs w:val="21"/>
              </w:rPr>
              <w:t>职务</w:t>
            </w:r>
          </w:p>
        </w:tc>
        <w:tc>
          <w:tcPr>
            <w:tcW w:w="529" w:type="pct"/>
            <w:tcBorders>
              <w:bottom w:val="single" w:color="auto" w:sz="4" w:space="0"/>
            </w:tcBorders>
            <w:vAlign w:val="center"/>
          </w:tcPr>
          <w:p w14:paraId="2A017A8C">
            <w:pPr>
              <w:jc w:val="center"/>
              <w:rPr>
                <w:rFonts w:ascii="宋体" w:hAnsi="宋体" w:cs="宋体"/>
                <w:szCs w:val="21"/>
              </w:rPr>
            </w:pPr>
            <w:r>
              <w:rPr>
                <w:rFonts w:hint="eastAsia" w:ascii="宋体" w:hAnsi="宋体" w:cs="宋体"/>
                <w:szCs w:val="21"/>
              </w:rPr>
              <w:t>姓名</w:t>
            </w:r>
          </w:p>
        </w:tc>
        <w:tc>
          <w:tcPr>
            <w:tcW w:w="1113" w:type="pct"/>
            <w:gridSpan w:val="2"/>
            <w:tcBorders>
              <w:bottom w:val="single" w:color="auto" w:sz="4" w:space="0"/>
            </w:tcBorders>
            <w:vAlign w:val="center"/>
          </w:tcPr>
          <w:p w14:paraId="40632052">
            <w:pPr>
              <w:jc w:val="center"/>
              <w:rPr>
                <w:rFonts w:ascii="宋体" w:hAnsi="宋体" w:cs="宋体"/>
                <w:szCs w:val="21"/>
              </w:rPr>
            </w:pPr>
            <w:r>
              <w:rPr>
                <w:rFonts w:hint="eastAsia" w:ascii="宋体" w:hAnsi="宋体" w:cs="宋体"/>
                <w:szCs w:val="21"/>
              </w:rPr>
              <w:t>身份证号码</w:t>
            </w:r>
          </w:p>
        </w:tc>
        <w:tc>
          <w:tcPr>
            <w:tcW w:w="838" w:type="pct"/>
            <w:tcBorders>
              <w:bottom w:val="single" w:color="auto" w:sz="4" w:space="0"/>
            </w:tcBorders>
            <w:vAlign w:val="center"/>
          </w:tcPr>
          <w:p w14:paraId="01FFDA23">
            <w:pPr>
              <w:snapToGrid w:val="0"/>
              <w:jc w:val="center"/>
              <w:rPr>
                <w:rFonts w:ascii="宋体" w:hAnsi="宋体" w:cs="宋体"/>
                <w:szCs w:val="21"/>
              </w:rPr>
            </w:pPr>
            <w:r>
              <w:rPr>
                <w:rFonts w:hint="eastAsia" w:ascii="宋体" w:hAnsi="宋体" w:cs="宋体"/>
                <w:szCs w:val="21"/>
              </w:rPr>
              <w:t>劳动合同</w:t>
            </w:r>
          </w:p>
          <w:p w14:paraId="716CB630">
            <w:pPr>
              <w:snapToGrid w:val="0"/>
              <w:jc w:val="center"/>
              <w:rPr>
                <w:rFonts w:ascii="宋体" w:hAnsi="宋体" w:cs="宋体"/>
                <w:szCs w:val="21"/>
              </w:rPr>
            </w:pPr>
            <w:r>
              <w:rPr>
                <w:rFonts w:hint="eastAsia" w:ascii="宋体" w:hAnsi="宋体" w:cs="宋体"/>
                <w:szCs w:val="21"/>
              </w:rPr>
              <w:t>关系单位</w:t>
            </w:r>
          </w:p>
        </w:tc>
        <w:tc>
          <w:tcPr>
            <w:tcW w:w="830" w:type="pct"/>
            <w:tcBorders>
              <w:bottom w:val="single" w:color="auto" w:sz="4" w:space="0"/>
            </w:tcBorders>
            <w:vAlign w:val="center"/>
          </w:tcPr>
          <w:p w14:paraId="172DB4AC">
            <w:pPr>
              <w:snapToGrid w:val="0"/>
              <w:jc w:val="center"/>
              <w:rPr>
                <w:rFonts w:ascii="宋体" w:hAnsi="宋体" w:cs="宋体"/>
                <w:szCs w:val="21"/>
              </w:rPr>
            </w:pPr>
            <w:r>
              <w:rPr>
                <w:rFonts w:hint="eastAsia" w:ascii="宋体" w:hAnsi="宋体" w:cs="宋体"/>
                <w:szCs w:val="21"/>
              </w:rPr>
              <w:t>缴纳社会</w:t>
            </w:r>
          </w:p>
          <w:p w14:paraId="09A63314">
            <w:pPr>
              <w:snapToGrid w:val="0"/>
              <w:jc w:val="center"/>
              <w:rPr>
                <w:rFonts w:ascii="宋体" w:hAnsi="宋体" w:cs="宋体"/>
                <w:szCs w:val="21"/>
              </w:rPr>
            </w:pPr>
            <w:r>
              <w:rPr>
                <w:rFonts w:hint="eastAsia" w:ascii="宋体" w:hAnsi="宋体" w:cs="宋体"/>
                <w:szCs w:val="21"/>
              </w:rPr>
              <w:t>保险单位</w:t>
            </w:r>
          </w:p>
        </w:tc>
      </w:tr>
      <w:tr w14:paraId="4B24D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tcBorders>
              <w:top w:val="single" w:color="auto" w:sz="4" w:space="0"/>
              <w:left w:val="single" w:color="auto" w:sz="4" w:space="0"/>
              <w:bottom w:val="single" w:color="auto" w:sz="4" w:space="0"/>
              <w:right w:val="single" w:color="auto" w:sz="4" w:space="0"/>
            </w:tcBorders>
            <w:vAlign w:val="center"/>
          </w:tcPr>
          <w:p w14:paraId="0AB2880F">
            <w:pPr>
              <w:jc w:val="center"/>
              <w:rPr>
                <w:rFonts w:ascii="宋体" w:hAnsi="宋体" w:cs="宋体"/>
                <w:szCs w:val="21"/>
              </w:rPr>
            </w:pPr>
            <w:r>
              <w:rPr>
                <w:rFonts w:hint="eastAsia" w:ascii="宋体" w:hAnsi="宋体" w:cs="宋体"/>
                <w:szCs w:val="21"/>
              </w:rPr>
              <w:t>1</w:t>
            </w:r>
          </w:p>
        </w:tc>
        <w:tc>
          <w:tcPr>
            <w:tcW w:w="1275" w:type="pct"/>
            <w:gridSpan w:val="2"/>
            <w:tcBorders>
              <w:top w:val="single" w:color="auto" w:sz="4" w:space="0"/>
              <w:left w:val="single" w:color="auto" w:sz="4" w:space="0"/>
              <w:bottom w:val="single" w:color="auto" w:sz="4" w:space="0"/>
              <w:right w:val="single" w:color="auto" w:sz="4" w:space="0"/>
            </w:tcBorders>
            <w:vAlign w:val="center"/>
          </w:tcPr>
          <w:p w14:paraId="49A57F79">
            <w:pPr>
              <w:spacing w:line="460" w:lineRule="exact"/>
              <w:jc w:val="center"/>
              <w:rPr>
                <w:rFonts w:ascii="宋体" w:hAnsi="宋体" w:cs="宋体"/>
                <w:szCs w:val="21"/>
              </w:rPr>
            </w:pPr>
            <w:r>
              <w:rPr>
                <w:rFonts w:hint="eastAsia" w:ascii="宋体" w:hAnsi="宋体" w:cs="宋体"/>
                <w:szCs w:val="21"/>
              </w:rPr>
              <w:t>法定代表人/单位负责人/主要经营负责人</w:t>
            </w:r>
          </w:p>
        </w:tc>
        <w:tc>
          <w:tcPr>
            <w:tcW w:w="529" w:type="pct"/>
            <w:tcBorders>
              <w:top w:val="single" w:color="auto" w:sz="4" w:space="0"/>
              <w:left w:val="single" w:color="auto" w:sz="4" w:space="0"/>
              <w:bottom w:val="single" w:color="auto" w:sz="4" w:space="0"/>
              <w:right w:val="single" w:color="auto" w:sz="4" w:space="0"/>
            </w:tcBorders>
            <w:vAlign w:val="center"/>
          </w:tcPr>
          <w:p w14:paraId="6D65CEC3">
            <w:pPr>
              <w:jc w:val="center"/>
              <w:rPr>
                <w:rFonts w:ascii="宋体" w:hAnsi="宋体" w:cs="宋体"/>
                <w:szCs w:val="21"/>
              </w:rPr>
            </w:pPr>
          </w:p>
        </w:tc>
        <w:tc>
          <w:tcPr>
            <w:tcW w:w="1113" w:type="pct"/>
            <w:gridSpan w:val="2"/>
            <w:tcBorders>
              <w:top w:val="single" w:color="auto" w:sz="4" w:space="0"/>
              <w:left w:val="single" w:color="auto" w:sz="4" w:space="0"/>
              <w:bottom w:val="single" w:color="auto" w:sz="4" w:space="0"/>
              <w:right w:val="single" w:color="auto" w:sz="4" w:space="0"/>
            </w:tcBorders>
            <w:vAlign w:val="center"/>
          </w:tcPr>
          <w:p w14:paraId="1E7DD166">
            <w:pPr>
              <w:jc w:val="center"/>
              <w:rPr>
                <w:rFonts w:ascii="宋体" w:hAnsi="宋体" w:cs="宋体"/>
                <w:szCs w:val="21"/>
              </w:rPr>
            </w:pPr>
          </w:p>
        </w:tc>
        <w:tc>
          <w:tcPr>
            <w:tcW w:w="838" w:type="pct"/>
            <w:tcBorders>
              <w:top w:val="single" w:color="auto" w:sz="4" w:space="0"/>
              <w:left w:val="single" w:color="auto" w:sz="4" w:space="0"/>
              <w:bottom w:val="single" w:color="auto" w:sz="4" w:space="0"/>
              <w:right w:val="single" w:color="auto" w:sz="4" w:space="0"/>
            </w:tcBorders>
            <w:vAlign w:val="center"/>
          </w:tcPr>
          <w:p w14:paraId="6F243602">
            <w:pPr>
              <w:jc w:val="center"/>
              <w:rPr>
                <w:rFonts w:ascii="宋体" w:hAnsi="宋体" w:cs="宋体"/>
                <w:szCs w:val="21"/>
              </w:rPr>
            </w:pPr>
          </w:p>
        </w:tc>
        <w:tc>
          <w:tcPr>
            <w:tcW w:w="830" w:type="pct"/>
            <w:tcBorders>
              <w:top w:val="single" w:color="auto" w:sz="4" w:space="0"/>
              <w:left w:val="single" w:color="auto" w:sz="4" w:space="0"/>
              <w:bottom w:val="single" w:color="auto" w:sz="4" w:space="0"/>
              <w:right w:val="single" w:color="auto" w:sz="4" w:space="0"/>
            </w:tcBorders>
            <w:vAlign w:val="center"/>
          </w:tcPr>
          <w:p w14:paraId="192424B8">
            <w:pPr>
              <w:jc w:val="center"/>
              <w:rPr>
                <w:rFonts w:ascii="宋体" w:hAnsi="宋体" w:cs="宋体"/>
                <w:szCs w:val="21"/>
              </w:rPr>
            </w:pPr>
          </w:p>
        </w:tc>
      </w:tr>
      <w:tr w14:paraId="44F85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tcBorders>
              <w:top w:val="single" w:color="auto" w:sz="4" w:space="0"/>
              <w:left w:val="single" w:color="auto" w:sz="4" w:space="0"/>
              <w:bottom w:val="single" w:color="auto" w:sz="4" w:space="0"/>
              <w:right w:val="single" w:color="auto" w:sz="4" w:space="0"/>
            </w:tcBorders>
            <w:vAlign w:val="center"/>
          </w:tcPr>
          <w:p w14:paraId="18907B68">
            <w:pPr>
              <w:jc w:val="center"/>
              <w:rPr>
                <w:rFonts w:ascii="宋体" w:hAnsi="宋体" w:cs="宋体"/>
                <w:szCs w:val="21"/>
              </w:rPr>
            </w:pPr>
            <w:r>
              <w:rPr>
                <w:rFonts w:hint="eastAsia" w:ascii="宋体" w:hAnsi="宋体" w:cs="宋体"/>
                <w:szCs w:val="21"/>
              </w:rPr>
              <w:t>2</w:t>
            </w:r>
          </w:p>
        </w:tc>
        <w:tc>
          <w:tcPr>
            <w:tcW w:w="1275" w:type="pct"/>
            <w:gridSpan w:val="2"/>
            <w:tcBorders>
              <w:top w:val="single" w:color="auto" w:sz="4" w:space="0"/>
              <w:left w:val="single" w:color="auto" w:sz="4" w:space="0"/>
              <w:bottom w:val="single" w:color="auto" w:sz="4" w:space="0"/>
              <w:right w:val="single" w:color="auto" w:sz="4" w:space="0"/>
            </w:tcBorders>
            <w:vAlign w:val="center"/>
          </w:tcPr>
          <w:p w14:paraId="3F2C4C24">
            <w:pPr>
              <w:jc w:val="center"/>
              <w:rPr>
                <w:rFonts w:ascii="宋体" w:hAnsi="宋体" w:cs="宋体"/>
                <w:szCs w:val="21"/>
              </w:rPr>
            </w:pPr>
            <w:r>
              <w:rPr>
                <w:rFonts w:hint="eastAsia" w:ascii="宋体" w:hAnsi="宋体" w:cs="宋体"/>
                <w:szCs w:val="21"/>
              </w:rPr>
              <w:t>项目投标授权代表人</w:t>
            </w:r>
          </w:p>
        </w:tc>
        <w:tc>
          <w:tcPr>
            <w:tcW w:w="529" w:type="pct"/>
            <w:tcBorders>
              <w:top w:val="single" w:color="auto" w:sz="4" w:space="0"/>
              <w:left w:val="single" w:color="auto" w:sz="4" w:space="0"/>
              <w:bottom w:val="single" w:color="auto" w:sz="4" w:space="0"/>
              <w:right w:val="single" w:color="auto" w:sz="4" w:space="0"/>
            </w:tcBorders>
            <w:vAlign w:val="center"/>
          </w:tcPr>
          <w:p w14:paraId="526D4518">
            <w:pPr>
              <w:jc w:val="center"/>
              <w:rPr>
                <w:rFonts w:ascii="宋体" w:hAnsi="宋体" w:cs="宋体"/>
                <w:szCs w:val="21"/>
              </w:rPr>
            </w:pPr>
          </w:p>
        </w:tc>
        <w:tc>
          <w:tcPr>
            <w:tcW w:w="1113" w:type="pct"/>
            <w:gridSpan w:val="2"/>
            <w:tcBorders>
              <w:top w:val="single" w:color="auto" w:sz="4" w:space="0"/>
              <w:left w:val="single" w:color="auto" w:sz="4" w:space="0"/>
              <w:bottom w:val="single" w:color="auto" w:sz="4" w:space="0"/>
              <w:right w:val="single" w:color="auto" w:sz="4" w:space="0"/>
            </w:tcBorders>
            <w:vAlign w:val="center"/>
          </w:tcPr>
          <w:p w14:paraId="3AE69A84">
            <w:pPr>
              <w:jc w:val="center"/>
              <w:rPr>
                <w:rFonts w:ascii="宋体" w:hAnsi="宋体" w:cs="宋体"/>
                <w:szCs w:val="21"/>
              </w:rPr>
            </w:pPr>
          </w:p>
        </w:tc>
        <w:tc>
          <w:tcPr>
            <w:tcW w:w="838" w:type="pct"/>
            <w:tcBorders>
              <w:top w:val="single" w:color="auto" w:sz="4" w:space="0"/>
              <w:left w:val="single" w:color="auto" w:sz="4" w:space="0"/>
              <w:bottom w:val="single" w:color="auto" w:sz="4" w:space="0"/>
              <w:right w:val="single" w:color="auto" w:sz="4" w:space="0"/>
            </w:tcBorders>
            <w:vAlign w:val="center"/>
          </w:tcPr>
          <w:p w14:paraId="095AF595">
            <w:pPr>
              <w:jc w:val="center"/>
              <w:rPr>
                <w:rFonts w:ascii="宋体" w:hAnsi="宋体" w:cs="宋体"/>
                <w:szCs w:val="21"/>
              </w:rPr>
            </w:pPr>
          </w:p>
        </w:tc>
        <w:tc>
          <w:tcPr>
            <w:tcW w:w="830" w:type="pct"/>
            <w:tcBorders>
              <w:top w:val="single" w:color="auto" w:sz="4" w:space="0"/>
              <w:left w:val="single" w:color="auto" w:sz="4" w:space="0"/>
              <w:bottom w:val="single" w:color="auto" w:sz="4" w:space="0"/>
              <w:right w:val="single" w:color="auto" w:sz="4" w:space="0"/>
            </w:tcBorders>
            <w:vAlign w:val="center"/>
          </w:tcPr>
          <w:p w14:paraId="62E75736">
            <w:pPr>
              <w:jc w:val="center"/>
              <w:rPr>
                <w:rFonts w:ascii="宋体" w:hAnsi="宋体" w:cs="宋体"/>
                <w:szCs w:val="21"/>
              </w:rPr>
            </w:pPr>
          </w:p>
        </w:tc>
      </w:tr>
      <w:tr w14:paraId="45551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tcBorders>
              <w:top w:val="single" w:color="auto" w:sz="4" w:space="0"/>
            </w:tcBorders>
            <w:vAlign w:val="center"/>
          </w:tcPr>
          <w:p w14:paraId="08322C18">
            <w:pPr>
              <w:jc w:val="center"/>
              <w:rPr>
                <w:rFonts w:ascii="宋体" w:hAnsi="宋体" w:cs="宋体"/>
                <w:szCs w:val="21"/>
              </w:rPr>
            </w:pPr>
            <w:r>
              <w:rPr>
                <w:rFonts w:hint="eastAsia" w:ascii="宋体" w:hAnsi="宋体" w:cs="宋体"/>
                <w:szCs w:val="21"/>
                <w:lang w:bidi="ar"/>
              </w:rPr>
              <w:t>3</w:t>
            </w:r>
          </w:p>
        </w:tc>
        <w:tc>
          <w:tcPr>
            <w:tcW w:w="1275" w:type="pct"/>
            <w:gridSpan w:val="2"/>
            <w:tcBorders>
              <w:top w:val="single" w:color="auto" w:sz="4" w:space="0"/>
            </w:tcBorders>
            <w:vAlign w:val="center"/>
          </w:tcPr>
          <w:p w14:paraId="74272B51">
            <w:pPr>
              <w:jc w:val="center"/>
              <w:rPr>
                <w:rFonts w:ascii="宋体" w:hAnsi="宋体" w:cs="宋体"/>
                <w:szCs w:val="21"/>
              </w:rPr>
            </w:pPr>
            <w:r>
              <w:rPr>
                <w:rFonts w:hint="eastAsia" w:ascii="宋体" w:hAnsi="宋体" w:cs="宋体"/>
                <w:szCs w:val="21"/>
              </w:rPr>
              <w:t>项目负责人</w:t>
            </w:r>
          </w:p>
        </w:tc>
        <w:tc>
          <w:tcPr>
            <w:tcW w:w="529" w:type="pct"/>
            <w:tcBorders>
              <w:top w:val="single" w:color="auto" w:sz="4" w:space="0"/>
            </w:tcBorders>
            <w:vAlign w:val="center"/>
          </w:tcPr>
          <w:p w14:paraId="53BFC9E2">
            <w:pPr>
              <w:jc w:val="center"/>
              <w:rPr>
                <w:rFonts w:ascii="宋体" w:hAnsi="宋体" w:cs="宋体"/>
                <w:szCs w:val="21"/>
              </w:rPr>
            </w:pPr>
          </w:p>
        </w:tc>
        <w:tc>
          <w:tcPr>
            <w:tcW w:w="1113" w:type="pct"/>
            <w:gridSpan w:val="2"/>
            <w:tcBorders>
              <w:top w:val="single" w:color="auto" w:sz="4" w:space="0"/>
            </w:tcBorders>
            <w:vAlign w:val="center"/>
          </w:tcPr>
          <w:p w14:paraId="0D1CB063">
            <w:pPr>
              <w:jc w:val="center"/>
              <w:rPr>
                <w:rFonts w:ascii="宋体" w:hAnsi="宋体" w:cs="宋体"/>
                <w:szCs w:val="21"/>
              </w:rPr>
            </w:pPr>
          </w:p>
        </w:tc>
        <w:tc>
          <w:tcPr>
            <w:tcW w:w="838" w:type="pct"/>
            <w:tcBorders>
              <w:top w:val="single" w:color="auto" w:sz="4" w:space="0"/>
            </w:tcBorders>
            <w:vAlign w:val="center"/>
          </w:tcPr>
          <w:p w14:paraId="61D87B4E">
            <w:pPr>
              <w:jc w:val="center"/>
              <w:rPr>
                <w:rFonts w:ascii="宋体" w:hAnsi="宋体" w:cs="宋体"/>
                <w:szCs w:val="21"/>
              </w:rPr>
            </w:pPr>
          </w:p>
        </w:tc>
        <w:tc>
          <w:tcPr>
            <w:tcW w:w="830" w:type="pct"/>
            <w:tcBorders>
              <w:top w:val="single" w:color="auto" w:sz="4" w:space="0"/>
            </w:tcBorders>
            <w:vAlign w:val="center"/>
          </w:tcPr>
          <w:p w14:paraId="431E8E80">
            <w:pPr>
              <w:jc w:val="center"/>
              <w:rPr>
                <w:rFonts w:ascii="宋体" w:hAnsi="宋体" w:cs="宋体"/>
                <w:szCs w:val="21"/>
              </w:rPr>
            </w:pPr>
          </w:p>
        </w:tc>
      </w:tr>
      <w:tr w14:paraId="6F406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vAlign w:val="center"/>
          </w:tcPr>
          <w:p w14:paraId="10089E59">
            <w:pPr>
              <w:jc w:val="center"/>
              <w:rPr>
                <w:rFonts w:ascii="宋体" w:hAnsi="宋体" w:cs="宋体"/>
                <w:szCs w:val="21"/>
              </w:rPr>
            </w:pPr>
            <w:r>
              <w:rPr>
                <w:rFonts w:hint="eastAsia" w:ascii="宋体" w:hAnsi="宋体" w:cs="宋体"/>
                <w:szCs w:val="21"/>
                <w:lang w:bidi="ar"/>
              </w:rPr>
              <w:t>4</w:t>
            </w:r>
          </w:p>
        </w:tc>
        <w:tc>
          <w:tcPr>
            <w:tcW w:w="1275" w:type="pct"/>
            <w:gridSpan w:val="2"/>
            <w:vAlign w:val="center"/>
          </w:tcPr>
          <w:p w14:paraId="4ECDAD40">
            <w:pPr>
              <w:jc w:val="center"/>
              <w:rPr>
                <w:rFonts w:ascii="宋体" w:hAnsi="宋体" w:cs="宋体"/>
                <w:szCs w:val="21"/>
              </w:rPr>
            </w:pPr>
            <w:r>
              <w:rPr>
                <w:rFonts w:hint="eastAsia" w:ascii="宋体" w:hAnsi="宋体" w:cs="宋体"/>
                <w:szCs w:val="21"/>
              </w:rPr>
              <w:t>主要技术人员</w:t>
            </w:r>
          </w:p>
        </w:tc>
        <w:tc>
          <w:tcPr>
            <w:tcW w:w="529" w:type="pct"/>
            <w:vAlign w:val="center"/>
          </w:tcPr>
          <w:p w14:paraId="01292E76">
            <w:pPr>
              <w:jc w:val="center"/>
              <w:rPr>
                <w:rFonts w:ascii="宋体" w:hAnsi="宋体" w:cs="宋体"/>
                <w:szCs w:val="21"/>
              </w:rPr>
            </w:pPr>
          </w:p>
        </w:tc>
        <w:tc>
          <w:tcPr>
            <w:tcW w:w="1113" w:type="pct"/>
            <w:gridSpan w:val="2"/>
            <w:vAlign w:val="center"/>
          </w:tcPr>
          <w:p w14:paraId="679AAF70">
            <w:pPr>
              <w:jc w:val="center"/>
              <w:rPr>
                <w:rFonts w:ascii="宋体" w:hAnsi="宋体" w:cs="宋体"/>
                <w:szCs w:val="21"/>
              </w:rPr>
            </w:pPr>
          </w:p>
        </w:tc>
        <w:tc>
          <w:tcPr>
            <w:tcW w:w="838" w:type="pct"/>
            <w:vAlign w:val="center"/>
          </w:tcPr>
          <w:p w14:paraId="481974CA">
            <w:pPr>
              <w:jc w:val="center"/>
              <w:rPr>
                <w:rFonts w:ascii="宋体" w:hAnsi="宋体" w:cs="宋体"/>
                <w:szCs w:val="21"/>
              </w:rPr>
            </w:pPr>
          </w:p>
        </w:tc>
        <w:tc>
          <w:tcPr>
            <w:tcW w:w="830" w:type="pct"/>
            <w:vAlign w:val="center"/>
          </w:tcPr>
          <w:p w14:paraId="1DB87F8D">
            <w:pPr>
              <w:jc w:val="center"/>
              <w:rPr>
                <w:rFonts w:ascii="宋体" w:hAnsi="宋体" w:cs="宋体"/>
                <w:szCs w:val="21"/>
              </w:rPr>
            </w:pPr>
          </w:p>
        </w:tc>
      </w:tr>
      <w:tr w14:paraId="3A943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vAlign w:val="center"/>
          </w:tcPr>
          <w:p w14:paraId="19F441D4">
            <w:pPr>
              <w:jc w:val="center"/>
              <w:rPr>
                <w:rFonts w:ascii="宋体" w:hAnsi="宋体" w:cs="宋体"/>
                <w:szCs w:val="21"/>
              </w:rPr>
            </w:pPr>
            <w:r>
              <w:rPr>
                <w:rFonts w:hint="eastAsia" w:ascii="宋体" w:hAnsi="宋体" w:cs="宋体"/>
                <w:szCs w:val="21"/>
                <w:lang w:bidi="ar"/>
              </w:rPr>
              <w:t>5</w:t>
            </w:r>
          </w:p>
        </w:tc>
        <w:tc>
          <w:tcPr>
            <w:tcW w:w="1275" w:type="pct"/>
            <w:gridSpan w:val="2"/>
            <w:vAlign w:val="center"/>
          </w:tcPr>
          <w:p w14:paraId="1C116B6E">
            <w:pPr>
              <w:snapToGrid w:val="0"/>
              <w:jc w:val="center"/>
              <w:rPr>
                <w:rFonts w:ascii="宋体" w:hAnsi="宋体" w:cs="宋体"/>
                <w:szCs w:val="21"/>
              </w:rPr>
            </w:pPr>
            <w:r>
              <w:rPr>
                <w:rFonts w:hint="eastAsia" w:ascii="宋体" w:hAnsi="宋体" w:cs="宋体"/>
                <w:szCs w:val="21"/>
              </w:rPr>
              <w:t>投标文件编制人员</w:t>
            </w:r>
          </w:p>
        </w:tc>
        <w:tc>
          <w:tcPr>
            <w:tcW w:w="529" w:type="pct"/>
            <w:vAlign w:val="center"/>
          </w:tcPr>
          <w:p w14:paraId="09559C1F">
            <w:pPr>
              <w:jc w:val="center"/>
              <w:rPr>
                <w:rFonts w:ascii="宋体" w:hAnsi="宋体" w:cs="宋体"/>
                <w:szCs w:val="21"/>
              </w:rPr>
            </w:pPr>
          </w:p>
        </w:tc>
        <w:tc>
          <w:tcPr>
            <w:tcW w:w="1113" w:type="pct"/>
            <w:gridSpan w:val="2"/>
            <w:vAlign w:val="center"/>
          </w:tcPr>
          <w:p w14:paraId="0DB37802">
            <w:pPr>
              <w:jc w:val="center"/>
              <w:rPr>
                <w:rFonts w:ascii="宋体" w:hAnsi="宋体" w:cs="宋体"/>
                <w:szCs w:val="21"/>
              </w:rPr>
            </w:pPr>
          </w:p>
        </w:tc>
        <w:tc>
          <w:tcPr>
            <w:tcW w:w="838" w:type="pct"/>
            <w:vAlign w:val="center"/>
          </w:tcPr>
          <w:p w14:paraId="2B5C5C21">
            <w:pPr>
              <w:jc w:val="center"/>
              <w:rPr>
                <w:rFonts w:ascii="宋体" w:hAnsi="宋体" w:cs="宋体"/>
                <w:szCs w:val="21"/>
              </w:rPr>
            </w:pPr>
          </w:p>
        </w:tc>
        <w:tc>
          <w:tcPr>
            <w:tcW w:w="830" w:type="pct"/>
            <w:vAlign w:val="center"/>
          </w:tcPr>
          <w:p w14:paraId="642E584F">
            <w:pPr>
              <w:jc w:val="center"/>
              <w:rPr>
                <w:rFonts w:ascii="宋体" w:hAnsi="宋体" w:cs="宋体"/>
                <w:szCs w:val="21"/>
              </w:rPr>
            </w:pPr>
          </w:p>
        </w:tc>
      </w:tr>
      <w:tr w14:paraId="4A1ED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8"/>
            <w:vAlign w:val="center"/>
          </w:tcPr>
          <w:p w14:paraId="058EC5E8">
            <w:pPr>
              <w:rPr>
                <w:rFonts w:ascii="宋体" w:hAnsi="宋体" w:cs="宋体"/>
                <w:szCs w:val="21"/>
              </w:rPr>
            </w:pPr>
            <w:r>
              <w:rPr>
                <w:rFonts w:hint="eastAsia" w:ascii="宋体" w:hAnsi="宋体" w:cs="宋体"/>
                <w:b/>
                <w:bCs/>
                <w:szCs w:val="21"/>
              </w:rPr>
              <w:t>说明：同一职务有多人担任（如主要技术人员），应分行填写。</w:t>
            </w:r>
          </w:p>
        </w:tc>
      </w:tr>
      <w:tr w14:paraId="5E749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5000" w:type="pct"/>
            <w:gridSpan w:val="8"/>
            <w:vAlign w:val="center"/>
          </w:tcPr>
          <w:p w14:paraId="5A981EDD">
            <w:pPr>
              <w:jc w:val="center"/>
              <w:rPr>
                <w:rFonts w:ascii="宋体" w:hAnsi="宋体" w:cs="宋体"/>
                <w:b/>
                <w:bCs/>
                <w:szCs w:val="21"/>
              </w:rPr>
            </w:pPr>
            <w:r>
              <w:rPr>
                <w:rFonts w:hint="eastAsia" w:ascii="宋体" w:hAnsi="宋体" w:cs="宋体"/>
                <w:b/>
                <w:bCs/>
                <w:szCs w:val="21"/>
              </w:rPr>
              <w:t>投标（响应）供应商关联关系情况</w:t>
            </w:r>
          </w:p>
        </w:tc>
      </w:tr>
      <w:tr w14:paraId="5FFA5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tcBorders>
              <w:bottom w:val="single" w:color="auto" w:sz="4" w:space="0"/>
            </w:tcBorders>
            <w:vAlign w:val="center"/>
          </w:tcPr>
          <w:p w14:paraId="310424FD">
            <w:pPr>
              <w:jc w:val="center"/>
              <w:rPr>
                <w:rFonts w:ascii="宋体" w:hAnsi="宋体" w:cs="宋体"/>
                <w:szCs w:val="21"/>
                <w:lang w:bidi="ar"/>
              </w:rPr>
            </w:pPr>
            <w:r>
              <w:rPr>
                <w:rFonts w:hint="eastAsia" w:ascii="宋体" w:hAnsi="宋体" w:cs="宋体"/>
                <w:szCs w:val="21"/>
                <w:lang w:bidi="ar"/>
              </w:rPr>
              <w:t>序号</w:t>
            </w:r>
          </w:p>
        </w:tc>
        <w:tc>
          <w:tcPr>
            <w:tcW w:w="1275" w:type="pct"/>
            <w:gridSpan w:val="2"/>
            <w:tcBorders>
              <w:bottom w:val="single" w:color="auto" w:sz="4" w:space="0"/>
            </w:tcBorders>
            <w:vAlign w:val="center"/>
          </w:tcPr>
          <w:p w14:paraId="6AAF83C3">
            <w:pPr>
              <w:jc w:val="center"/>
              <w:rPr>
                <w:rFonts w:ascii="宋体" w:hAnsi="宋体" w:cs="宋体"/>
                <w:szCs w:val="21"/>
              </w:rPr>
            </w:pPr>
            <w:r>
              <w:rPr>
                <w:rFonts w:hint="eastAsia" w:ascii="宋体" w:hAnsi="宋体" w:cs="宋体"/>
                <w:szCs w:val="21"/>
              </w:rPr>
              <w:t>关联关系类型</w:t>
            </w:r>
          </w:p>
        </w:tc>
        <w:tc>
          <w:tcPr>
            <w:tcW w:w="971" w:type="pct"/>
            <w:gridSpan w:val="2"/>
            <w:tcBorders>
              <w:bottom w:val="single" w:color="auto" w:sz="4" w:space="0"/>
            </w:tcBorders>
            <w:vAlign w:val="center"/>
          </w:tcPr>
          <w:p w14:paraId="58F36F83">
            <w:pPr>
              <w:jc w:val="center"/>
              <w:rPr>
                <w:rFonts w:ascii="宋体" w:hAnsi="宋体" w:cs="宋体"/>
                <w:szCs w:val="21"/>
              </w:rPr>
            </w:pPr>
            <w:r>
              <w:rPr>
                <w:rFonts w:hint="eastAsia" w:ascii="宋体" w:hAnsi="宋体" w:cs="宋体"/>
                <w:szCs w:val="21"/>
              </w:rPr>
              <w:t>关联主体名称</w:t>
            </w:r>
          </w:p>
        </w:tc>
        <w:tc>
          <w:tcPr>
            <w:tcW w:w="2340" w:type="pct"/>
            <w:gridSpan w:val="3"/>
            <w:tcBorders>
              <w:bottom w:val="single" w:color="auto" w:sz="4" w:space="0"/>
            </w:tcBorders>
            <w:vAlign w:val="center"/>
          </w:tcPr>
          <w:p w14:paraId="1222E25C">
            <w:pPr>
              <w:jc w:val="center"/>
              <w:rPr>
                <w:rFonts w:ascii="宋体" w:hAnsi="宋体" w:cs="宋体"/>
                <w:szCs w:val="21"/>
              </w:rPr>
            </w:pPr>
            <w:r>
              <w:rPr>
                <w:rFonts w:hint="eastAsia" w:ascii="宋体" w:hAnsi="宋体" w:cs="宋体"/>
                <w:szCs w:val="21"/>
              </w:rPr>
              <w:t>备注</w:t>
            </w:r>
          </w:p>
        </w:tc>
      </w:tr>
      <w:tr w14:paraId="75D15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1" w:type="pct"/>
            <w:tcBorders>
              <w:top w:val="single" w:color="auto" w:sz="4" w:space="0"/>
              <w:left w:val="single" w:color="auto" w:sz="4" w:space="0"/>
              <w:bottom w:val="single" w:color="auto" w:sz="4" w:space="0"/>
              <w:right w:val="single" w:color="auto" w:sz="4" w:space="0"/>
            </w:tcBorders>
            <w:vAlign w:val="center"/>
          </w:tcPr>
          <w:p w14:paraId="67F86E74">
            <w:pPr>
              <w:jc w:val="center"/>
              <w:rPr>
                <w:rFonts w:ascii="宋体" w:hAnsi="宋体" w:cs="宋体"/>
                <w:szCs w:val="21"/>
                <w:lang w:bidi="ar"/>
              </w:rPr>
            </w:pPr>
            <w:r>
              <w:rPr>
                <w:rFonts w:hint="eastAsia" w:ascii="宋体" w:hAnsi="宋体" w:cs="宋体"/>
                <w:szCs w:val="21"/>
                <w:lang w:bidi="ar"/>
              </w:rPr>
              <w:t>1</w:t>
            </w:r>
          </w:p>
        </w:tc>
        <w:tc>
          <w:tcPr>
            <w:tcW w:w="1275" w:type="pct"/>
            <w:gridSpan w:val="2"/>
            <w:tcBorders>
              <w:top w:val="single" w:color="auto" w:sz="4" w:space="0"/>
              <w:left w:val="single" w:color="auto" w:sz="4" w:space="0"/>
              <w:bottom w:val="single" w:color="auto" w:sz="4" w:space="0"/>
              <w:right w:val="single" w:color="auto" w:sz="4" w:space="0"/>
            </w:tcBorders>
            <w:vAlign w:val="center"/>
          </w:tcPr>
          <w:p w14:paraId="73B5C98C">
            <w:pPr>
              <w:jc w:val="center"/>
              <w:rPr>
                <w:rFonts w:ascii="宋体" w:hAnsi="宋体" w:cs="宋体"/>
                <w:szCs w:val="21"/>
              </w:rPr>
            </w:pPr>
            <w:r>
              <w:rPr>
                <w:rFonts w:hint="eastAsia" w:ascii="宋体" w:hAnsi="宋体" w:cs="宋体"/>
                <w:szCs w:val="21"/>
              </w:rPr>
              <w:t>控股股东</w:t>
            </w:r>
          </w:p>
        </w:tc>
        <w:tc>
          <w:tcPr>
            <w:tcW w:w="971" w:type="pct"/>
            <w:gridSpan w:val="2"/>
            <w:tcBorders>
              <w:top w:val="single" w:color="auto" w:sz="4" w:space="0"/>
              <w:left w:val="single" w:color="auto" w:sz="4" w:space="0"/>
              <w:bottom w:val="single" w:color="auto" w:sz="4" w:space="0"/>
              <w:right w:val="single" w:color="auto" w:sz="4" w:space="0"/>
            </w:tcBorders>
            <w:vAlign w:val="center"/>
          </w:tcPr>
          <w:p w14:paraId="16286BA8">
            <w:pPr>
              <w:jc w:val="center"/>
              <w:rPr>
                <w:rFonts w:ascii="宋体" w:hAnsi="宋体" w:cs="宋体"/>
                <w:szCs w:val="21"/>
              </w:rPr>
            </w:pPr>
          </w:p>
        </w:tc>
        <w:tc>
          <w:tcPr>
            <w:tcW w:w="2340" w:type="pct"/>
            <w:gridSpan w:val="3"/>
            <w:tcBorders>
              <w:top w:val="single" w:color="auto" w:sz="4" w:space="0"/>
              <w:left w:val="single" w:color="auto" w:sz="4" w:space="0"/>
              <w:bottom w:val="single" w:color="auto" w:sz="4" w:space="0"/>
              <w:right w:val="single" w:color="auto" w:sz="4" w:space="0"/>
            </w:tcBorders>
            <w:vAlign w:val="center"/>
          </w:tcPr>
          <w:p w14:paraId="48349EDF">
            <w:pPr>
              <w:snapToGrid w:val="0"/>
              <w:rPr>
                <w:rFonts w:ascii="宋体" w:hAnsi="宋体" w:cs="宋体"/>
                <w:szCs w:val="21"/>
              </w:rPr>
            </w:pPr>
            <w:r>
              <w:rPr>
                <w:rFonts w:hint="eastAsia" w:ascii="宋体" w:hAnsi="宋体" w:cs="宋体"/>
                <w:szCs w:val="21"/>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14:paraId="6CA5E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411" w:type="pct"/>
            <w:tcBorders>
              <w:top w:val="single" w:color="auto" w:sz="4" w:space="0"/>
              <w:left w:val="single" w:color="auto" w:sz="4" w:space="0"/>
              <w:bottom w:val="single" w:color="auto" w:sz="4" w:space="0"/>
              <w:right w:val="single" w:color="auto" w:sz="4" w:space="0"/>
            </w:tcBorders>
            <w:vAlign w:val="center"/>
          </w:tcPr>
          <w:p w14:paraId="2FF49C5E">
            <w:pPr>
              <w:jc w:val="center"/>
              <w:rPr>
                <w:rFonts w:ascii="宋体" w:hAnsi="宋体" w:cs="宋体"/>
                <w:szCs w:val="21"/>
                <w:lang w:bidi="ar"/>
              </w:rPr>
            </w:pPr>
            <w:r>
              <w:rPr>
                <w:rFonts w:hint="eastAsia" w:ascii="宋体" w:hAnsi="宋体" w:cs="宋体"/>
                <w:szCs w:val="21"/>
                <w:lang w:bidi="ar"/>
              </w:rPr>
              <w:t>2</w:t>
            </w:r>
          </w:p>
        </w:tc>
        <w:tc>
          <w:tcPr>
            <w:tcW w:w="1275" w:type="pct"/>
            <w:gridSpan w:val="2"/>
            <w:tcBorders>
              <w:top w:val="single" w:color="auto" w:sz="4" w:space="0"/>
              <w:left w:val="single" w:color="auto" w:sz="4" w:space="0"/>
              <w:bottom w:val="single" w:color="auto" w:sz="4" w:space="0"/>
              <w:right w:val="single" w:color="auto" w:sz="4" w:space="0"/>
            </w:tcBorders>
            <w:vAlign w:val="center"/>
          </w:tcPr>
          <w:p w14:paraId="0136625D">
            <w:pPr>
              <w:jc w:val="center"/>
              <w:rPr>
                <w:rFonts w:ascii="宋体" w:hAnsi="宋体" w:cs="宋体"/>
                <w:szCs w:val="21"/>
              </w:rPr>
            </w:pPr>
            <w:r>
              <w:rPr>
                <w:rFonts w:hint="eastAsia" w:ascii="宋体" w:hAnsi="宋体" w:cs="宋体"/>
                <w:szCs w:val="21"/>
              </w:rPr>
              <w:t>管理关系</w:t>
            </w:r>
          </w:p>
        </w:tc>
        <w:tc>
          <w:tcPr>
            <w:tcW w:w="971" w:type="pct"/>
            <w:gridSpan w:val="2"/>
            <w:tcBorders>
              <w:top w:val="single" w:color="auto" w:sz="4" w:space="0"/>
              <w:left w:val="single" w:color="auto" w:sz="4" w:space="0"/>
              <w:bottom w:val="single" w:color="auto" w:sz="4" w:space="0"/>
              <w:right w:val="single" w:color="auto" w:sz="4" w:space="0"/>
            </w:tcBorders>
            <w:vAlign w:val="center"/>
          </w:tcPr>
          <w:p w14:paraId="43623263">
            <w:pPr>
              <w:jc w:val="center"/>
              <w:rPr>
                <w:rFonts w:ascii="宋体" w:hAnsi="宋体" w:cs="宋体"/>
                <w:szCs w:val="21"/>
              </w:rPr>
            </w:pPr>
          </w:p>
        </w:tc>
        <w:tc>
          <w:tcPr>
            <w:tcW w:w="2340" w:type="pct"/>
            <w:gridSpan w:val="3"/>
            <w:tcBorders>
              <w:top w:val="single" w:color="auto" w:sz="4" w:space="0"/>
              <w:left w:val="single" w:color="auto" w:sz="4" w:space="0"/>
              <w:bottom w:val="single" w:color="auto" w:sz="4" w:space="0"/>
              <w:right w:val="single" w:color="auto" w:sz="4" w:space="0"/>
            </w:tcBorders>
            <w:vAlign w:val="center"/>
          </w:tcPr>
          <w:p w14:paraId="283B146B">
            <w:pPr>
              <w:snapToGrid w:val="0"/>
              <w:rPr>
                <w:rFonts w:ascii="宋体" w:hAnsi="宋体" w:cs="宋体"/>
                <w:szCs w:val="21"/>
              </w:rPr>
            </w:pPr>
            <w:r>
              <w:rPr>
                <w:rFonts w:hint="eastAsia" w:ascii="宋体" w:hAnsi="宋体" w:cs="宋体"/>
                <w:szCs w:val="21"/>
              </w:rPr>
              <w:t>指对投标（响应）供应商不具有出资持股关系，但对其存在管理关系的主体。</w:t>
            </w:r>
          </w:p>
        </w:tc>
      </w:tr>
      <w:tr w14:paraId="7D89C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5000" w:type="pct"/>
            <w:gridSpan w:val="8"/>
            <w:tcBorders>
              <w:top w:val="single" w:color="auto" w:sz="4" w:space="0"/>
              <w:left w:val="single" w:color="auto" w:sz="4" w:space="0"/>
              <w:bottom w:val="single" w:color="auto" w:sz="4" w:space="0"/>
              <w:right w:val="single" w:color="auto" w:sz="4" w:space="0"/>
            </w:tcBorders>
            <w:vAlign w:val="center"/>
          </w:tcPr>
          <w:p w14:paraId="04D7EB69">
            <w:pPr>
              <w:snapToGrid w:val="0"/>
              <w:rPr>
                <w:rFonts w:ascii="宋体" w:hAnsi="宋体" w:cs="宋体"/>
                <w:szCs w:val="21"/>
              </w:rPr>
            </w:pPr>
            <w:r>
              <w:rPr>
                <w:rFonts w:hint="eastAsia" w:ascii="宋体" w:hAnsi="宋体" w:cs="宋体"/>
                <w:b/>
                <w:bCs/>
                <w:szCs w:val="21"/>
              </w:rPr>
              <w:t>说明：同一关联关系类型有多个主体的，应分行填写。</w:t>
            </w:r>
          </w:p>
        </w:tc>
      </w:tr>
    </w:tbl>
    <w:p w14:paraId="44F584D5">
      <w:pPr>
        <w:pStyle w:val="53"/>
        <w:rPr>
          <w:rFonts w:ascii="宋体" w:hAnsi="宋体"/>
          <w:b/>
          <w:color w:val="FF0000"/>
          <w:sz w:val="28"/>
          <w:szCs w:val="28"/>
        </w:rPr>
      </w:pPr>
    </w:p>
    <w:p w14:paraId="57470A5D">
      <w:pPr>
        <w:pStyle w:val="4"/>
        <w:jc w:val="center"/>
        <w:rPr>
          <w:rFonts w:ascii="黑体" w:eastAsia="黑体"/>
          <w:b w:val="0"/>
          <w:sz w:val="24"/>
        </w:rPr>
      </w:pPr>
      <w:r>
        <w:rPr>
          <w:rFonts w:hint="eastAsia" w:ascii="黑体" w:eastAsia="黑体"/>
          <w:b w:val="0"/>
          <w:sz w:val="24"/>
        </w:rPr>
        <w:t>六、</w:t>
      </w:r>
      <w:bookmarkStart w:id="70" w:name="_Hlk72092499"/>
      <w:r>
        <w:rPr>
          <w:rFonts w:hint="eastAsia" w:ascii="黑体" w:eastAsia="黑体"/>
          <w:b w:val="0"/>
          <w:sz w:val="24"/>
        </w:rPr>
        <w:t>法定代表人（负责人）证明书</w:t>
      </w:r>
      <w:bookmarkEnd w:id="70"/>
    </w:p>
    <w:p w14:paraId="23577336">
      <w:pPr>
        <w:rPr>
          <w:sz w:val="24"/>
        </w:rPr>
      </w:pPr>
    </w:p>
    <w:p w14:paraId="09B5133D">
      <w:pPr>
        <w:spacing w:line="360" w:lineRule="auto"/>
        <w:ind w:firstLine="420" w:firstLineChars="200"/>
        <w:rPr>
          <w:szCs w:val="21"/>
        </w:rPr>
      </w:pPr>
      <w:r>
        <w:rPr>
          <w:rFonts w:hint="eastAsia"/>
          <w:szCs w:val="21"/>
          <w:u w:val="single"/>
        </w:rPr>
        <w:t xml:space="preserve">                 </w:t>
      </w:r>
      <w:r>
        <w:rPr>
          <w:rFonts w:hint="eastAsia"/>
          <w:szCs w:val="21"/>
        </w:rPr>
        <w:t>（姓名），现任我单位</w:t>
      </w:r>
      <w:r>
        <w:rPr>
          <w:rFonts w:hint="eastAsia"/>
          <w:szCs w:val="21"/>
          <w:u w:val="single"/>
        </w:rPr>
        <w:t xml:space="preserve">             </w:t>
      </w:r>
      <w:r>
        <w:rPr>
          <w:rFonts w:hint="eastAsia"/>
          <w:szCs w:val="21"/>
        </w:rPr>
        <w:t>职务，为法定代表人（负责人），身份证件号为：</w:t>
      </w:r>
      <w:r>
        <w:rPr>
          <w:rFonts w:hint="eastAsia"/>
          <w:szCs w:val="21"/>
          <w:u w:val="single"/>
        </w:rPr>
        <w:t xml:space="preserve">                                     </w:t>
      </w:r>
      <w:r>
        <w:rPr>
          <w:rFonts w:hint="eastAsia"/>
          <w:szCs w:val="21"/>
        </w:rPr>
        <w:t>，联系电话：</w:t>
      </w:r>
      <w:r>
        <w:rPr>
          <w:rFonts w:hint="eastAsia"/>
          <w:szCs w:val="21"/>
          <w:u w:val="single"/>
        </w:rPr>
        <w:t xml:space="preserve">                </w:t>
      </w:r>
      <w:r>
        <w:rPr>
          <w:rFonts w:hint="eastAsia"/>
          <w:szCs w:val="21"/>
        </w:rPr>
        <w:t>。</w:t>
      </w:r>
    </w:p>
    <w:p w14:paraId="35D15E25">
      <w:pPr>
        <w:spacing w:line="360" w:lineRule="auto"/>
        <w:ind w:firstLine="420" w:firstLineChars="200"/>
        <w:rPr>
          <w:szCs w:val="21"/>
        </w:rPr>
      </w:pPr>
      <w:r>
        <w:rPr>
          <w:rFonts w:hint="eastAsia"/>
          <w:szCs w:val="21"/>
        </w:rPr>
        <w:t>特此证明。</w:t>
      </w:r>
    </w:p>
    <w:p w14:paraId="5AF065D8">
      <w:pPr>
        <w:spacing w:line="360" w:lineRule="auto"/>
        <w:ind w:firstLine="420" w:firstLineChars="200"/>
        <w:rPr>
          <w:szCs w:val="21"/>
        </w:rPr>
      </w:pPr>
      <w:r>
        <w:rPr>
          <w:rFonts w:hint="eastAsia"/>
          <w:szCs w:val="21"/>
        </w:rPr>
        <w:t>说明：1、法定代表人为投标人（企业事业单位、国家机关、社会团体）的主要行政负责人。</w:t>
      </w:r>
    </w:p>
    <w:p w14:paraId="7B4488B1">
      <w:pPr>
        <w:numPr>
          <w:ilvl w:val="0"/>
          <w:numId w:val="9"/>
        </w:numPr>
        <w:spacing w:line="360" w:lineRule="auto"/>
        <w:ind w:firstLine="420" w:firstLineChars="200"/>
        <w:rPr>
          <w:szCs w:val="21"/>
        </w:rPr>
      </w:pPr>
      <w:r>
        <w:rPr>
          <w:rFonts w:hint="eastAsia"/>
          <w:szCs w:val="21"/>
          <w:lang w:eastAsia="zh-Hans"/>
        </w:rPr>
        <w:t>本证明书要供法定代表人（负责人）</w:t>
      </w:r>
      <w:r>
        <w:rPr>
          <w:rFonts w:hint="eastAsia"/>
          <w:szCs w:val="21"/>
        </w:rPr>
        <w:t>相关身份证明文件：身份证扫描件（正反两面）；港澳台居民可提供来往通行证扫描件；非中国国籍管辖范围人员，可提供公安部门认可的身份证明材料扫描件。</w:t>
      </w:r>
    </w:p>
    <w:p w14:paraId="403F50E8">
      <w:pPr>
        <w:numPr>
          <w:ilvl w:val="0"/>
          <w:numId w:val="9"/>
        </w:numPr>
        <w:spacing w:line="360" w:lineRule="auto"/>
        <w:ind w:firstLine="420" w:firstLineChars="200"/>
        <w:rPr>
          <w:szCs w:val="21"/>
        </w:rPr>
      </w:pPr>
      <w:r>
        <w:rPr>
          <w:rFonts w:hint="eastAsia"/>
          <w:szCs w:val="21"/>
          <w:lang w:eastAsia="zh-Hans"/>
        </w:rPr>
        <w:t>本项目投标授权代表为法定代表人（负责人）的，无需提供</w:t>
      </w:r>
      <w:r>
        <w:rPr>
          <w:rFonts w:hint="eastAsia"/>
          <w:szCs w:val="21"/>
        </w:rPr>
        <w:t>《投标文件签署授权委托书》</w:t>
      </w:r>
      <w:r>
        <w:rPr>
          <w:rFonts w:hint="eastAsia"/>
          <w:szCs w:val="21"/>
          <w:lang w:eastAsia="zh-Hans"/>
        </w:rPr>
        <w:t>。</w:t>
      </w:r>
    </w:p>
    <w:p w14:paraId="0610469F">
      <w:pPr>
        <w:numPr>
          <w:ilvl w:val="0"/>
          <w:numId w:val="9"/>
        </w:numPr>
        <w:spacing w:line="360" w:lineRule="auto"/>
        <w:ind w:firstLine="420" w:firstLineChars="200"/>
        <w:rPr>
          <w:szCs w:val="21"/>
        </w:rPr>
      </w:pPr>
      <w:r>
        <w:rPr>
          <w:rFonts w:hint="eastAsia"/>
          <w:szCs w:val="21"/>
        </w:rPr>
        <w:t>内容必须填写真实、清楚，涂改无效，不得转让、买卖。</w:t>
      </w:r>
    </w:p>
    <w:tbl>
      <w:tblPr>
        <w:tblStyle w:val="44"/>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4"/>
        <w:gridCol w:w="4265"/>
      </w:tblGrid>
      <w:tr w14:paraId="7D9F2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tcPr>
          <w:p w14:paraId="37047E8B">
            <w:pPr>
              <w:jc w:val="center"/>
            </w:pPr>
            <w:r>
              <w:rPr>
                <w:rFonts w:hint="eastAsia"/>
              </w:rPr>
              <w:t>证件扫描件正面</w:t>
            </w:r>
          </w:p>
          <w:p w14:paraId="1400C73D">
            <w:pPr>
              <w:pStyle w:val="2"/>
              <w:jc w:val="center"/>
            </w:pPr>
          </w:p>
          <w:p w14:paraId="26E15429">
            <w:pPr>
              <w:pStyle w:val="36"/>
              <w:jc w:val="center"/>
            </w:pPr>
          </w:p>
          <w:p w14:paraId="04F75438">
            <w:pPr>
              <w:pStyle w:val="36"/>
              <w:jc w:val="center"/>
            </w:pPr>
          </w:p>
          <w:p w14:paraId="288022FE">
            <w:pPr>
              <w:pStyle w:val="36"/>
              <w:jc w:val="center"/>
            </w:pPr>
          </w:p>
          <w:p w14:paraId="7007017A">
            <w:pPr>
              <w:pStyle w:val="36"/>
              <w:jc w:val="center"/>
            </w:pPr>
          </w:p>
          <w:p w14:paraId="441E5270">
            <w:pPr>
              <w:pStyle w:val="36"/>
              <w:jc w:val="center"/>
            </w:pPr>
          </w:p>
          <w:p w14:paraId="65F5599D">
            <w:pPr>
              <w:pStyle w:val="36"/>
              <w:jc w:val="center"/>
            </w:pPr>
          </w:p>
        </w:tc>
        <w:tc>
          <w:tcPr>
            <w:tcW w:w="4265" w:type="dxa"/>
          </w:tcPr>
          <w:p w14:paraId="25E24AE9">
            <w:pPr>
              <w:jc w:val="center"/>
            </w:pPr>
            <w:r>
              <w:rPr>
                <w:rFonts w:hint="eastAsia"/>
              </w:rPr>
              <w:t>证件扫描件反面</w:t>
            </w:r>
          </w:p>
          <w:p w14:paraId="35618B1F">
            <w:pPr>
              <w:pStyle w:val="2"/>
              <w:jc w:val="center"/>
            </w:pPr>
          </w:p>
          <w:p w14:paraId="11C9C326">
            <w:pPr>
              <w:pStyle w:val="36"/>
              <w:jc w:val="center"/>
            </w:pPr>
          </w:p>
        </w:tc>
      </w:tr>
    </w:tbl>
    <w:p w14:paraId="72F8B895">
      <w:pPr>
        <w:rPr>
          <w:sz w:val="24"/>
        </w:rPr>
      </w:pPr>
    </w:p>
    <w:p w14:paraId="6DC03855">
      <w:pPr>
        <w:pStyle w:val="53"/>
        <w:rPr>
          <w:sz w:val="24"/>
        </w:rPr>
      </w:pPr>
      <w:r>
        <w:rPr>
          <w:rFonts w:hint="eastAsia" w:ascii="黑体" w:hAnsi="黑体" w:eastAsia="黑体" w:cs="黑体"/>
          <w:b/>
          <w:bCs/>
          <w:sz w:val="24"/>
          <w:szCs w:val="24"/>
        </w:rPr>
        <w:t>温馨提示</w:t>
      </w:r>
      <w:r>
        <w:rPr>
          <w:rFonts w:hint="eastAsia" w:ascii="黑体" w:hAnsi="黑体" w:eastAsia="黑体" w:cs="黑体"/>
          <w:sz w:val="24"/>
          <w:szCs w:val="24"/>
        </w:rPr>
        <w:t>：</w:t>
      </w:r>
      <w:r>
        <w:rPr>
          <w:rFonts w:hint="eastAsia" w:ascii="Times New Roman" w:hAnsi="Times New Roman"/>
          <w:szCs w:val="21"/>
        </w:rPr>
        <w:t>为避免出现《深圳经济特区政府采购条例实施细则》第七十五条第二项所列情形，请投标供应商核实贵单位法定代表人、本项目投标授权代表人、项目负责人（如有）、主要技术人员（如有）等是否在贵单位缴纳社会保险。</w:t>
      </w:r>
    </w:p>
    <w:p w14:paraId="549D27C0">
      <w:pPr>
        <w:pStyle w:val="53"/>
        <w:rPr>
          <w:sz w:val="24"/>
        </w:rPr>
      </w:pPr>
    </w:p>
    <w:p w14:paraId="2AC9BDF8">
      <w:pPr>
        <w:pStyle w:val="53"/>
        <w:rPr>
          <w:sz w:val="24"/>
        </w:rPr>
        <w:sectPr>
          <w:pgSz w:w="11907" w:h="16840"/>
          <w:pgMar w:top="1440" w:right="1797" w:bottom="1440" w:left="1797" w:header="851" w:footer="992" w:gutter="0"/>
          <w:cols w:space="425" w:num="1"/>
          <w:titlePg/>
          <w:docGrid w:linePitch="462" w:charSpace="0"/>
        </w:sectPr>
      </w:pPr>
    </w:p>
    <w:p w14:paraId="4EA97AB7">
      <w:pPr>
        <w:pStyle w:val="53"/>
        <w:rPr>
          <w:sz w:val="24"/>
        </w:rPr>
      </w:pPr>
    </w:p>
    <w:p w14:paraId="532233D6">
      <w:pPr>
        <w:pStyle w:val="4"/>
        <w:spacing w:before="120" w:after="120"/>
        <w:jc w:val="center"/>
        <w:rPr>
          <w:rFonts w:ascii="黑体" w:eastAsia="黑体"/>
          <w:b w:val="0"/>
          <w:sz w:val="24"/>
        </w:rPr>
      </w:pPr>
      <w:r>
        <w:rPr>
          <w:rFonts w:hint="eastAsia" w:ascii="黑体" w:eastAsia="黑体"/>
          <w:b w:val="0"/>
          <w:sz w:val="24"/>
        </w:rPr>
        <w:t>七、投标文件签署授权委托书</w:t>
      </w:r>
    </w:p>
    <w:p w14:paraId="1C61730B">
      <w:pPr>
        <w:spacing w:line="360" w:lineRule="auto"/>
        <w:ind w:firstLine="420" w:firstLineChars="200"/>
        <w:rPr>
          <w:szCs w:val="21"/>
        </w:rPr>
      </w:pPr>
      <w:r>
        <w:rPr>
          <w:rFonts w:hint="eastAsia"/>
          <w:szCs w:val="21"/>
        </w:rPr>
        <w:t>本授权委托书声明：我</w:t>
      </w:r>
      <w:r>
        <w:rPr>
          <w:rFonts w:hint="eastAsia"/>
          <w:szCs w:val="21"/>
          <w:u w:val="single"/>
        </w:rPr>
        <w:t xml:space="preserve">           </w:t>
      </w:r>
      <w:r>
        <w:rPr>
          <w:rFonts w:hint="eastAsia"/>
          <w:szCs w:val="21"/>
        </w:rPr>
        <w:t>（姓名）系</w:t>
      </w:r>
      <w:r>
        <w:rPr>
          <w:rFonts w:hint="eastAsia"/>
          <w:szCs w:val="21"/>
          <w:u w:val="single"/>
        </w:rPr>
        <w:t xml:space="preserve">             </w:t>
      </w:r>
      <w:r>
        <w:rPr>
          <w:rFonts w:hint="eastAsia"/>
          <w:szCs w:val="21"/>
        </w:rPr>
        <w:t>（投标人名称）的法定代表人（负责人），现授权委托</w:t>
      </w:r>
      <w:r>
        <w:rPr>
          <w:rFonts w:hint="eastAsia"/>
          <w:szCs w:val="21"/>
          <w:u w:val="single"/>
        </w:rPr>
        <w:t xml:space="preserve">            </w:t>
      </w:r>
      <w:r>
        <w:rPr>
          <w:rFonts w:hint="eastAsia"/>
          <w:szCs w:val="21"/>
        </w:rPr>
        <w:t>（姓名）为我单位签署本项目已递交的投标文件的法定代表人（负责人）的授权委托代理人，代理人全权代表我所签署的本项目已递交的投标文件内容我均承认。</w:t>
      </w:r>
    </w:p>
    <w:p w14:paraId="7389A455">
      <w:pPr>
        <w:spacing w:line="360" w:lineRule="auto"/>
        <w:ind w:firstLine="420" w:firstLineChars="200"/>
        <w:rPr>
          <w:szCs w:val="21"/>
        </w:rPr>
      </w:pPr>
      <w:r>
        <w:rPr>
          <w:rFonts w:hint="eastAsia"/>
          <w:szCs w:val="21"/>
        </w:rPr>
        <w:t>代理人无转委托权，特此委托。</w:t>
      </w:r>
    </w:p>
    <w:p w14:paraId="69147F03">
      <w:pPr>
        <w:spacing w:line="360" w:lineRule="auto"/>
        <w:ind w:firstLine="420" w:firstLineChars="200"/>
        <w:rPr>
          <w:szCs w:val="21"/>
        </w:rPr>
      </w:pPr>
    </w:p>
    <w:p w14:paraId="775F9F63">
      <w:pPr>
        <w:spacing w:line="360" w:lineRule="auto"/>
        <w:ind w:firstLine="420" w:firstLineChars="200"/>
        <w:rPr>
          <w:szCs w:val="21"/>
        </w:rPr>
      </w:pPr>
      <w:r>
        <w:rPr>
          <w:rFonts w:hint="eastAsia"/>
          <w:szCs w:val="21"/>
        </w:rPr>
        <w:t>代理人：</w:t>
      </w:r>
      <w:r>
        <w:rPr>
          <w:rFonts w:hint="eastAsia"/>
          <w:szCs w:val="21"/>
          <w:u w:val="single"/>
        </w:rPr>
        <w:t xml:space="preserve">              </w:t>
      </w:r>
      <w:r>
        <w:rPr>
          <w:rFonts w:hint="eastAsia"/>
          <w:szCs w:val="21"/>
        </w:rPr>
        <w:t>；</w:t>
      </w:r>
    </w:p>
    <w:p w14:paraId="17EAA4E1">
      <w:pPr>
        <w:spacing w:line="360" w:lineRule="auto"/>
        <w:ind w:firstLine="420" w:firstLineChars="200"/>
        <w:rPr>
          <w:szCs w:val="21"/>
        </w:rPr>
      </w:pPr>
      <w:r>
        <w:rPr>
          <w:rFonts w:hint="eastAsia"/>
          <w:szCs w:val="21"/>
        </w:rPr>
        <w:t>身份证件号：</w:t>
      </w:r>
      <w:r>
        <w:rPr>
          <w:rFonts w:hint="eastAsia"/>
          <w:szCs w:val="21"/>
          <w:u w:val="single"/>
        </w:rPr>
        <w:t xml:space="preserve">                        </w:t>
      </w:r>
      <w:r>
        <w:rPr>
          <w:rFonts w:hint="eastAsia"/>
          <w:szCs w:val="21"/>
        </w:rPr>
        <w:t>，职务：</w:t>
      </w:r>
      <w:r>
        <w:rPr>
          <w:rFonts w:hint="eastAsia"/>
          <w:szCs w:val="21"/>
          <w:u w:val="single"/>
        </w:rPr>
        <w:t xml:space="preserve">                </w:t>
      </w:r>
      <w:r>
        <w:rPr>
          <w:rFonts w:hint="eastAsia"/>
          <w:szCs w:val="21"/>
        </w:rPr>
        <w:t>；</w:t>
      </w:r>
    </w:p>
    <w:p w14:paraId="6E19EE5F">
      <w:pPr>
        <w:spacing w:line="360" w:lineRule="auto"/>
        <w:ind w:firstLine="420" w:firstLineChars="200"/>
        <w:rPr>
          <w:szCs w:val="21"/>
        </w:rPr>
      </w:pPr>
      <w:r>
        <w:rPr>
          <w:rFonts w:hint="eastAsia"/>
          <w:szCs w:val="21"/>
        </w:rPr>
        <w:t>联系电话：</w:t>
      </w:r>
      <w:r>
        <w:rPr>
          <w:rFonts w:hint="eastAsia"/>
          <w:szCs w:val="21"/>
          <w:u w:val="single"/>
        </w:rPr>
        <w:t xml:space="preserve">            </w:t>
      </w:r>
      <w:r>
        <w:rPr>
          <w:rFonts w:hint="eastAsia"/>
          <w:szCs w:val="21"/>
        </w:rPr>
        <w:t>，手机：</w:t>
      </w:r>
      <w:r>
        <w:rPr>
          <w:rFonts w:hint="eastAsia"/>
          <w:szCs w:val="21"/>
          <w:u w:val="single"/>
        </w:rPr>
        <w:t xml:space="preserve">                   </w:t>
      </w:r>
      <w:r>
        <w:rPr>
          <w:rFonts w:hint="eastAsia"/>
          <w:szCs w:val="21"/>
        </w:rPr>
        <w:t>，电子邮箱：</w:t>
      </w:r>
      <w:r>
        <w:rPr>
          <w:rFonts w:hint="eastAsia"/>
          <w:szCs w:val="21"/>
          <w:u w:val="single"/>
        </w:rPr>
        <w:t xml:space="preserve">                        </w:t>
      </w:r>
      <w:r>
        <w:rPr>
          <w:rFonts w:hint="eastAsia"/>
          <w:szCs w:val="21"/>
        </w:rPr>
        <w:t>；</w:t>
      </w:r>
    </w:p>
    <w:p w14:paraId="48CC791D">
      <w:pPr>
        <w:spacing w:line="360" w:lineRule="auto"/>
        <w:ind w:firstLine="420" w:firstLineChars="200"/>
        <w:rPr>
          <w:szCs w:val="21"/>
        </w:rPr>
      </w:pPr>
      <w:r>
        <w:rPr>
          <w:rFonts w:hint="eastAsia"/>
          <w:szCs w:val="21"/>
        </w:rPr>
        <w:t>授权委托日期：</w:t>
      </w:r>
      <w:r>
        <w:rPr>
          <w:rFonts w:hint="eastAsia"/>
          <w:szCs w:val="21"/>
          <w:u w:val="single"/>
        </w:rPr>
        <w:t xml:space="preserve">         </w:t>
      </w:r>
      <w:r>
        <w:rPr>
          <w:rFonts w:hint="eastAsia"/>
          <w:szCs w:val="21"/>
        </w:rPr>
        <w:t>年</w:t>
      </w:r>
      <w:r>
        <w:rPr>
          <w:rFonts w:hint="eastAsia"/>
          <w:szCs w:val="21"/>
          <w:u w:val="single"/>
        </w:rPr>
        <w:t xml:space="preserve">     </w:t>
      </w:r>
      <w:r>
        <w:rPr>
          <w:rFonts w:hint="eastAsia"/>
          <w:szCs w:val="21"/>
        </w:rPr>
        <w:t xml:space="preserve">月 </w:t>
      </w:r>
      <w:r>
        <w:rPr>
          <w:rFonts w:hint="eastAsia"/>
          <w:szCs w:val="21"/>
          <w:u w:val="single"/>
        </w:rPr>
        <w:t xml:space="preserve">      </w:t>
      </w:r>
      <w:r>
        <w:rPr>
          <w:rFonts w:hint="eastAsia"/>
          <w:szCs w:val="21"/>
        </w:rPr>
        <w:t>日。</w:t>
      </w:r>
    </w:p>
    <w:p w14:paraId="2C47679D">
      <w:pPr>
        <w:spacing w:line="360" w:lineRule="auto"/>
        <w:ind w:firstLine="422" w:firstLineChars="200"/>
        <w:rPr>
          <w:b/>
          <w:color w:val="FF0000"/>
          <w:szCs w:val="21"/>
        </w:rPr>
      </w:pPr>
      <w:r>
        <w:rPr>
          <w:rFonts w:hint="eastAsia"/>
          <w:b/>
          <w:color w:val="FF0000"/>
          <w:szCs w:val="21"/>
        </w:rPr>
        <w:t>附：请提供代理人身份证扫描件（正反两面）；港澳台居民可提供来往通行证扫描件；非中国国籍管辖范围人员，可提供公安部门认可的身份证明材料扫描件。</w:t>
      </w:r>
    </w:p>
    <w:tbl>
      <w:tblPr>
        <w:tblStyle w:val="44"/>
        <w:tblW w:w="85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4"/>
        <w:gridCol w:w="4265"/>
      </w:tblGrid>
      <w:tr w14:paraId="4BB40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4" w:type="dxa"/>
          </w:tcPr>
          <w:p w14:paraId="74F0045D">
            <w:pPr>
              <w:jc w:val="center"/>
            </w:pPr>
            <w:r>
              <w:rPr>
                <w:rFonts w:hint="eastAsia"/>
              </w:rPr>
              <w:t>证件扫描件正面</w:t>
            </w:r>
          </w:p>
          <w:p w14:paraId="36008381">
            <w:pPr>
              <w:pStyle w:val="2"/>
              <w:jc w:val="center"/>
            </w:pPr>
          </w:p>
          <w:p w14:paraId="2273FD3D">
            <w:pPr>
              <w:pStyle w:val="36"/>
              <w:jc w:val="center"/>
            </w:pPr>
          </w:p>
          <w:p w14:paraId="49F2EB03">
            <w:pPr>
              <w:pStyle w:val="36"/>
              <w:jc w:val="center"/>
            </w:pPr>
          </w:p>
          <w:p w14:paraId="5AB96E46">
            <w:pPr>
              <w:pStyle w:val="36"/>
              <w:jc w:val="center"/>
            </w:pPr>
          </w:p>
          <w:p w14:paraId="5DF8996D">
            <w:pPr>
              <w:pStyle w:val="36"/>
              <w:jc w:val="center"/>
            </w:pPr>
          </w:p>
          <w:p w14:paraId="30F6D27D">
            <w:pPr>
              <w:pStyle w:val="36"/>
              <w:jc w:val="center"/>
            </w:pPr>
          </w:p>
          <w:p w14:paraId="00D58F65">
            <w:pPr>
              <w:pStyle w:val="36"/>
              <w:jc w:val="center"/>
            </w:pPr>
          </w:p>
        </w:tc>
        <w:tc>
          <w:tcPr>
            <w:tcW w:w="4265" w:type="dxa"/>
          </w:tcPr>
          <w:p w14:paraId="49BC5378">
            <w:pPr>
              <w:jc w:val="center"/>
            </w:pPr>
            <w:r>
              <w:rPr>
                <w:rFonts w:hint="eastAsia"/>
              </w:rPr>
              <w:t>证件扫描件反面</w:t>
            </w:r>
          </w:p>
          <w:p w14:paraId="31EF15CF">
            <w:pPr>
              <w:pStyle w:val="2"/>
              <w:jc w:val="center"/>
            </w:pPr>
          </w:p>
          <w:p w14:paraId="5A6B4755">
            <w:pPr>
              <w:pStyle w:val="36"/>
              <w:jc w:val="center"/>
            </w:pPr>
          </w:p>
        </w:tc>
      </w:tr>
    </w:tbl>
    <w:p w14:paraId="60AD2A21">
      <w:pPr>
        <w:rPr>
          <w:rFonts w:ascii="黑体" w:hAnsi="黑体" w:eastAsia="黑体" w:cs="黑体"/>
          <w:b/>
          <w:bCs/>
          <w:sz w:val="24"/>
        </w:rPr>
      </w:pPr>
    </w:p>
    <w:p w14:paraId="23694054">
      <w:pPr>
        <w:rPr>
          <w:rFonts w:ascii="Calibri" w:hAnsi="Calibri"/>
          <w:szCs w:val="22"/>
        </w:rPr>
      </w:pPr>
      <w:r>
        <w:rPr>
          <w:rFonts w:hint="eastAsia" w:ascii="黑体" w:hAnsi="黑体" w:eastAsia="黑体" w:cs="黑体"/>
          <w:b/>
          <w:bCs/>
          <w:sz w:val="24"/>
        </w:rPr>
        <w:t>温馨提示</w:t>
      </w:r>
      <w:r>
        <w:rPr>
          <w:rFonts w:hint="eastAsia" w:ascii="黑体" w:hAnsi="黑体" w:eastAsia="黑体" w:cs="黑体"/>
          <w:sz w:val="24"/>
        </w:rPr>
        <w:t>：</w:t>
      </w:r>
      <w:r>
        <w:rPr>
          <w:rFonts w:hint="eastAsia"/>
          <w:szCs w:val="21"/>
        </w:rPr>
        <w:t>为避免出现《深圳经济特区政府采购条例实施细则》第七十五条第二项所列情形，请投标供应商核实贵单位法定代表人、本项目投标授权代表人、项目负责人（如有）、主要技术人员（如有）等是否在贵单位缴纳社会保险。</w:t>
      </w:r>
    </w:p>
    <w:p w14:paraId="37B159AC">
      <w:pPr>
        <w:rPr>
          <w:rFonts w:ascii="Calibri" w:hAnsi="Calibri"/>
          <w:szCs w:val="22"/>
        </w:rPr>
      </w:pPr>
    </w:p>
    <w:p w14:paraId="05878669">
      <w:pPr>
        <w:rPr>
          <w:rFonts w:ascii="Calibri" w:hAnsi="Calibri"/>
          <w:szCs w:val="22"/>
        </w:rPr>
      </w:pPr>
    </w:p>
    <w:p w14:paraId="33126B39">
      <w:pPr>
        <w:rPr>
          <w:rFonts w:ascii="Calibri" w:hAnsi="Calibri"/>
          <w:szCs w:val="22"/>
        </w:rPr>
      </w:pPr>
    </w:p>
    <w:p w14:paraId="3A94B073">
      <w:pPr>
        <w:rPr>
          <w:rFonts w:ascii="黑体" w:eastAsia="黑体"/>
          <w:kern w:val="0"/>
          <w:sz w:val="24"/>
        </w:rPr>
      </w:pPr>
    </w:p>
    <w:p w14:paraId="79BF0682">
      <w:pPr>
        <w:pStyle w:val="53"/>
        <w:rPr>
          <w:rFonts w:ascii="黑体" w:eastAsia="黑体"/>
          <w:kern w:val="0"/>
          <w:sz w:val="24"/>
          <w:szCs w:val="24"/>
        </w:rPr>
        <w:sectPr>
          <w:pgSz w:w="11907" w:h="16840"/>
          <w:pgMar w:top="1440" w:right="1797" w:bottom="1440" w:left="1797" w:header="851" w:footer="992" w:gutter="0"/>
          <w:cols w:space="425" w:num="1"/>
          <w:titlePg/>
          <w:docGrid w:linePitch="462" w:charSpace="0"/>
        </w:sectPr>
      </w:pPr>
    </w:p>
    <w:p w14:paraId="22BC69B7">
      <w:pPr>
        <w:pStyle w:val="4"/>
        <w:jc w:val="center"/>
        <w:rPr>
          <w:rFonts w:ascii="黑体" w:eastAsia="黑体"/>
          <w:b w:val="0"/>
          <w:kern w:val="0"/>
          <w:sz w:val="24"/>
          <w:szCs w:val="24"/>
        </w:rPr>
      </w:pPr>
      <w:r>
        <w:rPr>
          <w:rFonts w:hint="eastAsia" w:ascii="黑体" w:eastAsia="黑体"/>
          <w:b w:val="0"/>
          <w:kern w:val="0"/>
          <w:sz w:val="24"/>
          <w:szCs w:val="24"/>
        </w:rPr>
        <w:t>八、</w:t>
      </w:r>
      <w:bookmarkStart w:id="71" w:name="_Hlk72092634"/>
      <w:r>
        <w:rPr>
          <w:rFonts w:hint="eastAsia" w:ascii="黑体" w:eastAsia="黑体"/>
          <w:b w:val="0"/>
          <w:kern w:val="0"/>
          <w:sz w:val="24"/>
          <w:szCs w:val="24"/>
        </w:rPr>
        <w:t>实质性条款响应情况表</w:t>
      </w:r>
      <w:bookmarkEnd w:id="71"/>
    </w:p>
    <w:tbl>
      <w:tblPr>
        <w:tblStyle w:val="43"/>
        <w:tblW w:w="82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5"/>
        <w:gridCol w:w="5498"/>
        <w:gridCol w:w="654"/>
        <w:gridCol w:w="642"/>
        <w:gridCol w:w="718"/>
      </w:tblGrid>
      <w:tr w14:paraId="2108E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705" w:type="dxa"/>
            <w:vAlign w:val="center"/>
          </w:tcPr>
          <w:p w14:paraId="64A36BF2">
            <w:pPr>
              <w:adjustRightInd w:val="0"/>
              <w:snapToGrid w:val="0"/>
              <w:spacing w:line="360" w:lineRule="auto"/>
              <w:jc w:val="center"/>
              <w:rPr>
                <w:rFonts w:ascii="宋体" w:hAnsi="宋体"/>
                <w:kern w:val="0"/>
                <w:szCs w:val="21"/>
              </w:rPr>
            </w:pPr>
            <w:bookmarkStart w:id="72" w:name="_Hlk72092651"/>
            <w:r>
              <w:rPr>
                <w:rFonts w:hint="eastAsia" w:ascii="宋体" w:hAnsi="宋体"/>
                <w:kern w:val="0"/>
                <w:szCs w:val="21"/>
              </w:rPr>
              <w:t>序号</w:t>
            </w:r>
          </w:p>
        </w:tc>
        <w:tc>
          <w:tcPr>
            <w:tcW w:w="5498" w:type="dxa"/>
            <w:vAlign w:val="center"/>
          </w:tcPr>
          <w:p w14:paraId="5B3588F8">
            <w:pPr>
              <w:adjustRightInd w:val="0"/>
              <w:snapToGrid w:val="0"/>
              <w:spacing w:line="360" w:lineRule="auto"/>
              <w:jc w:val="center"/>
              <w:rPr>
                <w:rFonts w:ascii="宋体" w:hAnsi="宋体"/>
                <w:kern w:val="0"/>
                <w:szCs w:val="21"/>
              </w:rPr>
            </w:pPr>
            <w:r>
              <w:rPr>
                <w:rFonts w:hint="eastAsia" w:ascii="宋体" w:hAnsi="宋体"/>
                <w:kern w:val="0"/>
                <w:szCs w:val="21"/>
              </w:rPr>
              <w:t>实质性条款具体内容</w:t>
            </w:r>
          </w:p>
        </w:tc>
        <w:tc>
          <w:tcPr>
            <w:tcW w:w="654" w:type="dxa"/>
            <w:vAlign w:val="center"/>
          </w:tcPr>
          <w:p w14:paraId="13CDC44B">
            <w:pPr>
              <w:adjustRightInd w:val="0"/>
              <w:snapToGrid w:val="0"/>
              <w:spacing w:line="360" w:lineRule="auto"/>
              <w:jc w:val="center"/>
              <w:rPr>
                <w:rFonts w:ascii="宋体" w:hAnsi="宋体"/>
                <w:kern w:val="0"/>
                <w:szCs w:val="21"/>
              </w:rPr>
            </w:pPr>
            <w:r>
              <w:rPr>
                <w:rFonts w:hint="eastAsia"/>
              </w:rPr>
              <w:t>投标响应</w:t>
            </w:r>
          </w:p>
        </w:tc>
        <w:tc>
          <w:tcPr>
            <w:tcW w:w="642" w:type="dxa"/>
            <w:vAlign w:val="center"/>
          </w:tcPr>
          <w:p w14:paraId="7A654EF0">
            <w:pPr>
              <w:adjustRightInd w:val="0"/>
              <w:snapToGrid w:val="0"/>
              <w:spacing w:line="360" w:lineRule="auto"/>
              <w:jc w:val="center"/>
              <w:rPr>
                <w:rFonts w:ascii="宋体" w:hAnsi="宋体"/>
                <w:kern w:val="0"/>
                <w:szCs w:val="21"/>
              </w:rPr>
            </w:pPr>
            <w:r>
              <w:rPr>
                <w:rFonts w:hint="eastAsia"/>
              </w:rPr>
              <w:t>偏离情况</w:t>
            </w:r>
          </w:p>
        </w:tc>
        <w:tc>
          <w:tcPr>
            <w:tcW w:w="718" w:type="dxa"/>
            <w:vAlign w:val="center"/>
          </w:tcPr>
          <w:p w14:paraId="0E6764AC">
            <w:pPr>
              <w:adjustRightInd w:val="0"/>
              <w:snapToGrid w:val="0"/>
              <w:spacing w:line="360" w:lineRule="auto"/>
              <w:jc w:val="center"/>
              <w:rPr>
                <w:rFonts w:ascii="宋体" w:hAnsi="宋体"/>
                <w:kern w:val="0"/>
                <w:szCs w:val="21"/>
              </w:rPr>
            </w:pPr>
            <w:r>
              <w:rPr>
                <w:rFonts w:hint="eastAsia"/>
              </w:rPr>
              <w:t>说明</w:t>
            </w:r>
          </w:p>
        </w:tc>
      </w:tr>
      <w:bookmarkEnd w:id="72"/>
      <w:tr w14:paraId="0877F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tcPr>
          <w:p w14:paraId="56ED3A8D">
            <w:pPr>
              <w:adjustRightInd w:val="0"/>
              <w:snapToGrid w:val="0"/>
              <w:spacing w:line="360" w:lineRule="auto"/>
              <w:rPr>
                <w:rFonts w:ascii="宋体" w:hAnsi="宋体"/>
                <w:kern w:val="0"/>
                <w:szCs w:val="21"/>
              </w:rPr>
            </w:pPr>
            <w:r>
              <w:rPr>
                <w:rFonts w:hint="eastAsia" w:ascii="宋体" w:hAnsi="宋体"/>
                <w:kern w:val="0"/>
                <w:szCs w:val="21"/>
              </w:rPr>
              <w:t>1</w:t>
            </w:r>
          </w:p>
        </w:tc>
        <w:tc>
          <w:tcPr>
            <w:tcW w:w="5498" w:type="dxa"/>
            <w:vAlign w:val="center"/>
          </w:tcPr>
          <w:p w14:paraId="1F78E510">
            <w:pPr>
              <w:adjustRightInd w:val="0"/>
              <w:snapToGrid w:val="0"/>
              <w:spacing w:line="360" w:lineRule="auto"/>
              <w:rPr>
                <w:rFonts w:hAnsi="宋体"/>
                <w:kern w:val="0"/>
                <w:szCs w:val="21"/>
              </w:rPr>
            </w:pPr>
            <w:r>
              <w:rPr>
                <w:rFonts w:hint="eastAsia"/>
                <w:bCs/>
                <w:szCs w:val="21"/>
              </w:rPr>
              <w:t>★货物免费保修期</w:t>
            </w:r>
            <w:r>
              <w:rPr>
                <w:rFonts w:hint="eastAsia"/>
                <w:bCs/>
                <w:szCs w:val="21"/>
                <w:u w:val="single"/>
              </w:rPr>
              <w:t xml:space="preserve">  1  </w:t>
            </w:r>
            <w:r>
              <w:rPr>
                <w:rFonts w:hint="eastAsia"/>
                <w:bCs/>
                <w:szCs w:val="21"/>
              </w:rPr>
              <w:t>年，时间自最终验收合格并交付使用之日起计算。</w:t>
            </w:r>
          </w:p>
        </w:tc>
        <w:tc>
          <w:tcPr>
            <w:tcW w:w="654" w:type="dxa"/>
          </w:tcPr>
          <w:p w14:paraId="6CE8A9BE">
            <w:pPr>
              <w:adjustRightInd w:val="0"/>
              <w:snapToGrid w:val="0"/>
              <w:spacing w:line="360" w:lineRule="auto"/>
              <w:rPr>
                <w:rFonts w:ascii="宋体" w:hAnsi="宋体"/>
                <w:kern w:val="0"/>
                <w:szCs w:val="21"/>
              </w:rPr>
            </w:pPr>
          </w:p>
        </w:tc>
        <w:tc>
          <w:tcPr>
            <w:tcW w:w="642" w:type="dxa"/>
          </w:tcPr>
          <w:p w14:paraId="3DBE4205">
            <w:pPr>
              <w:adjustRightInd w:val="0"/>
              <w:snapToGrid w:val="0"/>
              <w:spacing w:line="360" w:lineRule="auto"/>
              <w:rPr>
                <w:rFonts w:ascii="宋体" w:hAnsi="宋体"/>
                <w:kern w:val="0"/>
                <w:szCs w:val="21"/>
              </w:rPr>
            </w:pPr>
          </w:p>
        </w:tc>
        <w:tc>
          <w:tcPr>
            <w:tcW w:w="718" w:type="dxa"/>
          </w:tcPr>
          <w:p w14:paraId="214DC09D">
            <w:pPr>
              <w:adjustRightInd w:val="0"/>
              <w:snapToGrid w:val="0"/>
              <w:spacing w:line="360" w:lineRule="auto"/>
              <w:rPr>
                <w:rFonts w:ascii="宋体" w:hAnsi="宋体"/>
                <w:kern w:val="0"/>
                <w:szCs w:val="21"/>
              </w:rPr>
            </w:pPr>
          </w:p>
        </w:tc>
      </w:tr>
      <w:tr w14:paraId="4BFF8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tcPr>
          <w:p w14:paraId="043891FE">
            <w:pPr>
              <w:adjustRightInd w:val="0"/>
              <w:snapToGrid w:val="0"/>
              <w:spacing w:line="360" w:lineRule="auto"/>
              <w:rPr>
                <w:rFonts w:ascii="宋体" w:hAnsi="宋体"/>
                <w:kern w:val="0"/>
                <w:szCs w:val="21"/>
              </w:rPr>
            </w:pPr>
            <w:r>
              <w:rPr>
                <w:rFonts w:hint="eastAsia" w:ascii="宋体" w:hAnsi="宋体"/>
                <w:kern w:val="0"/>
                <w:szCs w:val="21"/>
              </w:rPr>
              <w:t>2</w:t>
            </w:r>
          </w:p>
        </w:tc>
        <w:tc>
          <w:tcPr>
            <w:tcW w:w="5498" w:type="dxa"/>
            <w:vAlign w:val="center"/>
          </w:tcPr>
          <w:p w14:paraId="0E2B0EF8">
            <w:pPr>
              <w:adjustRightInd w:val="0"/>
              <w:snapToGrid w:val="0"/>
              <w:spacing w:line="360" w:lineRule="auto"/>
              <w:rPr>
                <w:rFonts w:hAnsi="宋体"/>
                <w:kern w:val="0"/>
                <w:szCs w:val="21"/>
              </w:rPr>
            </w:pPr>
            <w:r>
              <w:rPr>
                <w:rFonts w:hint="eastAsia"/>
                <w:bCs/>
                <w:szCs w:val="21"/>
              </w:rPr>
              <w:t>★免费保修期内，</w:t>
            </w:r>
            <w:r>
              <w:rPr>
                <w:rFonts w:hint="eastAsia"/>
                <w:color w:val="000000"/>
                <w:szCs w:val="21"/>
              </w:rPr>
              <w:t>所有服务及配件全部免费。</w:t>
            </w:r>
          </w:p>
        </w:tc>
        <w:tc>
          <w:tcPr>
            <w:tcW w:w="654" w:type="dxa"/>
          </w:tcPr>
          <w:p w14:paraId="00E6BA5F">
            <w:pPr>
              <w:adjustRightInd w:val="0"/>
              <w:snapToGrid w:val="0"/>
              <w:spacing w:line="360" w:lineRule="auto"/>
              <w:rPr>
                <w:rFonts w:ascii="宋体" w:hAnsi="宋体"/>
                <w:kern w:val="0"/>
                <w:szCs w:val="21"/>
              </w:rPr>
            </w:pPr>
          </w:p>
        </w:tc>
        <w:tc>
          <w:tcPr>
            <w:tcW w:w="642" w:type="dxa"/>
          </w:tcPr>
          <w:p w14:paraId="6A91DE47">
            <w:pPr>
              <w:adjustRightInd w:val="0"/>
              <w:snapToGrid w:val="0"/>
              <w:spacing w:line="360" w:lineRule="auto"/>
              <w:rPr>
                <w:rFonts w:ascii="宋体" w:hAnsi="宋体"/>
                <w:kern w:val="0"/>
                <w:szCs w:val="21"/>
              </w:rPr>
            </w:pPr>
          </w:p>
        </w:tc>
        <w:tc>
          <w:tcPr>
            <w:tcW w:w="718" w:type="dxa"/>
          </w:tcPr>
          <w:p w14:paraId="48016065">
            <w:pPr>
              <w:adjustRightInd w:val="0"/>
              <w:snapToGrid w:val="0"/>
              <w:spacing w:line="360" w:lineRule="auto"/>
              <w:rPr>
                <w:rFonts w:ascii="宋体" w:hAnsi="宋体"/>
                <w:kern w:val="0"/>
                <w:szCs w:val="21"/>
              </w:rPr>
            </w:pPr>
          </w:p>
        </w:tc>
      </w:tr>
      <w:tr w14:paraId="58FBB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tcPr>
          <w:p w14:paraId="3B4340F0">
            <w:pPr>
              <w:adjustRightInd w:val="0"/>
              <w:snapToGrid w:val="0"/>
              <w:spacing w:line="360" w:lineRule="auto"/>
              <w:rPr>
                <w:rFonts w:ascii="宋体" w:hAnsi="宋体"/>
                <w:kern w:val="0"/>
                <w:szCs w:val="21"/>
              </w:rPr>
            </w:pPr>
            <w:r>
              <w:rPr>
                <w:rFonts w:hint="eastAsia" w:ascii="宋体" w:hAnsi="宋体"/>
                <w:kern w:val="0"/>
                <w:szCs w:val="21"/>
              </w:rPr>
              <w:t>3</w:t>
            </w:r>
          </w:p>
        </w:tc>
        <w:tc>
          <w:tcPr>
            <w:tcW w:w="5498" w:type="dxa"/>
            <w:vAlign w:val="top"/>
          </w:tcPr>
          <w:p w14:paraId="58A89E1B">
            <w:pPr>
              <w:adjustRightInd w:val="0"/>
              <w:snapToGrid w:val="0"/>
              <w:spacing w:line="360" w:lineRule="auto"/>
              <w:rPr>
                <w:rFonts w:ascii="宋体" w:hAnsi="宋体"/>
                <w:kern w:val="0"/>
                <w:szCs w:val="21"/>
              </w:rPr>
            </w:pPr>
            <w:r>
              <w:rPr>
                <w:rFonts w:hint="eastAsia"/>
              </w:rPr>
              <w:t>★履约时间和地点：投标供应商在签订合同之日起</w:t>
            </w:r>
            <w:r>
              <w:t>15</w:t>
            </w:r>
            <w:r>
              <w:rPr>
                <w:rFonts w:hint="eastAsia"/>
              </w:rPr>
              <w:t>天内交货，交货地点为</w:t>
            </w:r>
            <w:r>
              <w:rPr>
                <w:rFonts w:hint="eastAsia"/>
                <w:szCs w:val="21"/>
              </w:rPr>
              <w:t>采购人指定地点</w:t>
            </w:r>
            <w:r>
              <w:rPr>
                <w:rFonts w:hint="eastAsia"/>
              </w:rPr>
              <w:t>。</w:t>
            </w:r>
          </w:p>
        </w:tc>
        <w:tc>
          <w:tcPr>
            <w:tcW w:w="654" w:type="dxa"/>
          </w:tcPr>
          <w:p w14:paraId="4EEC54FA">
            <w:pPr>
              <w:adjustRightInd w:val="0"/>
              <w:snapToGrid w:val="0"/>
              <w:spacing w:line="360" w:lineRule="auto"/>
              <w:rPr>
                <w:rFonts w:ascii="宋体" w:hAnsi="宋体"/>
                <w:kern w:val="0"/>
                <w:szCs w:val="21"/>
              </w:rPr>
            </w:pPr>
          </w:p>
        </w:tc>
        <w:tc>
          <w:tcPr>
            <w:tcW w:w="642" w:type="dxa"/>
          </w:tcPr>
          <w:p w14:paraId="62430495">
            <w:pPr>
              <w:adjustRightInd w:val="0"/>
              <w:snapToGrid w:val="0"/>
              <w:spacing w:line="360" w:lineRule="auto"/>
              <w:rPr>
                <w:rFonts w:ascii="宋体" w:hAnsi="宋体"/>
                <w:kern w:val="0"/>
                <w:szCs w:val="21"/>
              </w:rPr>
            </w:pPr>
          </w:p>
        </w:tc>
        <w:tc>
          <w:tcPr>
            <w:tcW w:w="718" w:type="dxa"/>
          </w:tcPr>
          <w:p w14:paraId="1C770F0F">
            <w:pPr>
              <w:adjustRightInd w:val="0"/>
              <w:snapToGrid w:val="0"/>
              <w:spacing w:line="360" w:lineRule="auto"/>
              <w:rPr>
                <w:rFonts w:ascii="宋体" w:hAnsi="宋体"/>
                <w:kern w:val="0"/>
                <w:szCs w:val="21"/>
              </w:rPr>
            </w:pPr>
          </w:p>
        </w:tc>
      </w:tr>
    </w:tbl>
    <w:p w14:paraId="66DBA247">
      <w:pPr>
        <w:ind w:firstLine="482" w:firstLineChars="200"/>
        <w:rPr>
          <w:b/>
          <w:sz w:val="24"/>
          <w:szCs w:val="22"/>
        </w:rPr>
      </w:pPr>
    </w:p>
    <w:p w14:paraId="1FBC8162">
      <w:pPr>
        <w:ind w:firstLine="482" w:firstLineChars="200"/>
        <w:rPr>
          <w:b/>
          <w:sz w:val="24"/>
          <w:szCs w:val="22"/>
        </w:rPr>
      </w:pPr>
      <w:r>
        <w:rPr>
          <w:rFonts w:hint="eastAsia"/>
          <w:b/>
          <w:sz w:val="24"/>
          <w:szCs w:val="22"/>
        </w:rPr>
        <w:t>注：1.上表所列各项均为不可负偏离条款。</w:t>
      </w:r>
    </w:p>
    <w:p w14:paraId="1087156B">
      <w:pPr>
        <w:ind w:firstLine="482" w:firstLineChars="200"/>
        <w:rPr>
          <w:b/>
          <w:sz w:val="24"/>
          <w:szCs w:val="22"/>
        </w:rPr>
      </w:pPr>
      <w:r>
        <w:rPr>
          <w:rFonts w:hint="eastAsia"/>
          <w:b/>
          <w:sz w:val="24"/>
          <w:szCs w:val="22"/>
        </w:rPr>
        <w:t>2.“投标响应”一栏应当详细填写投标人自身响应情况，而不能不合理照搬照抄招实质性条款具体内容。</w:t>
      </w:r>
    </w:p>
    <w:p w14:paraId="11BB5930">
      <w:pPr>
        <w:ind w:firstLine="482" w:firstLineChars="200"/>
        <w:rPr>
          <w:b/>
          <w:sz w:val="24"/>
          <w:szCs w:val="22"/>
        </w:rPr>
      </w:pPr>
      <w:r>
        <w:rPr>
          <w:rFonts w:hint="eastAsia"/>
          <w:b/>
          <w:sz w:val="24"/>
          <w:szCs w:val="22"/>
        </w:rPr>
        <w:t>3</w:t>
      </w:r>
      <w:r>
        <w:rPr>
          <w:b/>
          <w:sz w:val="24"/>
          <w:szCs w:val="22"/>
        </w:rPr>
        <w:t>.</w:t>
      </w:r>
      <w:r>
        <w:rPr>
          <w:rFonts w:hint="eastAsia"/>
          <w:b/>
          <w:sz w:val="24"/>
          <w:szCs w:val="22"/>
        </w:rPr>
        <w:t>“偏离情况”一栏应填写“正偏离”、“负偏离”或“无偏离”，</w:t>
      </w:r>
      <w:r>
        <w:rPr>
          <w:rFonts w:hint="eastAsia"/>
          <w:b/>
          <w:sz w:val="24"/>
        </w:rPr>
        <w:t>“正偏离”表示“投标响应优于实质性条款具体内容要求”，“负偏离”表示“投标响应不满足实质性条款具体内容要求”，“无偏离”表示“投标响应与实质性条款具体内容要求一致”。</w:t>
      </w:r>
    </w:p>
    <w:p w14:paraId="32AAF302">
      <w:pPr>
        <w:ind w:firstLine="482" w:firstLineChars="200"/>
        <w:rPr>
          <w:b/>
          <w:sz w:val="24"/>
        </w:rPr>
      </w:pPr>
      <w:r>
        <w:rPr>
          <w:b/>
          <w:sz w:val="24"/>
        </w:rPr>
        <w:t>4.</w:t>
      </w:r>
      <w:r>
        <w:rPr>
          <w:rFonts w:hint="eastAsia"/>
          <w:b/>
          <w:sz w:val="24"/>
        </w:rPr>
        <w:t>评审委员会有权对投标响应情况作出判断（作出评审结论）。</w:t>
      </w:r>
    </w:p>
    <w:p w14:paraId="7A120AC9">
      <w:pPr>
        <w:ind w:firstLine="482" w:firstLineChars="200"/>
        <w:rPr>
          <w:b/>
          <w:sz w:val="24"/>
          <w:szCs w:val="22"/>
        </w:rPr>
      </w:pPr>
      <w:r>
        <w:rPr>
          <w:b/>
          <w:sz w:val="24"/>
          <w:szCs w:val="22"/>
        </w:rPr>
        <w:t>5</w:t>
      </w:r>
      <w:r>
        <w:rPr>
          <w:rFonts w:hint="eastAsia"/>
          <w:b/>
          <w:sz w:val="24"/>
          <w:szCs w:val="22"/>
        </w:rPr>
        <w:t>.实质性响应条款“投标响应情况”与投标文件其它内容冲突的，以实质性响应条款“投标响应情况”为准。</w:t>
      </w:r>
      <w:bookmarkEnd w:id="69"/>
    </w:p>
    <w:p w14:paraId="6CFF46BE">
      <w:pPr>
        <w:ind w:firstLine="482" w:firstLineChars="200"/>
        <w:rPr>
          <w:b/>
          <w:sz w:val="24"/>
          <w:szCs w:val="22"/>
        </w:rPr>
      </w:pPr>
      <w:r>
        <w:rPr>
          <w:rFonts w:hint="eastAsia"/>
          <w:b/>
          <w:sz w:val="24"/>
          <w:szCs w:val="22"/>
        </w:rPr>
        <w:t>6.要求提供证明资料，在“说明”一栏中列明证明资料的位置,以便评审；未要求提供证明材料的，投标人可以不提供。</w:t>
      </w:r>
    </w:p>
    <w:p w14:paraId="06CC2E4F"/>
    <w:p w14:paraId="650B795C">
      <w:pPr>
        <w:pStyle w:val="4"/>
        <w:jc w:val="center"/>
        <w:rPr>
          <w:sz w:val="24"/>
        </w:rPr>
      </w:pPr>
      <w:r>
        <w:rPr>
          <w:rFonts w:hint="eastAsia" w:ascii="黑体" w:eastAsia="黑体"/>
          <w:b w:val="0"/>
          <w:sz w:val="24"/>
          <w:szCs w:val="24"/>
        </w:rPr>
        <w:t>九、技术要求偏离表</w:t>
      </w:r>
    </w:p>
    <w:tbl>
      <w:tblPr>
        <w:tblStyle w:val="43"/>
        <w:tblW w:w="84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9"/>
        <w:gridCol w:w="1129"/>
        <w:gridCol w:w="4383"/>
        <w:gridCol w:w="914"/>
        <w:gridCol w:w="703"/>
        <w:gridCol w:w="704"/>
      </w:tblGrid>
      <w:tr w14:paraId="21FE4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89" w:type="dxa"/>
            <w:shd w:val="clear" w:color="auto" w:fill="auto"/>
            <w:vAlign w:val="center"/>
          </w:tcPr>
          <w:p w14:paraId="25A10BAF">
            <w:pPr>
              <w:widowControl/>
              <w:jc w:val="center"/>
              <w:rPr>
                <w:rFonts w:ascii="宋体" w:hAnsi="宋体" w:cs="宋体"/>
                <w:color w:val="000000"/>
                <w:kern w:val="0"/>
                <w:sz w:val="22"/>
                <w:szCs w:val="22"/>
              </w:rPr>
            </w:pPr>
            <w:r>
              <w:rPr>
                <w:rFonts w:hint="eastAsia" w:ascii="宋体" w:hAnsi="宋体" w:cs="宋体"/>
                <w:color w:val="000000"/>
                <w:kern w:val="0"/>
                <w:sz w:val="22"/>
                <w:szCs w:val="22"/>
              </w:rPr>
              <w:t>序号</w:t>
            </w:r>
          </w:p>
        </w:tc>
        <w:tc>
          <w:tcPr>
            <w:tcW w:w="1129" w:type="dxa"/>
            <w:shd w:val="clear" w:color="auto" w:fill="auto"/>
            <w:vAlign w:val="center"/>
          </w:tcPr>
          <w:p w14:paraId="3B7FD23A">
            <w:pPr>
              <w:widowControl/>
              <w:jc w:val="center"/>
              <w:rPr>
                <w:rFonts w:ascii="宋体" w:hAnsi="宋体" w:cs="宋体"/>
                <w:color w:val="000000"/>
                <w:kern w:val="0"/>
                <w:sz w:val="22"/>
                <w:szCs w:val="22"/>
              </w:rPr>
            </w:pPr>
            <w:r>
              <w:rPr>
                <w:rFonts w:hint="eastAsia" w:ascii="宋体" w:hAnsi="宋体" w:cs="宋体"/>
                <w:color w:val="000000"/>
                <w:kern w:val="0"/>
                <w:sz w:val="22"/>
                <w:szCs w:val="22"/>
              </w:rPr>
              <w:t>货物名称</w:t>
            </w:r>
          </w:p>
        </w:tc>
        <w:tc>
          <w:tcPr>
            <w:tcW w:w="4383" w:type="dxa"/>
            <w:shd w:val="clear" w:color="auto" w:fill="auto"/>
            <w:vAlign w:val="center"/>
          </w:tcPr>
          <w:p w14:paraId="25DCEA53">
            <w:pPr>
              <w:widowControl/>
              <w:jc w:val="center"/>
              <w:rPr>
                <w:rFonts w:ascii="宋体" w:hAnsi="宋体" w:cs="宋体"/>
                <w:color w:val="000000"/>
                <w:kern w:val="0"/>
                <w:sz w:val="22"/>
                <w:szCs w:val="22"/>
              </w:rPr>
            </w:pPr>
            <w:r>
              <w:rPr>
                <w:rFonts w:hint="eastAsia" w:ascii="宋体" w:hAnsi="宋体" w:cs="宋体"/>
                <w:color w:val="000000"/>
                <w:kern w:val="0"/>
                <w:sz w:val="22"/>
                <w:szCs w:val="22"/>
              </w:rPr>
              <w:t>招标技术要求</w:t>
            </w:r>
          </w:p>
        </w:tc>
        <w:tc>
          <w:tcPr>
            <w:tcW w:w="914" w:type="dxa"/>
            <w:shd w:val="clear" w:color="auto" w:fill="auto"/>
            <w:vAlign w:val="center"/>
          </w:tcPr>
          <w:p w14:paraId="71A63DC0">
            <w:pPr>
              <w:jc w:val="center"/>
              <w:rPr>
                <w:rFonts w:hint="eastAsia" w:ascii="宋体" w:hAnsi="宋体" w:cs="宋体"/>
                <w:color w:val="000000"/>
                <w:kern w:val="0"/>
                <w:sz w:val="22"/>
                <w:szCs w:val="22"/>
              </w:rPr>
            </w:pPr>
            <w:r>
              <w:rPr>
                <w:rFonts w:hint="eastAsia"/>
                <w:szCs w:val="21"/>
              </w:rPr>
              <w:t>投标技术响应</w:t>
            </w:r>
          </w:p>
        </w:tc>
        <w:tc>
          <w:tcPr>
            <w:tcW w:w="703" w:type="dxa"/>
            <w:shd w:val="clear" w:color="auto" w:fill="auto"/>
            <w:vAlign w:val="center"/>
          </w:tcPr>
          <w:p w14:paraId="4BE38807">
            <w:pPr>
              <w:jc w:val="center"/>
              <w:rPr>
                <w:rFonts w:hint="eastAsia" w:ascii="宋体" w:hAnsi="宋体" w:cs="宋体"/>
                <w:color w:val="000000"/>
                <w:kern w:val="0"/>
                <w:sz w:val="22"/>
                <w:szCs w:val="22"/>
              </w:rPr>
            </w:pPr>
            <w:r>
              <w:rPr>
                <w:rFonts w:hint="eastAsia"/>
                <w:szCs w:val="21"/>
              </w:rPr>
              <w:t>偏离情况</w:t>
            </w:r>
          </w:p>
        </w:tc>
        <w:tc>
          <w:tcPr>
            <w:tcW w:w="704" w:type="dxa"/>
            <w:shd w:val="clear" w:color="auto" w:fill="auto"/>
            <w:vAlign w:val="center"/>
          </w:tcPr>
          <w:p w14:paraId="08EA0ED7">
            <w:pPr>
              <w:jc w:val="center"/>
              <w:rPr>
                <w:rFonts w:hint="eastAsia" w:ascii="宋体" w:hAnsi="宋体" w:cs="宋体"/>
                <w:color w:val="000000"/>
                <w:kern w:val="0"/>
                <w:sz w:val="22"/>
                <w:szCs w:val="22"/>
              </w:rPr>
            </w:pPr>
            <w:r>
              <w:rPr>
                <w:rFonts w:hint="eastAsia"/>
                <w:szCs w:val="21"/>
              </w:rPr>
              <w:t>说明</w:t>
            </w:r>
          </w:p>
        </w:tc>
      </w:tr>
      <w:tr w14:paraId="49CDF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89" w:type="dxa"/>
            <w:shd w:val="clear" w:color="auto" w:fill="auto"/>
            <w:vAlign w:val="center"/>
          </w:tcPr>
          <w:p w14:paraId="35DA1D8B">
            <w:pPr>
              <w:widowControl/>
              <w:jc w:val="center"/>
              <w:rPr>
                <w:rFonts w:ascii="宋体" w:hAnsi="宋体" w:cs="宋体"/>
                <w:color w:val="000000"/>
                <w:kern w:val="0"/>
                <w:sz w:val="22"/>
                <w:szCs w:val="22"/>
              </w:rPr>
            </w:pPr>
            <w:r>
              <w:rPr>
                <w:rFonts w:ascii="宋体" w:hAnsi="宋体" w:cs="宋体"/>
                <w:color w:val="000000"/>
                <w:kern w:val="0"/>
                <w:sz w:val="22"/>
                <w:szCs w:val="22"/>
              </w:rPr>
              <w:t>1</w:t>
            </w:r>
          </w:p>
        </w:tc>
        <w:tc>
          <w:tcPr>
            <w:tcW w:w="1129" w:type="dxa"/>
            <w:shd w:val="clear" w:color="auto" w:fill="auto"/>
            <w:noWrap/>
            <w:vAlign w:val="center"/>
          </w:tcPr>
          <w:p w14:paraId="3FD092A7">
            <w:pPr>
              <w:widowControl/>
              <w:jc w:val="center"/>
              <w:rPr>
                <w:rFonts w:ascii="宋体" w:hAnsi="宋体" w:cs="宋体"/>
                <w:kern w:val="0"/>
                <w:sz w:val="22"/>
                <w:szCs w:val="22"/>
              </w:rPr>
            </w:pPr>
            <w:r>
              <w:rPr>
                <w:rFonts w:hint="eastAsia"/>
                <w:sz w:val="22"/>
                <w:szCs w:val="22"/>
              </w:rPr>
              <w:t>三角钢琴</w:t>
            </w:r>
          </w:p>
        </w:tc>
        <w:tc>
          <w:tcPr>
            <w:tcW w:w="4383" w:type="dxa"/>
            <w:shd w:val="clear" w:color="auto" w:fill="auto"/>
            <w:vAlign w:val="center"/>
          </w:tcPr>
          <w:p w14:paraId="1AFD4D3D">
            <w:pPr>
              <w:widowControl/>
              <w:jc w:val="left"/>
              <w:rPr>
                <w:rFonts w:ascii="宋体" w:hAnsi="宋体" w:cs="宋体"/>
                <w:kern w:val="0"/>
                <w:sz w:val="22"/>
                <w:szCs w:val="22"/>
              </w:rPr>
            </w:pPr>
            <w:r>
              <w:rPr>
                <w:rFonts w:hint="eastAsia" w:ascii="宋体" w:hAnsi="宋体" w:cs="宋体"/>
                <w:kern w:val="0"/>
                <w:sz w:val="22"/>
                <w:szCs w:val="22"/>
              </w:rPr>
              <w:t>1、尺寸（长×宽×高）：148</w:t>
            </w:r>
            <w:r>
              <w:rPr>
                <w:rFonts w:ascii="宋体" w:hAnsi="宋体" w:cs="宋体"/>
                <w:kern w:val="0"/>
                <w:sz w:val="22"/>
                <w:szCs w:val="22"/>
              </w:rPr>
              <w:t>cm</w:t>
            </w:r>
            <w:r>
              <w:rPr>
                <w:rFonts w:hint="eastAsia" w:ascii="宋体" w:hAnsi="宋体" w:cs="宋体"/>
                <w:kern w:val="0"/>
                <w:sz w:val="22"/>
                <w:szCs w:val="22"/>
              </w:rPr>
              <w:t>×150</w:t>
            </w:r>
            <w:r>
              <w:rPr>
                <w:rFonts w:ascii="宋体" w:hAnsi="宋体" w:cs="宋体"/>
                <w:kern w:val="0"/>
                <w:sz w:val="22"/>
                <w:szCs w:val="22"/>
              </w:rPr>
              <w:t>cm</w:t>
            </w:r>
            <w:r>
              <w:rPr>
                <w:rFonts w:hint="eastAsia" w:ascii="宋体" w:hAnsi="宋体" w:cs="宋体"/>
                <w:kern w:val="0"/>
                <w:sz w:val="22"/>
                <w:szCs w:val="22"/>
              </w:rPr>
              <w:t>×99cm（可±5%）</w:t>
            </w:r>
          </w:p>
          <w:p w14:paraId="45A3FFFB">
            <w:pPr>
              <w:widowControl/>
              <w:jc w:val="left"/>
              <w:rPr>
                <w:rFonts w:ascii="宋体" w:hAnsi="宋体" w:cs="宋体"/>
                <w:kern w:val="0"/>
                <w:sz w:val="22"/>
                <w:szCs w:val="22"/>
              </w:rPr>
            </w:pPr>
            <w:r>
              <w:rPr>
                <w:rFonts w:hint="eastAsia" w:ascii="宋体" w:hAnsi="宋体" w:cs="宋体"/>
                <w:kern w:val="0"/>
                <w:sz w:val="22"/>
                <w:szCs w:val="22"/>
              </w:rPr>
              <w:t>2、铁板：长度1200mm（±2mm），采用传统砂铸铁板工艺，音色纯正。</w:t>
            </w:r>
          </w:p>
          <w:p w14:paraId="237E2E5F">
            <w:pPr>
              <w:widowControl/>
              <w:jc w:val="left"/>
              <w:rPr>
                <w:rFonts w:ascii="宋体" w:hAnsi="宋体" w:cs="宋体"/>
                <w:kern w:val="0"/>
                <w:sz w:val="22"/>
                <w:szCs w:val="22"/>
              </w:rPr>
            </w:pPr>
            <w:r>
              <w:rPr>
                <w:rFonts w:hint="eastAsia" w:ascii="宋体" w:hAnsi="宋体" w:cs="宋体"/>
                <w:kern w:val="0"/>
                <w:sz w:val="22"/>
                <w:szCs w:val="22"/>
              </w:rPr>
              <w:t>3、音板：采用木材制作的不等厚加强型实木音板，设计符合钢琴共鸣系统的发声规律，在各种不同的气候条件下均能保持优良的音色。</w:t>
            </w:r>
          </w:p>
          <w:p w14:paraId="3AD021A1">
            <w:pPr>
              <w:widowControl/>
              <w:jc w:val="left"/>
              <w:rPr>
                <w:rFonts w:ascii="宋体" w:hAnsi="宋体" w:cs="宋体"/>
                <w:kern w:val="0"/>
                <w:sz w:val="22"/>
                <w:szCs w:val="22"/>
              </w:rPr>
            </w:pPr>
            <w:r>
              <w:rPr>
                <w:rFonts w:hint="eastAsia" w:ascii="宋体" w:hAnsi="宋体" w:cs="宋体"/>
                <w:kern w:val="0"/>
                <w:sz w:val="22"/>
                <w:szCs w:val="22"/>
              </w:rPr>
              <w:t>4、琴弦：采用钢线，音色纯净，音准稳定。</w:t>
            </w:r>
          </w:p>
          <w:p w14:paraId="3AB4428D">
            <w:pPr>
              <w:widowControl/>
              <w:jc w:val="left"/>
              <w:rPr>
                <w:rFonts w:ascii="宋体" w:hAnsi="宋体" w:cs="宋体"/>
                <w:kern w:val="0"/>
                <w:sz w:val="22"/>
                <w:szCs w:val="22"/>
              </w:rPr>
            </w:pPr>
            <w:r>
              <w:rPr>
                <w:rFonts w:hint="eastAsia" w:ascii="宋体" w:hAnsi="宋体" w:cs="宋体"/>
                <w:kern w:val="0"/>
                <w:sz w:val="22"/>
                <w:szCs w:val="22"/>
              </w:rPr>
              <w:t>5、弦码：采用弯压结构设计，音频振动响应精确、迅速。</w:t>
            </w:r>
          </w:p>
          <w:p w14:paraId="0995F715">
            <w:pPr>
              <w:widowControl/>
              <w:jc w:val="left"/>
              <w:rPr>
                <w:rFonts w:ascii="宋体" w:hAnsi="宋体" w:cs="宋体"/>
                <w:b/>
                <w:bCs/>
                <w:color w:val="FF0000"/>
                <w:kern w:val="0"/>
                <w:sz w:val="22"/>
                <w:szCs w:val="22"/>
              </w:rPr>
            </w:pPr>
            <w:r>
              <w:rPr>
                <w:rFonts w:hint="eastAsia" w:ascii="宋体" w:hAnsi="宋体" w:cs="宋体"/>
                <w:b/>
                <w:bCs/>
                <w:color w:val="FF0000"/>
                <w:kern w:val="0"/>
                <w:sz w:val="22"/>
                <w:szCs w:val="22"/>
              </w:rPr>
              <w:t>▲6、声学品质检测要求：标准音在 442.5Hz±0.2Hz 范围内，音准稳定性不大于3音分。投标时需提供：①第三方检测机构在资质认定证书规定的能力范围内出具的标注资质认定标志（CMA）的检验检测报告扫描件，原件备查；②检测报告在全国认证认可信息公共服务平台（http://cx.cnca.cn)的查询截图，相关检测报告在公开渠道无法查询的，可提供颁发部门、检验检测机构或者监管机构的证明材料。注：①检测报告需包含本项检测依据和参数的全部内容；②受检单位（或委托单位）为投标供应商或产品制造商；③无法判断机构检测范围的，投标人需提供“检测报告载明的检测事项未超出本机构检测范围”的承诺函。</w:t>
            </w:r>
          </w:p>
          <w:p w14:paraId="484B6B13">
            <w:pPr>
              <w:widowControl/>
              <w:jc w:val="left"/>
              <w:rPr>
                <w:rFonts w:ascii="宋体" w:hAnsi="宋体" w:cs="宋体"/>
                <w:b/>
                <w:bCs/>
                <w:color w:val="FF0000"/>
                <w:kern w:val="0"/>
                <w:sz w:val="22"/>
                <w:szCs w:val="22"/>
              </w:rPr>
            </w:pPr>
            <w:r>
              <w:rPr>
                <w:rFonts w:hint="eastAsia" w:ascii="宋体" w:hAnsi="宋体" w:cs="宋体"/>
                <w:b/>
                <w:bCs/>
                <w:color w:val="FF0000"/>
                <w:kern w:val="0"/>
                <w:sz w:val="22"/>
                <w:szCs w:val="22"/>
              </w:rPr>
              <w:t>▲7、演奏性能检测要求：白键下沉深度9.8-10.8mm；相邻两白键偏差≤0.3mm；琴键负荷-卧式钢琴下降负荷：0.59-0.82N；琴键负荷-回升负荷：0.14-0.30N。投标时需提供：①第三方检测机构在资质认定证书规定的能力范围内出具的标注资质认定标志（CMA）的检验检测报告扫描件，原件备查；②检测报告在全国认证认可信息公共服务平台（http://cx.cnca.cn)的查询截图，相关检测报告在公开渠道无法查询的，可提供颁发部门、检验检测机构或者监管机构的证明材料。注：①检测报告需包含本项检测依据和参数的全部内容；②受检单位（或委托单位）为投标供应商或产品制造商；③无法判断机构检测范围的，投标人需提供“检测报告载明的检测事项未超出本机构检测范围”的承诺函。</w:t>
            </w:r>
          </w:p>
          <w:p w14:paraId="624C3155">
            <w:pPr>
              <w:widowControl/>
              <w:jc w:val="left"/>
              <w:rPr>
                <w:rFonts w:ascii="宋体" w:hAnsi="宋体" w:cs="宋体"/>
                <w:b/>
                <w:bCs/>
                <w:color w:val="FF0000"/>
                <w:kern w:val="0"/>
                <w:sz w:val="22"/>
                <w:szCs w:val="22"/>
              </w:rPr>
            </w:pPr>
            <w:r>
              <w:rPr>
                <w:rFonts w:hint="eastAsia" w:ascii="宋体" w:hAnsi="宋体" w:cs="宋体"/>
                <w:b/>
                <w:bCs/>
                <w:color w:val="FF0000"/>
                <w:kern w:val="0"/>
                <w:sz w:val="22"/>
                <w:szCs w:val="22"/>
              </w:rPr>
              <w:t>▲8、键盘检测要求：白键间隙：0.7-1.1mm；相邻两白键面高度差≤0.4mm，全键盘白键面高度差≤1.0mm。投标时需提供：①第三方检测机构在资质认定证书规定的能力范围内出具的标注资质认定标志（CMA）的检验检测报告扫描件，原件备查；②检测报告在全国认证认可信息公共服务平台（http://cx.cnca.cn)的查询截图，相关检测报告在公开渠道无法查询的，可提供颁发部门、检验检测机构或者监管机构的证明材料。注：①检测报告需包含本项检测依据和参数的全部内容；②受检单位（或委托单位）为投标供应商或产品制造商；③无法判断机构检测范围的，投标人需提供“检测报告载明的检测事项未超出本机构检测范围”的承诺函。</w:t>
            </w:r>
          </w:p>
          <w:p w14:paraId="27E0F9A5">
            <w:pPr>
              <w:widowControl/>
              <w:jc w:val="left"/>
            </w:pPr>
            <w:r>
              <w:rPr>
                <w:rFonts w:hint="eastAsia" w:ascii="宋体" w:hAnsi="宋体" w:cs="宋体"/>
                <w:b/>
                <w:bCs/>
                <w:color w:val="FF0000"/>
                <w:kern w:val="0"/>
                <w:sz w:val="22"/>
                <w:szCs w:val="22"/>
              </w:rPr>
              <w:t>▲9、外壳检测要求：各外表涂饰面之间平均值的差值≤2光泽单位；部件的对角线长度≥1400mm，最大误差值≤1mm。700mm＜部件的对角线长度&lt;1400mm，最大误差值≤1mm。部件的对角线长度≤500mm，最大误差值≤1mm。投标时需提供：①第三方检测机构在资质认定证书规定的能力范围内出具的标注资质认定标志（CMA）的检验检测报告扫描件，原件备查；②检测报告在全国认证认可信息公共服务平台（http://cx.cnca.cn)的查询截图，相关检测报告在公开渠道无法查询的，可提供颁发部门、检验检测机构或者监管机构的证明材料。注：①检测报告需包含本项检测依据和参数的全部内容；②受检单位（或委托单位）为投标供应商或产品制造商；③无法判断机构检测范围的，投标人需提供“检测报告载明的检测事项未超出本机构检测范围”的承诺函。</w:t>
            </w:r>
          </w:p>
        </w:tc>
        <w:tc>
          <w:tcPr>
            <w:tcW w:w="914" w:type="dxa"/>
            <w:shd w:val="clear" w:color="auto" w:fill="auto"/>
            <w:vAlign w:val="center"/>
          </w:tcPr>
          <w:p w14:paraId="385386E5">
            <w:pPr>
              <w:widowControl/>
              <w:jc w:val="left"/>
              <w:rPr>
                <w:rFonts w:hint="eastAsia" w:ascii="宋体" w:hAnsi="宋体" w:cs="宋体"/>
                <w:b/>
                <w:bCs/>
                <w:color w:val="FF0000"/>
                <w:kern w:val="0"/>
                <w:sz w:val="22"/>
                <w:szCs w:val="22"/>
              </w:rPr>
            </w:pPr>
          </w:p>
        </w:tc>
        <w:tc>
          <w:tcPr>
            <w:tcW w:w="703" w:type="dxa"/>
            <w:shd w:val="clear" w:color="auto" w:fill="auto"/>
            <w:vAlign w:val="center"/>
          </w:tcPr>
          <w:p w14:paraId="37D8DE8D">
            <w:pPr>
              <w:widowControl/>
              <w:jc w:val="left"/>
              <w:rPr>
                <w:rFonts w:hint="eastAsia" w:ascii="宋体" w:hAnsi="宋体" w:cs="宋体"/>
                <w:b/>
                <w:bCs/>
                <w:color w:val="FF0000"/>
                <w:kern w:val="0"/>
                <w:sz w:val="22"/>
                <w:szCs w:val="22"/>
              </w:rPr>
            </w:pPr>
          </w:p>
        </w:tc>
        <w:tc>
          <w:tcPr>
            <w:tcW w:w="704" w:type="dxa"/>
            <w:shd w:val="clear" w:color="auto" w:fill="auto"/>
            <w:vAlign w:val="center"/>
          </w:tcPr>
          <w:p w14:paraId="4CF41C6D">
            <w:pPr>
              <w:widowControl/>
              <w:jc w:val="left"/>
              <w:rPr>
                <w:rFonts w:hint="eastAsia" w:ascii="宋体" w:hAnsi="宋体" w:cs="宋体"/>
                <w:b/>
                <w:bCs/>
                <w:color w:val="FF0000"/>
                <w:kern w:val="0"/>
                <w:sz w:val="22"/>
                <w:szCs w:val="22"/>
              </w:rPr>
            </w:pPr>
          </w:p>
        </w:tc>
      </w:tr>
      <w:tr w14:paraId="64001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589" w:type="dxa"/>
            <w:shd w:val="clear" w:color="auto" w:fill="auto"/>
            <w:vAlign w:val="center"/>
          </w:tcPr>
          <w:p w14:paraId="19DD6FF0">
            <w:pPr>
              <w:widowControl/>
              <w:jc w:val="center"/>
              <w:rPr>
                <w:rFonts w:ascii="宋体" w:hAnsi="宋体" w:cs="宋体"/>
                <w:color w:val="000000"/>
                <w:kern w:val="0"/>
                <w:sz w:val="22"/>
                <w:szCs w:val="22"/>
              </w:rPr>
            </w:pPr>
            <w:r>
              <w:rPr>
                <w:rFonts w:ascii="宋体" w:hAnsi="宋体" w:cs="宋体"/>
                <w:color w:val="000000"/>
                <w:kern w:val="0"/>
                <w:sz w:val="22"/>
                <w:szCs w:val="22"/>
              </w:rPr>
              <w:t>2</w:t>
            </w:r>
          </w:p>
        </w:tc>
        <w:tc>
          <w:tcPr>
            <w:tcW w:w="1129" w:type="dxa"/>
            <w:shd w:val="clear" w:color="auto" w:fill="auto"/>
            <w:noWrap/>
            <w:vAlign w:val="center"/>
          </w:tcPr>
          <w:p w14:paraId="0B2242A8">
            <w:pPr>
              <w:widowControl/>
              <w:jc w:val="center"/>
              <w:rPr>
                <w:rFonts w:ascii="宋体" w:hAnsi="宋体" w:cs="宋体"/>
                <w:kern w:val="0"/>
                <w:sz w:val="22"/>
                <w:szCs w:val="22"/>
              </w:rPr>
            </w:pPr>
            <w:r>
              <w:rPr>
                <w:rFonts w:hint="eastAsia"/>
                <w:sz w:val="22"/>
                <w:szCs w:val="22"/>
              </w:rPr>
              <w:t>立式钢琴</w:t>
            </w:r>
          </w:p>
        </w:tc>
        <w:tc>
          <w:tcPr>
            <w:tcW w:w="4383" w:type="dxa"/>
            <w:shd w:val="clear" w:color="auto" w:fill="auto"/>
            <w:vAlign w:val="center"/>
          </w:tcPr>
          <w:p w14:paraId="51FD19DC">
            <w:pPr>
              <w:widowControl/>
              <w:jc w:val="left"/>
              <w:rPr>
                <w:rFonts w:ascii="宋体" w:hAnsi="宋体" w:cs="宋体"/>
                <w:kern w:val="0"/>
                <w:sz w:val="22"/>
                <w:szCs w:val="22"/>
              </w:rPr>
            </w:pPr>
            <w:r>
              <w:rPr>
                <w:rFonts w:hint="eastAsia" w:ascii="宋体" w:hAnsi="宋体" w:cs="宋体"/>
                <w:kern w:val="0"/>
                <w:sz w:val="22"/>
                <w:szCs w:val="22"/>
              </w:rPr>
              <w:t>1、尺寸（长×宽×高）：151</w:t>
            </w:r>
            <w:r>
              <w:rPr>
                <w:rFonts w:ascii="宋体" w:hAnsi="宋体" w:cs="宋体"/>
                <w:kern w:val="0"/>
                <w:sz w:val="22"/>
                <w:szCs w:val="22"/>
              </w:rPr>
              <w:t>cm</w:t>
            </w:r>
            <w:r>
              <w:rPr>
                <w:rFonts w:hint="eastAsia" w:ascii="宋体" w:hAnsi="宋体" w:cs="宋体"/>
                <w:kern w:val="0"/>
                <w:sz w:val="22"/>
                <w:szCs w:val="22"/>
              </w:rPr>
              <w:t>×61</w:t>
            </w:r>
            <w:r>
              <w:rPr>
                <w:rFonts w:ascii="宋体" w:hAnsi="宋体" w:cs="宋体"/>
                <w:kern w:val="0"/>
                <w:sz w:val="22"/>
                <w:szCs w:val="22"/>
              </w:rPr>
              <w:t>cm</w:t>
            </w:r>
            <w:r>
              <w:rPr>
                <w:rFonts w:hint="eastAsia" w:ascii="宋体" w:hAnsi="宋体" w:cs="宋体"/>
                <w:kern w:val="0"/>
                <w:sz w:val="22"/>
                <w:szCs w:val="22"/>
              </w:rPr>
              <w:t>×121cm（可±5%）</w:t>
            </w:r>
          </w:p>
          <w:p w14:paraId="56F5DF6F">
            <w:pPr>
              <w:widowControl/>
              <w:jc w:val="left"/>
              <w:rPr>
                <w:rFonts w:ascii="宋体" w:hAnsi="宋体" w:cs="宋体"/>
                <w:kern w:val="0"/>
                <w:sz w:val="22"/>
                <w:szCs w:val="22"/>
              </w:rPr>
            </w:pPr>
            <w:r>
              <w:rPr>
                <w:rFonts w:hint="eastAsia" w:ascii="宋体" w:hAnsi="宋体" w:cs="宋体"/>
                <w:kern w:val="0"/>
                <w:sz w:val="22"/>
                <w:szCs w:val="22"/>
              </w:rPr>
              <w:t>2、铁板：采用传统翻砂铸造技术。</w:t>
            </w:r>
          </w:p>
          <w:p w14:paraId="42DC4B04">
            <w:pPr>
              <w:widowControl/>
              <w:jc w:val="left"/>
              <w:rPr>
                <w:rFonts w:ascii="宋体" w:hAnsi="宋体" w:cs="宋体"/>
                <w:kern w:val="0"/>
                <w:sz w:val="22"/>
                <w:szCs w:val="22"/>
              </w:rPr>
            </w:pPr>
            <w:r>
              <w:rPr>
                <w:rFonts w:hint="eastAsia" w:ascii="宋体" w:hAnsi="宋体" w:cs="宋体"/>
                <w:kern w:val="0"/>
                <w:sz w:val="22"/>
                <w:szCs w:val="22"/>
              </w:rPr>
              <w:t>3、弦槌：采用尼毡弦槌。</w:t>
            </w:r>
          </w:p>
          <w:p w14:paraId="0D55C140">
            <w:pPr>
              <w:widowControl/>
              <w:jc w:val="left"/>
              <w:rPr>
                <w:rFonts w:ascii="宋体" w:hAnsi="宋体" w:cs="宋体"/>
                <w:kern w:val="0"/>
                <w:sz w:val="22"/>
                <w:szCs w:val="22"/>
              </w:rPr>
            </w:pPr>
            <w:r>
              <w:rPr>
                <w:rFonts w:hint="eastAsia" w:ascii="宋体" w:hAnsi="宋体" w:cs="宋体"/>
                <w:kern w:val="0"/>
                <w:sz w:val="22"/>
                <w:szCs w:val="22"/>
              </w:rPr>
              <w:t>4、制音毡：毛毡。</w:t>
            </w:r>
          </w:p>
          <w:p w14:paraId="0CBEB7FB">
            <w:pPr>
              <w:widowControl/>
              <w:jc w:val="left"/>
              <w:rPr>
                <w:rFonts w:ascii="宋体" w:hAnsi="宋体" w:cs="宋体"/>
                <w:kern w:val="0"/>
                <w:sz w:val="22"/>
                <w:szCs w:val="22"/>
              </w:rPr>
            </w:pPr>
            <w:r>
              <w:rPr>
                <w:rFonts w:hint="eastAsia" w:ascii="宋体" w:hAnsi="宋体" w:cs="宋体"/>
                <w:kern w:val="0"/>
                <w:sz w:val="22"/>
                <w:szCs w:val="22"/>
              </w:rPr>
              <w:t>5、琴弦：使用防锈钢线，音色纯净，音准稳定。</w:t>
            </w:r>
          </w:p>
          <w:p w14:paraId="0702CD0E">
            <w:pPr>
              <w:widowControl/>
              <w:jc w:val="left"/>
              <w:rPr>
                <w:rFonts w:ascii="宋体" w:hAnsi="宋体" w:cs="宋体"/>
                <w:kern w:val="0"/>
                <w:sz w:val="22"/>
                <w:szCs w:val="22"/>
              </w:rPr>
            </w:pPr>
            <w:r>
              <w:rPr>
                <w:rFonts w:hint="eastAsia" w:ascii="宋体" w:hAnsi="宋体" w:cs="宋体"/>
                <w:kern w:val="0"/>
                <w:sz w:val="22"/>
                <w:szCs w:val="22"/>
              </w:rPr>
              <w:t>6、击弦机：采用枫木板材，铝合金总档。</w:t>
            </w:r>
          </w:p>
          <w:p w14:paraId="156FFE09">
            <w:pPr>
              <w:widowControl/>
              <w:jc w:val="left"/>
              <w:rPr>
                <w:rFonts w:ascii="宋体" w:hAnsi="宋体" w:cs="宋体"/>
                <w:kern w:val="0"/>
                <w:sz w:val="22"/>
                <w:szCs w:val="22"/>
              </w:rPr>
            </w:pPr>
            <w:r>
              <w:rPr>
                <w:rFonts w:hint="eastAsia" w:ascii="宋体" w:hAnsi="宋体" w:cs="宋体"/>
                <w:kern w:val="0"/>
                <w:sz w:val="22"/>
                <w:szCs w:val="22"/>
              </w:rPr>
              <w:t>7、缩调档：实木枫木制作，无金属包裹。</w:t>
            </w:r>
          </w:p>
          <w:p w14:paraId="7D4D0B4B">
            <w:pPr>
              <w:widowControl/>
              <w:jc w:val="left"/>
              <w:rPr>
                <w:rFonts w:ascii="宋体" w:hAnsi="宋体" w:cs="宋体"/>
                <w:kern w:val="0"/>
                <w:sz w:val="22"/>
                <w:szCs w:val="22"/>
              </w:rPr>
            </w:pPr>
            <w:r>
              <w:rPr>
                <w:rFonts w:hint="eastAsia" w:ascii="宋体" w:hAnsi="宋体" w:cs="宋体"/>
                <w:kern w:val="0"/>
                <w:sz w:val="22"/>
                <w:szCs w:val="22"/>
              </w:rPr>
              <w:t>8、连接顶杆：实木制作。</w:t>
            </w:r>
          </w:p>
          <w:p w14:paraId="54322477">
            <w:pPr>
              <w:widowControl/>
              <w:jc w:val="left"/>
              <w:rPr>
                <w:rFonts w:ascii="宋体" w:hAnsi="宋体" w:cs="宋体"/>
                <w:kern w:val="0"/>
                <w:sz w:val="22"/>
                <w:szCs w:val="22"/>
              </w:rPr>
            </w:pPr>
            <w:r>
              <w:rPr>
                <w:rFonts w:hint="eastAsia" w:ascii="宋体" w:hAnsi="宋体" w:cs="宋体"/>
                <w:kern w:val="0"/>
                <w:sz w:val="22"/>
                <w:szCs w:val="22"/>
              </w:rPr>
              <w:t>9、中盘：全实木交叉拼接制作。</w:t>
            </w:r>
          </w:p>
          <w:p w14:paraId="5FFA6DBF">
            <w:pPr>
              <w:widowControl/>
              <w:jc w:val="left"/>
              <w:rPr>
                <w:rFonts w:ascii="宋体" w:hAnsi="宋体" w:cs="宋体"/>
                <w:kern w:val="0"/>
                <w:sz w:val="22"/>
                <w:szCs w:val="22"/>
              </w:rPr>
            </w:pPr>
            <w:r>
              <w:rPr>
                <w:rFonts w:hint="eastAsia" w:ascii="宋体" w:hAnsi="宋体" w:cs="宋体"/>
                <w:kern w:val="0"/>
                <w:sz w:val="22"/>
                <w:szCs w:val="22"/>
              </w:rPr>
              <w:t>10、音板：采用上等云杉。</w:t>
            </w:r>
          </w:p>
          <w:p w14:paraId="4A03E1DB">
            <w:pPr>
              <w:widowControl/>
              <w:jc w:val="left"/>
              <w:rPr>
                <w:rFonts w:ascii="宋体" w:hAnsi="宋体" w:cs="宋体"/>
                <w:kern w:val="0"/>
                <w:sz w:val="22"/>
                <w:szCs w:val="22"/>
              </w:rPr>
            </w:pPr>
            <w:r>
              <w:rPr>
                <w:rFonts w:hint="eastAsia" w:ascii="宋体" w:hAnsi="宋体" w:cs="宋体"/>
                <w:kern w:val="0"/>
                <w:sz w:val="22"/>
                <w:szCs w:val="22"/>
              </w:rPr>
              <w:t>11、弦码：采用硬木制作，整码不齿接，音色过度均匀。</w:t>
            </w:r>
          </w:p>
          <w:p w14:paraId="75A0A887">
            <w:pPr>
              <w:widowControl/>
              <w:jc w:val="left"/>
              <w:rPr>
                <w:rFonts w:ascii="宋体" w:hAnsi="宋体" w:cs="宋体"/>
                <w:kern w:val="0"/>
                <w:sz w:val="22"/>
                <w:szCs w:val="22"/>
              </w:rPr>
            </w:pPr>
            <w:r>
              <w:rPr>
                <w:rFonts w:hint="eastAsia" w:ascii="宋体" w:hAnsi="宋体" w:cs="宋体"/>
                <w:kern w:val="0"/>
                <w:sz w:val="22"/>
                <w:szCs w:val="22"/>
              </w:rPr>
              <w:t>12、弦轴板：采用17层枫木弦轴板。</w:t>
            </w:r>
          </w:p>
          <w:p w14:paraId="2EBE1028">
            <w:pPr>
              <w:widowControl/>
              <w:jc w:val="left"/>
              <w:rPr>
                <w:rFonts w:ascii="宋体" w:hAnsi="宋体" w:cs="宋体"/>
                <w:kern w:val="0"/>
                <w:sz w:val="22"/>
                <w:szCs w:val="22"/>
              </w:rPr>
            </w:pPr>
            <w:r>
              <w:rPr>
                <w:rFonts w:hint="eastAsia" w:ascii="宋体" w:hAnsi="宋体" w:cs="宋体"/>
                <w:kern w:val="0"/>
                <w:sz w:val="22"/>
                <w:szCs w:val="22"/>
              </w:rPr>
              <w:t>13、键盘：选用不易变形的多层板制造，白键采用白松。</w:t>
            </w:r>
          </w:p>
          <w:p w14:paraId="42774DB5">
            <w:pPr>
              <w:widowControl/>
              <w:jc w:val="left"/>
              <w:rPr>
                <w:rFonts w:ascii="宋体" w:hAnsi="宋体" w:cs="宋体"/>
                <w:kern w:val="0"/>
                <w:sz w:val="22"/>
                <w:szCs w:val="22"/>
              </w:rPr>
            </w:pPr>
            <w:r>
              <w:rPr>
                <w:rFonts w:hint="eastAsia" w:ascii="宋体" w:hAnsi="宋体" w:cs="宋体"/>
                <w:kern w:val="0"/>
                <w:sz w:val="22"/>
                <w:szCs w:val="22"/>
              </w:rPr>
              <w:t>14、音头纽：全实木制作。</w:t>
            </w:r>
          </w:p>
          <w:p w14:paraId="43C20730">
            <w:pPr>
              <w:widowControl/>
              <w:jc w:val="left"/>
              <w:rPr>
                <w:rFonts w:ascii="宋体" w:hAnsi="宋体" w:cs="宋体"/>
                <w:kern w:val="0"/>
                <w:sz w:val="22"/>
                <w:szCs w:val="22"/>
              </w:rPr>
            </w:pPr>
            <w:r>
              <w:rPr>
                <w:rFonts w:hint="eastAsia" w:ascii="宋体" w:hAnsi="宋体" w:cs="宋体"/>
                <w:kern w:val="0"/>
                <w:sz w:val="22"/>
                <w:szCs w:val="22"/>
              </w:rPr>
              <w:t>15、背柱：5根背柱。背柱截面积≥83*60mm。</w:t>
            </w:r>
          </w:p>
          <w:p w14:paraId="4D6BE5E2">
            <w:pPr>
              <w:widowControl/>
              <w:jc w:val="left"/>
              <w:rPr>
                <w:rFonts w:ascii="宋体" w:hAnsi="宋体" w:cs="宋体"/>
                <w:b/>
                <w:bCs/>
                <w:color w:val="FF0000"/>
                <w:kern w:val="0"/>
                <w:sz w:val="22"/>
                <w:szCs w:val="22"/>
              </w:rPr>
            </w:pPr>
            <w:r>
              <w:rPr>
                <w:b/>
                <w:bCs/>
                <w:color w:val="FF0000"/>
              </w:rPr>
              <w:t>▲</w:t>
            </w:r>
            <w:r>
              <w:rPr>
                <w:rFonts w:ascii="宋体" w:hAnsi="宋体" w:cs="宋体"/>
                <w:b/>
                <w:bCs/>
                <w:color w:val="FF0000"/>
                <w:kern w:val="0"/>
                <w:sz w:val="22"/>
                <w:szCs w:val="22"/>
              </w:rPr>
              <w:t>16、</w:t>
            </w:r>
            <w:r>
              <w:rPr>
                <w:rFonts w:hint="eastAsia" w:ascii="宋体" w:hAnsi="宋体" w:cs="宋体"/>
                <w:b/>
                <w:bCs/>
                <w:color w:val="FF0000"/>
                <w:kern w:val="0"/>
                <w:sz w:val="22"/>
                <w:szCs w:val="22"/>
              </w:rPr>
              <w:t>声学品质检测要求：标准音：445-447Hz。投标时需提供：①第三方检测机构在资质认定证书规定的能力范围内出具的标注资质认定标志（CMA）的检验检测报告扫描件，原件备查；②检测报告在全国认证认可信息公共服务平台（http://cx.cnca.cn)的查询截图，相关检测报告在公开渠道无法查询的，可提供颁发部门、检验检测机构或者监管机构的证明材料。注：①检测报告需包含本项检测依据和参数的全部内容；②受检单位（或委托单位）为投标供应商或产品制造商；③无法判断机构检测范围的，投标人需提供“检测报告载明的检测事项未超出本机构检测范围”的承诺函。</w:t>
            </w:r>
          </w:p>
          <w:p w14:paraId="4A01CFF7">
            <w:pPr>
              <w:widowControl/>
              <w:jc w:val="left"/>
              <w:rPr>
                <w:rFonts w:ascii="宋体" w:hAnsi="宋体" w:cs="宋体"/>
                <w:b/>
                <w:bCs/>
                <w:color w:val="FF0000"/>
                <w:kern w:val="0"/>
                <w:sz w:val="22"/>
                <w:szCs w:val="22"/>
              </w:rPr>
            </w:pPr>
            <w:r>
              <w:rPr>
                <w:b/>
                <w:bCs/>
                <w:color w:val="FF0000"/>
              </w:rPr>
              <w:t>▲</w:t>
            </w:r>
            <w:r>
              <w:rPr>
                <w:rFonts w:hint="eastAsia" w:ascii="宋体" w:hAnsi="宋体" w:cs="宋体"/>
                <w:b/>
                <w:bCs/>
                <w:color w:val="FF0000"/>
                <w:kern w:val="0"/>
                <w:sz w:val="22"/>
                <w:szCs w:val="22"/>
              </w:rPr>
              <w:t>1</w:t>
            </w:r>
            <w:r>
              <w:rPr>
                <w:rFonts w:ascii="宋体" w:hAnsi="宋体" w:cs="宋体"/>
                <w:b/>
                <w:bCs/>
                <w:color w:val="FF0000"/>
                <w:kern w:val="0"/>
                <w:sz w:val="22"/>
                <w:szCs w:val="22"/>
              </w:rPr>
              <w:t>7、</w:t>
            </w:r>
            <w:r>
              <w:rPr>
                <w:rFonts w:hint="eastAsia" w:ascii="宋体" w:hAnsi="宋体" w:cs="宋体"/>
                <w:b/>
                <w:bCs/>
                <w:color w:val="FF0000"/>
                <w:kern w:val="0"/>
                <w:sz w:val="22"/>
                <w:szCs w:val="22"/>
              </w:rPr>
              <w:t>演奏性能检测要求：白键下沉深度10.5-11.5mm；白键下沉偏差≤0.6mm；相邻两键偏差≤0.4mm；琴键负荷-下降：0.59-0.73N；琴键负荷-回升：0.26-0.33N；琴键负荷-相邻两键下降负荷差：≤0.10N；踏瓣负荷：≤5.5N。投标时需提供：①第三方检测机构在资质认定证书规定的能力范围内出具的标注资质认定标志（CMA）的检验检测报告扫描件，原件备查；②检测报告在全国认证认可信息公共服务平台（http://cx.cnca.cn)的查询截图，相关检测报告在公开渠道无法查询的，可提供颁发部门、检验检测机构或者监管机构的证明材料。注：①检测报告需包含本项检测依据和参数的全部内容；②受检单位（或委托单位）为投标供应商或产品制造商；③无法判断机构检测范围的，投标人需提供“检测报告载明的检测事项未超出本机构检测范围”的承诺函。</w:t>
            </w:r>
          </w:p>
          <w:p w14:paraId="771B7C4F">
            <w:pPr>
              <w:widowControl/>
              <w:jc w:val="left"/>
              <w:rPr>
                <w:rFonts w:ascii="宋体" w:hAnsi="宋体" w:cs="宋体"/>
                <w:b/>
                <w:bCs/>
                <w:color w:val="FF0000"/>
                <w:kern w:val="0"/>
                <w:sz w:val="22"/>
                <w:szCs w:val="22"/>
              </w:rPr>
            </w:pPr>
            <w:r>
              <w:rPr>
                <w:b/>
                <w:bCs/>
                <w:color w:val="FF0000"/>
              </w:rPr>
              <w:t>▲</w:t>
            </w:r>
            <w:r>
              <w:rPr>
                <w:rFonts w:hint="eastAsia" w:ascii="宋体" w:hAnsi="宋体" w:cs="宋体"/>
                <w:b/>
                <w:bCs/>
                <w:color w:val="FF0000"/>
                <w:kern w:val="0"/>
                <w:sz w:val="22"/>
                <w:szCs w:val="22"/>
              </w:rPr>
              <w:t>1</w:t>
            </w:r>
            <w:r>
              <w:rPr>
                <w:rFonts w:ascii="宋体" w:hAnsi="宋体" w:cs="宋体"/>
                <w:b/>
                <w:bCs/>
                <w:color w:val="FF0000"/>
                <w:kern w:val="0"/>
                <w:sz w:val="22"/>
                <w:szCs w:val="22"/>
              </w:rPr>
              <w:t>8、</w:t>
            </w:r>
            <w:r>
              <w:rPr>
                <w:rFonts w:hint="eastAsia" w:ascii="宋体" w:hAnsi="宋体" w:cs="宋体"/>
                <w:b/>
                <w:bCs/>
                <w:color w:val="FF0000"/>
                <w:kern w:val="0"/>
                <w:sz w:val="22"/>
                <w:szCs w:val="22"/>
              </w:rPr>
              <w:t>键盘检测要求：琴键间隙：0.8-1.1mm；中盘底面距地面高度625-635mm。投标时需提供：①第三方检测机构在资质认定证书规定的能力范围内出具的标注资质认定标志（CMA）的检验检测报告扫描件，原件备查；②检测报告在全国认证认可信息公共服务平台（http://cx.cnca.cn)的查询截图，相关检测报告在公开渠道无法查询的，可提供颁发部门、检验检测机构或者监管机构的证明材料。注：①检测报告需包含本项检测依据和参数的全部内容；②受检单位（或委托单位）为投标供应商或产品制造商；③无法判断机构检测范围的，投标人需提供“检测报告载明的检测事项未超出本机构检测范围”的承诺函。</w:t>
            </w:r>
          </w:p>
          <w:p w14:paraId="3B4E3A14">
            <w:pPr>
              <w:widowControl/>
              <w:jc w:val="left"/>
              <w:rPr>
                <w:rFonts w:ascii="宋体" w:hAnsi="宋体" w:cs="宋体"/>
                <w:b/>
                <w:bCs/>
                <w:color w:val="FF0000"/>
                <w:kern w:val="0"/>
                <w:sz w:val="22"/>
                <w:szCs w:val="22"/>
              </w:rPr>
            </w:pPr>
            <w:r>
              <w:rPr>
                <w:b/>
                <w:bCs/>
                <w:color w:val="FF0000"/>
              </w:rPr>
              <w:t>▲</w:t>
            </w:r>
            <w:r>
              <w:rPr>
                <w:rFonts w:hint="eastAsia" w:ascii="宋体" w:hAnsi="宋体" w:cs="宋体"/>
                <w:b/>
                <w:bCs/>
                <w:color w:val="FF0000"/>
                <w:kern w:val="0"/>
                <w:sz w:val="22"/>
                <w:szCs w:val="22"/>
              </w:rPr>
              <w:t>1</w:t>
            </w:r>
            <w:r>
              <w:rPr>
                <w:rFonts w:ascii="宋体" w:hAnsi="宋体" w:cs="宋体"/>
                <w:b/>
                <w:bCs/>
                <w:color w:val="FF0000"/>
                <w:kern w:val="0"/>
                <w:sz w:val="22"/>
                <w:szCs w:val="22"/>
              </w:rPr>
              <w:t>9、</w:t>
            </w:r>
            <w:r>
              <w:rPr>
                <w:rFonts w:hint="eastAsia" w:ascii="宋体" w:hAnsi="宋体" w:cs="宋体"/>
                <w:b/>
                <w:bCs/>
                <w:color w:val="FF0000"/>
                <w:kern w:val="0"/>
                <w:sz w:val="22"/>
                <w:szCs w:val="22"/>
              </w:rPr>
              <w:t>外壳检测要求：表面涂饰：≥89光泽单位，各部件之间平均值的差值≤2.6光泽单位；平面度：对角线长度≥1200mm，公差≤0.3mm。500mm≤对角线长度&lt;1200mm，公差≤0.3mm。对角线长度&lt;500mm，公差≤0.4mm。投标时需提供：①第三方检测机构在资质认定证书规定的能力范围内出具的标注资质认定标志（CMA）的检验检测报告扫描件，原件备查；②检测报告在全国认证认可信息公共服务平台（http://cx.cnca.cn)的查询截图，相关检测报告在公开渠道无法查询的，可提供颁发部门、检验检测机构或者监管机构的证明材料。注：①检测报告需包含本项检测依据和参数的全部内容；②受检单位（或委托单位）为投标供应商或产品制造商；③无法判断机构检测范围的，投标人需提供“检测报告载明的检测事项未超出本机构检测范围”的承诺函。</w:t>
            </w:r>
          </w:p>
          <w:p w14:paraId="5C46EE80">
            <w:pPr>
              <w:widowControl/>
              <w:jc w:val="left"/>
              <w:rPr>
                <w:rFonts w:ascii="宋体" w:hAnsi="宋体" w:cs="宋体"/>
                <w:kern w:val="0"/>
                <w:sz w:val="22"/>
                <w:szCs w:val="22"/>
              </w:rPr>
            </w:pPr>
            <w:r>
              <w:rPr>
                <w:rFonts w:ascii="宋体" w:hAnsi="宋体" w:cs="宋体"/>
                <w:kern w:val="0"/>
                <w:sz w:val="22"/>
                <w:szCs w:val="22"/>
              </w:rPr>
              <w:t>20</w:t>
            </w:r>
            <w:r>
              <w:rPr>
                <w:rFonts w:hint="eastAsia" w:ascii="宋体" w:hAnsi="宋体" w:cs="宋体"/>
                <w:kern w:val="0"/>
                <w:sz w:val="22"/>
                <w:szCs w:val="22"/>
              </w:rPr>
              <w:t>、脚轮：采用金属镀铬制作。</w:t>
            </w:r>
          </w:p>
          <w:p w14:paraId="0B4A5673">
            <w:pPr>
              <w:widowControl/>
              <w:jc w:val="left"/>
              <w:rPr>
                <w:rFonts w:ascii="宋体" w:hAnsi="宋体" w:cs="宋体"/>
                <w:kern w:val="0"/>
                <w:sz w:val="22"/>
                <w:szCs w:val="22"/>
              </w:rPr>
            </w:pPr>
            <w:r>
              <w:rPr>
                <w:rFonts w:ascii="宋体" w:hAnsi="宋体" w:cs="宋体"/>
                <w:kern w:val="0"/>
                <w:sz w:val="22"/>
                <w:szCs w:val="22"/>
              </w:rPr>
              <w:t>21</w:t>
            </w:r>
            <w:r>
              <w:rPr>
                <w:rFonts w:hint="eastAsia" w:ascii="宋体" w:hAnsi="宋体" w:cs="宋体"/>
                <w:kern w:val="0"/>
                <w:sz w:val="22"/>
                <w:szCs w:val="22"/>
              </w:rPr>
              <w:t>、键盖：安装液压缓冲装置。</w:t>
            </w:r>
          </w:p>
          <w:p w14:paraId="1158A24D">
            <w:pPr>
              <w:widowControl/>
              <w:jc w:val="left"/>
              <w:rPr>
                <w:rFonts w:ascii="宋体" w:hAnsi="宋体" w:cs="宋体"/>
                <w:kern w:val="0"/>
                <w:sz w:val="22"/>
                <w:szCs w:val="22"/>
              </w:rPr>
            </w:pPr>
            <w:r>
              <w:rPr>
                <w:rFonts w:hint="eastAsia" w:ascii="宋体" w:hAnsi="宋体" w:cs="宋体"/>
                <w:kern w:val="0"/>
                <w:sz w:val="22"/>
                <w:szCs w:val="22"/>
              </w:rPr>
              <w:t>2</w:t>
            </w:r>
            <w:r>
              <w:rPr>
                <w:rFonts w:ascii="宋体" w:hAnsi="宋体" w:cs="宋体"/>
                <w:kern w:val="0"/>
                <w:sz w:val="22"/>
                <w:szCs w:val="22"/>
              </w:rPr>
              <w:t>2</w:t>
            </w:r>
            <w:r>
              <w:rPr>
                <w:rFonts w:hint="eastAsia" w:ascii="宋体" w:hAnsi="宋体" w:cs="宋体"/>
                <w:kern w:val="0"/>
                <w:sz w:val="22"/>
                <w:szCs w:val="22"/>
              </w:rPr>
              <w:t>、配琴凳、琴键布。</w:t>
            </w:r>
          </w:p>
        </w:tc>
        <w:tc>
          <w:tcPr>
            <w:tcW w:w="914" w:type="dxa"/>
            <w:shd w:val="clear" w:color="auto" w:fill="auto"/>
            <w:vAlign w:val="center"/>
          </w:tcPr>
          <w:p w14:paraId="000891C9">
            <w:pPr>
              <w:widowControl/>
              <w:jc w:val="left"/>
              <w:rPr>
                <w:rFonts w:hint="eastAsia" w:ascii="宋体" w:hAnsi="宋体" w:cs="宋体"/>
                <w:kern w:val="0"/>
                <w:sz w:val="22"/>
                <w:szCs w:val="22"/>
              </w:rPr>
            </w:pPr>
          </w:p>
        </w:tc>
        <w:tc>
          <w:tcPr>
            <w:tcW w:w="703" w:type="dxa"/>
            <w:shd w:val="clear" w:color="auto" w:fill="auto"/>
            <w:vAlign w:val="center"/>
          </w:tcPr>
          <w:p w14:paraId="45D9F16E">
            <w:pPr>
              <w:widowControl/>
              <w:jc w:val="left"/>
              <w:rPr>
                <w:rFonts w:hint="eastAsia" w:ascii="宋体" w:hAnsi="宋体" w:cs="宋体"/>
                <w:kern w:val="0"/>
                <w:sz w:val="22"/>
                <w:szCs w:val="22"/>
              </w:rPr>
            </w:pPr>
          </w:p>
        </w:tc>
        <w:tc>
          <w:tcPr>
            <w:tcW w:w="704" w:type="dxa"/>
            <w:shd w:val="clear" w:color="auto" w:fill="auto"/>
            <w:vAlign w:val="center"/>
          </w:tcPr>
          <w:p w14:paraId="466333DB">
            <w:pPr>
              <w:widowControl/>
              <w:jc w:val="left"/>
              <w:rPr>
                <w:rFonts w:hint="eastAsia" w:ascii="宋体" w:hAnsi="宋体" w:cs="宋体"/>
                <w:kern w:val="0"/>
                <w:sz w:val="22"/>
                <w:szCs w:val="22"/>
              </w:rPr>
            </w:pPr>
          </w:p>
        </w:tc>
      </w:tr>
    </w:tbl>
    <w:p w14:paraId="67C2617D">
      <w:pPr>
        <w:rPr>
          <w:sz w:val="24"/>
        </w:rPr>
      </w:pPr>
    </w:p>
    <w:p w14:paraId="700FE7E0">
      <w:pPr>
        <w:rPr>
          <w:szCs w:val="21"/>
        </w:rPr>
      </w:pPr>
      <w:bookmarkStart w:id="73" w:name="_Hlk72095977"/>
      <w:r>
        <w:rPr>
          <w:rFonts w:hint="eastAsia"/>
          <w:szCs w:val="21"/>
        </w:rPr>
        <w:t>证明资料【如有的话，提供的证明资料应统一编号（排序），格式自定】</w:t>
      </w:r>
      <w:bookmarkEnd w:id="73"/>
      <w:r>
        <w:rPr>
          <w:rFonts w:hint="eastAsia"/>
          <w:szCs w:val="21"/>
        </w:rPr>
        <w:t>：</w:t>
      </w:r>
    </w:p>
    <w:p w14:paraId="3BEAABA5">
      <w:pPr>
        <w:ind w:firstLine="422" w:firstLineChars="200"/>
        <w:rPr>
          <w:b/>
          <w:szCs w:val="21"/>
        </w:rPr>
      </w:pPr>
    </w:p>
    <w:p w14:paraId="3DAE47C2">
      <w:pPr>
        <w:ind w:firstLine="422" w:firstLineChars="200"/>
        <w:rPr>
          <w:b/>
          <w:szCs w:val="21"/>
        </w:rPr>
      </w:pPr>
    </w:p>
    <w:p w14:paraId="1D5F4536">
      <w:pPr>
        <w:ind w:firstLine="420" w:firstLineChars="200"/>
        <w:rPr>
          <w:bCs/>
          <w:szCs w:val="21"/>
        </w:rPr>
      </w:pPr>
      <w:r>
        <w:rPr>
          <w:rFonts w:hint="eastAsia"/>
          <w:bCs/>
          <w:szCs w:val="21"/>
        </w:rPr>
        <w:t>《技术要求偏离表》编制指引：</w:t>
      </w:r>
    </w:p>
    <w:p w14:paraId="150784F2">
      <w:pPr>
        <w:ind w:firstLine="420" w:firstLineChars="200"/>
        <w:rPr>
          <w:bCs/>
          <w:szCs w:val="21"/>
        </w:rPr>
      </w:pPr>
      <w:r>
        <w:rPr>
          <w:rFonts w:hint="eastAsia"/>
          <w:bCs/>
          <w:szCs w:val="21"/>
        </w:rPr>
        <w:t>1、技术要求偏离表的序号、货物名称、招标技术要求等栏目</w:t>
      </w:r>
      <w:bookmarkStart w:id="74" w:name="_Hlk72094407"/>
      <w:r>
        <w:rPr>
          <w:rFonts w:hint="eastAsia"/>
          <w:bCs/>
          <w:szCs w:val="21"/>
        </w:rPr>
        <w:t>对应“用户需求书”中的“技术要求”章节</w:t>
      </w:r>
      <w:bookmarkEnd w:id="74"/>
      <w:r>
        <w:rPr>
          <w:rFonts w:hint="eastAsia"/>
          <w:bCs/>
          <w:szCs w:val="21"/>
        </w:rPr>
        <w:t>相关内容。</w:t>
      </w:r>
    </w:p>
    <w:p w14:paraId="1D7ED75D">
      <w:pPr>
        <w:pStyle w:val="38"/>
        <w:widowControl/>
        <w:spacing w:beforeAutospacing="0" w:afterAutospacing="0"/>
        <w:ind w:firstLine="420" w:firstLineChars="200"/>
        <w:jc w:val="both"/>
        <w:rPr>
          <w:bCs/>
          <w:color w:val="FF0000"/>
          <w:kern w:val="2"/>
          <w:sz w:val="21"/>
          <w:szCs w:val="21"/>
        </w:rPr>
      </w:pPr>
      <w:r>
        <w:rPr>
          <w:bCs/>
          <w:sz w:val="21"/>
          <w:szCs w:val="21"/>
        </w:rPr>
        <w:t>2</w:t>
      </w:r>
      <w:r>
        <w:rPr>
          <w:rFonts w:hint="eastAsia"/>
          <w:bCs/>
          <w:sz w:val="21"/>
          <w:szCs w:val="21"/>
        </w:rPr>
        <w:t>、“投标技术响应”一栏必须一一对照“招标技术要求”，详细填写投标人自身投标货物的具体参数，而不能不合理照搬照抄招标文件的技术要求，以体现具体响应情况。</w:t>
      </w:r>
      <w:r>
        <w:rPr>
          <w:rFonts w:hint="eastAsia"/>
          <w:bCs/>
          <w:color w:val="FF0000"/>
          <w:kern w:val="2"/>
          <w:sz w:val="21"/>
          <w:szCs w:val="21"/>
        </w:rPr>
        <w:t>“投标技术响应”必须与所投产品客观实际保持一致，响应不实且情节严重的，经查实，将依法记入供应商诚信档案或受到行政处罚。</w:t>
      </w:r>
    </w:p>
    <w:p w14:paraId="08D01ED2">
      <w:pPr>
        <w:ind w:firstLine="420" w:firstLineChars="200"/>
        <w:rPr>
          <w:bCs/>
          <w:color w:val="FF0000"/>
          <w:szCs w:val="21"/>
        </w:rPr>
      </w:pPr>
      <w:r>
        <w:rPr>
          <w:bCs/>
          <w:szCs w:val="21"/>
        </w:rPr>
        <w:t>3</w:t>
      </w:r>
      <w:r>
        <w:rPr>
          <w:rFonts w:hint="eastAsia"/>
          <w:bCs/>
          <w:szCs w:val="21"/>
        </w:rPr>
        <w:t>、</w:t>
      </w:r>
      <w:bookmarkStart w:id="75" w:name="_Hlk72158270"/>
      <w:r>
        <w:rPr>
          <w:rFonts w:hint="eastAsia"/>
          <w:bCs/>
          <w:szCs w:val="21"/>
        </w:rPr>
        <w:t>“偏离情况”</w:t>
      </w:r>
      <w:bookmarkEnd w:id="75"/>
      <w:r>
        <w:rPr>
          <w:rFonts w:hint="eastAsia"/>
          <w:bCs/>
          <w:szCs w:val="21"/>
        </w:rPr>
        <w:t>一栏填写如实填写“正偏离”、“负偏离”或“无偏离”，其中：</w:t>
      </w:r>
      <w:bookmarkStart w:id="76" w:name="_Hlk72093866"/>
      <w:r>
        <w:rPr>
          <w:rFonts w:hint="eastAsia"/>
          <w:bCs/>
          <w:szCs w:val="21"/>
        </w:rPr>
        <w:t>“正偏离”表示“投标响应优于招标技术要求”，“负偏离”表示“投标响应不满足招标技术要求”，“无偏离”表示“投标响应与招标技术要求一致”</w:t>
      </w:r>
      <w:bookmarkEnd w:id="76"/>
      <w:r>
        <w:rPr>
          <w:rFonts w:hint="eastAsia"/>
          <w:bCs/>
          <w:szCs w:val="21"/>
        </w:rPr>
        <w:t>。“投标技术响应”对比“招标技术要求”存在响应不全（包括未响应整项招标技术要求或者未响应一项招标技术要求的部分内容），均视为“负偏离”。带★号条款为不可负偏离条款，不作为评分准则中的评分内容，如未响应或出现负偏离的，将做投标无效处理。</w:t>
      </w:r>
      <w:r>
        <w:rPr>
          <w:rFonts w:hint="eastAsia"/>
          <w:bCs/>
          <w:color w:val="FF0000"/>
          <w:szCs w:val="21"/>
        </w:rPr>
        <w:t>“偏离情况”必须与所投产品客观实际保持一致，响应不实且情节严重的，经查实，将依法记入供应商诚信档案或受到行政处罚。</w:t>
      </w:r>
    </w:p>
    <w:p w14:paraId="6DD5B24D">
      <w:pPr>
        <w:ind w:firstLine="420" w:firstLineChars="200"/>
        <w:rPr>
          <w:bCs/>
          <w:szCs w:val="21"/>
        </w:rPr>
      </w:pPr>
      <w:r>
        <w:rPr>
          <w:bCs/>
          <w:szCs w:val="21"/>
        </w:rPr>
        <w:t>4</w:t>
      </w:r>
      <w:r>
        <w:rPr>
          <w:rFonts w:hint="eastAsia"/>
          <w:bCs/>
          <w:szCs w:val="21"/>
        </w:rPr>
        <w:t>、未要求提供证明资料的招标技术要求，可以不提供证明资料（如实响应即可）。</w:t>
      </w:r>
    </w:p>
    <w:p w14:paraId="53B030A8">
      <w:pPr>
        <w:ind w:firstLine="420" w:firstLineChars="200"/>
        <w:rPr>
          <w:bCs/>
          <w:szCs w:val="21"/>
        </w:rPr>
      </w:pPr>
      <w:r>
        <w:rPr>
          <w:rFonts w:hint="eastAsia"/>
          <w:bCs/>
          <w:szCs w:val="21"/>
        </w:rPr>
        <w:t>5、</w:t>
      </w:r>
      <w:bookmarkStart w:id="77" w:name="_Hlk72096106"/>
      <w:r>
        <w:rPr>
          <w:rFonts w:hint="eastAsia"/>
          <w:bCs/>
          <w:szCs w:val="21"/>
        </w:rPr>
        <w:t>证明资料条款响应要求</w:t>
      </w:r>
      <w:bookmarkEnd w:id="77"/>
      <w:r>
        <w:rPr>
          <w:rFonts w:hint="eastAsia"/>
          <w:bCs/>
          <w:szCs w:val="21"/>
        </w:rPr>
        <w:t>：要求提供证明资料（且已对证明资料的形式、内容作出明确要求）进行响应的条款，应当在“说明”一栏中列明是否提供了符合要求的证明资料，以及所提供证明资料在表后“证明资料”中的编号（位置）,以便评审；</w:t>
      </w:r>
      <w:bookmarkStart w:id="78" w:name="_Hlk73558782"/>
      <w:r>
        <w:rPr>
          <w:rFonts w:hint="eastAsia"/>
          <w:bCs/>
          <w:szCs w:val="21"/>
        </w:rPr>
        <w:t>此类条款应严格依照要求的形式、内容提供证明资料，如未提供证明资料（或：证明资料的形式、内容等不符合要求；证明资料显示不符合招标技术要求；证明资料模糊不清无法判断或未显示是否满足招标技术要求），</w:t>
      </w:r>
      <w:bookmarkStart w:id="79" w:name="_Hlk73558164"/>
      <w:r>
        <w:rPr>
          <w:rFonts w:hint="eastAsia"/>
          <w:bCs/>
          <w:szCs w:val="21"/>
        </w:rPr>
        <w:t>且投标人在“偏离情况”一栏响应为“正偏离”或“无偏离”的，经评审委员会认定，将判定为负偏离。</w:t>
      </w:r>
      <w:bookmarkEnd w:id="78"/>
      <w:bookmarkEnd w:id="79"/>
    </w:p>
    <w:p w14:paraId="2FD1A064">
      <w:pPr>
        <w:ind w:firstLine="420" w:firstLineChars="200"/>
        <w:rPr>
          <w:bCs/>
          <w:szCs w:val="21"/>
        </w:rPr>
      </w:pPr>
      <w:r>
        <w:rPr>
          <w:rFonts w:hint="eastAsia"/>
          <w:bCs/>
          <w:szCs w:val="21"/>
        </w:rPr>
        <w:t>6、</w:t>
      </w:r>
      <w:bookmarkStart w:id="80" w:name="_Hlk72096137"/>
      <w:r>
        <w:rPr>
          <w:rFonts w:hint="eastAsia"/>
          <w:bCs/>
          <w:szCs w:val="21"/>
        </w:rPr>
        <w:t>表后“证明资料”部分内容的编制</w:t>
      </w:r>
      <w:bookmarkEnd w:id="80"/>
      <w:r>
        <w:rPr>
          <w:rFonts w:hint="eastAsia"/>
          <w:bCs/>
          <w:szCs w:val="21"/>
        </w:rPr>
        <w:t>：提供的所有证明资料应当统一编号（排序），且证明资料的编号（顺序）、数量和名称（形式）均应与“说明”一栏所填内容保持一致（一一对应），以便评审委员会查看。</w:t>
      </w:r>
      <w:bookmarkStart w:id="81" w:name="_Hlk73558180"/>
      <w:r>
        <w:rPr>
          <w:rFonts w:hint="eastAsia"/>
          <w:bCs/>
          <w:szCs w:val="21"/>
        </w:rPr>
        <w:t>未按照招标文件要求在表后放置证明材料的供应商将承担不利后果，经评审委员会认定，相关技术要求将判定为负偏离。</w:t>
      </w:r>
      <w:bookmarkEnd w:id="81"/>
    </w:p>
    <w:p w14:paraId="35C1C6DB">
      <w:pPr>
        <w:ind w:firstLine="420" w:firstLineChars="200"/>
        <w:rPr>
          <w:bCs/>
          <w:szCs w:val="21"/>
        </w:rPr>
      </w:pPr>
      <w:r>
        <w:rPr>
          <w:rFonts w:hint="eastAsia"/>
          <w:bCs/>
          <w:szCs w:val="21"/>
        </w:rPr>
        <w:t>7、</w:t>
      </w:r>
      <w:bookmarkStart w:id="82" w:name="_Hlk72096176"/>
      <w:r>
        <w:rPr>
          <w:rFonts w:hint="eastAsia"/>
          <w:bCs/>
          <w:szCs w:val="21"/>
        </w:rPr>
        <w:t>证明资料的形式及其它具体要求</w:t>
      </w:r>
      <w:bookmarkEnd w:id="82"/>
      <w:r>
        <w:rPr>
          <w:rFonts w:hint="eastAsia"/>
          <w:bCs/>
          <w:szCs w:val="21"/>
        </w:rPr>
        <w:t>：</w:t>
      </w:r>
    </w:p>
    <w:p w14:paraId="6958C2D4">
      <w:pPr>
        <w:ind w:firstLine="420" w:firstLineChars="200"/>
        <w:rPr>
          <w:bCs/>
          <w:szCs w:val="21"/>
        </w:rPr>
      </w:pPr>
      <w:r>
        <w:rPr>
          <w:rFonts w:hint="eastAsia"/>
          <w:bCs/>
          <w:szCs w:val="21"/>
        </w:rPr>
        <w:t>（1）除照片、图片（截图）及不需加盖公章的文字说明（技术说明）外，其它证明资料均要求为原件扫描件；</w:t>
      </w:r>
    </w:p>
    <w:p w14:paraId="7BB1F156">
      <w:pPr>
        <w:ind w:firstLine="420" w:firstLineChars="200"/>
        <w:rPr>
          <w:bCs/>
          <w:szCs w:val="21"/>
        </w:rPr>
      </w:pPr>
      <w:r>
        <w:rPr>
          <w:rFonts w:hint="eastAsia"/>
          <w:bCs/>
          <w:szCs w:val="21"/>
        </w:rPr>
        <w:t>（2）提供证明资料的形式包括但不限于：a.制造商公布（出具）的产品说明书、产品彩页；b.我国政府机构出具的产品检验和核准证件等；c.第三方机构出具的检测（检验、测试）报告、认证证书等；已对证明资料的形式、内容作出具体要求的，必须严格按要求的形式、内容提供证明资料；</w:t>
      </w:r>
    </w:p>
    <w:p w14:paraId="461FC760">
      <w:pPr>
        <w:ind w:firstLine="420" w:firstLineChars="200"/>
        <w:rPr>
          <w:bCs/>
          <w:szCs w:val="21"/>
        </w:rPr>
      </w:pPr>
      <w:r>
        <w:rPr>
          <w:rFonts w:hint="eastAsia"/>
          <w:bCs/>
          <w:szCs w:val="21"/>
        </w:rPr>
        <w:t>（3）产品说明书或彩页应为制造商公布（出具）的中文产品说明书或彩页；提供外文说明书或彩页的，必须同时提供加盖制造商公章的对应中文翻译说明，评标依据以中文翻译内容为准，外文说明书或彩页仅供参考；产品说明书或彩页的尺寸和清晰度应该能够在电脑上被阅读、识别和判断；</w:t>
      </w:r>
    </w:p>
    <w:p w14:paraId="67D133A2">
      <w:pPr>
        <w:ind w:firstLine="420" w:firstLineChars="200"/>
        <w:rPr>
          <w:bCs/>
          <w:szCs w:val="21"/>
        </w:rPr>
      </w:pPr>
      <w:r>
        <w:rPr>
          <w:rFonts w:hint="eastAsia"/>
          <w:bCs/>
          <w:szCs w:val="21"/>
        </w:rPr>
        <w:t>我国政府机构出具的产品检验和核准证件应为证件正面、背面和附件标注的全部具体内容；产品检验和核准证件的尺寸和清晰度应该能够在电脑上被阅读、识别和判断；</w:t>
      </w:r>
    </w:p>
    <w:p w14:paraId="548BDDCC">
      <w:pPr>
        <w:ind w:firstLine="420" w:firstLineChars="200"/>
        <w:rPr>
          <w:bCs/>
          <w:szCs w:val="21"/>
        </w:rPr>
      </w:pPr>
      <w:r>
        <w:rPr>
          <w:rFonts w:hint="eastAsia"/>
          <w:bCs/>
          <w:szCs w:val="21"/>
        </w:rPr>
        <w:t>第三方机构出具的检测（检验、测试）报告、认证（证明）证书应为中文报告或证书；提供外文报告或证书的，必须同时提供对应的中文翻译文字说明，评标依据以中文翻译文字说明内容为准，外文报告或证书仅供参考；报告或证书的尺寸和清晰度应该能够在电脑上被阅读、识别和判断；</w:t>
      </w:r>
    </w:p>
    <w:p w14:paraId="4D636783">
      <w:pPr>
        <w:ind w:firstLine="420" w:firstLineChars="200"/>
        <w:rPr>
          <w:bCs/>
          <w:szCs w:val="21"/>
        </w:rPr>
      </w:pPr>
      <w:r>
        <w:rPr>
          <w:rFonts w:hint="eastAsia"/>
          <w:bCs/>
          <w:szCs w:val="21"/>
        </w:rPr>
        <w:t>其它证明资料的形式要求参照以上要求执行；</w:t>
      </w:r>
    </w:p>
    <w:p w14:paraId="79090E34">
      <w:pPr>
        <w:ind w:firstLine="420" w:firstLineChars="200"/>
        <w:rPr>
          <w:bCs/>
          <w:szCs w:val="21"/>
        </w:rPr>
      </w:pPr>
      <w:r>
        <w:rPr>
          <w:rFonts w:hint="eastAsia"/>
          <w:bCs/>
          <w:szCs w:val="21"/>
        </w:rPr>
        <w:t>（4）证明资料均要求原件备查。</w:t>
      </w:r>
    </w:p>
    <w:p w14:paraId="5F7BA6BC">
      <w:pPr>
        <w:ind w:firstLine="420" w:firstLineChars="200"/>
        <w:rPr>
          <w:bCs/>
          <w:szCs w:val="21"/>
        </w:rPr>
      </w:pPr>
      <w:r>
        <w:rPr>
          <w:rFonts w:hint="eastAsia"/>
          <w:bCs/>
          <w:szCs w:val="21"/>
        </w:rPr>
        <w:t>8、其它注意事项：</w:t>
      </w:r>
    </w:p>
    <w:p w14:paraId="40C1D038">
      <w:pPr>
        <w:ind w:firstLine="420" w:firstLineChars="200"/>
        <w:rPr>
          <w:bCs/>
          <w:szCs w:val="21"/>
        </w:rPr>
      </w:pPr>
      <w:r>
        <w:rPr>
          <w:rFonts w:hint="eastAsia"/>
          <w:bCs/>
          <w:szCs w:val="21"/>
        </w:rPr>
        <w:t>（1）评审委员会有权对投标人的响应情况作出判断（评审结论）；</w:t>
      </w:r>
    </w:p>
    <w:p w14:paraId="38267358">
      <w:pPr>
        <w:ind w:firstLine="420" w:firstLineChars="200"/>
        <w:rPr>
          <w:bCs/>
          <w:szCs w:val="21"/>
        </w:rPr>
      </w:pPr>
      <w:r>
        <w:rPr>
          <w:rFonts w:hint="eastAsia"/>
          <w:bCs/>
          <w:szCs w:val="21"/>
        </w:rPr>
        <w:t>（2）</w:t>
      </w:r>
      <w:bookmarkStart w:id="83" w:name="_Hlk72158213"/>
      <w:r>
        <w:rPr>
          <w:rFonts w:hint="eastAsia"/>
          <w:bCs/>
          <w:szCs w:val="21"/>
        </w:rPr>
        <w:t>评审委员会有权对以谋取中标为目的的技术规格模糊响应（如有意不合理照搬照抄招标文件的技术要求）或虚假响应予以认定，并视情况经政府集中采购机构报主管部门进行处理。</w:t>
      </w:r>
      <w:bookmarkEnd w:id="83"/>
    </w:p>
    <w:p w14:paraId="5D1E425F">
      <w:pPr>
        <w:rPr>
          <w:sz w:val="24"/>
        </w:rPr>
      </w:pPr>
    </w:p>
    <w:p w14:paraId="201E095D">
      <w:pPr>
        <w:pStyle w:val="4"/>
        <w:jc w:val="center"/>
        <w:rPr>
          <w:rFonts w:hint="eastAsia" w:ascii="黑体" w:eastAsia="黑体"/>
          <w:b w:val="0"/>
          <w:bCs w:val="0"/>
          <w:sz w:val="24"/>
          <w:szCs w:val="20"/>
        </w:rPr>
      </w:pPr>
      <w:r>
        <w:rPr>
          <w:rFonts w:hint="eastAsia" w:ascii="黑体" w:eastAsia="黑体"/>
          <w:b w:val="0"/>
          <w:bCs w:val="0"/>
          <w:sz w:val="24"/>
          <w:szCs w:val="20"/>
        </w:rPr>
        <w:t>十、组织实施方案</w:t>
      </w:r>
    </w:p>
    <w:p w14:paraId="679BF180">
      <w:pPr>
        <w:pStyle w:val="4"/>
        <w:jc w:val="center"/>
        <w:rPr>
          <w:rFonts w:hint="eastAsia" w:ascii="黑体" w:eastAsia="黑体"/>
          <w:b w:val="0"/>
          <w:bCs w:val="0"/>
          <w:sz w:val="24"/>
          <w:szCs w:val="20"/>
        </w:rPr>
      </w:pPr>
      <w:r>
        <w:rPr>
          <w:rFonts w:hint="eastAsia" w:ascii="黑体" w:eastAsia="黑体"/>
          <w:b w:val="0"/>
          <w:bCs w:val="0"/>
          <w:sz w:val="24"/>
          <w:szCs w:val="20"/>
          <w:lang w:val="en-US" w:eastAsia="zh-CN"/>
        </w:rPr>
        <w:t>十一、</w:t>
      </w:r>
      <w:r>
        <w:rPr>
          <w:rFonts w:hint="eastAsia" w:ascii="黑体" w:eastAsia="黑体"/>
          <w:b w:val="0"/>
          <w:bCs w:val="0"/>
          <w:sz w:val="24"/>
          <w:szCs w:val="20"/>
        </w:rPr>
        <w:t>项目质量保障措施</w:t>
      </w:r>
    </w:p>
    <w:p w14:paraId="2D1BEC66">
      <w:pPr>
        <w:pStyle w:val="4"/>
        <w:jc w:val="center"/>
        <w:rPr>
          <w:rFonts w:hint="eastAsia" w:ascii="黑体" w:eastAsia="黑体"/>
          <w:b w:val="0"/>
          <w:bCs w:val="0"/>
          <w:sz w:val="24"/>
          <w:szCs w:val="20"/>
        </w:rPr>
      </w:pPr>
      <w:r>
        <w:rPr>
          <w:rFonts w:hint="eastAsia" w:ascii="黑体" w:eastAsia="黑体"/>
          <w:b w:val="0"/>
          <w:bCs w:val="0"/>
          <w:sz w:val="24"/>
          <w:szCs w:val="20"/>
          <w:lang w:val="en-US" w:eastAsia="zh-CN"/>
        </w:rPr>
        <w:t>十二、</w:t>
      </w:r>
      <w:r>
        <w:rPr>
          <w:rFonts w:hint="eastAsia" w:ascii="黑体" w:eastAsia="黑体"/>
          <w:b w:val="0"/>
          <w:bCs w:val="0"/>
          <w:sz w:val="24"/>
          <w:szCs w:val="20"/>
        </w:rPr>
        <w:t>售后服务方案</w:t>
      </w:r>
    </w:p>
    <w:p w14:paraId="01DF4ECA">
      <w:pPr>
        <w:pStyle w:val="4"/>
        <w:jc w:val="center"/>
        <w:rPr>
          <w:rFonts w:hint="eastAsia" w:ascii="黑体" w:eastAsia="黑体"/>
          <w:b w:val="0"/>
          <w:bCs w:val="0"/>
          <w:sz w:val="24"/>
          <w:szCs w:val="20"/>
        </w:rPr>
      </w:pPr>
      <w:r>
        <w:rPr>
          <w:rFonts w:hint="eastAsia" w:ascii="黑体" w:eastAsia="黑体"/>
          <w:b w:val="0"/>
          <w:bCs w:val="0"/>
          <w:sz w:val="24"/>
          <w:szCs w:val="20"/>
          <w:lang w:val="en-US" w:eastAsia="zh-CN"/>
        </w:rPr>
        <w:t>十三、</w:t>
      </w:r>
      <w:r>
        <w:rPr>
          <w:rFonts w:hint="eastAsia" w:ascii="黑体" w:eastAsia="黑体"/>
          <w:b w:val="0"/>
          <w:bCs w:val="0"/>
          <w:sz w:val="24"/>
          <w:szCs w:val="20"/>
        </w:rPr>
        <w:t>经验评价</w:t>
      </w:r>
    </w:p>
    <w:p w14:paraId="69343CE1">
      <w:pPr>
        <w:pStyle w:val="4"/>
        <w:jc w:val="center"/>
        <w:rPr>
          <w:rFonts w:hint="eastAsia" w:ascii="黑体" w:eastAsia="黑体"/>
          <w:b w:val="0"/>
          <w:bCs w:val="0"/>
          <w:sz w:val="24"/>
          <w:szCs w:val="20"/>
        </w:rPr>
      </w:pPr>
      <w:r>
        <w:rPr>
          <w:rFonts w:hint="eastAsia" w:ascii="黑体" w:eastAsia="黑体"/>
          <w:b w:val="0"/>
          <w:bCs w:val="0"/>
          <w:sz w:val="24"/>
          <w:szCs w:val="20"/>
          <w:lang w:val="en-US" w:eastAsia="zh-CN"/>
        </w:rPr>
        <w:t>十四、</w:t>
      </w:r>
      <w:r>
        <w:rPr>
          <w:rFonts w:hint="eastAsia" w:ascii="黑体" w:eastAsia="黑体"/>
          <w:b w:val="0"/>
          <w:bCs w:val="0"/>
          <w:sz w:val="24"/>
          <w:szCs w:val="20"/>
        </w:rPr>
        <w:t>体系认证</w:t>
      </w:r>
    </w:p>
    <w:p w14:paraId="547719B8">
      <w:pPr>
        <w:pStyle w:val="4"/>
        <w:jc w:val="center"/>
        <w:rPr>
          <w:sz w:val="24"/>
        </w:rPr>
      </w:pPr>
      <w:r>
        <w:rPr>
          <w:rFonts w:hint="eastAsia" w:ascii="黑体" w:eastAsia="黑体"/>
          <w:b w:val="0"/>
          <w:bCs w:val="0"/>
          <w:sz w:val="24"/>
          <w:szCs w:val="20"/>
          <w:lang w:val="en-US" w:eastAsia="zh-CN"/>
        </w:rPr>
        <w:t>十五、</w:t>
      </w:r>
      <w:r>
        <w:rPr>
          <w:rFonts w:hint="eastAsia" w:ascii="黑体" w:eastAsia="黑体"/>
          <w:b w:val="0"/>
          <w:bCs w:val="0"/>
          <w:sz w:val="24"/>
          <w:szCs w:val="20"/>
        </w:rPr>
        <w:t>投标人认为需要加以说明的其他内容</w:t>
      </w:r>
    </w:p>
    <w:p w14:paraId="7631AF5F">
      <w:pPr>
        <w:widowControl/>
        <w:jc w:val="center"/>
        <w:rPr>
          <w:rFonts w:ascii="黑体" w:hAnsi="宋体" w:eastAsia="黑体"/>
          <w:kern w:val="0"/>
          <w:sz w:val="24"/>
          <w:szCs w:val="20"/>
        </w:rPr>
      </w:pPr>
      <w:r>
        <w:rPr>
          <w:rFonts w:hint="eastAsia" w:ascii="黑体" w:hAnsi="宋体" w:eastAsia="黑体"/>
          <w:kern w:val="0"/>
          <w:sz w:val="24"/>
          <w:szCs w:val="20"/>
        </w:rPr>
        <w:t>（一）采购违法行为风险知悉确认书</w:t>
      </w:r>
    </w:p>
    <w:p w14:paraId="31F93ECD">
      <w:pPr>
        <w:widowControl/>
        <w:jc w:val="center"/>
        <w:rPr>
          <w:rFonts w:ascii="黑体" w:hAnsi="宋体" w:eastAsia="黑体"/>
          <w:kern w:val="0"/>
          <w:sz w:val="24"/>
          <w:szCs w:val="20"/>
        </w:rPr>
      </w:pPr>
    </w:p>
    <w:p w14:paraId="73B14CD4">
      <w:pPr>
        <w:ind w:firstLine="420" w:firstLineChars="200"/>
      </w:pPr>
      <w:r>
        <w:rPr>
          <w:rFonts w:hint="eastAsia"/>
        </w:rPr>
        <w:t>本公司在投标前已充分知悉以下情形为参与自行采购活动时的重大风险事项，并承诺已对下述风险提示事项重点排查，做到严谨、诚信、依法依规参与自行采购活动。</w:t>
      </w:r>
    </w:p>
    <w:p w14:paraId="3403F324">
      <w:pPr>
        <w:ind w:firstLine="422" w:firstLineChars="200"/>
        <w:rPr>
          <w:b/>
        </w:rPr>
      </w:pPr>
      <w:r>
        <w:rPr>
          <w:rFonts w:hint="eastAsia"/>
          <w:b/>
        </w:rPr>
        <w:t>一、本公司已充分知悉“隐瞒真实情况，提供虚假资料”的法定情形，相关情形包括但不限于：</w:t>
      </w:r>
    </w:p>
    <w:p w14:paraId="03565A0A">
      <w:pPr>
        <w:ind w:firstLine="420" w:firstLineChars="200"/>
      </w:pPr>
      <w:r>
        <w:rPr>
          <w:rFonts w:hint="eastAsia"/>
        </w:rPr>
        <w:t>（一）通过转让或者租借等方式从其他单位获取资格或者资质证书投标的。</w:t>
      </w:r>
    </w:p>
    <w:p w14:paraId="2BCB73F9">
      <w:pPr>
        <w:ind w:firstLine="420" w:firstLineChars="200"/>
      </w:pPr>
      <w:r>
        <w:rPr>
          <w:rFonts w:hint="eastAsia"/>
        </w:rPr>
        <w:t>（二）由其他单位或者其他单位负责人在投标供应商编制的投标文件上加盖印章或者签字的。</w:t>
      </w:r>
    </w:p>
    <w:p w14:paraId="1B2B12E3">
      <w:pPr>
        <w:ind w:firstLine="420" w:firstLineChars="200"/>
      </w:pPr>
      <w:r>
        <w:rPr>
          <w:rFonts w:hint="eastAsia"/>
        </w:rPr>
        <w:t>（三）项目负责人或者主要技术人员不是本单位人员的。</w:t>
      </w:r>
    </w:p>
    <w:p w14:paraId="3FDA90F3">
      <w:pPr>
        <w:ind w:firstLine="420" w:firstLineChars="200"/>
      </w:pPr>
      <w:r>
        <w:rPr>
          <w:rFonts w:hint="eastAsia"/>
        </w:rPr>
        <w:t>（四）投标保证金不是从投标供应商基本账户转出的。</w:t>
      </w:r>
    </w:p>
    <w:p w14:paraId="415B9D44">
      <w:pPr>
        <w:ind w:firstLine="420" w:firstLineChars="200"/>
      </w:pPr>
      <w:r>
        <w:rPr>
          <w:rFonts w:hint="eastAsia"/>
        </w:rPr>
        <w:t>（五）其他隐瞒真实情况、提供虚假资料的行为。</w:t>
      </w:r>
    </w:p>
    <w:p w14:paraId="3F34B4A6">
      <w:pPr>
        <w:ind w:firstLine="422" w:firstLineChars="200"/>
        <w:rPr>
          <w:b/>
        </w:rPr>
      </w:pPr>
      <w:r>
        <w:rPr>
          <w:rFonts w:hint="eastAsia"/>
          <w:b/>
        </w:rPr>
        <w:t>二、本公司已充分知悉“与其他采购参加人串通投标”的法定情形，相关情形包括但不限于：</w:t>
      </w:r>
    </w:p>
    <w:p w14:paraId="566D292C">
      <w:pPr>
        <w:ind w:firstLine="420" w:firstLineChars="200"/>
      </w:pPr>
      <w:r>
        <w:rPr>
          <w:rFonts w:hint="eastAsia"/>
        </w:rPr>
        <w:t>（一）投标供应商之间相互约定给予未中标的供应商利益补偿。</w:t>
      </w:r>
    </w:p>
    <w:p w14:paraId="224444B7">
      <w:pPr>
        <w:ind w:firstLine="420" w:firstLineChars="200"/>
      </w:pPr>
      <w:r>
        <w:rPr>
          <w:rFonts w:hint="eastAsia"/>
        </w:rPr>
        <w:t>（二）不同投标供应商的法定代表人、主要经营负责人、项目投标授权代表人、项目负责人、主要技术人员为同一人、属同一单位或者在同一单位缴纳社会保险。</w:t>
      </w:r>
    </w:p>
    <w:p w14:paraId="39543E74">
      <w:pPr>
        <w:ind w:firstLine="420" w:firstLineChars="200"/>
      </w:pPr>
      <w:r>
        <w:rPr>
          <w:rFonts w:hint="eastAsia"/>
        </w:rPr>
        <w:t>（三）不同投标供应商的投标文件由同一单位或者同一人编制，或者由同一人分阶段参与编制的。</w:t>
      </w:r>
    </w:p>
    <w:p w14:paraId="460F2BF8">
      <w:pPr>
        <w:ind w:firstLine="420" w:firstLineChars="200"/>
      </w:pPr>
      <w:r>
        <w:rPr>
          <w:rFonts w:hint="eastAsia"/>
        </w:rPr>
        <w:t>（四）不同投标供应商的投标文件或部分投标文件相互混装。</w:t>
      </w:r>
    </w:p>
    <w:p w14:paraId="7828252C">
      <w:pPr>
        <w:ind w:firstLine="420" w:firstLineChars="200"/>
      </w:pPr>
      <w:r>
        <w:rPr>
          <w:rFonts w:hint="eastAsia"/>
        </w:rPr>
        <w:t>（五）不同投标供应商的投标文件内容存在非正常一致。</w:t>
      </w:r>
    </w:p>
    <w:p w14:paraId="777380A0">
      <w:pPr>
        <w:ind w:firstLine="420" w:firstLineChars="200"/>
      </w:pPr>
      <w:r>
        <w:rPr>
          <w:rFonts w:hint="eastAsia"/>
        </w:rPr>
        <w:t>（六）由同一单位工作人员为两家以上（含两家）供应商进行同一项投标活动的。</w:t>
      </w:r>
    </w:p>
    <w:p w14:paraId="4131E2D3">
      <w:pPr>
        <w:ind w:firstLine="420" w:firstLineChars="200"/>
      </w:pPr>
      <w:r>
        <w:rPr>
          <w:rFonts w:hint="eastAsia"/>
        </w:rPr>
        <w:t>（七）不同投标人的投标报价呈规律性差异。</w:t>
      </w:r>
    </w:p>
    <w:p w14:paraId="481198E3">
      <w:pPr>
        <w:ind w:firstLine="420" w:firstLineChars="200"/>
      </w:pPr>
      <w:r>
        <w:rPr>
          <w:rFonts w:hint="eastAsia"/>
        </w:rPr>
        <w:t>（八）不同投标人的投标保证金从同一单位或者个人的账户转出。</w:t>
      </w:r>
    </w:p>
    <w:p w14:paraId="0F30C5E2">
      <w:pPr>
        <w:ind w:firstLine="420" w:firstLineChars="200"/>
      </w:pPr>
      <w:r>
        <w:rPr>
          <w:rFonts w:hint="eastAsia"/>
        </w:rPr>
        <w:t>（九）主管部门依照法律、法规认定的其他情形。</w:t>
      </w:r>
    </w:p>
    <w:p w14:paraId="6141F5E2">
      <w:pPr>
        <w:ind w:firstLine="422" w:firstLineChars="200"/>
        <w:rPr>
          <w:b/>
        </w:rPr>
      </w:pPr>
      <w:r>
        <w:rPr>
          <w:rFonts w:hint="eastAsia"/>
          <w:b/>
        </w:rPr>
        <w:t>三、本公司已充分知悉下列情形所对应的法律风险，并在投标前已对相关风险事项进行排查。</w:t>
      </w:r>
    </w:p>
    <w:p w14:paraId="2E6102C5">
      <w:pPr>
        <w:ind w:firstLine="420" w:firstLineChars="200"/>
        <w:rPr>
          <w:b/>
        </w:rPr>
      </w:pPr>
      <w:r>
        <w:rPr>
          <w:rFonts w:hint="eastAsia"/>
        </w:rPr>
        <w:t>（一）对于从其他主体获取的投标资料，供应商应审慎核查，确保投标资料的真实性。</w:t>
      </w:r>
      <w:r>
        <w:rPr>
          <w:rFonts w:hint="eastAsia"/>
          <w:b/>
        </w:rPr>
        <w:t>如主管部门查实投标文件中存在虚假资料的，无论相关资料是否由第三方或本公司员工提供，均不影响主管部门对供应商存在“隐瞒真实情况，提供虚假资料”违法行为的认定。</w:t>
      </w:r>
    </w:p>
    <w:p w14:paraId="1338CB71">
      <w:pPr>
        <w:ind w:firstLine="420" w:firstLineChars="200"/>
      </w:pPr>
      <w:r>
        <w:rPr>
          <w:rFonts w:hint="eastAsia"/>
        </w:rPr>
        <w:t>（二）对于涉及国家机关出具的公文、证件、证明材料等文件，一旦涉嫌虚假，经查实，主管部门将依法从严处理，并移送有关部门追究法律责任；涉嫌犯罪的，主管部门将一并移送司法机关追究法律责任。</w:t>
      </w:r>
    </w:p>
    <w:p w14:paraId="6D0256C7">
      <w:pPr>
        <w:ind w:firstLine="420" w:firstLineChars="200"/>
      </w:pPr>
      <w:r>
        <w:rPr>
          <w:rFonts w:hint="eastAsia"/>
        </w:rPr>
        <w:t>（三）对于涉及安全生产、特种作业、抢险救灾、防疫等采购项目，供应商实施提供虚假资料、串通投标等违法行为的，主管部门将依法从严处理。</w:t>
      </w:r>
    </w:p>
    <w:p w14:paraId="3DA4D412">
      <w:pPr>
        <w:ind w:firstLine="420" w:firstLineChars="200"/>
      </w:pPr>
      <w:r>
        <w:rPr>
          <w:rFonts w:hint="eastAsia"/>
        </w:rPr>
        <w:t>（四）供应商应严格规范项目授权代表、员工参与招标投标的行为，加强对投标文件的审核。项目授权代表、员工编制、上传投标文件等行为违反政府采购法律法规或招标文件要求的，投标供应商应当依法承担相应法律责任。</w:t>
      </w:r>
    </w:p>
    <w:p w14:paraId="7A9EBA3F">
      <w:pPr>
        <w:ind w:firstLine="420" w:firstLineChars="200"/>
      </w:pPr>
      <w:r>
        <w:rPr>
          <w:rFonts w:hint="eastAsia"/>
        </w:rPr>
        <w:t>（五）供应商对投标电子密钥负有妥善保管、及时变更和续期等主体责任。供应商使用电子密钥在深圳自行采购网站进行的活动，均具有法律效力，须承担相应的法律后果。供应商擅自将投标密钥出借他人使用所造成的法律后果，由供应商自行承担。</w:t>
      </w:r>
    </w:p>
    <w:p w14:paraId="777BAD3C">
      <w:pPr>
        <w:ind w:firstLine="420" w:firstLineChars="200"/>
      </w:pPr>
      <w:r>
        <w:rPr>
          <w:rFonts w:hint="eastAsia"/>
        </w:rPr>
        <w:t>（六）单位负责人为同一人或者存在直接控股、管理关系的不同供应商，不得参加同一合同项下的采购活动。相关情形如查实，依法作投标无效处理；涉嫌串通投标等违法行为的，主管部门将依法调查处理。</w:t>
      </w:r>
    </w:p>
    <w:p w14:paraId="344E5240">
      <w:pPr>
        <w:ind w:firstLine="422" w:firstLineChars="200"/>
        <w:rPr>
          <w:b/>
        </w:rPr>
      </w:pPr>
      <w:r>
        <w:rPr>
          <w:rFonts w:hint="eastAsia"/>
          <w:b/>
        </w:rPr>
        <w:t>四、本公司已充分知悉采购违法、违规行为的法律后果。</w:t>
      </w:r>
    </w:p>
    <w:p w14:paraId="5F680E0F">
      <w:pPr>
        <w:ind w:firstLine="420" w:firstLineChars="200"/>
      </w:pPr>
      <w:r>
        <w:rPr>
          <w:rFonts w:hint="eastAsia"/>
        </w:rPr>
        <w:t>经查实，若投标供应商存在采购违法、违规行为，主管部门将依据《深圳经济特区政府采购条例》第五十七条的规定，处以一至三年内禁止参与本市政府采购，并由主管部门记入供应商诚信档案，处采购金额千分之十以上千分之二十以下罚款；情节严重的，取消参与本市政府采购资格，处采购金额千分之二十以上千分之三十以下罚款，并由市场监管部门依法吊销营业执照。</w:t>
      </w:r>
    </w:p>
    <w:p w14:paraId="6F5010F7">
      <w:pPr>
        <w:ind w:firstLine="420" w:firstLineChars="200"/>
      </w:pPr>
      <w:r>
        <w:rPr>
          <w:rFonts w:hint="eastAsia"/>
        </w:rPr>
        <w:t>以下文字请投标供应商抄写并确认：“本公司已仔细阅读《采购违法行为风险知悉确认书》，充分知悉违法行为的法律后果，并承诺将严谨、诚信、依法依规参与采购活动”。</w:t>
      </w:r>
    </w:p>
    <w:tbl>
      <w:tblPr>
        <w:tblStyle w:val="476"/>
        <w:tblW w:w="8529" w:type="dxa"/>
        <w:tblInd w:w="0" w:type="dxa"/>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529"/>
      </w:tblGrid>
      <w:tr w14:paraId="3B465582">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8529" w:type="dxa"/>
            <w:tcBorders>
              <w:top w:val="nil"/>
              <w:left w:val="nil"/>
              <w:bottom w:val="single" w:color="000000" w:sz="8" w:space="0"/>
              <w:right w:val="nil"/>
            </w:tcBorders>
          </w:tcPr>
          <w:p w14:paraId="21EF509D">
            <w:pPr>
              <w:autoSpaceDE w:val="0"/>
              <w:autoSpaceDN w:val="0"/>
              <w:spacing w:line="400" w:lineRule="exact"/>
              <w:ind w:firstLine="1866"/>
              <w:rPr>
                <w:rFonts w:ascii="宋体" w:hAnsi="宋体" w:eastAsiaTheme="minorEastAsia"/>
                <w:spacing w:val="-4"/>
                <w:kern w:val="0"/>
                <w:szCs w:val="21"/>
              </w:rPr>
            </w:pPr>
          </w:p>
        </w:tc>
      </w:tr>
      <w:tr w14:paraId="6ADAED53">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000000" w:sz="8" w:space="0"/>
              <w:right w:val="nil"/>
            </w:tcBorders>
          </w:tcPr>
          <w:p w14:paraId="3C1A518C">
            <w:pPr>
              <w:autoSpaceDE w:val="0"/>
              <w:autoSpaceDN w:val="0"/>
              <w:spacing w:line="400" w:lineRule="exact"/>
              <w:ind w:firstLine="1866"/>
              <w:rPr>
                <w:rFonts w:ascii="宋体" w:hAnsi="宋体" w:eastAsiaTheme="minorEastAsia"/>
                <w:spacing w:val="-4"/>
                <w:kern w:val="0"/>
                <w:szCs w:val="21"/>
              </w:rPr>
            </w:pPr>
          </w:p>
        </w:tc>
      </w:tr>
      <w:tr w14:paraId="7CAE0752">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000000" w:sz="8" w:space="0"/>
              <w:right w:val="nil"/>
            </w:tcBorders>
          </w:tcPr>
          <w:p w14:paraId="76A32862">
            <w:pPr>
              <w:autoSpaceDE w:val="0"/>
              <w:autoSpaceDN w:val="0"/>
              <w:spacing w:line="400" w:lineRule="exact"/>
              <w:ind w:firstLine="1866"/>
              <w:rPr>
                <w:rFonts w:ascii="宋体" w:hAnsi="宋体" w:eastAsiaTheme="minorEastAsia"/>
                <w:spacing w:val="-4"/>
                <w:kern w:val="0"/>
                <w:szCs w:val="21"/>
              </w:rPr>
            </w:pPr>
          </w:p>
        </w:tc>
      </w:tr>
      <w:tr w14:paraId="59929418">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auto" w:sz="8" w:space="0"/>
              <w:right w:val="nil"/>
            </w:tcBorders>
          </w:tcPr>
          <w:p w14:paraId="0CC4279F">
            <w:pPr>
              <w:autoSpaceDE w:val="0"/>
              <w:autoSpaceDN w:val="0"/>
              <w:spacing w:line="400" w:lineRule="exact"/>
              <w:ind w:firstLine="1866"/>
              <w:rPr>
                <w:rFonts w:ascii="宋体" w:hAnsi="宋体" w:eastAsiaTheme="minorEastAsia"/>
                <w:spacing w:val="-4"/>
                <w:kern w:val="0"/>
                <w:szCs w:val="21"/>
              </w:rPr>
            </w:pPr>
          </w:p>
        </w:tc>
      </w:tr>
    </w:tbl>
    <w:p w14:paraId="70C77DEF">
      <w:pPr>
        <w:widowControl/>
        <w:wordWrap w:val="0"/>
        <w:autoSpaceDE w:val="0"/>
        <w:autoSpaceDN w:val="0"/>
        <w:spacing w:line="400" w:lineRule="exact"/>
        <w:ind w:right="808" w:firstLine="404" w:firstLineChars="200"/>
        <w:jc w:val="right"/>
        <w:rPr>
          <w:rFonts w:ascii="宋体" w:hAnsi="宋体" w:eastAsiaTheme="minorEastAsia"/>
          <w:spacing w:val="-4"/>
          <w:kern w:val="0"/>
          <w:szCs w:val="21"/>
          <w:u w:val="single"/>
        </w:rPr>
      </w:pPr>
      <w:r>
        <w:rPr>
          <w:rFonts w:hint="eastAsia" w:ascii="宋体" w:hAnsi="宋体" w:eastAsiaTheme="minorEastAsia"/>
          <w:spacing w:val="-4"/>
          <w:kern w:val="0"/>
          <w:szCs w:val="21"/>
        </w:rPr>
        <w:t>负责人/投标授权代表签名：</w:t>
      </w:r>
      <w:r>
        <w:rPr>
          <w:rFonts w:hint="eastAsia" w:ascii="宋体" w:hAnsi="宋体" w:eastAsiaTheme="minorEastAsia"/>
          <w:spacing w:val="-4"/>
          <w:kern w:val="0"/>
          <w:szCs w:val="21"/>
          <w:u w:val="single"/>
        </w:rPr>
        <w:t xml:space="preserve">              </w:t>
      </w:r>
    </w:p>
    <w:p w14:paraId="6732B4A8">
      <w:pPr>
        <w:widowControl/>
        <w:wordWrap w:val="0"/>
        <w:autoSpaceDE w:val="0"/>
        <w:autoSpaceDN w:val="0"/>
        <w:spacing w:line="400" w:lineRule="exact"/>
        <w:ind w:right="808" w:firstLine="404" w:firstLineChars="200"/>
        <w:jc w:val="right"/>
        <w:rPr>
          <w:rFonts w:ascii="宋体" w:hAnsi="宋体" w:eastAsiaTheme="minorEastAsia"/>
          <w:spacing w:val="-4"/>
          <w:kern w:val="0"/>
          <w:szCs w:val="21"/>
          <w:u w:val="single"/>
        </w:rPr>
      </w:pPr>
      <w:r>
        <w:rPr>
          <w:rFonts w:hint="eastAsia" w:ascii="宋体" w:hAnsi="宋体" w:eastAsiaTheme="minorEastAsia"/>
          <w:spacing w:val="-4"/>
          <w:kern w:val="0"/>
          <w:szCs w:val="21"/>
        </w:rPr>
        <w:t>知悉人（公章）：</w:t>
      </w:r>
      <w:r>
        <w:rPr>
          <w:rFonts w:hint="eastAsia" w:ascii="宋体" w:hAnsi="宋体" w:eastAsiaTheme="minorEastAsia"/>
          <w:spacing w:val="-4"/>
          <w:kern w:val="0"/>
          <w:szCs w:val="21"/>
          <w:u w:val="single"/>
        </w:rPr>
        <w:t xml:space="preserve">              </w:t>
      </w:r>
    </w:p>
    <w:p w14:paraId="1C0CDAA7">
      <w:pPr>
        <w:widowControl/>
        <w:wordWrap w:val="0"/>
        <w:autoSpaceDE w:val="0"/>
        <w:autoSpaceDN w:val="0"/>
        <w:spacing w:line="400" w:lineRule="exact"/>
        <w:ind w:right="808" w:firstLine="404" w:firstLineChars="200"/>
        <w:jc w:val="right"/>
        <w:rPr>
          <w:rFonts w:ascii="宋体" w:hAnsi="宋体" w:eastAsiaTheme="minorEastAsia"/>
          <w:spacing w:val="-4"/>
          <w:kern w:val="0"/>
          <w:szCs w:val="21"/>
          <w:u w:val="single"/>
        </w:rPr>
      </w:pPr>
      <w:r>
        <w:rPr>
          <w:rFonts w:hint="eastAsia" w:ascii="宋体" w:hAnsi="宋体" w:eastAsiaTheme="minorEastAsia"/>
          <w:spacing w:val="-4"/>
          <w:kern w:val="0"/>
          <w:szCs w:val="21"/>
        </w:rPr>
        <w:t xml:space="preserve">     日期：</w:t>
      </w:r>
      <w:r>
        <w:rPr>
          <w:rFonts w:hint="eastAsia" w:ascii="宋体" w:hAnsi="宋体" w:eastAsiaTheme="minorEastAsia"/>
          <w:spacing w:val="-4"/>
          <w:kern w:val="0"/>
          <w:szCs w:val="21"/>
          <w:u w:val="single"/>
        </w:rPr>
        <w:t xml:space="preserve">              </w:t>
      </w:r>
    </w:p>
    <w:p w14:paraId="5D37D0DC">
      <w:pPr>
        <w:widowControl/>
        <w:autoSpaceDE w:val="0"/>
        <w:autoSpaceDN w:val="0"/>
        <w:spacing w:line="400" w:lineRule="exact"/>
        <w:ind w:firstLine="406" w:firstLineChars="200"/>
        <w:jc w:val="left"/>
        <w:rPr>
          <w:rFonts w:ascii="宋体" w:hAnsi="宋体" w:eastAsiaTheme="minorEastAsia"/>
          <w:b/>
          <w:bCs/>
          <w:color w:val="FF0000"/>
          <w:spacing w:val="-4"/>
          <w:kern w:val="0"/>
          <w:szCs w:val="21"/>
        </w:rPr>
      </w:pPr>
      <w:r>
        <w:rPr>
          <w:rFonts w:hint="eastAsia" w:ascii="宋体" w:hAnsi="宋体" w:eastAsiaTheme="minorEastAsia"/>
          <w:b/>
          <w:bCs/>
          <w:color w:val="FF0000"/>
          <w:spacing w:val="-4"/>
          <w:kern w:val="0"/>
          <w:szCs w:val="21"/>
        </w:rPr>
        <w:t>注：</w:t>
      </w:r>
    </w:p>
    <w:p w14:paraId="65A64249">
      <w:pPr>
        <w:widowControl/>
        <w:autoSpaceDE w:val="0"/>
        <w:autoSpaceDN w:val="0"/>
        <w:spacing w:line="400" w:lineRule="exact"/>
        <w:ind w:firstLine="406" w:firstLineChars="200"/>
        <w:jc w:val="left"/>
        <w:rPr>
          <w:rFonts w:ascii="宋体" w:hAnsi="宋体" w:eastAsiaTheme="minorEastAsia"/>
          <w:b/>
          <w:bCs/>
          <w:color w:val="FF0000"/>
          <w:spacing w:val="-4"/>
          <w:kern w:val="0"/>
          <w:szCs w:val="21"/>
        </w:rPr>
      </w:pPr>
      <w:r>
        <w:rPr>
          <w:rFonts w:hint="eastAsia" w:ascii="宋体" w:hAnsi="宋体" w:eastAsiaTheme="minorEastAsia"/>
          <w:b/>
          <w:bCs/>
          <w:color w:val="FF0000"/>
          <w:spacing w:val="-4"/>
          <w:kern w:val="0"/>
          <w:szCs w:val="21"/>
        </w:rPr>
        <w:t>1.</w:t>
      </w:r>
      <w:r>
        <w:rPr>
          <w:rFonts w:hint="eastAsia"/>
        </w:rPr>
        <w:t xml:space="preserve"> </w:t>
      </w:r>
      <w:r>
        <w:rPr>
          <w:rFonts w:hint="eastAsia" w:ascii="宋体" w:hAnsi="宋体" w:eastAsiaTheme="minorEastAsia"/>
          <w:b/>
          <w:bCs/>
          <w:color w:val="FF0000"/>
          <w:spacing w:val="-4"/>
          <w:kern w:val="0"/>
          <w:szCs w:val="21"/>
        </w:rPr>
        <w:t>根据《深圳市财政局关于采购文件增加风险告知有关事项的通知》（深财购〔2022〕22 号），该风险知悉确认书用于对供应商违法行为的警示，不作为供应商资格性审查及符合性审查条件。</w:t>
      </w:r>
    </w:p>
    <w:p w14:paraId="04798717">
      <w:pPr>
        <w:widowControl/>
        <w:autoSpaceDE w:val="0"/>
        <w:autoSpaceDN w:val="0"/>
        <w:spacing w:line="400" w:lineRule="exact"/>
        <w:ind w:firstLine="406" w:firstLineChars="200"/>
        <w:jc w:val="left"/>
        <w:rPr>
          <w:rFonts w:ascii="宋体" w:hAnsi="宋体" w:eastAsiaTheme="minorEastAsia"/>
          <w:color w:val="FF0000"/>
          <w:spacing w:val="-4"/>
          <w:kern w:val="0"/>
          <w:szCs w:val="21"/>
        </w:rPr>
      </w:pPr>
      <w:r>
        <w:rPr>
          <w:rFonts w:hint="eastAsia" w:ascii="宋体" w:hAnsi="宋体" w:eastAsiaTheme="minorEastAsia"/>
          <w:b/>
          <w:bCs/>
          <w:color w:val="FF0000"/>
          <w:spacing w:val="-4"/>
          <w:kern w:val="0"/>
          <w:szCs w:val="21"/>
        </w:rPr>
        <w:t>2.投标供应商负责人或投标授权代表签字并加盖单位公章后，扫描上传至投标文件一并提交。</w:t>
      </w:r>
    </w:p>
    <w:p w14:paraId="571AF4F2">
      <w:pPr>
        <w:jc w:val="center"/>
        <w:rPr>
          <w:rFonts w:ascii="黑体" w:eastAsia="黑体"/>
          <w:sz w:val="24"/>
          <w:szCs w:val="20"/>
        </w:rPr>
      </w:pPr>
      <w:r>
        <w:rPr>
          <w:rFonts w:hint="eastAsia" w:ascii="黑体" w:eastAsia="黑体"/>
          <w:sz w:val="24"/>
          <w:szCs w:val="20"/>
        </w:rPr>
        <w:t>（二）订单融资情况</w:t>
      </w:r>
    </w:p>
    <w:p w14:paraId="06AEA98D">
      <w:pPr>
        <w:ind w:firstLine="422" w:firstLineChars="200"/>
        <w:rPr>
          <w:rFonts w:ascii="宋体" w:hAnsi="宋体" w:cs="宋体"/>
          <w:b/>
          <w:bCs/>
        </w:rPr>
      </w:pPr>
      <w:r>
        <w:rPr>
          <w:rFonts w:hint="eastAsia" w:ascii="宋体" w:hAnsi="宋体" w:cs="宋体"/>
          <w:b/>
          <w:bCs/>
        </w:rPr>
        <w:t>1、关于政府采购订单融资政策</w:t>
      </w:r>
    </w:p>
    <w:p w14:paraId="00E2ACC9">
      <w:pPr>
        <w:pStyle w:val="2"/>
        <w:spacing w:line="240" w:lineRule="auto"/>
        <w:ind w:firstLine="420" w:firstLineChars="200"/>
        <w:rPr>
          <w:b w:val="0"/>
          <w:sz w:val="21"/>
          <w:szCs w:val="21"/>
        </w:rPr>
      </w:pPr>
      <w:r>
        <w:rPr>
          <w:rFonts w:hint="eastAsia"/>
          <w:b w:val="0"/>
          <w:sz w:val="21"/>
          <w:szCs w:val="21"/>
        </w:rPr>
        <w:t>为深入贯彻落实国家深化政府采购制度改革精神，充分发挥政府采购扶持中小企业发展的政策功能，缓解中小微企业融资难、融资贵的问题，根据《深圳市财政局关于加大力度运用政府采购订单融资政策支持企业发展的通知》要求，参与深圳市政府采购活动供应商可凭借所获取的深圳市政府采购中标通知书与采购合同，向参与订单融资业务的金融机构提出融资申请，金融机构以各自信贷政策为基础，为中标（成交）供应商提供融资授信，订单融资具体流程可登录深圳要素交易金融服务平台(https://finance.szexgrp.com/gtm/web/guarantee/#/)，相关政策法规参阅深圳市政府采购监管网（http://zfcg.sz.gov.cn/）信息公开栏目。</w:t>
      </w:r>
    </w:p>
    <w:p w14:paraId="6EE366CF">
      <w:pPr>
        <w:ind w:firstLine="422" w:firstLineChars="200"/>
        <w:rPr>
          <w:rFonts w:ascii="宋体" w:hAnsi="宋体" w:cs="宋体"/>
          <w:b/>
          <w:bCs/>
        </w:rPr>
      </w:pPr>
      <w:r>
        <w:rPr>
          <w:rFonts w:hint="eastAsia" w:ascii="宋体" w:hAnsi="宋体" w:cs="宋体"/>
          <w:b/>
          <w:bCs/>
        </w:rPr>
        <w:t>2、供应商账户信息</w:t>
      </w:r>
    </w:p>
    <w:p w14:paraId="093A13B2">
      <w:pPr>
        <w:ind w:left="420" w:leftChars="200" w:firstLine="210" w:firstLineChars="100"/>
        <w:rPr>
          <w:szCs w:val="21"/>
        </w:rPr>
      </w:pPr>
      <w:r>
        <w:rPr>
          <w:rFonts w:hint="eastAsia"/>
          <w:szCs w:val="21"/>
        </w:rPr>
        <w:t>投标人（单位全称）：</w:t>
      </w:r>
      <w:r>
        <w:rPr>
          <w:rFonts w:hint="eastAsia"/>
          <w:szCs w:val="21"/>
          <w:u w:val="thick"/>
        </w:rPr>
        <w:t xml:space="preserve">                                                          </w:t>
      </w:r>
      <w:r>
        <w:rPr>
          <w:rFonts w:hint="eastAsia"/>
          <w:szCs w:val="21"/>
        </w:rPr>
        <w:t xml:space="preserve">；  </w:t>
      </w:r>
    </w:p>
    <w:p w14:paraId="5BA03207">
      <w:pPr>
        <w:ind w:left="420" w:leftChars="200" w:firstLine="210" w:firstLineChars="100"/>
        <w:rPr>
          <w:szCs w:val="21"/>
        </w:rPr>
      </w:pPr>
      <w:r>
        <w:rPr>
          <w:rFonts w:hint="eastAsia"/>
          <w:szCs w:val="21"/>
        </w:rPr>
        <w:t>投标人单位地址：</w:t>
      </w:r>
      <w:r>
        <w:rPr>
          <w:rFonts w:hint="eastAsia"/>
          <w:szCs w:val="21"/>
          <w:u w:val="thick"/>
        </w:rPr>
        <w:t xml:space="preserve">                                          </w:t>
      </w:r>
      <w:r>
        <w:rPr>
          <w:rFonts w:hint="eastAsia"/>
          <w:szCs w:val="21"/>
        </w:rPr>
        <w:t>；</w:t>
      </w:r>
    </w:p>
    <w:p w14:paraId="31A8ECB0">
      <w:pPr>
        <w:ind w:left="420" w:leftChars="200" w:firstLine="210" w:firstLineChars="100"/>
        <w:rPr>
          <w:szCs w:val="21"/>
        </w:rPr>
      </w:pPr>
      <w:r>
        <w:rPr>
          <w:rFonts w:hint="eastAsia"/>
          <w:szCs w:val="21"/>
        </w:rPr>
        <w:t>法定代表人（负责人）或其授权委托代理人：</w:t>
      </w:r>
      <w:r>
        <w:rPr>
          <w:rFonts w:hint="eastAsia"/>
          <w:szCs w:val="21"/>
          <w:u w:val="thick"/>
        </w:rPr>
        <w:t xml:space="preserve">                                           </w:t>
      </w:r>
      <w:r>
        <w:rPr>
          <w:rFonts w:hint="eastAsia"/>
          <w:szCs w:val="21"/>
        </w:rPr>
        <w:t>；</w:t>
      </w:r>
    </w:p>
    <w:p w14:paraId="215A1877">
      <w:pPr>
        <w:ind w:left="420" w:leftChars="200" w:firstLine="210" w:firstLineChars="100"/>
        <w:rPr>
          <w:szCs w:val="21"/>
          <w:u w:val="thick"/>
        </w:rPr>
      </w:pPr>
      <w:r>
        <w:rPr>
          <w:rFonts w:hint="eastAsia"/>
          <w:szCs w:val="21"/>
        </w:rPr>
        <w:t>联系电话：</w:t>
      </w:r>
      <w:r>
        <w:rPr>
          <w:rFonts w:hint="eastAsia"/>
          <w:szCs w:val="21"/>
          <w:u w:val="thick"/>
        </w:rPr>
        <w:t xml:space="preserve">                                 </w:t>
      </w:r>
      <w:r>
        <w:rPr>
          <w:rFonts w:hint="eastAsia"/>
          <w:szCs w:val="21"/>
        </w:rPr>
        <w:t>；</w:t>
      </w:r>
      <w:r>
        <w:rPr>
          <w:rFonts w:hint="eastAsia"/>
          <w:szCs w:val="21"/>
          <w:u w:val="thick"/>
        </w:rPr>
        <w:t xml:space="preserve">               </w:t>
      </w:r>
    </w:p>
    <w:p w14:paraId="440D6764">
      <w:pPr>
        <w:ind w:left="420" w:leftChars="200" w:firstLine="210" w:firstLineChars="100"/>
        <w:rPr>
          <w:szCs w:val="21"/>
        </w:rPr>
      </w:pPr>
      <w:r>
        <w:rPr>
          <w:rFonts w:hint="eastAsia"/>
          <w:szCs w:val="21"/>
        </w:rPr>
        <w:t>开户银行名称：</w:t>
      </w:r>
      <w:r>
        <w:rPr>
          <w:rFonts w:hint="eastAsia"/>
          <w:szCs w:val="21"/>
          <w:u w:val="thick"/>
        </w:rPr>
        <w:t xml:space="preserve">                                                           </w:t>
      </w:r>
      <w:r>
        <w:rPr>
          <w:rFonts w:hint="eastAsia"/>
          <w:szCs w:val="21"/>
        </w:rPr>
        <w:t>；</w:t>
      </w:r>
    </w:p>
    <w:p w14:paraId="2BD11E95">
      <w:pPr>
        <w:ind w:left="420" w:leftChars="200" w:firstLine="210" w:firstLineChars="100"/>
        <w:rPr>
          <w:szCs w:val="21"/>
          <w:u w:val="thick"/>
        </w:rPr>
      </w:pPr>
      <w:r>
        <w:rPr>
          <w:rFonts w:hint="eastAsia"/>
          <w:szCs w:val="21"/>
        </w:rPr>
        <w:t>开户银行账号：</w:t>
      </w:r>
      <w:r>
        <w:rPr>
          <w:rFonts w:hint="eastAsia"/>
          <w:szCs w:val="21"/>
          <w:u w:val="thick"/>
        </w:rPr>
        <w:t xml:space="preserve">                                                           </w:t>
      </w:r>
      <w:r>
        <w:rPr>
          <w:rFonts w:hint="eastAsia"/>
          <w:szCs w:val="21"/>
        </w:rPr>
        <w:t>；</w:t>
      </w:r>
    </w:p>
    <w:p w14:paraId="49008814">
      <w:pPr>
        <w:ind w:left="420" w:leftChars="200" w:firstLine="210" w:firstLineChars="100"/>
        <w:rPr>
          <w:szCs w:val="21"/>
        </w:rPr>
      </w:pPr>
      <w:r>
        <w:rPr>
          <w:rFonts w:hint="eastAsia"/>
          <w:szCs w:val="21"/>
        </w:rPr>
        <w:t>开户银行地址：</w:t>
      </w:r>
      <w:r>
        <w:rPr>
          <w:rFonts w:hint="eastAsia"/>
          <w:szCs w:val="21"/>
          <w:u w:val="thick"/>
        </w:rPr>
        <w:t xml:space="preserve">                                                            </w:t>
      </w:r>
      <w:r>
        <w:rPr>
          <w:rFonts w:hint="eastAsia"/>
          <w:szCs w:val="21"/>
        </w:rPr>
        <w:t>。</w:t>
      </w:r>
    </w:p>
    <w:p w14:paraId="272B4803">
      <w:pPr>
        <w:ind w:left="420" w:leftChars="200" w:firstLine="210" w:firstLineChars="100"/>
        <w:rPr>
          <w:szCs w:val="21"/>
        </w:rPr>
      </w:pPr>
      <w:r>
        <w:rPr>
          <w:rFonts w:hint="eastAsia"/>
          <w:szCs w:val="21"/>
        </w:rPr>
        <w:t xml:space="preserve"> </w:t>
      </w:r>
      <w:r>
        <w:rPr>
          <w:rFonts w:hint="eastAsia" w:ascii="宋体" w:hAnsi="宋体" w:eastAsiaTheme="minorEastAsia"/>
          <w:b/>
          <w:bCs/>
          <w:color w:val="FF0000"/>
          <w:spacing w:val="-4"/>
          <w:kern w:val="0"/>
          <w:szCs w:val="21"/>
        </w:rPr>
        <w:t>注：本项填写内容作为订单融资开展的参考信息，不作为供应商资格性审查及符合性审查条件。</w:t>
      </w:r>
    </w:p>
    <w:p w14:paraId="23D4B1FD">
      <w:pPr>
        <w:ind w:firstLine="630" w:firstLineChars="300"/>
        <w:rPr>
          <w:rFonts w:eastAsiaTheme="minorEastAsia"/>
          <w:b/>
          <w:bCs/>
          <w:kern w:val="0"/>
          <w:sz w:val="24"/>
        </w:rPr>
      </w:pPr>
      <w:r>
        <w:rPr>
          <w:rFonts w:hint="eastAsia" w:ascii="宋体" w:hAnsi="宋体"/>
        </w:rPr>
        <w:t>………………（根据项目具体情况增加与综合实力评审相关的节点）</w:t>
      </w:r>
    </w:p>
    <w:p w14:paraId="79FC2890">
      <w:pPr>
        <w:widowControl/>
        <w:jc w:val="center"/>
        <w:rPr>
          <w:rFonts w:ascii="黑体" w:hAnsi="宋体" w:eastAsia="黑体"/>
          <w:bCs/>
          <w:kern w:val="0"/>
          <w:sz w:val="24"/>
        </w:rPr>
        <w:sectPr>
          <w:pgSz w:w="11907" w:h="16840"/>
          <w:pgMar w:top="1440" w:right="1797" w:bottom="1440" w:left="1797" w:header="851" w:footer="992" w:gutter="0"/>
          <w:cols w:space="425" w:num="1"/>
          <w:titlePg/>
          <w:docGrid w:linePitch="462" w:charSpace="0"/>
        </w:sectPr>
      </w:pPr>
      <w:r>
        <w:rPr>
          <w:rFonts w:hint="eastAsia" w:ascii="黑体" w:hAnsi="宋体" w:eastAsia="黑体"/>
          <w:kern w:val="0"/>
          <w:sz w:val="24"/>
          <w:szCs w:val="20"/>
        </w:rPr>
        <w:t>（三）投标人认为需要加以说明的其他内容（格式自定）</w:t>
      </w:r>
    </w:p>
    <w:p w14:paraId="7D2AAEA8">
      <w:r>
        <w:rPr>
          <w:rFonts w:hint="eastAsia"/>
        </w:rPr>
        <w:br w:type="page"/>
      </w:r>
    </w:p>
    <w:p w14:paraId="1C74049B">
      <w:pPr>
        <w:pStyle w:val="6"/>
      </w:pPr>
      <w:r>
        <w:rPr>
          <w:rFonts w:hint="eastAsia"/>
        </w:rPr>
        <w:t>第五章  合同条款及格式</w:t>
      </w:r>
    </w:p>
    <w:p w14:paraId="07A738F7"/>
    <w:p w14:paraId="6C12394C">
      <w:pPr>
        <w:jc w:val="center"/>
      </w:pPr>
      <w:bookmarkStart w:id="84" w:name="_Toc3995"/>
      <w:r>
        <w:rPr>
          <w:rFonts w:hint="eastAsia"/>
          <w:b/>
          <w:sz w:val="24"/>
        </w:rPr>
        <w:t>（仅供参考，具体以项目需求及采购结果为准）</w:t>
      </w:r>
    </w:p>
    <w:p w14:paraId="144E41EC">
      <w:pPr>
        <w:jc w:val="center"/>
        <w:rPr>
          <w:rFonts w:ascii="宋体" w:hAnsi="宋体" w:cs="宋体"/>
          <w:b/>
          <w:bCs/>
          <w:spacing w:val="-20"/>
          <w:kern w:val="44"/>
          <w:sz w:val="48"/>
          <w:szCs w:val="48"/>
        </w:rPr>
      </w:pPr>
    </w:p>
    <w:p w14:paraId="1C431E45">
      <w:pPr>
        <w:jc w:val="center"/>
        <w:rPr>
          <w:rFonts w:ascii="宋体" w:hAnsi="宋体" w:cs="宋体"/>
          <w:b/>
          <w:bCs/>
          <w:spacing w:val="-20"/>
          <w:kern w:val="44"/>
          <w:sz w:val="48"/>
          <w:szCs w:val="48"/>
        </w:rPr>
      </w:pPr>
    </w:p>
    <w:p w14:paraId="556EFCC3">
      <w:pPr>
        <w:pStyle w:val="2"/>
      </w:pPr>
    </w:p>
    <w:p w14:paraId="698A417B">
      <w:pPr>
        <w:jc w:val="center"/>
        <w:rPr>
          <w:rFonts w:ascii="宋体" w:hAnsi="宋体" w:cs="宋体"/>
          <w:b/>
          <w:bCs/>
          <w:spacing w:val="-20"/>
          <w:kern w:val="44"/>
          <w:sz w:val="48"/>
          <w:szCs w:val="48"/>
        </w:rPr>
      </w:pPr>
      <w:r>
        <w:rPr>
          <w:rFonts w:hint="eastAsia" w:ascii="宋体" w:hAnsi="宋体" w:cs="宋体"/>
          <w:b/>
          <w:bCs/>
          <w:spacing w:val="-20"/>
          <w:kern w:val="44"/>
          <w:sz w:val="48"/>
          <w:szCs w:val="48"/>
        </w:rPr>
        <w:t>政府采购货物买卖合同</w:t>
      </w:r>
    </w:p>
    <w:p w14:paraId="6F8331E5">
      <w:pPr>
        <w:jc w:val="center"/>
        <w:rPr>
          <w:rFonts w:ascii="宋体" w:hAnsi="宋体" w:cs="宋体"/>
          <w:b/>
          <w:bCs/>
          <w:spacing w:val="-20"/>
          <w:kern w:val="44"/>
          <w:sz w:val="48"/>
          <w:szCs w:val="48"/>
        </w:rPr>
      </w:pPr>
      <w:r>
        <w:rPr>
          <w:rFonts w:hint="eastAsia" w:ascii="宋体" w:hAnsi="宋体" w:cs="宋体"/>
          <w:b/>
          <w:bCs/>
          <w:spacing w:val="-20"/>
          <w:kern w:val="44"/>
          <w:sz w:val="48"/>
          <w:szCs w:val="48"/>
        </w:rPr>
        <w:t>（试行）</w:t>
      </w:r>
    </w:p>
    <w:p w14:paraId="29AE3FA6">
      <w:pPr>
        <w:rPr>
          <w:rFonts w:ascii="宋体" w:hAnsi="宋体" w:cs="宋体"/>
          <w:b/>
          <w:bCs/>
          <w:spacing w:val="-20"/>
          <w:kern w:val="44"/>
          <w:sz w:val="40"/>
          <w:szCs w:val="40"/>
        </w:rPr>
      </w:pPr>
    </w:p>
    <w:p w14:paraId="3393AB11">
      <w:pPr>
        <w:rPr>
          <w:rFonts w:ascii="宋体" w:hAnsi="宋体" w:cs="宋体"/>
          <w:b/>
          <w:bCs/>
          <w:spacing w:val="-20"/>
          <w:kern w:val="44"/>
          <w:sz w:val="40"/>
          <w:szCs w:val="40"/>
        </w:rPr>
      </w:pPr>
    </w:p>
    <w:p w14:paraId="233251F6">
      <w:pPr>
        <w:rPr>
          <w:rFonts w:ascii="宋体" w:hAnsi="宋体" w:cs="宋体"/>
          <w:b/>
          <w:bCs/>
          <w:spacing w:val="-20"/>
          <w:kern w:val="44"/>
          <w:sz w:val="40"/>
          <w:szCs w:val="40"/>
        </w:rPr>
      </w:pPr>
    </w:p>
    <w:p w14:paraId="05A28F1B">
      <w:pPr>
        <w:spacing w:line="360" w:lineRule="auto"/>
        <w:ind w:left="420" w:leftChars="200"/>
        <w:rPr>
          <w:sz w:val="32"/>
          <w:szCs w:val="32"/>
        </w:rPr>
      </w:pPr>
      <w:r>
        <w:rPr>
          <w:rFonts w:hint="eastAsia" w:ascii="宋体" w:hAnsi="宋体" w:cs="宋体"/>
          <w:kern w:val="0"/>
          <w:sz w:val="32"/>
          <w:szCs w:val="32"/>
        </w:rPr>
        <w:t>项目名称：</w:t>
      </w:r>
      <w:r>
        <w:rPr>
          <w:rFonts w:hint="eastAsia"/>
          <w:sz w:val="32"/>
          <w:szCs w:val="32"/>
          <w:u w:val="single"/>
        </w:rPr>
        <w:t xml:space="preserve">                             </w:t>
      </w:r>
    </w:p>
    <w:p w14:paraId="6BED4D5F">
      <w:pPr>
        <w:spacing w:line="360" w:lineRule="auto"/>
        <w:ind w:left="420" w:leftChars="200"/>
        <w:rPr>
          <w:sz w:val="32"/>
          <w:szCs w:val="32"/>
          <w:u w:val="single"/>
        </w:rPr>
      </w:pPr>
      <w:r>
        <w:rPr>
          <w:rFonts w:hint="eastAsia"/>
          <w:sz w:val="32"/>
          <w:szCs w:val="32"/>
        </w:rPr>
        <w:t>合同编号：</w:t>
      </w:r>
      <w:r>
        <w:rPr>
          <w:rFonts w:hint="eastAsia"/>
          <w:sz w:val="32"/>
          <w:szCs w:val="32"/>
          <w:u w:val="single"/>
        </w:rPr>
        <w:t xml:space="preserve">                             </w:t>
      </w:r>
    </w:p>
    <w:p w14:paraId="247024E0">
      <w:pPr>
        <w:spacing w:line="360" w:lineRule="auto"/>
        <w:ind w:left="420" w:leftChars="200"/>
        <w:rPr>
          <w:sz w:val="32"/>
          <w:szCs w:val="32"/>
        </w:rPr>
      </w:pPr>
      <w:r>
        <w:rPr>
          <w:rFonts w:hint="eastAsia"/>
          <w:sz w:val="32"/>
          <w:szCs w:val="32"/>
        </w:rPr>
        <w:t>甲    方：</w:t>
      </w:r>
      <w:r>
        <w:rPr>
          <w:rFonts w:hint="eastAsia"/>
          <w:sz w:val="32"/>
          <w:szCs w:val="32"/>
          <w:u w:val="single"/>
        </w:rPr>
        <w:t xml:space="preserve">                             </w:t>
      </w:r>
    </w:p>
    <w:p w14:paraId="350AF8DD">
      <w:pPr>
        <w:spacing w:line="360" w:lineRule="auto"/>
        <w:ind w:left="420" w:leftChars="200"/>
        <w:rPr>
          <w:sz w:val="32"/>
          <w:szCs w:val="32"/>
          <w:u w:val="single"/>
        </w:rPr>
      </w:pPr>
      <w:r>
        <w:rPr>
          <w:rFonts w:hint="eastAsia"/>
          <w:sz w:val="32"/>
          <w:szCs w:val="32"/>
        </w:rPr>
        <w:t>乙    方：</w:t>
      </w:r>
      <w:r>
        <w:rPr>
          <w:rFonts w:hint="eastAsia"/>
          <w:sz w:val="32"/>
          <w:szCs w:val="32"/>
          <w:u w:val="single"/>
        </w:rPr>
        <w:t xml:space="preserve">                             </w:t>
      </w:r>
    </w:p>
    <w:p w14:paraId="107337FC">
      <w:pPr>
        <w:spacing w:line="360" w:lineRule="auto"/>
        <w:ind w:left="420" w:leftChars="200"/>
        <w:rPr>
          <w:sz w:val="32"/>
          <w:szCs w:val="32"/>
        </w:rPr>
      </w:pPr>
      <w:r>
        <w:rPr>
          <w:rFonts w:hint="eastAsia"/>
          <w:sz w:val="32"/>
          <w:szCs w:val="32"/>
        </w:rPr>
        <w:t>签订时间：</w:t>
      </w:r>
      <w:r>
        <w:rPr>
          <w:rFonts w:hint="eastAsia"/>
          <w:sz w:val="32"/>
          <w:szCs w:val="32"/>
          <w:u w:val="single"/>
        </w:rPr>
        <w:t xml:space="preserve">      </w:t>
      </w:r>
      <w:r>
        <w:rPr>
          <w:sz w:val="32"/>
          <w:szCs w:val="32"/>
          <w:u w:val="single"/>
        </w:rPr>
        <w:t xml:space="preserve">           </w:t>
      </w:r>
      <w:r>
        <w:rPr>
          <w:rFonts w:hint="eastAsia"/>
          <w:sz w:val="32"/>
          <w:szCs w:val="32"/>
          <w:u w:val="single"/>
        </w:rPr>
        <w:t xml:space="preserve">            </w:t>
      </w:r>
    </w:p>
    <w:p w14:paraId="304CB06B"/>
    <w:p w14:paraId="061F13F2">
      <w:pPr>
        <w:rPr>
          <w:rFonts w:eastAsia="黑体"/>
          <w:sz w:val="44"/>
          <w:szCs w:val="44"/>
        </w:rPr>
      </w:pPr>
      <w:r>
        <w:rPr>
          <w:rFonts w:eastAsia="黑体"/>
          <w:sz w:val="44"/>
          <w:szCs w:val="44"/>
        </w:rPr>
        <w:br w:type="page"/>
      </w:r>
    </w:p>
    <w:p w14:paraId="1A318899">
      <w:pPr>
        <w:rPr>
          <w:rFonts w:eastAsia="黑体"/>
          <w:sz w:val="44"/>
          <w:szCs w:val="44"/>
        </w:rPr>
      </w:pPr>
    </w:p>
    <w:p w14:paraId="48F7B8DF">
      <w:pPr>
        <w:rPr>
          <w:rFonts w:eastAsia="黑体"/>
          <w:sz w:val="44"/>
          <w:szCs w:val="44"/>
        </w:rPr>
      </w:pPr>
    </w:p>
    <w:p w14:paraId="76E19225">
      <w:pPr>
        <w:jc w:val="center"/>
        <w:rPr>
          <w:rFonts w:eastAsia="黑体"/>
          <w:sz w:val="44"/>
          <w:szCs w:val="44"/>
        </w:rPr>
      </w:pPr>
      <w:r>
        <w:rPr>
          <w:rFonts w:hint="eastAsia" w:eastAsia="黑体"/>
          <w:sz w:val="44"/>
          <w:szCs w:val="44"/>
        </w:rPr>
        <w:t>使 用 说 明</w:t>
      </w:r>
    </w:p>
    <w:p w14:paraId="1AB0EF65">
      <w:pPr>
        <w:ind w:firstLine="640" w:firstLineChars="200"/>
        <w:rPr>
          <w:rFonts w:ascii="仿宋_GB2312" w:hAnsi="仿宋_GB2312" w:eastAsia="仿宋_GB2312" w:cs="仿宋_GB2312"/>
          <w:sz w:val="32"/>
          <w:szCs w:val="32"/>
        </w:rPr>
      </w:pPr>
    </w:p>
    <w:p w14:paraId="291F7403">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1.本合同标准文本适用于购买现成货物的采购项目，不包括需要供应商定制开发、创新研发的货物采购项目。</w:t>
      </w:r>
    </w:p>
    <w:p w14:paraId="0E7C3A8E">
      <w:pPr>
        <w:ind w:firstLine="640" w:firstLineChars="200"/>
        <w:rPr>
          <w:rFonts w:eastAsia="黑体"/>
          <w:sz w:val="44"/>
          <w:szCs w:val="44"/>
        </w:rPr>
      </w:pPr>
      <w:r>
        <w:rPr>
          <w:rFonts w:hint="eastAsia" w:ascii="仿宋_GB2312" w:hAnsi="仿宋_GB2312" w:eastAsia="仿宋_GB2312" w:cs="仿宋_GB2312"/>
          <w:sz w:val="32"/>
          <w:szCs w:val="32"/>
        </w:rPr>
        <w:t>2.本合同标准文本为政府采购货物买卖合同编制提供参考，可以结合采购项目具体情况，对文本作必要的调整修订后使用。</w:t>
      </w:r>
    </w:p>
    <w:p w14:paraId="727EF5B1">
      <w:pPr>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3.本合同标准文本各条款中，如涉及填写多家供应商、制造商，多种采购标的、分包主要内容等信息的，可根据采购项目具体情况添加信息项。</w:t>
      </w:r>
    </w:p>
    <w:p w14:paraId="23A563F9">
      <w:pPr>
        <w:ind w:firstLine="880" w:firstLineChars="200"/>
        <w:rPr>
          <w:rFonts w:eastAsia="黑体"/>
          <w:sz w:val="44"/>
          <w:szCs w:val="44"/>
        </w:rPr>
        <w:sectPr>
          <w:headerReference r:id="rId5" w:type="default"/>
          <w:footerReference r:id="rId6" w:type="default"/>
          <w:pgSz w:w="11906" w:h="16838"/>
          <w:pgMar w:top="1440" w:right="1800" w:bottom="1440" w:left="1800" w:header="851" w:footer="992" w:gutter="0"/>
          <w:cols w:space="425" w:num="1"/>
          <w:docGrid w:type="lines" w:linePitch="312" w:charSpace="0"/>
        </w:sectPr>
      </w:pPr>
    </w:p>
    <w:bookmarkEnd w:id="84"/>
    <w:p w14:paraId="28CD6250">
      <w:pPr>
        <w:keepNext/>
        <w:keepLines/>
        <w:adjustRightInd w:val="0"/>
        <w:snapToGrid w:val="0"/>
        <w:spacing w:line="400" w:lineRule="exact"/>
        <w:jc w:val="center"/>
        <w:rPr>
          <w:rFonts w:ascii="黑体" w:hAnsi="黑体" w:eastAsia="黑体"/>
          <w:b/>
          <w:bCs/>
          <w:sz w:val="28"/>
          <w:szCs w:val="28"/>
        </w:rPr>
      </w:pPr>
      <w:bookmarkStart w:id="85" w:name="_Toc22209"/>
    </w:p>
    <w:p w14:paraId="5A5F2B9A">
      <w:pPr>
        <w:keepNext/>
        <w:keepLines/>
        <w:adjustRightInd w:val="0"/>
        <w:snapToGrid w:val="0"/>
        <w:spacing w:line="400" w:lineRule="exact"/>
        <w:jc w:val="center"/>
        <w:outlineLvl w:val="1"/>
        <w:rPr>
          <w:rFonts w:ascii="黑体" w:hAnsi="华文中宋" w:eastAsia="黑体"/>
          <w:sz w:val="28"/>
          <w:szCs w:val="28"/>
        </w:rPr>
      </w:pPr>
      <w:r>
        <w:rPr>
          <w:rFonts w:hint="eastAsia" w:ascii="黑体" w:hAnsi="黑体" w:eastAsia="黑体"/>
          <w:sz w:val="28"/>
          <w:szCs w:val="28"/>
        </w:rPr>
        <w:t xml:space="preserve">第一节 </w:t>
      </w:r>
      <w:r>
        <w:rPr>
          <w:rFonts w:hint="eastAsia" w:ascii="黑体" w:hAnsi="华文中宋" w:eastAsia="黑体"/>
          <w:sz w:val="28"/>
          <w:szCs w:val="28"/>
        </w:rPr>
        <w:t>政府采购合同协议书</w:t>
      </w:r>
      <w:bookmarkEnd w:id="85"/>
    </w:p>
    <w:p w14:paraId="29E71E1E">
      <w:pPr>
        <w:keepNext/>
        <w:keepLines/>
        <w:adjustRightInd w:val="0"/>
        <w:snapToGrid w:val="0"/>
        <w:spacing w:line="400" w:lineRule="exact"/>
        <w:jc w:val="center"/>
        <w:rPr>
          <w:rFonts w:ascii="黑体" w:hAnsi="华文中宋" w:eastAsia="黑体"/>
          <w:sz w:val="28"/>
          <w:szCs w:val="28"/>
        </w:rPr>
      </w:pPr>
    </w:p>
    <w:p w14:paraId="44811408">
      <w:pPr>
        <w:adjustRightInd w:val="0"/>
        <w:snapToGrid w:val="0"/>
        <w:spacing w:line="400" w:lineRule="exact"/>
        <w:rPr>
          <w:rFonts w:ascii="宋体" w:hAnsi="宋体"/>
          <w:szCs w:val="21"/>
        </w:rPr>
      </w:pPr>
      <w:r>
        <w:rPr>
          <w:rFonts w:hint="eastAsia" w:ascii="宋体" w:hAnsi="宋体"/>
          <w:szCs w:val="21"/>
        </w:rPr>
        <w:t>甲方（全称）：</w:t>
      </w:r>
      <w:r>
        <w:rPr>
          <w:rFonts w:hint="eastAsia" w:ascii="宋体" w:hAnsi="宋体"/>
          <w:szCs w:val="21"/>
          <w:u w:val="single"/>
        </w:rPr>
        <w:t xml:space="preserve">                       </w:t>
      </w:r>
      <w:r>
        <w:rPr>
          <w:rFonts w:hint="eastAsia" w:ascii="宋体" w:hAnsi="宋体"/>
          <w:szCs w:val="21"/>
        </w:rPr>
        <w:t>（采购人、受采购人委托签订合同的单位或采购</w:t>
      </w:r>
      <w:r>
        <w:rPr>
          <w:rFonts w:hint="eastAsia" w:ascii="宋体" w:hAnsi="宋体"/>
          <w:szCs w:val="21"/>
        </w:rPr>
        <w:tab/>
      </w:r>
      <w:r>
        <w:rPr>
          <w:rFonts w:hint="eastAsia" w:ascii="宋体" w:hAnsi="宋体"/>
          <w:szCs w:val="21"/>
        </w:rPr>
        <w:t xml:space="preserve">                                   文件约定的合同甲方）</w:t>
      </w:r>
    </w:p>
    <w:p w14:paraId="27DA2973">
      <w:pPr>
        <w:adjustRightInd w:val="0"/>
        <w:snapToGrid w:val="0"/>
        <w:spacing w:line="400" w:lineRule="exact"/>
        <w:rPr>
          <w:rFonts w:ascii="宋体" w:hAnsi="宋体"/>
          <w:szCs w:val="21"/>
        </w:rPr>
      </w:pPr>
      <w:r>
        <w:rPr>
          <w:rFonts w:hint="eastAsia" w:ascii="宋体" w:hAnsi="宋体"/>
          <w:szCs w:val="21"/>
        </w:rPr>
        <w:t>乙方1（全称）：</w:t>
      </w:r>
      <w:r>
        <w:rPr>
          <w:rFonts w:hint="eastAsia" w:ascii="宋体" w:hAnsi="宋体"/>
          <w:szCs w:val="21"/>
          <w:u w:val="single"/>
        </w:rPr>
        <w:t xml:space="preserve">                       </w:t>
      </w:r>
      <w:r>
        <w:rPr>
          <w:rFonts w:hint="eastAsia" w:ascii="宋体" w:hAnsi="宋体"/>
          <w:szCs w:val="21"/>
        </w:rPr>
        <w:t>（供应商）</w:t>
      </w:r>
    </w:p>
    <w:p w14:paraId="46DDCEF5">
      <w:pPr>
        <w:adjustRightInd w:val="0"/>
        <w:snapToGrid w:val="0"/>
        <w:spacing w:line="400" w:lineRule="exact"/>
        <w:rPr>
          <w:rFonts w:ascii="宋体" w:hAnsi="宋体"/>
          <w:szCs w:val="21"/>
        </w:rPr>
      </w:pPr>
      <w:r>
        <w:rPr>
          <w:rFonts w:hint="eastAsia" w:ascii="宋体" w:hAnsi="宋体"/>
          <w:szCs w:val="21"/>
        </w:rPr>
        <w:t>乙方2（全称）：</w:t>
      </w:r>
      <w:r>
        <w:rPr>
          <w:rFonts w:hint="eastAsia" w:ascii="宋体" w:hAnsi="宋体"/>
          <w:szCs w:val="21"/>
          <w:u w:val="single"/>
        </w:rPr>
        <w:t xml:space="preserve">                        </w:t>
      </w:r>
      <w:r>
        <w:rPr>
          <w:rFonts w:hint="eastAsia" w:ascii="宋体" w:hAnsi="宋体"/>
          <w:szCs w:val="21"/>
        </w:rPr>
        <w:t>（联合体成员供应商或其他合同主体）（如有）</w:t>
      </w:r>
    </w:p>
    <w:p w14:paraId="7A35AEC2">
      <w:pPr>
        <w:adjustRightInd w:val="0"/>
        <w:snapToGrid w:val="0"/>
        <w:spacing w:line="400" w:lineRule="exact"/>
        <w:rPr>
          <w:rFonts w:ascii="宋体" w:hAnsi="宋体"/>
          <w:szCs w:val="21"/>
        </w:rPr>
      </w:pPr>
      <w:r>
        <w:rPr>
          <w:rFonts w:hint="eastAsia"/>
        </w:rPr>
        <w:t>乙方</w:t>
      </w:r>
      <w:r>
        <w:rPr>
          <w:rFonts w:hint="eastAsia" w:ascii="宋体" w:hAnsi="宋体"/>
          <w:szCs w:val="21"/>
        </w:rPr>
        <w:t>3</w:t>
      </w:r>
      <w:r>
        <w:rPr>
          <w:rFonts w:hint="eastAsia"/>
        </w:rPr>
        <w:t>（全称）</w:t>
      </w:r>
      <w:r>
        <w:rPr>
          <w:rFonts w:hint="eastAsia" w:ascii="宋体" w:hAnsi="宋体"/>
          <w:szCs w:val="21"/>
          <w:u w:val="single"/>
        </w:rPr>
        <w:t xml:space="preserve">                          </w:t>
      </w:r>
      <w:r>
        <w:rPr>
          <w:rFonts w:hint="eastAsia" w:ascii="宋体" w:hAnsi="宋体"/>
          <w:szCs w:val="21"/>
        </w:rPr>
        <w:t>（联合体成员供应商或其他合同主体）（如有）</w:t>
      </w:r>
    </w:p>
    <w:p w14:paraId="3FB031E9">
      <w:pPr>
        <w:spacing w:line="400" w:lineRule="exact"/>
      </w:pPr>
    </w:p>
    <w:p w14:paraId="2745A5AA">
      <w:pPr>
        <w:adjustRightInd w:val="0"/>
        <w:snapToGrid w:val="0"/>
        <w:spacing w:line="400" w:lineRule="exact"/>
        <w:ind w:firstLine="420" w:firstLineChars="200"/>
        <w:rPr>
          <w:rFonts w:ascii="宋体" w:hAnsi="宋体"/>
          <w:szCs w:val="21"/>
        </w:rPr>
      </w:pPr>
      <w:r>
        <w:rPr>
          <w:rFonts w:hint="eastAsia" w:ascii="宋体" w:hAnsi="宋体"/>
          <w:szCs w:val="21"/>
        </w:rPr>
        <w:t xml:space="preserve">依据《中华人民共和国民法典》《中华人民共和国政府采购法》《深圳经济特区政府采购条例》等有关的法律法规，以及本采购项目的招标文件等采购文件、乙方的《投标（响应）文件》及《中标（成交）通知书》，甲乙双方同意签订本合同。具体情况及要求如下：     </w:t>
      </w:r>
    </w:p>
    <w:p w14:paraId="2B3167B1">
      <w:pPr>
        <w:numPr>
          <w:ilvl w:val="0"/>
          <w:numId w:val="10"/>
        </w:numPr>
        <w:adjustRightInd w:val="0"/>
        <w:snapToGrid w:val="0"/>
        <w:spacing w:line="400" w:lineRule="exact"/>
        <w:ind w:firstLine="422" w:firstLineChars="200"/>
        <w:rPr>
          <w:rFonts w:ascii="宋体" w:hAnsi="宋体"/>
          <w:b/>
          <w:szCs w:val="21"/>
        </w:rPr>
      </w:pPr>
      <w:r>
        <w:rPr>
          <w:rFonts w:hint="eastAsia" w:ascii="宋体" w:hAnsi="宋体"/>
          <w:b/>
          <w:szCs w:val="21"/>
        </w:rPr>
        <w:t>项目信息</w:t>
      </w:r>
    </w:p>
    <w:p w14:paraId="64148A6A">
      <w:pPr>
        <w:numPr>
          <w:ilvl w:val="0"/>
          <w:numId w:val="11"/>
        </w:numPr>
        <w:adjustRightInd w:val="0"/>
        <w:snapToGrid w:val="0"/>
        <w:spacing w:line="400" w:lineRule="exact"/>
        <w:ind w:firstLine="420" w:firstLineChars="200"/>
        <w:rPr>
          <w:rFonts w:ascii="宋体" w:hAnsi="宋体"/>
          <w:szCs w:val="21"/>
          <w:u w:val="single"/>
        </w:rPr>
      </w:pPr>
      <w:r>
        <w:rPr>
          <w:rFonts w:hint="eastAsia" w:ascii="宋体" w:hAnsi="宋体"/>
          <w:szCs w:val="21"/>
        </w:rPr>
        <w:t>采购项目名称：</w:t>
      </w:r>
      <w:r>
        <w:rPr>
          <w:rFonts w:hint="eastAsia" w:ascii="宋体" w:hAnsi="宋体"/>
          <w:szCs w:val="21"/>
          <w:u w:val="single"/>
        </w:rPr>
        <w:t xml:space="preserve">                                            </w:t>
      </w:r>
    </w:p>
    <w:p w14:paraId="6D1F2924">
      <w:pPr>
        <w:numPr>
          <w:ilvl w:val="255"/>
          <w:numId w:val="0"/>
        </w:numPr>
        <w:tabs>
          <w:tab w:val="left" w:pos="999"/>
        </w:tabs>
        <w:adjustRightInd w:val="0"/>
        <w:snapToGrid w:val="0"/>
        <w:spacing w:line="400" w:lineRule="exact"/>
        <w:rPr>
          <w:rFonts w:ascii="宋体" w:hAnsi="宋体"/>
          <w:szCs w:val="21"/>
        </w:rPr>
      </w:pPr>
      <w:r>
        <w:rPr>
          <w:rFonts w:hint="eastAsia" w:ascii="宋体" w:hAnsi="宋体"/>
          <w:szCs w:val="21"/>
        </w:rPr>
        <w:t xml:space="preserve">         采购项目编号：</w:t>
      </w:r>
      <w:r>
        <w:rPr>
          <w:rFonts w:ascii="宋体" w:hAnsi="宋体"/>
          <w:szCs w:val="21"/>
          <w:u w:val="single"/>
        </w:rPr>
        <w:t xml:space="preserve">                                          </w:t>
      </w:r>
    </w:p>
    <w:p w14:paraId="7B4082FC">
      <w:pPr>
        <w:adjustRightInd w:val="0"/>
        <w:snapToGrid w:val="0"/>
        <w:spacing w:line="400" w:lineRule="exact"/>
        <w:ind w:firstLine="420" w:firstLineChars="200"/>
        <w:rPr>
          <w:rFonts w:ascii="宋体" w:hAnsi="宋体"/>
          <w:szCs w:val="21"/>
        </w:rPr>
      </w:pPr>
      <w:r>
        <w:rPr>
          <w:rFonts w:hint="eastAsia" w:ascii="宋体" w:hAnsi="宋体"/>
          <w:szCs w:val="21"/>
        </w:rPr>
        <w:t>（2）采购计划编号：</w:t>
      </w:r>
      <w:r>
        <w:rPr>
          <w:rFonts w:ascii="宋体" w:hAnsi="宋体"/>
          <w:szCs w:val="21"/>
          <w:u w:val="single"/>
        </w:rPr>
        <w:t xml:space="preserve">                     </w:t>
      </w:r>
      <w:r>
        <w:rPr>
          <w:rFonts w:hint="eastAsia" w:ascii="宋体" w:hAnsi="宋体"/>
          <w:szCs w:val="21"/>
          <w:u w:val="single"/>
        </w:rPr>
        <w:t xml:space="preserve">                </w:t>
      </w:r>
      <w:r>
        <w:rPr>
          <w:rFonts w:ascii="宋体" w:hAnsi="宋体"/>
          <w:szCs w:val="21"/>
          <w:u w:val="single"/>
        </w:rPr>
        <w:t xml:space="preserve">     </w:t>
      </w:r>
      <w:r>
        <w:rPr>
          <w:rFonts w:ascii="宋体" w:hAnsi="宋体"/>
          <w:szCs w:val="21"/>
        </w:rPr>
        <w:t xml:space="preserve"> </w:t>
      </w:r>
    </w:p>
    <w:p w14:paraId="636B7311">
      <w:pPr>
        <w:adjustRightInd w:val="0"/>
        <w:snapToGrid w:val="0"/>
        <w:spacing w:line="400" w:lineRule="exact"/>
        <w:ind w:firstLine="420" w:firstLineChars="200"/>
        <w:rPr>
          <w:rFonts w:ascii="宋体" w:hAnsi="宋体"/>
          <w:szCs w:val="21"/>
        </w:rPr>
      </w:pPr>
      <w:r>
        <w:rPr>
          <w:rFonts w:hint="eastAsia" w:ascii="宋体" w:hAnsi="宋体"/>
          <w:szCs w:val="21"/>
        </w:rPr>
        <w:t>（3）项目内容：</w:t>
      </w:r>
    </w:p>
    <w:p w14:paraId="55768C7C">
      <w:pPr>
        <w:adjustRightInd w:val="0"/>
        <w:snapToGrid w:val="0"/>
        <w:spacing w:line="400" w:lineRule="exact"/>
        <w:ind w:firstLine="420" w:firstLineChars="200"/>
        <w:rPr>
          <w:rFonts w:ascii="宋体" w:hAnsi="宋体"/>
          <w:szCs w:val="21"/>
        </w:rPr>
      </w:pPr>
      <w:r>
        <w:rPr>
          <w:rFonts w:hint="eastAsia" w:ascii="宋体" w:hAnsi="宋体"/>
          <w:szCs w:val="21"/>
        </w:rPr>
        <w:t xml:space="preserve">     采购标的及数量（台/套</w:t>
      </w:r>
      <w:r>
        <w:rPr>
          <w:rFonts w:ascii="宋体" w:hAnsi="宋体"/>
          <w:szCs w:val="21"/>
          <w:lang w:val="en"/>
        </w:rPr>
        <w:t>/</w:t>
      </w:r>
      <w:r>
        <w:rPr>
          <w:rFonts w:hint="eastAsia" w:ascii="宋体" w:hAnsi="宋体"/>
          <w:szCs w:val="21"/>
          <w:lang w:val="en"/>
        </w:rPr>
        <w:t>个</w:t>
      </w:r>
      <w:r>
        <w:rPr>
          <w:rFonts w:ascii="宋体" w:hAnsi="宋体"/>
          <w:szCs w:val="21"/>
          <w:lang w:val="en"/>
        </w:rPr>
        <w:t>/</w:t>
      </w:r>
      <w:r>
        <w:rPr>
          <w:rFonts w:hint="eastAsia" w:ascii="宋体" w:hAnsi="宋体"/>
          <w:szCs w:val="21"/>
          <w:lang w:val="en"/>
        </w:rPr>
        <w:t>架</w:t>
      </w:r>
      <w:r>
        <w:rPr>
          <w:rFonts w:ascii="宋体" w:hAnsi="宋体"/>
          <w:szCs w:val="21"/>
          <w:lang w:val="en"/>
        </w:rPr>
        <w:t>/</w:t>
      </w:r>
      <w:r>
        <w:rPr>
          <w:rFonts w:hint="eastAsia" w:ascii="宋体" w:hAnsi="宋体"/>
          <w:szCs w:val="21"/>
          <w:lang w:val="en"/>
        </w:rPr>
        <w:t>组等</w:t>
      </w:r>
      <w:r>
        <w:rPr>
          <w:rFonts w:hint="eastAsia" w:ascii="宋体" w:hAnsi="宋体"/>
          <w:szCs w:val="21"/>
        </w:rPr>
        <w:t>）：</w:t>
      </w:r>
      <w:r>
        <w:rPr>
          <w:rFonts w:hint="eastAsia" w:ascii="宋体" w:hAnsi="宋体"/>
          <w:szCs w:val="21"/>
          <w:u w:val="single"/>
        </w:rPr>
        <w:t xml:space="preserve">                       </w:t>
      </w:r>
      <w:r>
        <w:rPr>
          <w:rFonts w:hint="eastAsia" w:ascii="宋体" w:hAnsi="宋体"/>
          <w:szCs w:val="21"/>
        </w:rPr>
        <w:t xml:space="preserve">            </w:t>
      </w:r>
      <w:r>
        <w:rPr>
          <w:rFonts w:hint="eastAsia" w:ascii="宋体" w:hAnsi="宋体"/>
          <w:szCs w:val="21"/>
          <w:u w:val="single"/>
        </w:rPr>
        <w:t xml:space="preserve">                  </w:t>
      </w:r>
      <w:r>
        <w:rPr>
          <w:rFonts w:hint="eastAsia" w:ascii="宋体" w:hAnsi="宋体"/>
          <w:szCs w:val="21"/>
        </w:rPr>
        <w:t xml:space="preserve"> </w:t>
      </w:r>
    </w:p>
    <w:p w14:paraId="4998E2F8">
      <w:pPr>
        <w:numPr>
          <w:ilvl w:val="255"/>
          <w:numId w:val="0"/>
        </w:numPr>
        <w:adjustRightInd w:val="0"/>
        <w:snapToGrid w:val="0"/>
        <w:spacing w:line="400" w:lineRule="exact"/>
        <w:ind w:firstLine="420" w:firstLineChars="200"/>
        <w:rPr>
          <w:rFonts w:ascii="宋体" w:hAnsi="宋体" w:cs="宋体"/>
          <w:szCs w:val="21"/>
          <w:lang w:val="en"/>
        </w:rPr>
      </w:pPr>
      <w:r>
        <w:rPr>
          <w:rFonts w:hint="eastAsia" w:ascii="宋体" w:hAnsi="宋体"/>
          <w:szCs w:val="21"/>
        </w:rPr>
        <w:t xml:space="preserve">     </w:t>
      </w:r>
      <w:r>
        <w:rPr>
          <w:rFonts w:hint="eastAsia" w:ascii="宋体" w:hAnsi="宋体" w:cs="宋体"/>
          <w:szCs w:val="21"/>
        </w:rPr>
        <w:t>品牌：</w:t>
      </w:r>
      <w:r>
        <w:rPr>
          <w:rFonts w:hint="eastAsia" w:ascii="宋体" w:hAnsi="宋体" w:cs="宋体"/>
          <w:szCs w:val="21"/>
          <w:u w:val="single"/>
        </w:rPr>
        <w:t xml:space="preserve">      </w:t>
      </w:r>
      <w:r>
        <w:rPr>
          <w:rFonts w:ascii="宋体" w:hAnsi="宋体" w:cs="宋体"/>
          <w:szCs w:val="21"/>
          <w:u w:val="single"/>
          <w:lang w:val="en"/>
        </w:rPr>
        <w:t xml:space="preserve">   </w:t>
      </w:r>
      <w:r>
        <w:rPr>
          <w:rFonts w:hint="eastAsia" w:ascii="宋体" w:hAnsi="宋体" w:cs="宋体"/>
          <w:szCs w:val="21"/>
          <w:u w:val="single"/>
        </w:rPr>
        <w:t xml:space="preserve">    </w:t>
      </w:r>
      <w:r>
        <w:rPr>
          <w:rFonts w:ascii="宋体" w:hAnsi="宋体" w:cs="宋体"/>
          <w:szCs w:val="21"/>
          <w:u w:val="single"/>
          <w:lang w:val="en"/>
        </w:rPr>
        <w:t xml:space="preserve"> </w:t>
      </w:r>
      <w:r>
        <w:rPr>
          <w:rFonts w:hint="eastAsia" w:ascii="宋体" w:hAnsi="宋体" w:cs="宋体"/>
          <w:szCs w:val="21"/>
          <w:u w:val="single"/>
        </w:rPr>
        <w:t xml:space="preserve"> </w:t>
      </w:r>
      <w:r>
        <w:rPr>
          <w:rFonts w:ascii="宋体" w:hAnsi="宋体" w:cs="宋体"/>
          <w:szCs w:val="21"/>
          <w:lang w:val="en"/>
        </w:rPr>
        <w:t xml:space="preserve">     </w:t>
      </w:r>
      <w:r>
        <w:rPr>
          <w:rFonts w:hint="eastAsia" w:ascii="宋体" w:hAnsi="宋体" w:cs="宋体"/>
          <w:szCs w:val="21"/>
        </w:rPr>
        <w:t>规格型号：</w:t>
      </w:r>
      <w:r>
        <w:rPr>
          <w:rFonts w:hint="eastAsia" w:ascii="宋体" w:hAnsi="宋体" w:cs="宋体"/>
          <w:szCs w:val="21"/>
          <w:u w:val="single"/>
        </w:rPr>
        <w:t xml:space="preserve">   </w:t>
      </w:r>
      <w:r>
        <w:rPr>
          <w:rFonts w:ascii="宋体" w:hAnsi="宋体" w:cs="宋体"/>
          <w:szCs w:val="21"/>
          <w:u w:val="single"/>
          <w:lang w:val="en"/>
        </w:rPr>
        <w:t xml:space="preserve">  </w:t>
      </w:r>
      <w:r>
        <w:rPr>
          <w:rFonts w:hint="eastAsia" w:ascii="宋体" w:hAnsi="宋体" w:cs="宋体"/>
          <w:szCs w:val="21"/>
          <w:u w:val="single"/>
        </w:rPr>
        <w:t xml:space="preserve">       </w:t>
      </w:r>
      <w:r>
        <w:rPr>
          <w:rFonts w:ascii="宋体" w:hAnsi="宋体" w:cs="宋体"/>
          <w:szCs w:val="21"/>
          <w:u w:val="single"/>
          <w:lang w:val="en"/>
        </w:rPr>
        <w:t xml:space="preserve">   </w:t>
      </w:r>
    </w:p>
    <w:p w14:paraId="57475469">
      <w:pPr>
        <w:adjustRightInd w:val="0"/>
        <w:snapToGrid w:val="0"/>
        <w:spacing w:line="400" w:lineRule="exact"/>
        <w:ind w:firstLine="945" w:firstLineChars="450"/>
        <w:rPr>
          <w:rFonts w:ascii="宋体" w:hAnsi="宋体"/>
          <w:szCs w:val="21"/>
          <w:u w:val="single"/>
        </w:rPr>
      </w:pPr>
      <w:r>
        <w:rPr>
          <w:rFonts w:hint="eastAsia" w:ascii="宋体" w:hAnsi="宋体"/>
          <w:szCs w:val="21"/>
        </w:rPr>
        <w:t>采购标的的技术要求、商务要求具体见附件。</w:t>
      </w:r>
    </w:p>
    <w:p w14:paraId="496249D2">
      <w:pPr>
        <w:numPr>
          <w:ilvl w:val="255"/>
          <w:numId w:val="0"/>
        </w:numPr>
        <w:adjustRightInd w:val="0"/>
        <w:snapToGrid w:val="0"/>
        <w:spacing w:line="400" w:lineRule="exact"/>
        <w:ind w:firstLine="945" w:firstLineChars="450"/>
        <w:rPr>
          <w:rFonts w:ascii="宋体" w:hAnsi="宋体" w:cs="宋体"/>
          <w:szCs w:val="21"/>
        </w:rPr>
      </w:pPr>
      <w:r>
        <w:rPr>
          <w:rFonts w:hint="eastAsia" w:ascii="汉仪书宋二S" w:hAnsi="汉仪书宋二S" w:eastAsia="汉仪书宋二S" w:cs="汉仪书宋二S"/>
          <w:szCs w:val="21"/>
        </w:rPr>
        <w:t>①</w:t>
      </w:r>
      <w:r>
        <w:rPr>
          <w:rFonts w:hint="eastAsia" w:ascii="宋体" w:hAnsi="宋体" w:cs="宋体"/>
          <w:szCs w:val="21"/>
        </w:rPr>
        <w:t>涉及信息类产品，请填写该产品关键部件的品牌、型号：</w:t>
      </w:r>
    </w:p>
    <w:p w14:paraId="7BDCBB2D">
      <w:pPr>
        <w:numPr>
          <w:ilvl w:val="255"/>
          <w:numId w:val="0"/>
        </w:numPr>
        <w:adjustRightInd w:val="0"/>
        <w:snapToGrid w:val="0"/>
        <w:spacing w:line="400" w:lineRule="exact"/>
        <w:ind w:firstLine="420" w:firstLineChars="200"/>
        <w:rPr>
          <w:rFonts w:ascii="宋体" w:hAnsi="宋体" w:cs="宋体"/>
          <w:kern w:val="0"/>
          <w:szCs w:val="21"/>
          <w:u w:val="single"/>
        </w:rPr>
      </w:pPr>
      <w:r>
        <w:rPr>
          <w:rFonts w:hint="eastAsia" w:ascii="宋体" w:hAnsi="宋体" w:cs="宋体"/>
          <w:szCs w:val="21"/>
        </w:rPr>
        <w:t xml:space="preserve">     标的名称：</w:t>
      </w:r>
      <w:r>
        <w:rPr>
          <w:rFonts w:hint="eastAsia" w:ascii="宋体" w:hAnsi="宋体" w:cs="宋体"/>
          <w:kern w:val="0"/>
          <w:szCs w:val="21"/>
          <w:u w:val="single"/>
        </w:rPr>
        <w:t xml:space="preserve">      </w:t>
      </w:r>
      <w:r>
        <w:rPr>
          <w:rFonts w:ascii="宋体" w:hAnsi="宋体" w:cs="宋体"/>
          <w:kern w:val="0"/>
          <w:szCs w:val="21"/>
          <w:u w:val="single"/>
          <w:lang w:val="en"/>
        </w:rPr>
        <w:t xml:space="preserve">               </w:t>
      </w:r>
      <w:r>
        <w:rPr>
          <w:rFonts w:hint="eastAsia" w:ascii="宋体" w:hAnsi="宋体" w:cs="宋体"/>
          <w:kern w:val="0"/>
          <w:szCs w:val="21"/>
          <w:u w:val="single"/>
        </w:rPr>
        <w:t xml:space="preserve">    </w:t>
      </w:r>
    </w:p>
    <w:p w14:paraId="2375B169">
      <w:pPr>
        <w:numPr>
          <w:ilvl w:val="255"/>
          <w:numId w:val="0"/>
        </w:numPr>
        <w:adjustRightInd w:val="0"/>
        <w:snapToGrid w:val="0"/>
        <w:spacing w:line="400" w:lineRule="exact"/>
        <w:ind w:firstLine="420" w:firstLineChars="200"/>
        <w:rPr>
          <w:rFonts w:ascii="宋体" w:hAnsi="宋体" w:cs="宋体"/>
          <w:szCs w:val="21"/>
        </w:rPr>
      </w:pPr>
      <w:r>
        <w:rPr>
          <w:rFonts w:hint="eastAsia" w:ascii="宋体" w:hAnsi="宋体" w:cs="宋体"/>
          <w:szCs w:val="21"/>
        </w:rPr>
        <w:t xml:space="preserve">     关键部件：</w:t>
      </w:r>
      <w:r>
        <w:rPr>
          <w:rFonts w:hint="eastAsia" w:ascii="宋体" w:hAnsi="宋体" w:cs="宋体"/>
          <w:kern w:val="0"/>
          <w:szCs w:val="21"/>
          <w:u w:val="single"/>
        </w:rPr>
        <w:t xml:space="preserve">          </w:t>
      </w:r>
      <w:r>
        <w:rPr>
          <w:rFonts w:hint="eastAsia" w:ascii="宋体" w:hAnsi="宋体" w:cs="宋体"/>
          <w:kern w:val="0"/>
          <w:szCs w:val="21"/>
        </w:rPr>
        <w:t xml:space="preserve"> </w:t>
      </w:r>
      <w:r>
        <w:rPr>
          <w:rFonts w:hint="eastAsia" w:ascii="宋体" w:hAnsi="宋体" w:cs="宋体"/>
          <w:szCs w:val="21"/>
        </w:rPr>
        <w:t>品牌：</w:t>
      </w:r>
      <w:r>
        <w:rPr>
          <w:rFonts w:hint="eastAsia" w:ascii="宋体" w:hAnsi="宋体" w:cs="宋体"/>
          <w:szCs w:val="21"/>
          <w:u w:val="single"/>
        </w:rPr>
        <w:t xml:space="preserve">        </w:t>
      </w:r>
      <w:r>
        <w:rPr>
          <w:rFonts w:hint="eastAsia" w:ascii="宋体" w:hAnsi="宋体" w:cs="宋体"/>
          <w:szCs w:val="21"/>
        </w:rPr>
        <w:t xml:space="preserve"> 型号：</w:t>
      </w:r>
      <w:r>
        <w:rPr>
          <w:rFonts w:hint="eastAsia" w:ascii="宋体" w:hAnsi="宋体" w:cs="宋体"/>
          <w:szCs w:val="21"/>
          <w:u w:val="single"/>
        </w:rPr>
        <w:t xml:space="preserve">       </w:t>
      </w:r>
      <w:r>
        <w:rPr>
          <w:rFonts w:hint="eastAsia" w:ascii="宋体" w:hAnsi="宋体" w:cs="宋体"/>
          <w:szCs w:val="21"/>
        </w:rPr>
        <w:t xml:space="preserve"> </w:t>
      </w:r>
    </w:p>
    <w:p w14:paraId="6DE989DA">
      <w:pPr>
        <w:autoSpaceDE w:val="0"/>
        <w:autoSpaceDN w:val="0"/>
        <w:adjustRightInd w:val="0"/>
        <w:spacing w:line="400" w:lineRule="exact"/>
        <w:ind w:firstLine="420" w:firstLineChars="200"/>
        <w:rPr>
          <w:rFonts w:ascii="宋体" w:hAnsi="宋体" w:cs="宋体"/>
          <w:szCs w:val="21"/>
        </w:rPr>
      </w:pPr>
      <w:r>
        <w:rPr>
          <w:rFonts w:hint="eastAsia" w:ascii="宋体" w:hAnsi="宋体" w:cs="宋体"/>
          <w:szCs w:val="21"/>
        </w:rPr>
        <w:t xml:space="preserve">     关键部件：</w:t>
      </w:r>
      <w:r>
        <w:rPr>
          <w:rFonts w:hint="eastAsia" w:ascii="宋体" w:hAnsi="宋体" w:cs="宋体"/>
          <w:szCs w:val="21"/>
          <w:u w:val="single"/>
        </w:rPr>
        <w:t xml:space="preserve">          </w:t>
      </w:r>
      <w:r>
        <w:rPr>
          <w:rFonts w:hint="eastAsia" w:ascii="宋体" w:hAnsi="宋体" w:cs="宋体"/>
          <w:szCs w:val="21"/>
        </w:rPr>
        <w:t xml:space="preserve"> 品牌：</w:t>
      </w:r>
      <w:r>
        <w:rPr>
          <w:rFonts w:hint="eastAsia" w:ascii="宋体" w:hAnsi="宋体" w:cs="宋体"/>
          <w:szCs w:val="21"/>
          <w:u w:val="single"/>
        </w:rPr>
        <w:t xml:space="preserve">        </w:t>
      </w:r>
      <w:r>
        <w:rPr>
          <w:rFonts w:hint="eastAsia" w:ascii="宋体" w:hAnsi="宋体" w:cs="宋体"/>
          <w:szCs w:val="21"/>
        </w:rPr>
        <w:t xml:space="preserve"> 型号：</w:t>
      </w:r>
      <w:r>
        <w:rPr>
          <w:rFonts w:hint="eastAsia" w:ascii="宋体" w:hAnsi="宋体" w:cs="宋体"/>
          <w:szCs w:val="21"/>
          <w:u w:val="single"/>
        </w:rPr>
        <w:t xml:space="preserve">       </w:t>
      </w:r>
      <w:r>
        <w:rPr>
          <w:rFonts w:hint="eastAsia" w:ascii="宋体" w:hAnsi="宋体" w:cs="宋体"/>
          <w:szCs w:val="21"/>
        </w:rPr>
        <w:t xml:space="preserve"> </w:t>
      </w:r>
    </w:p>
    <w:p w14:paraId="30D8DDCE">
      <w:pPr>
        <w:autoSpaceDE w:val="0"/>
        <w:autoSpaceDN w:val="0"/>
        <w:adjustRightInd w:val="0"/>
        <w:spacing w:line="400" w:lineRule="exact"/>
        <w:ind w:firstLine="420" w:firstLineChars="200"/>
        <w:rPr>
          <w:rFonts w:ascii="宋体" w:hAnsi="宋体" w:cs="宋体"/>
          <w:szCs w:val="21"/>
        </w:rPr>
      </w:pPr>
      <w:r>
        <w:rPr>
          <w:rFonts w:hint="eastAsia" w:ascii="宋体" w:hAnsi="宋体" w:cs="宋体"/>
          <w:szCs w:val="21"/>
        </w:rPr>
        <w:t xml:space="preserve">     关键部件：</w:t>
      </w:r>
      <w:r>
        <w:rPr>
          <w:rFonts w:hint="eastAsia" w:ascii="宋体" w:hAnsi="宋体" w:cs="宋体"/>
          <w:szCs w:val="21"/>
          <w:u w:val="single"/>
        </w:rPr>
        <w:t xml:space="preserve">          </w:t>
      </w:r>
      <w:r>
        <w:rPr>
          <w:rFonts w:hint="eastAsia" w:ascii="宋体" w:hAnsi="宋体" w:cs="宋体"/>
          <w:szCs w:val="21"/>
        </w:rPr>
        <w:t xml:space="preserve"> 品牌：</w:t>
      </w:r>
      <w:r>
        <w:rPr>
          <w:rFonts w:hint="eastAsia" w:ascii="宋体" w:hAnsi="宋体" w:cs="宋体"/>
          <w:szCs w:val="21"/>
          <w:u w:val="single"/>
        </w:rPr>
        <w:t xml:space="preserve">        </w:t>
      </w:r>
      <w:r>
        <w:rPr>
          <w:rFonts w:hint="eastAsia" w:ascii="宋体" w:hAnsi="宋体" w:cs="宋体"/>
          <w:szCs w:val="21"/>
        </w:rPr>
        <w:t xml:space="preserve"> 型号：</w:t>
      </w:r>
      <w:r>
        <w:rPr>
          <w:rFonts w:hint="eastAsia" w:ascii="宋体" w:hAnsi="宋体" w:cs="宋体"/>
          <w:szCs w:val="21"/>
          <w:u w:val="single"/>
        </w:rPr>
        <w:t xml:space="preserve">       </w:t>
      </w:r>
    </w:p>
    <w:p w14:paraId="69B08E1E">
      <w:pPr>
        <w:numPr>
          <w:ilvl w:val="255"/>
          <w:numId w:val="0"/>
        </w:numPr>
        <w:autoSpaceDE w:val="0"/>
        <w:autoSpaceDN w:val="0"/>
        <w:adjustRightInd w:val="0"/>
        <w:snapToGrid w:val="0"/>
        <w:spacing w:line="400" w:lineRule="exact"/>
        <w:rPr>
          <w:rFonts w:ascii="宋体" w:hAnsi="宋体" w:cs="宋体"/>
          <w:szCs w:val="21"/>
        </w:rPr>
      </w:pPr>
      <w:r>
        <w:rPr>
          <w:rFonts w:hint="eastAsia" w:ascii="宋体" w:hAnsi="宋体" w:cs="宋体"/>
          <w:szCs w:val="21"/>
        </w:rPr>
        <w:t xml:space="preserve">   （注：关键部件是指财政部会同有关部门发布的政府采购需求标准规定的需要通过国家有关部门指定的测评机构开展的安全可靠测评的软硬件，如CPU芯片、操作系统、数据库等。）</w:t>
      </w:r>
    </w:p>
    <w:p w14:paraId="47815C4D">
      <w:pPr>
        <w:numPr>
          <w:ilvl w:val="255"/>
          <w:numId w:val="0"/>
        </w:numPr>
        <w:autoSpaceDE w:val="0"/>
        <w:autoSpaceDN w:val="0"/>
        <w:adjustRightInd w:val="0"/>
        <w:snapToGrid w:val="0"/>
        <w:spacing w:line="400" w:lineRule="exact"/>
        <w:rPr>
          <w:rFonts w:ascii="宋体" w:hAnsi="宋体" w:cs="宋体"/>
          <w:szCs w:val="21"/>
        </w:rPr>
      </w:pPr>
      <w:r>
        <w:rPr>
          <w:rFonts w:hint="eastAsia" w:ascii="宋体" w:hAnsi="宋体" w:cs="宋体"/>
          <w:szCs w:val="21"/>
        </w:rPr>
        <w:t xml:space="preserve">         </w:t>
      </w:r>
      <w:r>
        <w:rPr>
          <w:rFonts w:hint="eastAsia" w:ascii="汉仪书宋二S" w:hAnsi="汉仪书宋二S" w:eastAsia="汉仪书宋二S" w:cs="汉仪书宋二S"/>
          <w:szCs w:val="21"/>
        </w:rPr>
        <w:t>②</w:t>
      </w:r>
      <w:r>
        <w:rPr>
          <w:rFonts w:hint="eastAsia" w:ascii="宋体" w:hAnsi="宋体" w:cs="宋体"/>
          <w:szCs w:val="21"/>
        </w:rPr>
        <w:t>涉及车辆采购，请填写是否属于新能源汽车：</w:t>
      </w:r>
    </w:p>
    <w:p w14:paraId="408F386F">
      <w:pPr>
        <w:numPr>
          <w:ilvl w:val="255"/>
          <w:numId w:val="0"/>
        </w:numPr>
        <w:autoSpaceDE w:val="0"/>
        <w:autoSpaceDN w:val="0"/>
        <w:adjustRightInd w:val="0"/>
        <w:snapToGrid w:val="0"/>
        <w:spacing w:line="400" w:lineRule="exact"/>
        <w:rPr>
          <w:rFonts w:ascii="宋体" w:hAnsi="宋体" w:cs="宋体"/>
          <w:szCs w:val="21"/>
        </w:rPr>
      </w:pPr>
      <w:r>
        <w:rPr>
          <w:rFonts w:hint="eastAsia" w:ascii="宋体" w:hAnsi="宋体" w:cs="宋体"/>
          <w:szCs w:val="21"/>
        </w:rPr>
        <w:t xml:space="preserve">         </w:t>
      </w:r>
      <w:r>
        <w:rPr>
          <w:rFonts w:hint="eastAsia" w:ascii="宋体" w:hAnsi="宋体" w:cs="宋体"/>
          <w:szCs w:val="21"/>
        </w:rPr>
        <w:sym w:font="Wingdings" w:char="00A8"/>
      </w:r>
      <w:r>
        <w:rPr>
          <w:rFonts w:hint="eastAsia" w:ascii="宋体" w:hAnsi="宋体" w:cs="宋体"/>
          <w:szCs w:val="21"/>
        </w:rPr>
        <w:t>是，《政府采购品目分类目录》底级品目名称：</w:t>
      </w:r>
      <w:r>
        <w:rPr>
          <w:rFonts w:hint="eastAsia" w:ascii="宋体" w:hAnsi="宋体" w:cs="宋体"/>
          <w:szCs w:val="21"/>
          <w:u w:val="single"/>
        </w:rPr>
        <w:t xml:space="preserve">     </w:t>
      </w:r>
      <w:r>
        <w:rPr>
          <w:rFonts w:hint="eastAsia" w:ascii="宋体" w:hAnsi="宋体" w:cs="宋体"/>
          <w:szCs w:val="21"/>
        </w:rPr>
        <w:t xml:space="preserve"> 数量：</w:t>
      </w:r>
      <w:r>
        <w:rPr>
          <w:rFonts w:hint="eastAsia" w:ascii="宋体" w:hAnsi="宋体" w:cs="宋体"/>
          <w:szCs w:val="21"/>
          <w:u w:val="single"/>
        </w:rPr>
        <w:t xml:space="preserve">    </w:t>
      </w:r>
      <w:r>
        <w:rPr>
          <w:rFonts w:hint="eastAsia" w:ascii="宋体" w:hAnsi="宋体" w:cs="宋体"/>
          <w:szCs w:val="21"/>
        </w:rPr>
        <w:t xml:space="preserve"> 金额：</w:t>
      </w:r>
      <w:r>
        <w:rPr>
          <w:rFonts w:hint="eastAsia" w:ascii="宋体" w:hAnsi="宋体" w:cs="宋体"/>
          <w:szCs w:val="21"/>
          <w:u w:val="single"/>
        </w:rPr>
        <w:t xml:space="preserve">     </w:t>
      </w:r>
      <w:r>
        <w:rPr>
          <w:rFonts w:hint="eastAsia" w:ascii="宋体" w:hAnsi="宋体" w:cs="宋体"/>
          <w:szCs w:val="21"/>
        </w:rPr>
        <w:t xml:space="preserve"> </w:t>
      </w:r>
    </w:p>
    <w:p w14:paraId="03BCCFE8">
      <w:pPr>
        <w:numPr>
          <w:ilvl w:val="255"/>
          <w:numId w:val="0"/>
        </w:numPr>
        <w:autoSpaceDE w:val="0"/>
        <w:autoSpaceDN w:val="0"/>
        <w:adjustRightInd w:val="0"/>
        <w:snapToGrid w:val="0"/>
        <w:spacing w:line="400" w:lineRule="exact"/>
        <w:rPr>
          <w:rFonts w:ascii="宋体" w:hAnsi="宋体" w:cs="宋体"/>
          <w:szCs w:val="21"/>
        </w:rPr>
      </w:pPr>
      <w:r>
        <w:rPr>
          <w:rFonts w:hint="eastAsia" w:ascii="宋体" w:hAnsi="宋体" w:cs="宋体"/>
          <w:szCs w:val="21"/>
        </w:rPr>
        <w:t xml:space="preserve">         </w:t>
      </w:r>
      <w:r>
        <w:rPr>
          <w:rFonts w:hint="eastAsia" w:ascii="宋体" w:hAnsi="宋体" w:cs="宋体"/>
          <w:szCs w:val="21"/>
        </w:rPr>
        <w:sym w:font="Wingdings" w:char="00A8"/>
      </w:r>
      <w:r>
        <w:rPr>
          <w:rFonts w:hint="eastAsia" w:ascii="宋体" w:hAnsi="宋体" w:cs="宋体"/>
          <w:szCs w:val="21"/>
        </w:rPr>
        <w:t>否</w:t>
      </w:r>
    </w:p>
    <w:p w14:paraId="0F809AF1">
      <w:pPr>
        <w:numPr>
          <w:ilvl w:val="255"/>
          <w:numId w:val="0"/>
        </w:numPr>
        <w:autoSpaceDE w:val="0"/>
        <w:autoSpaceDN w:val="0"/>
        <w:adjustRightInd w:val="0"/>
        <w:snapToGrid w:val="0"/>
        <w:spacing w:line="400" w:lineRule="exact"/>
        <w:rPr>
          <w:rFonts w:ascii="宋体" w:hAnsi="宋体" w:cs="宋体"/>
          <w:szCs w:val="21"/>
        </w:rPr>
      </w:pPr>
      <w:r>
        <w:rPr>
          <w:rFonts w:hint="eastAsia" w:ascii="宋体" w:hAnsi="宋体" w:cs="宋体"/>
          <w:szCs w:val="21"/>
        </w:rPr>
        <w:t xml:space="preserve">    （</w:t>
      </w:r>
      <w:r>
        <w:rPr>
          <w:rFonts w:ascii="宋体" w:hAnsi="宋体" w:cs="宋体"/>
          <w:szCs w:val="21"/>
          <w:lang w:val="en"/>
        </w:rPr>
        <w:t>4</w:t>
      </w:r>
      <w:r>
        <w:rPr>
          <w:rFonts w:hint="eastAsia" w:ascii="宋体" w:hAnsi="宋体" w:cs="宋体"/>
          <w:szCs w:val="21"/>
        </w:rPr>
        <w:t>）政府采购组织形式：</w:t>
      </w:r>
      <w:r>
        <w:rPr>
          <w:rFonts w:hint="eastAsia" w:ascii="宋体" w:hAnsi="宋体" w:cs="宋体"/>
          <w:szCs w:val="21"/>
        </w:rPr>
        <w:sym w:font="Wingdings" w:char="00A8"/>
      </w:r>
      <w:r>
        <w:rPr>
          <w:rFonts w:hint="eastAsia" w:ascii="宋体" w:hAnsi="宋体" w:cs="宋体"/>
          <w:szCs w:val="21"/>
        </w:rPr>
        <w:t xml:space="preserve">集中采购    </w:t>
      </w:r>
      <w:r>
        <w:rPr>
          <w:rFonts w:hint="eastAsia" w:ascii="宋体" w:hAnsi="宋体" w:cs="宋体"/>
          <w:szCs w:val="21"/>
        </w:rPr>
        <w:sym w:font="Wingdings" w:char="00A8"/>
      </w:r>
      <w:r>
        <w:rPr>
          <w:rFonts w:hint="eastAsia" w:ascii="宋体" w:hAnsi="宋体" w:cs="宋体"/>
          <w:szCs w:val="21"/>
        </w:rPr>
        <w:t>自行采购</w:t>
      </w:r>
    </w:p>
    <w:p w14:paraId="25DBCB0F">
      <w:pPr>
        <w:numPr>
          <w:ilvl w:val="255"/>
          <w:numId w:val="0"/>
        </w:numPr>
        <w:autoSpaceDE w:val="0"/>
        <w:autoSpaceDN w:val="0"/>
        <w:adjustRightInd w:val="0"/>
        <w:snapToGrid w:val="0"/>
        <w:spacing w:line="400" w:lineRule="exact"/>
        <w:ind w:left="210" w:leftChars="100" w:firstLine="210" w:firstLineChars="100"/>
        <w:rPr>
          <w:rFonts w:ascii="宋体" w:hAnsi="宋体" w:cs="宋体"/>
          <w:szCs w:val="21"/>
          <w:u w:val="single"/>
        </w:rPr>
      </w:pPr>
      <w:r>
        <w:rPr>
          <w:rFonts w:hint="eastAsia" w:ascii="宋体" w:hAnsi="宋体" w:cs="宋体"/>
          <w:szCs w:val="21"/>
        </w:rPr>
        <w:t>（</w:t>
      </w:r>
      <w:r>
        <w:rPr>
          <w:rFonts w:ascii="宋体" w:hAnsi="宋体" w:cs="宋体"/>
          <w:szCs w:val="21"/>
          <w:lang w:val="en"/>
        </w:rPr>
        <w:t>5</w:t>
      </w:r>
      <w:r>
        <w:rPr>
          <w:rFonts w:hint="eastAsia" w:ascii="宋体" w:hAnsi="宋体" w:cs="宋体"/>
          <w:szCs w:val="21"/>
        </w:rPr>
        <w:t>）政府采购方式：</w:t>
      </w:r>
      <w:r>
        <w:rPr>
          <w:rFonts w:hint="eastAsia" w:ascii="宋体" w:hAnsi="宋体" w:cs="宋体"/>
          <w:szCs w:val="21"/>
        </w:rPr>
        <w:sym w:font="Wingdings" w:char="00A8"/>
      </w:r>
      <w:r>
        <w:rPr>
          <w:rFonts w:hint="eastAsia" w:ascii="宋体" w:hAnsi="宋体" w:cs="宋体"/>
          <w:szCs w:val="21"/>
        </w:rPr>
        <w:t xml:space="preserve">公开招标  </w:t>
      </w:r>
      <w:r>
        <w:rPr>
          <w:rFonts w:hint="eastAsia" w:ascii="宋体" w:hAnsi="宋体" w:cs="宋体"/>
          <w:szCs w:val="21"/>
        </w:rPr>
        <w:sym w:font="Wingdings" w:char="00A8"/>
      </w:r>
      <w:r>
        <w:rPr>
          <w:rFonts w:hint="eastAsia" w:ascii="宋体" w:hAnsi="宋体" w:cs="宋体"/>
          <w:szCs w:val="21"/>
        </w:rPr>
        <w:t>竞争性谈判</w:t>
      </w:r>
      <w:r>
        <w:rPr>
          <w:rFonts w:hint="eastAsia" w:ascii="宋体" w:hAnsi="宋体" w:eastAsia="华文楷体" w:cs="宋体"/>
          <w:sz w:val="22"/>
          <w:szCs w:val="21"/>
        </w:rPr>
        <w:t xml:space="preserve">  </w:t>
      </w:r>
      <w:r>
        <w:rPr>
          <w:rFonts w:hint="eastAsia" w:ascii="宋体" w:hAnsi="宋体" w:cs="宋体"/>
          <w:szCs w:val="21"/>
        </w:rPr>
        <w:sym w:font="Wingdings" w:char="00A8"/>
      </w:r>
      <w:r>
        <w:rPr>
          <w:rFonts w:hint="eastAsia" w:ascii="宋体" w:hAnsi="宋体" w:cs="宋体"/>
          <w:szCs w:val="21"/>
        </w:rPr>
        <w:t xml:space="preserve">单一来源  </w:t>
      </w:r>
      <w:r>
        <w:rPr>
          <w:rFonts w:hint="eastAsia" w:ascii="宋体" w:hAnsi="宋体" w:cs="宋体"/>
          <w:szCs w:val="21"/>
        </w:rPr>
        <w:sym w:font="Wingdings" w:char="00A8"/>
      </w:r>
      <w:r>
        <w:rPr>
          <w:rFonts w:hint="eastAsia" w:ascii="宋体" w:hAnsi="宋体" w:cs="宋体"/>
          <w:szCs w:val="21"/>
        </w:rPr>
        <w:t xml:space="preserve">竞价  </w:t>
      </w:r>
      <w:r>
        <w:rPr>
          <w:rFonts w:hint="eastAsia" w:ascii="宋体" w:hAnsi="宋体" w:cs="宋体"/>
          <w:szCs w:val="21"/>
        </w:rPr>
        <w:sym w:font="Wingdings" w:char="00A8"/>
      </w:r>
      <w:r>
        <w:rPr>
          <w:rFonts w:hint="eastAsia" w:ascii="宋体" w:hAnsi="宋体" w:cs="宋体"/>
          <w:szCs w:val="21"/>
        </w:rPr>
        <w:t xml:space="preserve">框架协议 </w:t>
      </w:r>
      <w:r>
        <w:rPr>
          <w:rFonts w:hint="eastAsia" w:ascii="宋体" w:hAnsi="宋体" w:cs="宋体"/>
          <w:szCs w:val="21"/>
        </w:rPr>
        <w:sym w:font="Wingdings" w:char="00A8"/>
      </w:r>
      <w:r>
        <w:rPr>
          <w:rFonts w:hint="eastAsia" w:ascii="宋体" w:hAnsi="宋体" w:cs="宋体"/>
          <w:szCs w:val="21"/>
        </w:rPr>
        <w:t>其他：</w:t>
      </w:r>
      <w:r>
        <w:rPr>
          <w:rFonts w:hint="eastAsia" w:ascii="宋体" w:hAnsi="宋体" w:cs="宋体"/>
          <w:szCs w:val="21"/>
          <w:u w:val="single"/>
        </w:rPr>
        <w:t xml:space="preserve">          </w:t>
      </w:r>
    </w:p>
    <w:p w14:paraId="4932C008">
      <w:pPr>
        <w:numPr>
          <w:ilvl w:val="255"/>
          <w:numId w:val="0"/>
        </w:numPr>
        <w:autoSpaceDE w:val="0"/>
        <w:autoSpaceDN w:val="0"/>
        <w:adjustRightInd w:val="0"/>
        <w:snapToGrid w:val="0"/>
        <w:spacing w:line="400" w:lineRule="exact"/>
        <w:ind w:firstLine="420"/>
        <w:rPr>
          <w:rFonts w:ascii="宋体" w:hAnsi="宋体" w:cs="宋体"/>
          <w:szCs w:val="21"/>
        </w:rPr>
      </w:pPr>
      <w:r>
        <w:rPr>
          <w:rFonts w:hint="eastAsia" w:ascii="宋体" w:hAnsi="宋体" w:cs="宋体"/>
          <w:szCs w:val="21"/>
        </w:rPr>
        <w:t>（注：在框架协议采购的第二阶段，可选择使用该合同文本）</w:t>
      </w:r>
    </w:p>
    <w:p w14:paraId="5AB67BE6">
      <w:pPr>
        <w:numPr>
          <w:ilvl w:val="255"/>
          <w:numId w:val="0"/>
        </w:numPr>
        <w:autoSpaceDE w:val="0"/>
        <w:autoSpaceDN w:val="0"/>
        <w:adjustRightInd w:val="0"/>
        <w:snapToGrid w:val="0"/>
        <w:spacing w:line="400" w:lineRule="exact"/>
        <w:ind w:firstLine="220" w:firstLineChars="100"/>
        <w:rPr>
          <w:rFonts w:ascii="宋体" w:hAnsi="宋体"/>
          <w:szCs w:val="21"/>
        </w:rPr>
      </w:pPr>
      <w:r>
        <w:rPr>
          <w:rFonts w:hint="eastAsia" w:ascii="宋体" w:hAnsi="宋体" w:eastAsia="华文楷体" w:cs="华文楷体"/>
          <w:sz w:val="22"/>
          <w:szCs w:val="21"/>
        </w:rPr>
        <w:t xml:space="preserve"> （</w:t>
      </w:r>
      <w:r>
        <w:rPr>
          <w:rFonts w:ascii="宋体" w:hAnsi="宋体" w:eastAsia="华文楷体" w:cs="华文楷体"/>
          <w:sz w:val="22"/>
          <w:szCs w:val="21"/>
          <w:lang w:val="en"/>
        </w:rPr>
        <w:t>6</w:t>
      </w:r>
      <w:r>
        <w:rPr>
          <w:rFonts w:hint="eastAsia" w:ascii="宋体" w:hAnsi="宋体" w:eastAsia="华文楷体" w:cs="华文楷体"/>
          <w:sz w:val="22"/>
          <w:szCs w:val="21"/>
        </w:rPr>
        <w:t>）</w:t>
      </w:r>
      <w:r>
        <w:rPr>
          <w:rFonts w:hint="eastAsia" w:ascii="宋体" w:hAnsi="宋体"/>
          <w:szCs w:val="21"/>
        </w:rPr>
        <w:t>中标（成交）采购标的制造商是否为中小企业：</w:t>
      </w:r>
      <w:r>
        <w:rPr>
          <w:rFonts w:hint="eastAsia" w:ascii="宋体" w:hAnsi="宋体"/>
          <w:szCs w:val="21"/>
        </w:rPr>
        <w:sym w:font="Wingdings" w:char="00A8"/>
      </w:r>
      <w:r>
        <w:rPr>
          <w:rFonts w:hint="eastAsia" w:ascii="宋体" w:hAnsi="宋体"/>
          <w:szCs w:val="21"/>
        </w:rPr>
        <w:t xml:space="preserve">是      </w:t>
      </w:r>
      <w:r>
        <w:rPr>
          <w:rFonts w:hint="eastAsia" w:ascii="宋体" w:hAnsi="宋体"/>
          <w:szCs w:val="21"/>
        </w:rPr>
        <w:sym w:font="Wingdings" w:char="00A8"/>
      </w:r>
      <w:r>
        <w:rPr>
          <w:rFonts w:hint="eastAsia" w:ascii="宋体" w:hAnsi="宋体"/>
          <w:szCs w:val="21"/>
        </w:rPr>
        <w:t>否</w:t>
      </w:r>
    </w:p>
    <w:p w14:paraId="7142D37B">
      <w:pPr>
        <w:numPr>
          <w:ilvl w:val="255"/>
          <w:numId w:val="0"/>
        </w:numPr>
        <w:adjustRightInd w:val="0"/>
        <w:snapToGrid w:val="0"/>
        <w:spacing w:line="400" w:lineRule="exact"/>
        <w:rPr>
          <w:rFonts w:ascii="宋体" w:hAnsi="宋体"/>
          <w:iCs/>
          <w:szCs w:val="21"/>
        </w:rPr>
      </w:pPr>
      <w:r>
        <w:rPr>
          <w:rFonts w:hint="eastAsia" w:ascii="宋体" w:hAnsi="宋体"/>
          <w:szCs w:val="21"/>
        </w:rPr>
        <w:t xml:space="preserve">         本合同是否为专门面向中小企业的采购合同（中小企业预留合同）：</w:t>
      </w:r>
      <w:r>
        <w:rPr>
          <w:rFonts w:hint="eastAsia" w:ascii="宋体" w:hAnsi="宋体"/>
          <w:iCs/>
          <w:szCs w:val="21"/>
        </w:rPr>
        <w:sym w:font="Wingdings" w:char="00A8"/>
      </w:r>
      <w:r>
        <w:rPr>
          <w:rFonts w:hint="eastAsia" w:ascii="宋体" w:hAnsi="宋体"/>
          <w:iCs/>
          <w:szCs w:val="21"/>
        </w:rPr>
        <w:t xml:space="preserve">是    </w:t>
      </w:r>
      <w:r>
        <w:rPr>
          <w:rFonts w:hint="eastAsia" w:ascii="宋体" w:hAnsi="宋体"/>
          <w:iCs/>
          <w:szCs w:val="21"/>
        </w:rPr>
        <w:sym w:font="Wingdings" w:char="00A8"/>
      </w:r>
      <w:r>
        <w:rPr>
          <w:rFonts w:hint="eastAsia" w:ascii="宋体" w:hAnsi="宋体"/>
          <w:iCs/>
          <w:szCs w:val="21"/>
        </w:rPr>
        <w:t>否</w:t>
      </w:r>
    </w:p>
    <w:p w14:paraId="527DF760">
      <w:pPr>
        <w:numPr>
          <w:ilvl w:val="255"/>
          <w:numId w:val="0"/>
        </w:numPr>
        <w:adjustRightInd w:val="0"/>
        <w:snapToGrid w:val="0"/>
        <w:spacing w:line="400" w:lineRule="exact"/>
        <w:rPr>
          <w:rFonts w:ascii="宋体" w:hAnsi="宋体"/>
          <w:iCs/>
          <w:szCs w:val="21"/>
        </w:rPr>
      </w:pPr>
      <w:r>
        <w:rPr>
          <w:rFonts w:hint="eastAsia"/>
        </w:rPr>
        <w:t xml:space="preserve">         若本项目不专门面向中小企业采购，是否给予小微企业评审优惠：</w:t>
      </w:r>
      <w:r>
        <w:rPr>
          <w:rFonts w:hint="eastAsia" w:ascii="宋体" w:hAnsi="宋体"/>
          <w:iCs/>
          <w:szCs w:val="21"/>
        </w:rPr>
        <w:sym w:font="Wingdings" w:char="00A8"/>
      </w:r>
      <w:r>
        <w:rPr>
          <w:rFonts w:hint="eastAsia" w:ascii="宋体" w:hAnsi="宋体"/>
          <w:iCs/>
          <w:szCs w:val="21"/>
        </w:rPr>
        <w:t xml:space="preserve">是   </w:t>
      </w:r>
      <w:r>
        <w:rPr>
          <w:rFonts w:hint="eastAsia" w:ascii="宋体" w:hAnsi="宋体"/>
          <w:iCs/>
          <w:szCs w:val="21"/>
        </w:rPr>
        <w:sym w:font="Wingdings" w:char="00A8"/>
      </w:r>
      <w:r>
        <w:rPr>
          <w:rFonts w:hint="eastAsia" w:ascii="宋体" w:hAnsi="宋体"/>
          <w:iCs/>
          <w:szCs w:val="21"/>
        </w:rPr>
        <w:t>否</w:t>
      </w:r>
    </w:p>
    <w:p w14:paraId="4B3F04E4">
      <w:pPr>
        <w:numPr>
          <w:ilvl w:val="255"/>
          <w:numId w:val="0"/>
        </w:numPr>
        <w:adjustRightInd w:val="0"/>
        <w:snapToGrid w:val="0"/>
        <w:spacing w:line="400" w:lineRule="exact"/>
        <w:rPr>
          <w:rFonts w:ascii="宋体" w:hAnsi="宋体"/>
          <w:iCs/>
          <w:szCs w:val="21"/>
        </w:rPr>
      </w:pPr>
      <w:r>
        <w:rPr>
          <w:rFonts w:hint="eastAsia"/>
        </w:rPr>
        <w:t xml:space="preserve">         中标（成交）采购标的制造商是否为残疾人福利性单位：</w:t>
      </w:r>
      <w:r>
        <w:rPr>
          <w:rFonts w:hint="eastAsia" w:ascii="宋体" w:hAnsi="宋体"/>
          <w:iCs/>
          <w:szCs w:val="21"/>
        </w:rPr>
        <w:sym w:font="Wingdings" w:char="00A8"/>
      </w:r>
      <w:r>
        <w:rPr>
          <w:rFonts w:hint="eastAsia" w:ascii="宋体" w:hAnsi="宋体"/>
          <w:iCs/>
          <w:szCs w:val="21"/>
        </w:rPr>
        <w:t xml:space="preserve">是   </w:t>
      </w:r>
      <w:r>
        <w:rPr>
          <w:rFonts w:hint="eastAsia" w:ascii="宋体" w:hAnsi="宋体"/>
          <w:iCs/>
          <w:szCs w:val="21"/>
        </w:rPr>
        <w:sym w:font="Wingdings" w:char="00A8"/>
      </w:r>
      <w:r>
        <w:rPr>
          <w:rFonts w:hint="eastAsia" w:ascii="宋体" w:hAnsi="宋体"/>
          <w:iCs/>
          <w:szCs w:val="21"/>
        </w:rPr>
        <w:t>否</w:t>
      </w:r>
    </w:p>
    <w:p w14:paraId="5CD87E99">
      <w:pPr>
        <w:snapToGrid w:val="0"/>
        <w:spacing w:line="400" w:lineRule="exact"/>
      </w:pPr>
      <w:r>
        <w:rPr>
          <w:rFonts w:hint="eastAsia"/>
        </w:rPr>
        <w:t xml:space="preserve">         中标（成交）采购标的制造商是否为监狱企业：</w:t>
      </w:r>
      <w:r>
        <w:rPr>
          <w:rFonts w:hint="eastAsia" w:ascii="宋体" w:hAnsi="宋体"/>
          <w:iCs/>
          <w:szCs w:val="21"/>
        </w:rPr>
        <w:sym w:font="Wingdings" w:char="00A8"/>
      </w:r>
      <w:r>
        <w:rPr>
          <w:rFonts w:hint="eastAsia" w:ascii="宋体" w:hAnsi="宋体"/>
          <w:iCs/>
          <w:szCs w:val="21"/>
        </w:rPr>
        <w:t xml:space="preserve">是       </w:t>
      </w:r>
      <w:r>
        <w:rPr>
          <w:rFonts w:hint="eastAsia" w:ascii="宋体" w:hAnsi="宋体"/>
          <w:iCs/>
          <w:szCs w:val="21"/>
        </w:rPr>
        <w:sym w:font="Wingdings" w:char="00A8"/>
      </w:r>
      <w:r>
        <w:rPr>
          <w:rFonts w:hint="eastAsia" w:ascii="宋体" w:hAnsi="宋体"/>
          <w:iCs/>
          <w:szCs w:val="21"/>
        </w:rPr>
        <w:t>否</w:t>
      </w:r>
    </w:p>
    <w:p w14:paraId="62F26B44">
      <w:pPr>
        <w:adjustRightInd w:val="0"/>
        <w:snapToGrid w:val="0"/>
        <w:spacing w:line="400" w:lineRule="exact"/>
        <w:ind w:firstLine="420" w:firstLineChars="200"/>
        <w:rPr>
          <w:rFonts w:ascii="宋体" w:hAnsi="宋体"/>
          <w:szCs w:val="21"/>
        </w:rPr>
      </w:pPr>
      <w:r>
        <w:rPr>
          <w:rFonts w:hint="eastAsia" w:ascii="宋体" w:hAnsi="宋体"/>
          <w:szCs w:val="21"/>
        </w:rPr>
        <w:t>（</w:t>
      </w:r>
      <w:r>
        <w:rPr>
          <w:rFonts w:ascii="宋体" w:hAnsi="宋体"/>
          <w:szCs w:val="21"/>
          <w:lang w:val="en"/>
        </w:rPr>
        <w:t>7</w:t>
      </w:r>
      <w:r>
        <w:rPr>
          <w:rFonts w:hint="eastAsia" w:ascii="宋体" w:hAnsi="宋体"/>
          <w:szCs w:val="21"/>
        </w:rPr>
        <w:t>）合同是否分包：</w:t>
      </w:r>
      <w:r>
        <w:rPr>
          <w:rFonts w:hint="eastAsia" w:ascii="宋体" w:hAnsi="宋体"/>
          <w:iCs/>
          <w:szCs w:val="21"/>
        </w:rPr>
        <w:sym w:font="Wingdings" w:char="00A8"/>
      </w:r>
      <w:r>
        <w:rPr>
          <w:rFonts w:hint="eastAsia" w:ascii="宋体" w:hAnsi="宋体"/>
          <w:iCs/>
          <w:szCs w:val="21"/>
        </w:rPr>
        <w:t xml:space="preserve">是       </w:t>
      </w:r>
      <w:r>
        <w:rPr>
          <w:rFonts w:hint="eastAsia" w:ascii="宋体" w:hAnsi="宋体"/>
          <w:iCs/>
          <w:szCs w:val="21"/>
        </w:rPr>
        <w:sym w:font="Wingdings" w:char="00A8"/>
      </w:r>
      <w:r>
        <w:rPr>
          <w:rFonts w:hint="eastAsia" w:ascii="宋体" w:hAnsi="宋体"/>
          <w:iCs/>
          <w:szCs w:val="21"/>
        </w:rPr>
        <w:t>否</w:t>
      </w:r>
    </w:p>
    <w:p w14:paraId="13F79E98">
      <w:pPr>
        <w:adjustRightInd w:val="0"/>
        <w:snapToGrid w:val="0"/>
        <w:spacing w:line="400" w:lineRule="exact"/>
        <w:ind w:firstLine="840" w:firstLineChars="400"/>
        <w:rPr>
          <w:rFonts w:ascii="宋体" w:hAnsi="宋体"/>
          <w:szCs w:val="21"/>
          <w:u w:val="single"/>
        </w:rPr>
      </w:pPr>
      <w:r>
        <w:rPr>
          <w:rFonts w:hint="eastAsia" w:ascii="宋体" w:hAnsi="宋体"/>
          <w:szCs w:val="21"/>
        </w:rPr>
        <w:t xml:space="preserve"> 分包主要内容：</w:t>
      </w:r>
      <w:r>
        <w:rPr>
          <w:rFonts w:hint="eastAsia" w:ascii="宋体" w:hAnsi="宋体"/>
          <w:szCs w:val="21"/>
          <w:u w:val="single"/>
        </w:rPr>
        <w:t xml:space="preserve">                                            </w:t>
      </w:r>
    </w:p>
    <w:p w14:paraId="2B256664">
      <w:pPr>
        <w:adjustRightInd w:val="0"/>
        <w:snapToGrid w:val="0"/>
        <w:spacing w:line="400" w:lineRule="exact"/>
        <w:ind w:firstLine="840" w:firstLineChars="400"/>
        <w:rPr>
          <w:rFonts w:ascii="宋体" w:hAnsi="宋体"/>
          <w:szCs w:val="21"/>
        </w:rPr>
      </w:pPr>
      <w:r>
        <w:rPr>
          <w:rFonts w:hint="eastAsia" w:ascii="宋体" w:hAnsi="宋体"/>
          <w:szCs w:val="21"/>
        </w:rPr>
        <w:t xml:space="preserve"> 分包供应商/制造商名称（如供应商和制造商不同，请分别填写）：</w:t>
      </w:r>
    </w:p>
    <w:p w14:paraId="22EF707E">
      <w:pPr>
        <w:adjustRightInd w:val="0"/>
        <w:snapToGrid w:val="0"/>
        <w:spacing w:line="400" w:lineRule="exact"/>
        <w:ind w:firstLine="840" w:firstLineChars="400"/>
        <w:rPr>
          <w:rFonts w:ascii="宋体" w:hAnsi="宋体"/>
          <w:szCs w:val="21"/>
          <w:u w:val="single"/>
        </w:rPr>
      </w:pPr>
      <w:r>
        <w:rPr>
          <w:rFonts w:hint="eastAsia" w:ascii="宋体" w:hAnsi="宋体"/>
          <w:szCs w:val="21"/>
        </w:rPr>
        <w:t xml:space="preserve"> </w:t>
      </w:r>
      <w:r>
        <w:rPr>
          <w:rFonts w:hint="eastAsia" w:ascii="宋体" w:hAnsi="宋体"/>
          <w:szCs w:val="21"/>
          <w:u w:val="single"/>
        </w:rPr>
        <w:t xml:space="preserve">                                                          </w:t>
      </w:r>
    </w:p>
    <w:p w14:paraId="7A808980">
      <w:pPr>
        <w:adjustRightInd w:val="0"/>
        <w:snapToGrid w:val="0"/>
        <w:spacing w:line="400" w:lineRule="exact"/>
        <w:ind w:firstLine="840" w:firstLineChars="400"/>
        <w:rPr>
          <w:rFonts w:ascii="宋体" w:hAnsi="宋体"/>
          <w:szCs w:val="21"/>
        </w:rPr>
      </w:pPr>
      <w:r>
        <w:rPr>
          <w:rFonts w:hint="eastAsia" w:ascii="宋体" w:hAnsi="宋体"/>
          <w:szCs w:val="21"/>
        </w:rPr>
        <w:t xml:space="preserve"> 分包供应商/制造商类型（如果供应商和制造商不同，只填写制造商类型）：</w:t>
      </w:r>
    </w:p>
    <w:p w14:paraId="14D531DB">
      <w:pPr>
        <w:adjustRightInd w:val="0"/>
        <w:snapToGrid w:val="0"/>
        <w:spacing w:line="400" w:lineRule="exact"/>
        <w:ind w:firstLine="840" w:firstLineChars="400"/>
        <w:rPr>
          <w:rFonts w:ascii="宋体" w:hAnsi="宋体"/>
          <w:iCs/>
          <w:szCs w:val="21"/>
        </w:rPr>
      </w:pPr>
      <w:r>
        <w:rPr>
          <w:rFonts w:hint="eastAsia" w:ascii="宋体" w:hAnsi="宋体"/>
          <w:iCs/>
          <w:szCs w:val="21"/>
        </w:rPr>
        <w:t xml:space="preserve"> </w:t>
      </w:r>
      <w:r>
        <w:rPr>
          <w:rFonts w:hint="eastAsia" w:ascii="宋体" w:hAnsi="宋体"/>
          <w:iCs/>
          <w:szCs w:val="21"/>
        </w:rPr>
        <w:sym w:font="Wingdings" w:char="00A8"/>
      </w:r>
      <w:r>
        <w:rPr>
          <w:rFonts w:hint="eastAsia" w:ascii="宋体" w:hAnsi="宋体"/>
          <w:iCs/>
          <w:szCs w:val="21"/>
        </w:rPr>
        <w:t xml:space="preserve">大型企业  </w:t>
      </w:r>
      <w:r>
        <w:rPr>
          <w:rFonts w:hint="eastAsia" w:ascii="宋体" w:hAnsi="宋体"/>
          <w:iCs/>
          <w:szCs w:val="21"/>
        </w:rPr>
        <w:sym w:font="Wingdings" w:char="00A8"/>
      </w:r>
      <w:r>
        <w:rPr>
          <w:rFonts w:hint="eastAsia" w:ascii="宋体" w:hAnsi="宋体"/>
          <w:iCs/>
          <w:szCs w:val="21"/>
        </w:rPr>
        <w:t xml:space="preserve">中型企业  </w:t>
      </w:r>
      <w:r>
        <w:rPr>
          <w:rFonts w:hint="eastAsia" w:ascii="宋体" w:hAnsi="宋体"/>
          <w:iCs/>
          <w:szCs w:val="21"/>
        </w:rPr>
        <w:sym w:font="Wingdings" w:char="00A8"/>
      </w:r>
      <w:r>
        <w:rPr>
          <w:rFonts w:hint="eastAsia" w:ascii="宋体" w:hAnsi="宋体"/>
          <w:iCs/>
          <w:szCs w:val="21"/>
        </w:rPr>
        <w:t xml:space="preserve">小微型企业  </w:t>
      </w:r>
    </w:p>
    <w:p w14:paraId="275F5CC9">
      <w:pPr>
        <w:adjustRightInd w:val="0"/>
        <w:snapToGrid w:val="0"/>
        <w:spacing w:line="400" w:lineRule="exact"/>
        <w:ind w:firstLine="840" w:firstLineChars="400"/>
        <w:rPr>
          <w:rFonts w:eastAsia="华文楷体"/>
        </w:rPr>
      </w:pPr>
      <w:r>
        <w:rPr>
          <w:rFonts w:hint="eastAsia" w:ascii="宋体" w:hAnsi="宋体"/>
          <w:iCs/>
          <w:szCs w:val="21"/>
        </w:rPr>
        <w:t xml:space="preserve"> </w:t>
      </w:r>
      <w:r>
        <w:rPr>
          <w:rFonts w:hint="eastAsia" w:ascii="宋体" w:hAnsi="宋体"/>
          <w:iCs/>
          <w:szCs w:val="21"/>
        </w:rPr>
        <w:sym w:font="Wingdings" w:char="00A8"/>
      </w:r>
      <w:r>
        <w:rPr>
          <w:rFonts w:hint="eastAsia" w:ascii="宋体" w:hAnsi="宋体"/>
          <w:iCs/>
          <w:szCs w:val="21"/>
        </w:rPr>
        <w:t xml:space="preserve">残疾人福利性单位 </w:t>
      </w:r>
      <w:r>
        <w:rPr>
          <w:rFonts w:hint="eastAsia" w:ascii="宋体" w:hAnsi="宋体"/>
          <w:iCs/>
          <w:szCs w:val="21"/>
        </w:rPr>
        <w:sym w:font="Wingdings" w:char="00A8"/>
      </w:r>
      <w:r>
        <w:rPr>
          <w:rFonts w:hint="eastAsia" w:ascii="宋体" w:hAnsi="宋体"/>
          <w:iCs/>
          <w:szCs w:val="21"/>
        </w:rPr>
        <w:t xml:space="preserve">监狱企业 </w:t>
      </w:r>
      <w:r>
        <w:rPr>
          <w:rFonts w:hint="eastAsia" w:ascii="宋体" w:hAnsi="宋体"/>
          <w:iCs/>
          <w:szCs w:val="21"/>
        </w:rPr>
        <w:sym w:font="Wingdings" w:char="00A8"/>
      </w:r>
      <w:r>
        <w:rPr>
          <w:rFonts w:hint="eastAsia" w:ascii="宋体" w:hAnsi="宋体"/>
          <w:iCs/>
          <w:szCs w:val="21"/>
        </w:rPr>
        <w:t>其他</w:t>
      </w:r>
    </w:p>
    <w:p w14:paraId="2B97065C">
      <w:pPr>
        <w:numPr>
          <w:ilvl w:val="255"/>
          <w:numId w:val="0"/>
        </w:numPr>
        <w:adjustRightInd w:val="0"/>
        <w:snapToGrid w:val="0"/>
        <w:spacing w:line="400" w:lineRule="exact"/>
        <w:rPr>
          <w:rFonts w:ascii="宋体" w:hAnsi="宋体" w:cs="宋体"/>
          <w:iCs/>
          <w:szCs w:val="21"/>
        </w:rPr>
      </w:pPr>
      <w:r>
        <w:rPr>
          <w:rFonts w:hint="eastAsia" w:ascii="宋体" w:hAnsi="宋体"/>
          <w:szCs w:val="21"/>
        </w:rPr>
        <w:t xml:space="preserve">    </w:t>
      </w:r>
      <w:r>
        <w:rPr>
          <w:rFonts w:hint="eastAsia" w:ascii="宋体" w:hAnsi="宋体" w:cs="宋体"/>
          <w:szCs w:val="21"/>
        </w:rPr>
        <w:t>（</w:t>
      </w:r>
      <w:r>
        <w:rPr>
          <w:rFonts w:ascii="宋体" w:hAnsi="宋体" w:cs="宋体"/>
          <w:szCs w:val="21"/>
          <w:lang w:val="en"/>
        </w:rPr>
        <w:t>8</w:t>
      </w:r>
      <w:r>
        <w:rPr>
          <w:rFonts w:hint="eastAsia" w:ascii="宋体" w:hAnsi="宋体" w:cs="宋体"/>
          <w:szCs w:val="21"/>
        </w:rPr>
        <w:t>）中标（成交）供应商是否为外商投资企业：</w:t>
      </w:r>
      <w:r>
        <w:rPr>
          <w:rFonts w:hint="eastAsia" w:ascii="宋体" w:hAnsi="宋体" w:cs="宋体"/>
          <w:iCs/>
          <w:szCs w:val="21"/>
        </w:rPr>
        <w:sym w:font="Wingdings" w:char="00A8"/>
      </w:r>
      <w:r>
        <w:rPr>
          <w:rFonts w:hint="eastAsia" w:ascii="宋体" w:hAnsi="宋体" w:cs="宋体"/>
          <w:iCs/>
          <w:szCs w:val="21"/>
        </w:rPr>
        <w:t xml:space="preserve">是       </w:t>
      </w:r>
      <w:r>
        <w:rPr>
          <w:rFonts w:hint="eastAsia" w:ascii="宋体" w:hAnsi="宋体" w:cs="宋体"/>
          <w:iCs/>
          <w:szCs w:val="21"/>
        </w:rPr>
        <w:sym w:font="Wingdings" w:char="00A8"/>
      </w:r>
      <w:r>
        <w:rPr>
          <w:rFonts w:hint="eastAsia" w:ascii="宋体" w:hAnsi="宋体" w:cs="宋体"/>
          <w:iCs/>
          <w:szCs w:val="21"/>
        </w:rPr>
        <w:t>否</w:t>
      </w:r>
    </w:p>
    <w:p w14:paraId="66985D0E">
      <w:pPr>
        <w:tabs>
          <w:tab w:val="left" w:pos="1340"/>
        </w:tabs>
        <w:autoSpaceDE w:val="0"/>
        <w:autoSpaceDN w:val="0"/>
        <w:adjustRightInd w:val="0"/>
        <w:spacing w:line="400" w:lineRule="exact"/>
        <w:ind w:firstLine="420" w:firstLineChars="200"/>
        <w:rPr>
          <w:rFonts w:ascii="宋体" w:hAnsi="宋体" w:cs="宋体"/>
          <w:szCs w:val="21"/>
          <w:u w:val="single"/>
        </w:rPr>
      </w:pPr>
      <w:r>
        <w:rPr>
          <w:rFonts w:hint="eastAsia" w:ascii="宋体" w:hAnsi="宋体" w:cs="宋体"/>
          <w:szCs w:val="21"/>
        </w:rPr>
        <w:t xml:space="preserve">     外商投资企业类型：</w:t>
      </w:r>
      <w:r>
        <w:rPr>
          <w:rFonts w:hint="eastAsia" w:ascii="宋体" w:hAnsi="宋体" w:cs="宋体"/>
          <w:iCs/>
          <w:szCs w:val="21"/>
        </w:rPr>
        <w:sym w:font="Wingdings" w:char="00A8"/>
      </w:r>
      <w:r>
        <w:rPr>
          <w:rFonts w:hint="eastAsia" w:ascii="宋体" w:hAnsi="宋体" w:cs="宋体"/>
          <w:szCs w:val="21"/>
        </w:rPr>
        <w:t xml:space="preserve">全部由外国投资者投资  </w:t>
      </w:r>
      <w:r>
        <w:rPr>
          <w:rFonts w:hint="eastAsia" w:ascii="宋体" w:hAnsi="宋体" w:cs="宋体"/>
          <w:iCs/>
          <w:szCs w:val="21"/>
        </w:rPr>
        <w:sym w:font="Wingdings" w:char="00A8"/>
      </w:r>
      <w:r>
        <w:rPr>
          <w:rFonts w:hint="eastAsia" w:ascii="宋体" w:hAnsi="宋体" w:cs="宋体"/>
          <w:iCs/>
          <w:szCs w:val="21"/>
        </w:rPr>
        <w:t>部分由外国投资者投资</w:t>
      </w:r>
    </w:p>
    <w:p w14:paraId="72E8B9F9">
      <w:pPr>
        <w:numPr>
          <w:ilvl w:val="255"/>
          <w:numId w:val="0"/>
        </w:numPr>
        <w:adjustRightInd w:val="0"/>
        <w:snapToGrid w:val="0"/>
        <w:spacing w:line="400" w:lineRule="exact"/>
        <w:ind w:firstLine="420" w:firstLineChars="200"/>
        <w:rPr>
          <w:rFonts w:ascii="宋体" w:hAnsi="宋体" w:cs="宋体"/>
          <w:szCs w:val="21"/>
        </w:rPr>
      </w:pPr>
      <w:r>
        <w:rPr>
          <w:rFonts w:hint="eastAsia" w:ascii="宋体" w:hAnsi="宋体" w:cs="宋体"/>
          <w:szCs w:val="21"/>
        </w:rPr>
        <w:t>（</w:t>
      </w:r>
      <w:r>
        <w:rPr>
          <w:rFonts w:ascii="宋体" w:hAnsi="宋体" w:cs="宋体"/>
          <w:szCs w:val="21"/>
          <w:lang w:val="en"/>
        </w:rPr>
        <w:t>9</w:t>
      </w:r>
      <w:r>
        <w:rPr>
          <w:rFonts w:hint="eastAsia" w:ascii="宋体" w:hAnsi="宋体" w:cs="宋体"/>
          <w:szCs w:val="21"/>
        </w:rPr>
        <w:t>）是否涉及进口产品：</w:t>
      </w:r>
    </w:p>
    <w:p w14:paraId="6AEE39FD">
      <w:pPr>
        <w:numPr>
          <w:ilvl w:val="255"/>
          <w:numId w:val="0"/>
        </w:numPr>
        <w:adjustRightInd w:val="0"/>
        <w:snapToGrid w:val="0"/>
        <w:spacing w:line="400" w:lineRule="exact"/>
        <w:ind w:firstLine="840" w:firstLineChars="400"/>
        <w:rPr>
          <w:rFonts w:ascii="宋体" w:hAnsi="宋体" w:cs="宋体"/>
          <w:szCs w:val="21"/>
          <w:u w:val="single"/>
        </w:rPr>
      </w:pPr>
      <w:r>
        <w:rPr>
          <w:rFonts w:hint="eastAsia" w:ascii="宋体" w:hAnsi="宋体" w:cs="宋体"/>
          <w:szCs w:val="21"/>
        </w:rPr>
        <w:t xml:space="preserve"> </w:t>
      </w:r>
      <w:r>
        <w:rPr>
          <w:rFonts w:hint="eastAsia" w:ascii="宋体" w:hAnsi="宋体" w:cs="宋体"/>
          <w:szCs w:val="21"/>
        </w:rPr>
        <w:sym w:font="Wingdings" w:char="00A8"/>
      </w:r>
      <w:r>
        <w:rPr>
          <w:rFonts w:hint="eastAsia" w:ascii="宋体" w:hAnsi="宋体" w:cs="宋体"/>
          <w:szCs w:val="21"/>
        </w:rPr>
        <w:t>是，《政府采购品目分类目录》底级品目名称：</w:t>
      </w:r>
      <w:r>
        <w:rPr>
          <w:rFonts w:hint="eastAsia" w:ascii="宋体" w:hAnsi="宋体" w:cs="宋体"/>
          <w:szCs w:val="21"/>
          <w:u w:val="single"/>
        </w:rPr>
        <w:t xml:space="preserve">         </w:t>
      </w:r>
      <w:r>
        <w:rPr>
          <w:rFonts w:hint="eastAsia" w:ascii="宋体" w:hAnsi="宋体" w:cs="宋体"/>
          <w:szCs w:val="21"/>
        </w:rPr>
        <w:t xml:space="preserve"> 金额：</w:t>
      </w:r>
      <w:r>
        <w:rPr>
          <w:rFonts w:hint="eastAsia" w:ascii="宋体" w:hAnsi="宋体" w:cs="宋体"/>
          <w:szCs w:val="21"/>
          <w:u w:val="single"/>
        </w:rPr>
        <w:t xml:space="preserve">        </w:t>
      </w:r>
    </w:p>
    <w:p w14:paraId="78B3F0EC">
      <w:pPr>
        <w:numPr>
          <w:ilvl w:val="255"/>
          <w:numId w:val="0"/>
        </w:numPr>
        <w:adjustRightInd w:val="0"/>
        <w:snapToGrid w:val="0"/>
        <w:spacing w:line="400" w:lineRule="exact"/>
        <w:ind w:firstLine="840" w:firstLineChars="400"/>
        <w:rPr>
          <w:rFonts w:ascii="宋体" w:hAnsi="宋体"/>
          <w:szCs w:val="21"/>
        </w:rPr>
      </w:pPr>
      <w:r>
        <w:rPr>
          <w:rFonts w:hint="eastAsia" w:ascii="宋体" w:hAnsi="宋体" w:cs="宋体"/>
          <w:szCs w:val="21"/>
        </w:rPr>
        <w:t xml:space="preserve">        国别：</w:t>
      </w:r>
      <w:r>
        <w:rPr>
          <w:rFonts w:hint="eastAsia" w:ascii="宋体" w:hAnsi="宋体" w:cs="宋体"/>
          <w:szCs w:val="21"/>
          <w:u w:val="single"/>
        </w:rPr>
        <w:t xml:space="preserve">        </w:t>
      </w:r>
      <w:r>
        <w:rPr>
          <w:rFonts w:hint="eastAsia" w:ascii="宋体" w:hAnsi="宋体" w:cs="宋体"/>
          <w:szCs w:val="21"/>
        </w:rPr>
        <w:t xml:space="preserve"> 品牌：</w:t>
      </w:r>
      <w:r>
        <w:rPr>
          <w:rFonts w:hint="eastAsia" w:ascii="宋体" w:hAnsi="宋体" w:cs="宋体"/>
          <w:szCs w:val="21"/>
          <w:u w:val="single"/>
        </w:rPr>
        <w:t xml:space="preserve">        </w:t>
      </w:r>
      <w:r>
        <w:rPr>
          <w:rFonts w:hint="eastAsia" w:ascii="宋体" w:hAnsi="宋体" w:cs="宋体"/>
          <w:szCs w:val="21"/>
        </w:rPr>
        <w:t xml:space="preserve"> 规格型号：</w:t>
      </w:r>
      <w:r>
        <w:rPr>
          <w:rFonts w:hint="eastAsia" w:ascii="宋体" w:hAnsi="宋体" w:cs="宋体"/>
          <w:szCs w:val="21"/>
          <w:u w:val="single"/>
        </w:rPr>
        <w:t xml:space="preserve">        </w:t>
      </w:r>
      <w:r>
        <w:rPr>
          <w:rFonts w:hint="eastAsia" w:ascii="宋体" w:hAnsi="宋体"/>
          <w:szCs w:val="21"/>
        </w:rPr>
        <w:t xml:space="preserve">      </w:t>
      </w:r>
    </w:p>
    <w:p w14:paraId="6CFB5430">
      <w:pPr>
        <w:adjustRightInd w:val="0"/>
        <w:snapToGrid w:val="0"/>
        <w:spacing w:line="400" w:lineRule="exact"/>
        <w:ind w:firstLine="840" w:firstLineChars="400"/>
        <w:rPr>
          <w:rFonts w:ascii="宋体" w:hAnsi="宋体"/>
          <w:szCs w:val="21"/>
        </w:rPr>
      </w:pPr>
      <w:r>
        <w:rPr>
          <w:rFonts w:hint="eastAsia" w:ascii="宋体" w:hAnsi="宋体"/>
          <w:szCs w:val="21"/>
        </w:rPr>
        <w:t xml:space="preserve"> </w:t>
      </w:r>
      <w:r>
        <w:rPr>
          <w:rFonts w:hint="eastAsia" w:ascii="宋体" w:hAnsi="宋体"/>
          <w:szCs w:val="21"/>
        </w:rPr>
        <w:sym w:font="Wingdings" w:char="00A8"/>
      </w:r>
      <w:r>
        <w:rPr>
          <w:rFonts w:hint="eastAsia" w:ascii="宋体" w:hAnsi="宋体"/>
          <w:szCs w:val="21"/>
        </w:rPr>
        <w:t>否</w:t>
      </w:r>
    </w:p>
    <w:p w14:paraId="11BAA0E0">
      <w:pPr>
        <w:numPr>
          <w:ilvl w:val="255"/>
          <w:numId w:val="0"/>
        </w:numPr>
        <w:tabs>
          <w:tab w:val="left" w:pos="740"/>
        </w:tabs>
        <w:adjustRightInd w:val="0"/>
        <w:snapToGrid w:val="0"/>
        <w:spacing w:line="400" w:lineRule="exact"/>
        <w:rPr>
          <w:rFonts w:ascii="宋体" w:hAnsi="宋体"/>
          <w:szCs w:val="21"/>
        </w:rPr>
      </w:pPr>
      <w:r>
        <w:rPr>
          <w:rFonts w:hint="eastAsia" w:ascii="宋体" w:hAnsi="宋体"/>
          <w:szCs w:val="21"/>
        </w:rPr>
        <w:t xml:space="preserve">    （1</w:t>
      </w:r>
      <w:r>
        <w:rPr>
          <w:rFonts w:ascii="宋体" w:hAnsi="宋体"/>
          <w:szCs w:val="21"/>
          <w:lang w:val="en"/>
        </w:rPr>
        <w:t>0</w:t>
      </w:r>
      <w:r>
        <w:rPr>
          <w:rFonts w:hint="eastAsia" w:ascii="宋体" w:hAnsi="宋体"/>
          <w:szCs w:val="21"/>
        </w:rPr>
        <w:t>）是否涉及节能产品：</w:t>
      </w:r>
    </w:p>
    <w:p w14:paraId="67ABFBD4">
      <w:pPr>
        <w:numPr>
          <w:ilvl w:val="255"/>
          <w:numId w:val="0"/>
        </w:numPr>
        <w:tabs>
          <w:tab w:val="left" w:pos="740"/>
        </w:tabs>
        <w:adjustRightInd w:val="0"/>
        <w:snapToGrid w:val="0"/>
        <w:spacing w:line="400" w:lineRule="exact"/>
        <w:rPr>
          <w:rFonts w:ascii="宋体" w:hAnsi="宋体"/>
          <w:iCs/>
          <w:szCs w:val="21"/>
        </w:rPr>
      </w:pPr>
      <w:r>
        <w:rPr>
          <w:rFonts w:hint="eastAsia" w:ascii="宋体" w:hAnsi="宋体"/>
          <w:szCs w:val="21"/>
        </w:rPr>
        <w:t xml:space="preserve">         </w:t>
      </w:r>
      <w:r>
        <w:rPr>
          <w:rFonts w:hint="eastAsia" w:ascii="宋体" w:hAnsi="宋体"/>
          <w:szCs w:val="21"/>
        </w:rPr>
        <w:sym w:font="Wingdings" w:char="00A8"/>
      </w:r>
      <w:r>
        <w:rPr>
          <w:rFonts w:hint="eastAsia" w:ascii="宋体" w:hAnsi="宋体"/>
          <w:szCs w:val="21"/>
        </w:rPr>
        <w:t>是，《节能产品政府采购品目清单》的底级品目名称：</w:t>
      </w:r>
      <w:r>
        <w:rPr>
          <w:rFonts w:hint="eastAsia" w:ascii="宋体" w:hAnsi="宋体"/>
          <w:szCs w:val="21"/>
          <w:u w:val="single"/>
        </w:rPr>
        <w:t xml:space="preserve">         </w:t>
      </w:r>
      <w:r>
        <w:rPr>
          <w:rFonts w:hint="eastAsia" w:ascii="宋体" w:hAnsi="宋体"/>
          <w:iCs/>
          <w:szCs w:val="21"/>
        </w:rPr>
        <w:t xml:space="preserve">     </w:t>
      </w:r>
    </w:p>
    <w:p w14:paraId="5A98CC1D">
      <w:pPr>
        <w:numPr>
          <w:ilvl w:val="255"/>
          <w:numId w:val="0"/>
        </w:numPr>
        <w:tabs>
          <w:tab w:val="left" w:pos="740"/>
        </w:tabs>
        <w:adjustRightInd w:val="0"/>
        <w:snapToGrid w:val="0"/>
        <w:spacing w:line="400" w:lineRule="exact"/>
        <w:rPr>
          <w:rFonts w:ascii="宋体" w:hAnsi="宋体"/>
          <w:iCs/>
          <w:szCs w:val="21"/>
        </w:rPr>
      </w:pPr>
      <w:r>
        <w:rPr>
          <w:rFonts w:hint="eastAsia" w:ascii="宋体" w:hAnsi="宋体"/>
          <w:iCs/>
          <w:szCs w:val="21"/>
        </w:rPr>
        <w:t xml:space="preserve">                </w:t>
      </w:r>
      <w:r>
        <w:rPr>
          <w:rFonts w:hint="eastAsia" w:ascii="宋体" w:hAnsi="宋体"/>
          <w:iCs/>
          <w:szCs w:val="21"/>
        </w:rPr>
        <w:sym w:font="Wingdings" w:char="00A8"/>
      </w:r>
      <w:r>
        <w:rPr>
          <w:rFonts w:hint="eastAsia" w:ascii="宋体" w:hAnsi="宋体"/>
          <w:iCs/>
          <w:szCs w:val="21"/>
        </w:rPr>
        <w:t xml:space="preserve">强制采购       </w:t>
      </w:r>
      <w:r>
        <w:rPr>
          <w:rFonts w:hint="eastAsia" w:ascii="宋体" w:hAnsi="宋体"/>
          <w:iCs/>
          <w:szCs w:val="21"/>
        </w:rPr>
        <w:sym w:font="Wingdings" w:char="00A8"/>
      </w:r>
      <w:r>
        <w:rPr>
          <w:rFonts w:hint="eastAsia" w:ascii="宋体" w:hAnsi="宋体"/>
          <w:iCs/>
          <w:szCs w:val="21"/>
        </w:rPr>
        <w:t xml:space="preserve">优先采购    </w:t>
      </w:r>
    </w:p>
    <w:p w14:paraId="6DDC5420">
      <w:pPr>
        <w:numPr>
          <w:ilvl w:val="255"/>
          <w:numId w:val="0"/>
        </w:numPr>
        <w:tabs>
          <w:tab w:val="left" w:pos="740"/>
        </w:tabs>
        <w:adjustRightInd w:val="0"/>
        <w:snapToGrid w:val="0"/>
        <w:spacing w:line="400" w:lineRule="exact"/>
        <w:rPr>
          <w:rFonts w:ascii="宋体" w:hAnsi="宋体"/>
          <w:szCs w:val="21"/>
        </w:rPr>
      </w:pPr>
      <w:r>
        <w:rPr>
          <w:rFonts w:hint="eastAsia" w:ascii="宋体" w:hAnsi="宋体"/>
          <w:iCs/>
          <w:szCs w:val="21"/>
        </w:rPr>
        <w:t xml:space="preserve">         </w:t>
      </w:r>
      <w:r>
        <w:rPr>
          <w:rFonts w:hint="eastAsia" w:ascii="宋体" w:hAnsi="宋体"/>
          <w:szCs w:val="21"/>
        </w:rPr>
        <w:sym w:font="Wingdings" w:char="00A8"/>
      </w:r>
      <w:r>
        <w:rPr>
          <w:rFonts w:hint="eastAsia" w:ascii="宋体" w:hAnsi="宋体"/>
          <w:szCs w:val="21"/>
        </w:rPr>
        <w:t>否</w:t>
      </w:r>
    </w:p>
    <w:p w14:paraId="3F70A5FD">
      <w:pPr>
        <w:numPr>
          <w:ilvl w:val="255"/>
          <w:numId w:val="0"/>
        </w:numPr>
        <w:tabs>
          <w:tab w:val="left" w:pos="740"/>
        </w:tabs>
        <w:adjustRightInd w:val="0"/>
        <w:snapToGrid w:val="0"/>
        <w:spacing w:line="400" w:lineRule="exact"/>
        <w:rPr>
          <w:rFonts w:ascii="宋体" w:hAnsi="宋体"/>
          <w:szCs w:val="21"/>
        </w:rPr>
      </w:pPr>
      <w:r>
        <w:rPr>
          <w:rFonts w:hint="eastAsia" w:ascii="宋体" w:hAnsi="宋体"/>
          <w:szCs w:val="21"/>
        </w:rPr>
        <w:t xml:space="preserve">          是否涉及环境标志产品：</w:t>
      </w:r>
    </w:p>
    <w:p w14:paraId="3D41DEAB">
      <w:pPr>
        <w:numPr>
          <w:ilvl w:val="255"/>
          <w:numId w:val="0"/>
        </w:numPr>
        <w:tabs>
          <w:tab w:val="left" w:pos="740"/>
        </w:tabs>
        <w:adjustRightInd w:val="0"/>
        <w:snapToGrid w:val="0"/>
        <w:spacing w:line="400" w:lineRule="exact"/>
        <w:rPr>
          <w:rFonts w:ascii="宋体" w:hAnsi="宋体"/>
          <w:szCs w:val="21"/>
        </w:rPr>
      </w:pPr>
      <w:r>
        <w:rPr>
          <w:rFonts w:hint="eastAsia" w:ascii="宋体" w:hAnsi="宋体"/>
          <w:szCs w:val="21"/>
        </w:rPr>
        <w:t xml:space="preserve">         </w:t>
      </w:r>
      <w:r>
        <w:rPr>
          <w:rFonts w:hint="eastAsia" w:ascii="宋体" w:hAnsi="宋体"/>
          <w:szCs w:val="21"/>
        </w:rPr>
        <w:sym w:font="Wingdings" w:char="00A8"/>
      </w:r>
      <w:r>
        <w:rPr>
          <w:rFonts w:hint="eastAsia" w:ascii="宋体" w:hAnsi="宋体"/>
          <w:szCs w:val="21"/>
        </w:rPr>
        <w:t>是，《环境标志产品政府采购品目清单》的底级品目名称：</w:t>
      </w:r>
      <w:r>
        <w:rPr>
          <w:rFonts w:hint="eastAsia" w:ascii="宋体" w:hAnsi="宋体"/>
          <w:szCs w:val="21"/>
          <w:u w:val="single"/>
        </w:rPr>
        <w:t xml:space="preserve">         </w:t>
      </w:r>
      <w:r>
        <w:rPr>
          <w:rFonts w:hint="eastAsia" w:ascii="宋体" w:hAnsi="宋体"/>
          <w:iCs/>
          <w:szCs w:val="21"/>
        </w:rPr>
        <w:t xml:space="preserve"> </w:t>
      </w:r>
    </w:p>
    <w:p w14:paraId="1214A8FD">
      <w:pPr>
        <w:numPr>
          <w:ilvl w:val="255"/>
          <w:numId w:val="0"/>
        </w:numPr>
        <w:tabs>
          <w:tab w:val="left" w:pos="740"/>
        </w:tabs>
        <w:adjustRightInd w:val="0"/>
        <w:snapToGrid w:val="0"/>
        <w:spacing w:line="400" w:lineRule="exact"/>
        <w:rPr>
          <w:rFonts w:ascii="宋体" w:hAnsi="宋体"/>
          <w:iCs/>
          <w:szCs w:val="21"/>
        </w:rPr>
      </w:pPr>
      <w:r>
        <w:rPr>
          <w:rFonts w:hint="eastAsia" w:ascii="宋体" w:hAnsi="宋体"/>
          <w:iCs/>
          <w:szCs w:val="21"/>
        </w:rPr>
        <w:t xml:space="preserve">                </w:t>
      </w:r>
      <w:r>
        <w:rPr>
          <w:rFonts w:hint="eastAsia" w:ascii="宋体" w:hAnsi="宋体"/>
          <w:iCs/>
          <w:szCs w:val="21"/>
        </w:rPr>
        <w:sym w:font="Wingdings" w:char="00A8"/>
      </w:r>
      <w:r>
        <w:rPr>
          <w:rFonts w:hint="eastAsia" w:ascii="宋体" w:hAnsi="宋体"/>
          <w:iCs/>
          <w:szCs w:val="21"/>
        </w:rPr>
        <w:t xml:space="preserve">强制采购       </w:t>
      </w:r>
      <w:r>
        <w:rPr>
          <w:rFonts w:hint="eastAsia" w:ascii="宋体" w:hAnsi="宋体"/>
          <w:iCs/>
          <w:szCs w:val="21"/>
        </w:rPr>
        <w:sym w:font="Wingdings" w:char="00A8"/>
      </w:r>
      <w:r>
        <w:rPr>
          <w:rFonts w:hint="eastAsia" w:ascii="宋体" w:hAnsi="宋体"/>
          <w:iCs/>
          <w:szCs w:val="21"/>
        </w:rPr>
        <w:t xml:space="preserve">优先采购    </w:t>
      </w:r>
    </w:p>
    <w:p w14:paraId="6EFB2ED2">
      <w:pPr>
        <w:numPr>
          <w:ilvl w:val="255"/>
          <w:numId w:val="0"/>
        </w:numPr>
        <w:tabs>
          <w:tab w:val="left" w:pos="740"/>
        </w:tabs>
        <w:adjustRightInd w:val="0"/>
        <w:snapToGrid w:val="0"/>
        <w:spacing w:line="400" w:lineRule="exact"/>
        <w:rPr>
          <w:rFonts w:ascii="宋体" w:hAnsi="宋体"/>
          <w:szCs w:val="21"/>
        </w:rPr>
      </w:pPr>
      <w:r>
        <w:rPr>
          <w:rFonts w:hint="eastAsia" w:ascii="宋体" w:hAnsi="宋体"/>
          <w:iCs/>
          <w:szCs w:val="21"/>
        </w:rPr>
        <w:t xml:space="preserve">         </w:t>
      </w:r>
      <w:r>
        <w:rPr>
          <w:rFonts w:hint="eastAsia" w:ascii="宋体" w:hAnsi="宋体"/>
          <w:szCs w:val="21"/>
        </w:rPr>
        <w:sym w:font="Wingdings" w:char="00A8"/>
      </w:r>
      <w:r>
        <w:rPr>
          <w:rFonts w:hint="eastAsia" w:ascii="宋体" w:hAnsi="宋体"/>
          <w:szCs w:val="21"/>
        </w:rPr>
        <w:t>否</w:t>
      </w:r>
    </w:p>
    <w:p w14:paraId="0CF74579">
      <w:pPr>
        <w:numPr>
          <w:ilvl w:val="255"/>
          <w:numId w:val="0"/>
        </w:numPr>
        <w:autoSpaceDE w:val="0"/>
        <w:autoSpaceDN w:val="0"/>
        <w:adjustRightInd w:val="0"/>
        <w:snapToGrid w:val="0"/>
        <w:spacing w:line="400" w:lineRule="exact"/>
        <w:rPr>
          <w:rFonts w:ascii="宋体" w:hAnsi="宋体"/>
          <w:szCs w:val="21"/>
        </w:rPr>
      </w:pPr>
      <w:r>
        <w:rPr>
          <w:rFonts w:hint="eastAsia" w:ascii="宋体" w:hAnsi="宋体" w:eastAsia="华文楷体" w:cs="华文楷体"/>
          <w:szCs w:val="21"/>
        </w:rPr>
        <w:t xml:space="preserve">          </w:t>
      </w:r>
      <w:r>
        <w:rPr>
          <w:rFonts w:hint="eastAsia" w:ascii="宋体" w:hAnsi="宋体"/>
          <w:szCs w:val="21"/>
        </w:rPr>
        <w:t xml:space="preserve">是否涉及绿色产品： </w:t>
      </w:r>
    </w:p>
    <w:p w14:paraId="37EB9928">
      <w:pPr>
        <w:autoSpaceDE w:val="0"/>
        <w:autoSpaceDN w:val="0"/>
        <w:adjustRightInd w:val="0"/>
        <w:spacing w:line="400" w:lineRule="exact"/>
        <w:ind w:firstLine="420"/>
        <w:rPr>
          <w:rFonts w:ascii="宋体" w:hAnsi="宋体" w:cs="华文楷体"/>
          <w:sz w:val="22"/>
          <w:szCs w:val="21"/>
          <w:u w:val="single"/>
        </w:rPr>
      </w:pPr>
      <w:r>
        <w:rPr>
          <w:rFonts w:hint="eastAsia" w:ascii="宋体" w:hAnsi="宋体"/>
          <w:szCs w:val="21"/>
        </w:rPr>
        <w:t xml:space="preserve">     </w:t>
      </w:r>
      <w:r>
        <w:rPr>
          <w:rFonts w:hint="eastAsia" w:ascii="宋体" w:hAnsi="宋体"/>
          <w:szCs w:val="21"/>
        </w:rPr>
        <w:sym w:font="Wingdings" w:char="00A8"/>
      </w:r>
      <w:r>
        <w:rPr>
          <w:rFonts w:hint="eastAsia" w:ascii="宋体" w:hAnsi="宋体"/>
          <w:szCs w:val="21"/>
        </w:rPr>
        <w:t>是，绿色产品政府采购相关政策确定的底级品目名称：</w:t>
      </w:r>
      <w:r>
        <w:rPr>
          <w:rFonts w:hint="eastAsia" w:ascii="宋体" w:hAnsi="宋体" w:cs="华文楷体"/>
          <w:sz w:val="22"/>
          <w:szCs w:val="21"/>
          <w:u w:val="single"/>
        </w:rPr>
        <w:t xml:space="preserve">         </w:t>
      </w:r>
    </w:p>
    <w:p w14:paraId="003EA96C">
      <w:pPr>
        <w:numPr>
          <w:ilvl w:val="255"/>
          <w:numId w:val="0"/>
        </w:numPr>
        <w:tabs>
          <w:tab w:val="left" w:pos="740"/>
        </w:tabs>
        <w:adjustRightInd w:val="0"/>
        <w:snapToGrid w:val="0"/>
        <w:spacing w:line="400" w:lineRule="exact"/>
        <w:rPr>
          <w:rFonts w:ascii="宋体" w:hAnsi="宋体"/>
          <w:iCs/>
          <w:szCs w:val="21"/>
        </w:rPr>
      </w:pPr>
      <w:r>
        <w:rPr>
          <w:rFonts w:hint="eastAsia" w:ascii="宋体" w:hAnsi="宋体"/>
          <w:iCs/>
          <w:szCs w:val="21"/>
        </w:rPr>
        <w:t xml:space="preserve">                </w:t>
      </w:r>
      <w:r>
        <w:rPr>
          <w:rFonts w:hint="eastAsia" w:ascii="宋体" w:hAnsi="宋体"/>
          <w:iCs/>
          <w:szCs w:val="21"/>
        </w:rPr>
        <w:sym w:font="Wingdings" w:char="00A8"/>
      </w:r>
      <w:r>
        <w:rPr>
          <w:rFonts w:hint="eastAsia" w:ascii="宋体" w:hAnsi="宋体"/>
          <w:iCs/>
          <w:szCs w:val="21"/>
        </w:rPr>
        <w:t xml:space="preserve">强制采购       </w:t>
      </w:r>
      <w:r>
        <w:rPr>
          <w:rFonts w:hint="eastAsia" w:ascii="宋体" w:hAnsi="宋体"/>
          <w:iCs/>
          <w:szCs w:val="21"/>
        </w:rPr>
        <w:sym w:font="Wingdings" w:char="00A8"/>
      </w:r>
      <w:r>
        <w:rPr>
          <w:rFonts w:hint="eastAsia" w:ascii="宋体" w:hAnsi="宋体"/>
          <w:iCs/>
          <w:szCs w:val="21"/>
        </w:rPr>
        <w:t xml:space="preserve">优先采购    </w:t>
      </w:r>
    </w:p>
    <w:p w14:paraId="5A8F5B93">
      <w:pPr>
        <w:autoSpaceDE w:val="0"/>
        <w:autoSpaceDN w:val="0"/>
        <w:adjustRightInd w:val="0"/>
        <w:spacing w:line="400" w:lineRule="exact"/>
        <w:ind w:firstLine="420"/>
        <w:rPr>
          <w:rFonts w:ascii="宋体" w:hAnsi="宋体" w:eastAsia="华文楷体" w:cs="华文楷体"/>
          <w:szCs w:val="21"/>
        </w:rPr>
      </w:pPr>
      <w:r>
        <w:rPr>
          <w:rFonts w:hint="eastAsia" w:ascii="宋体" w:hAnsi="宋体"/>
          <w:szCs w:val="21"/>
        </w:rPr>
        <w:t xml:space="preserve">     </w:t>
      </w:r>
      <w:r>
        <w:rPr>
          <w:rFonts w:hint="eastAsia" w:ascii="宋体" w:hAnsi="宋体"/>
          <w:szCs w:val="21"/>
        </w:rPr>
        <w:sym w:font="Wingdings" w:char="00A8"/>
      </w:r>
      <w:r>
        <w:rPr>
          <w:rFonts w:hint="eastAsia" w:ascii="宋体" w:hAnsi="宋体"/>
          <w:szCs w:val="21"/>
        </w:rPr>
        <w:t>否</w:t>
      </w:r>
    </w:p>
    <w:p w14:paraId="57A5D9AB">
      <w:pPr>
        <w:numPr>
          <w:ilvl w:val="255"/>
          <w:numId w:val="0"/>
        </w:numPr>
        <w:adjustRightInd w:val="0"/>
        <w:snapToGrid w:val="0"/>
        <w:spacing w:line="400" w:lineRule="exact"/>
        <w:rPr>
          <w:rFonts w:ascii="宋体" w:hAnsi="宋体"/>
          <w:szCs w:val="21"/>
        </w:rPr>
      </w:pPr>
      <w:r>
        <w:rPr>
          <w:rFonts w:hint="eastAsia" w:ascii="宋体" w:hAnsi="宋体"/>
          <w:szCs w:val="21"/>
        </w:rPr>
        <w:t xml:space="preserve">    （1</w:t>
      </w:r>
      <w:r>
        <w:rPr>
          <w:rFonts w:ascii="宋体" w:hAnsi="宋体"/>
          <w:szCs w:val="21"/>
          <w:lang w:val="en"/>
        </w:rPr>
        <w:t>1</w:t>
      </w:r>
      <w:r>
        <w:rPr>
          <w:rFonts w:hint="eastAsia" w:ascii="宋体" w:hAnsi="宋体"/>
          <w:szCs w:val="21"/>
        </w:rPr>
        <w:t>）涉及商品包装和快递包装的，是否参考《商品包装政府采购需求标准（试行）》、《快递包装政府采购需求标准（试行）》明确产品及相关快递服务的具体包装要求：</w:t>
      </w:r>
    </w:p>
    <w:p w14:paraId="576846BB">
      <w:pPr>
        <w:numPr>
          <w:ilvl w:val="255"/>
          <w:numId w:val="0"/>
        </w:numPr>
        <w:adjustRightInd w:val="0"/>
        <w:snapToGrid w:val="0"/>
        <w:spacing w:line="400" w:lineRule="exact"/>
        <w:ind w:firstLine="840" w:firstLineChars="400"/>
        <w:rPr>
          <w:rFonts w:ascii="宋体" w:hAnsi="宋体"/>
          <w:szCs w:val="21"/>
        </w:rPr>
      </w:pPr>
      <w:r>
        <w:rPr>
          <w:rFonts w:hint="eastAsia" w:ascii="宋体" w:hAnsi="宋体"/>
          <w:szCs w:val="21"/>
        </w:rPr>
        <w:sym w:font="Wingdings" w:char="00A8"/>
      </w:r>
      <w:r>
        <w:rPr>
          <w:rFonts w:hint="eastAsia" w:ascii="宋体" w:hAnsi="宋体"/>
          <w:szCs w:val="21"/>
        </w:rPr>
        <w:t xml:space="preserve">是       </w:t>
      </w:r>
      <w:r>
        <w:rPr>
          <w:rFonts w:hint="eastAsia" w:ascii="宋体" w:hAnsi="宋体"/>
          <w:szCs w:val="21"/>
        </w:rPr>
        <w:sym w:font="Wingdings" w:char="00A8"/>
      </w:r>
      <w:r>
        <w:rPr>
          <w:rFonts w:hint="eastAsia" w:ascii="宋体" w:hAnsi="宋体"/>
          <w:szCs w:val="21"/>
        </w:rPr>
        <w:t xml:space="preserve">否      </w:t>
      </w:r>
      <w:r>
        <w:rPr>
          <w:rFonts w:hint="eastAsia" w:ascii="宋体" w:hAnsi="宋体"/>
          <w:szCs w:val="21"/>
        </w:rPr>
        <w:sym w:font="Wingdings" w:char="00A8"/>
      </w:r>
      <w:r>
        <w:rPr>
          <w:rFonts w:hint="eastAsia" w:ascii="宋体" w:hAnsi="宋体"/>
          <w:szCs w:val="21"/>
        </w:rPr>
        <w:t>不涉及</w:t>
      </w:r>
    </w:p>
    <w:p w14:paraId="21D4D9C5">
      <w:pPr>
        <w:numPr>
          <w:ilvl w:val="0"/>
          <w:numId w:val="10"/>
        </w:numPr>
        <w:adjustRightInd w:val="0"/>
        <w:snapToGrid w:val="0"/>
        <w:spacing w:line="400" w:lineRule="exact"/>
        <w:ind w:firstLine="422" w:firstLineChars="200"/>
        <w:rPr>
          <w:rFonts w:ascii="宋体" w:hAnsi="宋体"/>
          <w:b/>
          <w:szCs w:val="21"/>
        </w:rPr>
      </w:pPr>
      <w:r>
        <w:rPr>
          <w:rFonts w:hint="eastAsia" w:ascii="宋体" w:hAnsi="宋体"/>
          <w:b/>
          <w:szCs w:val="21"/>
        </w:rPr>
        <w:t>合同金额</w:t>
      </w:r>
    </w:p>
    <w:p w14:paraId="73020E02">
      <w:pPr>
        <w:adjustRightInd w:val="0"/>
        <w:snapToGrid w:val="0"/>
        <w:spacing w:line="400" w:lineRule="exact"/>
        <w:ind w:firstLine="420" w:firstLineChars="200"/>
        <w:rPr>
          <w:rFonts w:ascii="宋体" w:hAnsi="宋体"/>
          <w:szCs w:val="21"/>
        </w:rPr>
      </w:pPr>
      <w:r>
        <w:rPr>
          <w:rFonts w:hint="eastAsia" w:ascii="宋体" w:hAnsi="宋体"/>
          <w:szCs w:val="21"/>
        </w:rPr>
        <w:t>（1）合同金额小写：</w:t>
      </w:r>
      <w:r>
        <w:rPr>
          <w:rFonts w:hint="eastAsia" w:ascii="宋体" w:hAnsi="宋体"/>
          <w:szCs w:val="21"/>
          <w:u w:val="single"/>
        </w:rPr>
        <w:t xml:space="preserve">                           </w:t>
      </w:r>
    </w:p>
    <w:p w14:paraId="31AABE3A">
      <w:pPr>
        <w:adjustRightInd w:val="0"/>
        <w:snapToGrid w:val="0"/>
        <w:spacing w:line="400" w:lineRule="exact"/>
        <w:rPr>
          <w:rFonts w:ascii="宋体" w:hAnsi="宋体"/>
          <w:szCs w:val="21"/>
          <w:u w:val="single"/>
        </w:rPr>
      </w:pPr>
      <w:r>
        <w:rPr>
          <w:rFonts w:hint="eastAsia" w:ascii="宋体" w:hAnsi="宋体"/>
          <w:szCs w:val="21"/>
        </w:rPr>
        <w:t xml:space="preserve">                 大写：</w:t>
      </w:r>
      <w:r>
        <w:rPr>
          <w:rFonts w:hint="eastAsia" w:ascii="宋体" w:hAnsi="宋体"/>
          <w:szCs w:val="21"/>
          <w:u w:val="single"/>
        </w:rPr>
        <w:t xml:space="preserve">                           </w:t>
      </w:r>
    </w:p>
    <w:p w14:paraId="66FBD61C">
      <w:pPr>
        <w:adjustRightInd w:val="0"/>
        <w:snapToGrid w:val="0"/>
        <w:spacing w:line="400" w:lineRule="exact"/>
        <w:rPr>
          <w:rFonts w:ascii="宋体" w:hAnsi="宋体"/>
          <w:szCs w:val="21"/>
        </w:rPr>
      </w:pPr>
      <w:r>
        <w:rPr>
          <w:rFonts w:hint="eastAsia" w:ascii="宋体" w:hAnsi="宋体"/>
          <w:szCs w:val="21"/>
        </w:rPr>
        <w:t xml:space="preserve">         分包金额（如有）小写：</w:t>
      </w:r>
      <w:r>
        <w:rPr>
          <w:rFonts w:hint="eastAsia" w:ascii="宋体" w:hAnsi="宋体"/>
          <w:szCs w:val="21"/>
          <w:u w:val="single"/>
        </w:rPr>
        <w:t xml:space="preserve">                   </w:t>
      </w:r>
    </w:p>
    <w:p w14:paraId="7A02747D">
      <w:pPr>
        <w:adjustRightInd w:val="0"/>
        <w:snapToGrid w:val="0"/>
        <w:spacing w:line="400" w:lineRule="exact"/>
        <w:rPr>
          <w:rFonts w:ascii="宋体" w:hAnsi="宋体"/>
          <w:szCs w:val="21"/>
          <w:u w:val="single"/>
        </w:rPr>
      </w:pPr>
      <w:r>
        <w:rPr>
          <w:rFonts w:hint="eastAsia" w:ascii="宋体" w:hAnsi="宋体"/>
          <w:szCs w:val="21"/>
        </w:rPr>
        <w:t xml:space="preserve">                     大写：</w:t>
      </w:r>
      <w:r>
        <w:rPr>
          <w:rFonts w:hint="eastAsia" w:ascii="宋体" w:hAnsi="宋体"/>
          <w:szCs w:val="21"/>
          <w:u w:val="single"/>
        </w:rPr>
        <w:t xml:space="preserve">                       </w:t>
      </w:r>
    </w:p>
    <w:p w14:paraId="76A09350">
      <w:pPr>
        <w:adjustRightInd w:val="0"/>
        <w:snapToGrid w:val="0"/>
        <w:spacing w:line="400" w:lineRule="exact"/>
        <w:rPr>
          <w:rFonts w:ascii="宋体" w:hAnsi="宋体"/>
          <w:szCs w:val="21"/>
        </w:rPr>
      </w:pPr>
      <w:r>
        <w:rPr>
          <w:rFonts w:hint="eastAsia" w:ascii="宋体" w:hAnsi="宋体"/>
          <w:szCs w:val="21"/>
        </w:rPr>
        <w:t xml:space="preserve">    （注：固定单价合同应填写单价和最高限价）</w:t>
      </w:r>
    </w:p>
    <w:p w14:paraId="460D5781">
      <w:pPr>
        <w:numPr>
          <w:ilvl w:val="255"/>
          <w:numId w:val="0"/>
        </w:numPr>
        <w:adjustRightInd w:val="0"/>
        <w:snapToGrid w:val="0"/>
        <w:spacing w:line="400" w:lineRule="exact"/>
        <w:rPr>
          <w:rFonts w:ascii="宋体" w:hAnsi="宋体"/>
          <w:szCs w:val="21"/>
        </w:rPr>
      </w:pPr>
      <w:r>
        <w:rPr>
          <w:rFonts w:hint="eastAsia" w:ascii="宋体" w:hAnsi="宋体"/>
          <w:szCs w:val="21"/>
        </w:rPr>
        <w:t xml:space="preserve">    （2）合同定价方式（采用组合定价方式的，可以勾选多项）：</w:t>
      </w:r>
    </w:p>
    <w:p w14:paraId="68705B70">
      <w:pPr>
        <w:adjustRightInd w:val="0"/>
        <w:snapToGrid w:val="0"/>
        <w:spacing w:line="400" w:lineRule="exact"/>
        <w:ind w:firstLine="420" w:firstLineChars="200"/>
        <w:rPr>
          <w:rFonts w:ascii="宋体" w:hAnsi="宋体"/>
          <w:szCs w:val="21"/>
        </w:rPr>
      </w:pPr>
      <w:r>
        <w:rPr>
          <w:rFonts w:hint="eastAsia" w:ascii="宋体" w:hAnsi="宋体"/>
          <w:iCs/>
          <w:szCs w:val="21"/>
        </w:rPr>
        <w:t xml:space="preserve">  </w:t>
      </w:r>
      <w:r>
        <w:rPr>
          <w:rFonts w:hint="eastAsia" w:ascii="宋体" w:hAnsi="宋体"/>
          <w:iCs/>
          <w:szCs w:val="21"/>
        </w:rPr>
        <w:sym w:font="Wingdings" w:char="00A8"/>
      </w:r>
      <w:r>
        <w:rPr>
          <w:rFonts w:hint="eastAsia" w:ascii="宋体" w:hAnsi="宋体"/>
          <w:iCs/>
          <w:szCs w:val="21"/>
        </w:rPr>
        <w:t xml:space="preserve">固定总价 </w:t>
      </w:r>
      <w:r>
        <w:rPr>
          <w:rFonts w:hint="eastAsia" w:ascii="宋体" w:hAnsi="宋体"/>
          <w:iCs/>
          <w:szCs w:val="21"/>
        </w:rPr>
        <w:sym w:font="Wingdings" w:char="00A8"/>
      </w:r>
      <w:r>
        <w:rPr>
          <w:rFonts w:hint="eastAsia" w:ascii="宋体" w:hAnsi="宋体"/>
          <w:iCs/>
          <w:szCs w:val="21"/>
        </w:rPr>
        <w:t xml:space="preserve">固定单价 </w:t>
      </w:r>
      <w:r>
        <w:rPr>
          <w:rFonts w:hint="eastAsia" w:ascii="宋体" w:hAnsi="宋体"/>
          <w:iCs/>
          <w:szCs w:val="21"/>
        </w:rPr>
        <w:sym w:font="Wingdings" w:char="00A8"/>
      </w:r>
      <w:r>
        <w:rPr>
          <w:rFonts w:hint="eastAsia" w:ascii="宋体" w:hAnsi="宋体"/>
          <w:iCs/>
          <w:szCs w:val="21"/>
        </w:rPr>
        <w:t xml:space="preserve">固定费率 </w:t>
      </w:r>
      <w:r>
        <w:rPr>
          <w:rFonts w:hint="eastAsia" w:ascii="宋体" w:hAnsi="宋体"/>
          <w:iCs/>
          <w:szCs w:val="21"/>
        </w:rPr>
        <w:sym w:font="Wingdings" w:char="00A8"/>
      </w:r>
      <w:r>
        <w:rPr>
          <w:rFonts w:hint="eastAsia" w:ascii="宋体" w:hAnsi="宋体"/>
          <w:iCs/>
          <w:szCs w:val="21"/>
        </w:rPr>
        <w:t xml:space="preserve">成本补偿 </w:t>
      </w:r>
      <w:r>
        <w:rPr>
          <w:rFonts w:hint="eastAsia" w:ascii="宋体" w:hAnsi="宋体"/>
          <w:iCs/>
          <w:szCs w:val="21"/>
        </w:rPr>
        <w:sym w:font="Wingdings" w:char="00A8"/>
      </w:r>
      <w:r>
        <w:rPr>
          <w:rFonts w:hint="eastAsia" w:ascii="宋体" w:hAnsi="宋体"/>
          <w:iCs/>
          <w:szCs w:val="21"/>
        </w:rPr>
        <w:t xml:space="preserve">绩效激励 </w:t>
      </w:r>
      <w:r>
        <w:rPr>
          <w:rFonts w:hint="eastAsia" w:ascii="宋体" w:hAnsi="宋体"/>
          <w:iCs/>
          <w:szCs w:val="21"/>
        </w:rPr>
        <w:sym w:font="Wingdings" w:char="00A8"/>
      </w:r>
      <w:r>
        <w:rPr>
          <w:rFonts w:hint="eastAsia" w:ascii="宋体" w:hAnsi="宋体"/>
          <w:iCs/>
          <w:szCs w:val="21"/>
        </w:rPr>
        <w:t>其他</w:t>
      </w:r>
      <w:r>
        <w:rPr>
          <w:rFonts w:hint="eastAsia" w:ascii="宋体" w:hAnsi="宋体"/>
          <w:szCs w:val="21"/>
          <w:u w:val="single"/>
        </w:rPr>
        <w:t xml:space="preserve">       </w:t>
      </w:r>
    </w:p>
    <w:p w14:paraId="2007ACCD">
      <w:pPr>
        <w:spacing w:line="400" w:lineRule="exact"/>
        <w:ind w:firstLine="420" w:firstLineChars="200"/>
        <w:rPr>
          <w:szCs w:val="21"/>
        </w:rPr>
      </w:pPr>
      <w:r>
        <w:rPr>
          <w:rFonts w:hint="eastAsia" w:ascii="宋体" w:hAnsi="宋体"/>
          <w:szCs w:val="21"/>
        </w:rPr>
        <w:t>（3）付款方式（按项目实际勾选填写）：</w:t>
      </w:r>
    </w:p>
    <w:p w14:paraId="44F086F4">
      <w:pPr>
        <w:adjustRightInd w:val="0"/>
        <w:snapToGrid w:val="0"/>
        <w:spacing w:line="400" w:lineRule="exact"/>
        <w:ind w:firstLine="630" w:firstLineChars="300"/>
        <w:rPr>
          <w:rFonts w:ascii="宋体" w:hAnsi="宋体"/>
          <w:szCs w:val="21"/>
          <w:u w:val="single"/>
        </w:rPr>
      </w:pPr>
      <w:r>
        <w:rPr>
          <w:rFonts w:hint="eastAsia" w:ascii="宋体" w:hAnsi="宋体"/>
          <w:szCs w:val="21"/>
        </w:rPr>
        <w:sym w:font="Wingdings" w:char="00A8"/>
      </w:r>
      <w:r>
        <w:rPr>
          <w:rFonts w:hint="eastAsia" w:ascii="宋体" w:hAnsi="宋体"/>
          <w:szCs w:val="21"/>
        </w:rPr>
        <w:t>全额付款：</w:t>
      </w:r>
      <w:r>
        <w:rPr>
          <w:rFonts w:hint="eastAsia" w:ascii="宋体" w:hAnsi="宋体"/>
          <w:szCs w:val="21"/>
          <w:u w:val="single"/>
        </w:rPr>
        <w:t xml:space="preserve">     （应明确一次性支付合同款项的条件）                    </w:t>
      </w:r>
    </w:p>
    <w:p w14:paraId="38F48465">
      <w:pPr>
        <w:snapToGrid w:val="0"/>
        <w:spacing w:line="400" w:lineRule="exact"/>
        <w:ind w:firstLine="630" w:firstLineChars="300"/>
      </w:pPr>
      <w:r>
        <w:rPr>
          <w:rFonts w:hint="eastAsia" w:ascii="宋体" w:hAnsi="宋体"/>
          <w:szCs w:val="21"/>
        </w:rPr>
        <w:sym w:font="Wingdings" w:char="00A8"/>
      </w:r>
      <w:r>
        <w:rPr>
          <w:rFonts w:hint="eastAsia" w:ascii="宋体" w:hAnsi="宋体"/>
          <w:szCs w:val="21"/>
        </w:rPr>
        <w:t>分期付款：</w:t>
      </w:r>
      <w:r>
        <w:rPr>
          <w:rFonts w:hint="eastAsia" w:ascii="宋体" w:hAnsi="宋体"/>
          <w:szCs w:val="21"/>
          <w:u w:val="single"/>
        </w:rPr>
        <w:t xml:space="preserve">  （应明确分期支付合同款项的各期比例和支付条件，各期支付条件应与分期履约验收情况挂钩） </w:t>
      </w:r>
      <w:r>
        <w:rPr>
          <w:rFonts w:hint="eastAsia" w:ascii="宋体" w:hAnsi="宋体"/>
          <w:szCs w:val="21"/>
        </w:rPr>
        <w:t>，其中涉及预付款的：</w:t>
      </w:r>
      <w:r>
        <w:rPr>
          <w:rFonts w:hint="eastAsia" w:ascii="宋体" w:hAnsi="宋体"/>
          <w:szCs w:val="21"/>
          <w:u w:val="single"/>
        </w:rPr>
        <w:t xml:space="preserve"> （应明确预付款的支付比例和支付条件） </w:t>
      </w:r>
    </w:p>
    <w:p w14:paraId="77E821ED">
      <w:pPr>
        <w:adjustRightInd w:val="0"/>
        <w:snapToGrid w:val="0"/>
        <w:spacing w:line="400" w:lineRule="exact"/>
        <w:ind w:firstLine="630" w:firstLineChars="300"/>
        <w:rPr>
          <w:rFonts w:ascii="宋体" w:hAnsi="宋体"/>
          <w:szCs w:val="21"/>
          <w:u w:val="single"/>
        </w:rPr>
      </w:pPr>
      <w:r>
        <w:rPr>
          <w:rFonts w:hint="eastAsia" w:ascii="宋体" w:hAnsi="宋体"/>
          <w:szCs w:val="21"/>
        </w:rPr>
        <w:sym w:font="Wingdings" w:char="00A8"/>
      </w:r>
      <w:r>
        <w:rPr>
          <w:rFonts w:hint="eastAsia" w:ascii="宋体" w:hAnsi="宋体"/>
          <w:szCs w:val="21"/>
        </w:rPr>
        <w:t>成本补偿：</w:t>
      </w:r>
      <w:r>
        <w:rPr>
          <w:rFonts w:hint="eastAsia" w:ascii="宋体" w:hAnsi="宋体"/>
          <w:szCs w:val="21"/>
          <w:u w:val="single"/>
        </w:rPr>
        <w:t xml:space="preserve">      （应明确按照成本补偿方式的支付方式和支付条件）   </w:t>
      </w:r>
    </w:p>
    <w:p w14:paraId="6CED6456">
      <w:pPr>
        <w:adjustRightInd w:val="0"/>
        <w:snapToGrid w:val="0"/>
        <w:spacing w:line="400" w:lineRule="exact"/>
        <w:ind w:firstLine="630" w:firstLineChars="300"/>
        <w:rPr>
          <w:rFonts w:ascii="宋体" w:hAnsi="宋体"/>
          <w:szCs w:val="21"/>
        </w:rPr>
      </w:pPr>
      <w:r>
        <w:rPr>
          <w:rFonts w:hint="eastAsia" w:ascii="宋体" w:hAnsi="宋体"/>
          <w:szCs w:val="21"/>
        </w:rPr>
        <w:sym w:font="Wingdings" w:char="00A8"/>
      </w:r>
      <w:r>
        <w:rPr>
          <w:rFonts w:hint="eastAsia" w:ascii="宋体" w:hAnsi="宋体"/>
          <w:szCs w:val="21"/>
        </w:rPr>
        <w:t>绩效激励：</w:t>
      </w:r>
      <w:r>
        <w:rPr>
          <w:rFonts w:hint="eastAsia" w:ascii="宋体" w:hAnsi="宋体"/>
          <w:szCs w:val="21"/>
          <w:u w:val="single"/>
        </w:rPr>
        <w:t xml:space="preserve">      （应明确按照绩效激励方式的支付方式和支付条件）   </w:t>
      </w:r>
    </w:p>
    <w:p w14:paraId="4D5526F1">
      <w:pPr>
        <w:numPr>
          <w:ilvl w:val="0"/>
          <w:numId w:val="10"/>
        </w:numPr>
        <w:adjustRightInd w:val="0"/>
        <w:snapToGrid w:val="0"/>
        <w:spacing w:line="400" w:lineRule="exact"/>
        <w:ind w:firstLine="422" w:firstLineChars="200"/>
        <w:rPr>
          <w:rFonts w:ascii="宋体" w:hAnsi="宋体"/>
          <w:b/>
          <w:szCs w:val="21"/>
          <w:u w:val="single"/>
        </w:rPr>
      </w:pPr>
      <w:r>
        <w:rPr>
          <w:rFonts w:hint="eastAsia" w:ascii="宋体" w:hAnsi="宋体"/>
          <w:b/>
          <w:szCs w:val="21"/>
        </w:rPr>
        <w:t>合同履行</w:t>
      </w:r>
    </w:p>
    <w:p w14:paraId="774BF05B">
      <w:pPr>
        <w:adjustRightInd w:val="0"/>
        <w:snapToGrid w:val="0"/>
        <w:spacing w:line="400" w:lineRule="exact"/>
        <w:ind w:firstLine="420" w:firstLineChars="200"/>
        <w:rPr>
          <w:rFonts w:ascii="宋体" w:hAnsi="宋体" w:cs="宋体"/>
          <w:szCs w:val="21"/>
        </w:rPr>
      </w:pPr>
      <w:r>
        <w:rPr>
          <w:rFonts w:hint="eastAsia" w:ascii="宋体" w:hAnsi="宋体" w:cs="宋体"/>
          <w:szCs w:val="21"/>
        </w:rPr>
        <w:t>（1）起始日期：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日，完成日期：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14:paraId="4B50B411">
      <w:pPr>
        <w:adjustRightInd w:val="0"/>
        <w:snapToGrid w:val="0"/>
        <w:spacing w:line="400" w:lineRule="exact"/>
        <w:ind w:firstLine="420" w:firstLineChars="200"/>
        <w:rPr>
          <w:rFonts w:ascii="宋体" w:hAnsi="宋体" w:cs="宋体"/>
          <w:szCs w:val="21"/>
          <w:u w:val="single"/>
        </w:rPr>
      </w:pPr>
      <w:r>
        <w:rPr>
          <w:rFonts w:hint="eastAsia" w:ascii="宋体" w:hAnsi="宋体" w:cs="宋体"/>
          <w:szCs w:val="21"/>
        </w:rPr>
        <w:t>（2）履约地点</w:t>
      </w:r>
      <w:r>
        <w:rPr>
          <w:rFonts w:hint="eastAsia" w:ascii="宋体" w:hAnsi="宋体" w:cs="宋体"/>
          <w:bCs/>
          <w:szCs w:val="21"/>
        </w:rPr>
        <w:t>：</w:t>
      </w:r>
      <w:r>
        <w:rPr>
          <w:rFonts w:hint="eastAsia" w:ascii="宋体" w:hAnsi="宋体" w:cs="宋体"/>
          <w:szCs w:val="21"/>
          <w:u w:val="single"/>
        </w:rPr>
        <w:t xml:space="preserve">                             </w:t>
      </w:r>
    </w:p>
    <w:p w14:paraId="6D98090D">
      <w:pPr>
        <w:adjustRightInd w:val="0"/>
        <w:snapToGrid w:val="0"/>
        <w:spacing w:line="400" w:lineRule="exact"/>
        <w:ind w:firstLine="420" w:firstLineChars="200"/>
        <w:rPr>
          <w:rFonts w:ascii="宋体" w:hAnsi="宋体" w:cs="宋体"/>
          <w:szCs w:val="21"/>
        </w:rPr>
      </w:pPr>
      <w:r>
        <w:rPr>
          <w:rFonts w:hint="eastAsia" w:ascii="宋体" w:hAnsi="宋体" w:cs="宋体"/>
          <w:bCs/>
          <w:szCs w:val="21"/>
        </w:rPr>
        <w:t>（3）履约担保：</w:t>
      </w:r>
      <w:r>
        <w:rPr>
          <w:rFonts w:hint="eastAsia" w:ascii="宋体" w:hAnsi="宋体" w:cs="宋体"/>
        </w:rPr>
        <w:t>是否收取履约保证金：</w:t>
      </w:r>
      <w:r>
        <w:rPr>
          <w:rFonts w:hint="eastAsia" w:ascii="宋体" w:hAnsi="宋体" w:cs="宋体"/>
          <w:szCs w:val="21"/>
        </w:rPr>
        <w:sym w:font="Wingdings" w:char="00A8"/>
      </w:r>
      <w:r>
        <w:rPr>
          <w:rFonts w:hint="eastAsia" w:ascii="宋体" w:hAnsi="宋体" w:cs="宋体"/>
          <w:szCs w:val="21"/>
        </w:rPr>
        <w:t xml:space="preserve">是    </w:t>
      </w:r>
      <w:r>
        <w:rPr>
          <w:rFonts w:hint="eastAsia" w:ascii="宋体" w:hAnsi="宋体" w:cs="宋体"/>
          <w:szCs w:val="21"/>
        </w:rPr>
        <w:sym w:font="Wingdings" w:char="00A8"/>
      </w:r>
      <w:r>
        <w:rPr>
          <w:rFonts w:hint="eastAsia" w:ascii="宋体" w:hAnsi="宋体" w:cs="宋体"/>
          <w:szCs w:val="21"/>
        </w:rPr>
        <w:t>否</w:t>
      </w:r>
    </w:p>
    <w:p w14:paraId="5DDD1A9B">
      <w:pPr>
        <w:autoSpaceDE w:val="0"/>
        <w:autoSpaceDN w:val="0"/>
        <w:adjustRightInd w:val="0"/>
        <w:spacing w:line="400" w:lineRule="exact"/>
        <w:ind w:firstLine="440" w:firstLineChars="200"/>
        <w:rPr>
          <w:rFonts w:ascii="宋体" w:hAnsi="宋体" w:cs="宋体"/>
          <w:szCs w:val="21"/>
        </w:rPr>
      </w:pPr>
      <w:r>
        <w:rPr>
          <w:rFonts w:hint="eastAsia" w:ascii="宋体" w:hAnsi="宋体" w:eastAsia="华文楷体" w:cs="宋体"/>
          <w:bCs/>
          <w:sz w:val="22"/>
          <w:szCs w:val="21"/>
        </w:rPr>
        <w:t xml:space="preserve">  </w:t>
      </w:r>
      <w:r>
        <w:rPr>
          <w:rFonts w:hint="eastAsia" w:ascii="宋体" w:hAnsi="宋体" w:cs="宋体"/>
          <w:szCs w:val="21"/>
        </w:rPr>
        <w:t xml:space="preserve">  收取履约保证金形式：</w:t>
      </w:r>
      <w:r>
        <w:rPr>
          <w:rFonts w:hint="eastAsia" w:ascii="宋体" w:hAnsi="宋体" w:cs="宋体"/>
          <w:bCs/>
          <w:szCs w:val="21"/>
          <w:u w:val="single"/>
        </w:rPr>
        <w:t xml:space="preserve">                            </w:t>
      </w:r>
    </w:p>
    <w:p w14:paraId="0C412D2D">
      <w:pPr>
        <w:autoSpaceDE w:val="0"/>
        <w:autoSpaceDN w:val="0"/>
        <w:adjustRightInd w:val="0"/>
        <w:spacing w:line="400" w:lineRule="exact"/>
        <w:ind w:firstLine="420" w:firstLineChars="200"/>
        <w:rPr>
          <w:rFonts w:ascii="宋体" w:hAnsi="宋体" w:cs="宋体"/>
          <w:szCs w:val="21"/>
        </w:rPr>
      </w:pPr>
      <w:r>
        <w:rPr>
          <w:rFonts w:hint="eastAsia" w:ascii="宋体" w:hAnsi="宋体" w:cs="宋体"/>
          <w:szCs w:val="21"/>
        </w:rPr>
        <w:t xml:space="preserve">    收取履约保证金金额：</w:t>
      </w:r>
      <w:r>
        <w:rPr>
          <w:rFonts w:hint="eastAsia" w:ascii="宋体" w:hAnsi="宋体" w:cs="宋体"/>
          <w:bCs/>
          <w:szCs w:val="21"/>
          <w:u w:val="single"/>
        </w:rPr>
        <w:t xml:space="preserve">                            </w:t>
      </w:r>
    </w:p>
    <w:p w14:paraId="11C63144">
      <w:pPr>
        <w:snapToGrid w:val="0"/>
        <w:spacing w:line="400" w:lineRule="exact"/>
        <w:ind w:firstLine="420" w:firstLineChars="200"/>
        <w:rPr>
          <w:rFonts w:ascii="宋体" w:hAnsi="宋体" w:cs="宋体"/>
        </w:rPr>
      </w:pPr>
      <w:r>
        <w:rPr>
          <w:rFonts w:hint="eastAsia" w:ascii="宋体" w:hAnsi="宋体" w:cs="宋体"/>
          <w:bCs/>
          <w:szCs w:val="21"/>
        </w:rPr>
        <w:t xml:space="preserve">    履约担保期限：</w:t>
      </w:r>
      <w:r>
        <w:rPr>
          <w:rFonts w:hint="eastAsia" w:ascii="宋体" w:hAnsi="宋体" w:cs="宋体"/>
          <w:bCs/>
          <w:szCs w:val="21"/>
          <w:u w:val="single"/>
        </w:rPr>
        <w:t xml:space="preserve">                                  </w:t>
      </w:r>
    </w:p>
    <w:p w14:paraId="2C2DE46B">
      <w:pPr>
        <w:adjustRightInd w:val="0"/>
        <w:snapToGrid w:val="0"/>
        <w:spacing w:line="400" w:lineRule="exact"/>
        <w:ind w:firstLine="420" w:firstLineChars="200"/>
        <w:rPr>
          <w:rFonts w:ascii="宋体" w:hAnsi="宋体" w:cs="宋体"/>
          <w:bCs/>
          <w:szCs w:val="21"/>
        </w:rPr>
      </w:pPr>
      <w:r>
        <w:rPr>
          <w:rFonts w:hint="eastAsia" w:ascii="宋体" w:hAnsi="宋体" w:cs="宋体"/>
          <w:bCs/>
          <w:szCs w:val="21"/>
        </w:rPr>
        <w:t>（4）分期履行要求：</w:t>
      </w:r>
      <w:r>
        <w:rPr>
          <w:rFonts w:hint="eastAsia" w:ascii="宋体" w:hAnsi="宋体" w:cs="宋体"/>
          <w:bCs/>
          <w:szCs w:val="21"/>
          <w:u w:val="single"/>
        </w:rPr>
        <w:t xml:space="preserve">                                                        </w:t>
      </w:r>
    </w:p>
    <w:p w14:paraId="1F2AAACA">
      <w:pPr>
        <w:adjustRightInd w:val="0"/>
        <w:snapToGrid w:val="0"/>
        <w:spacing w:line="400" w:lineRule="exact"/>
        <w:ind w:firstLine="420" w:firstLineChars="200"/>
        <w:rPr>
          <w:rFonts w:ascii="宋体" w:hAnsi="宋体" w:cs="宋体"/>
          <w:szCs w:val="21"/>
          <w:u w:val="single"/>
        </w:rPr>
      </w:pPr>
      <w:r>
        <w:rPr>
          <w:rFonts w:hint="eastAsia" w:ascii="宋体" w:hAnsi="宋体" w:cs="宋体"/>
          <w:bCs/>
          <w:szCs w:val="21"/>
        </w:rPr>
        <w:t>（5）风险处置措施和替代方案：</w:t>
      </w:r>
      <w:r>
        <w:rPr>
          <w:rFonts w:hint="eastAsia" w:ascii="宋体" w:hAnsi="宋体" w:cs="宋体"/>
          <w:color w:val="0000FF"/>
          <w:szCs w:val="21"/>
          <w:u w:val="single"/>
        </w:rPr>
        <w:t xml:space="preserve"> </w:t>
      </w:r>
      <w:r>
        <w:rPr>
          <w:rFonts w:hint="eastAsia" w:ascii="宋体" w:hAnsi="宋体" w:cs="宋体"/>
          <w:color w:val="000000"/>
          <w:szCs w:val="21"/>
          <w:u w:val="single"/>
        </w:rPr>
        <w:t xml:space="preserve">              </w:t>
      </w:r>
      <w:r>
        <w:rPr>
          <w:rFonts w:hint="eastAsia" w:ascii="宋体" w:hAnsi="宋体" w:cs="宋体"/>
          <w:szCs w:val="21"/>
          <w:u w:val="single"/>
        </w:rPr>
        <w:t xml:space="preserve">                                                </w:t>
      </w:r>
    </w:p>
    <w:p w14:paraId="2EC8DBC3">
      <w:pPr>
        <w:numPr>
          <w:ilvl w:val="0"/>
          <w:numId w:val="10"/>
        </w:numPr>
        <w:adjustRightInd w:val="0"/>
        <w:snapToGrid w:val="0"/>
        <w:spacing w:line="400" w:lineRule="exact"/>
        <w:ind w:firstLine="422" w:firstLineChars="200"/>
        <w:rPr>
          <w:rFonts w:ascii="宋体" w:hAnsi="宋体"/>
          <w:b/>
          <w:szCs w:val="21"/>
        </w:rPr>
      </w:pPr>
      <w:r>
        <w:rPr>
          <w:rFonts w:hint="eastAsia" w:ascii="宋体" w:hAnsi="宋体"/>
          <w:b/>
          <w:szCs w:val="21"/>
        </w:rPr>
        <w:t>合同验收</w:t>
      </w:r>
    </w:p>
    <w:p w14:paraId="17CDE325">
      <w:pPr>
        <w:numPr>
          <w:ilvl w:val="0"/>
          <w:numId w:val="12"/>
        </w:numPr>
        <w:adjustRightInd w:val="0"/>
        <w:snapToGrid w:val="0"/>
        <w:spacing w:line="400" w:lineRule="exact"/>
        <w:ind w:firstLine="420" w:firstLineChars="200"/>
        <w:rPr>
          <w:rFonts w:ascii="宋体" w:hAnsi="宋体"/>
          <w:bCs/>
          <w:szCs w:val="21"/>
        </w:rPr>
      </w:pPr>
      <w:r>
        <w:rPr>
          <w:rFonts w:hint="eastAsia" w:ascii="宋体" w:hAnsi="宋体"/>
          <w:bCs/>
          <w:szCs w:val="21"/>
        </w:rPr>
        <w:t>验收组织方式：</w:t>
      </w:r>
      <w:r>
        <w:rPr>
          <w:rFonts w:hint="eastAsia" w:ascii="宋体" w:hAnsi="宋体" w:cs="宋体"/>
          <w:szCs w:val="21"/>
        </w:rPr>
        <w:sym w:font="Wingdings" w:char="00A8"/>
      </w:r>
      <w:r>
        <w:rPr>
          <w:rFonts w:hint="eastAsia" w:ascii="宋体" w:hAnsi="宋体"/>
          <w:bCs/>
          <w:szCs w:val="21"/>
        </w:rPr>
        <w:t xml:space="preserve">自行组织 </w:t>
      </w:r>
      <w:r>
        <w:rPr>
          <w:rFonts w:hint="eastAsia" w:ascii="宋体" w:hAnsi="宋体" w:cs="宋体"/>
          <w:szCs w:val="21"/>
        </w:rPr>
        <w:sym w:font="Wingdings" w:char="00A8"/>
      </w:r>
      <w:r>
        <w:rPr>
          <w:rFonts w:hint="eastAsia" w:ascii="宋体" w:hAnsi="宋体"/>
          <w:bCs/>
          <w:szCs w:val="21"/>
        </w:rPr>
        <w:t>委托第三方组织</w:t>
      </w:r>
    </w:p>
    <w:p w14:paraId="27D13F8F">
      <w:pPr>
        <w:adjustRightInd w:val="0"/>
        <w:snapToGrid w:val="0"/>
        <w:spacing w:line="400" w:lineRule="exact"/>
        <w:rPr>
          <w:rFonts w:ascii="宋体" w:hAnsi="宋体"/>
          <w:bCs/>
          <w:szCs w:val="21"/>
        </w:rPr>
      </w:pPr>
      <w:r>
        <w:rPr>
          <w:rFonts w:hint="eastAsia" w:ascii="宋体" w:hAnsi="宋体"/>
          <w:bCs/>
          <w:szCs w:val="21"/>
        </w:rPr>
        <w:t xml:space="preserve">         验收主体：</w:t>
      </w:r>
      <w:r>
        <w:rPr>
          <w:rFonts w:hint="eastAsia" w:ascii="宋体" w:hAnsi="宋体"/>
          <w:bCs/>
          <w:szCs w:val="21"/>
          <w:u w:val="single"/>
        </w:rPr>
        <w:t xml:space="preserve">                  </w:t>
      </w:r>
    </w:p>
    <w:p w14:paraId="72501595">
      <w:pPr>
        <w:adjustRightInd w:val="0"/>
        <w:snapToGrid w:val="0"/>
        <w:spacing w:line="400" w:lineRule="exact"/>
        <w:rPr>
          <w:rFonts w:ascii="宋体" w:hAnsi="宋体"/>
          <w:bCs/>
          <w:szCs w:val="21"/>
        </w:rPr>
      </w:pPr>
      <w:r>
        <w:rPr>
          <w:rFonts w:hint="eastAsia" w:ascii="宋体" w:hAnsi="宋体"/>
          <w:bCs/>
          <w:szCs w:val="21"/>
        </w:rPr>
        <w:t xml:space="preserve">        是否邀请本项目的其他供应商参加验收：</w:t>
      </w:r>
      <w:r>
        <w:rPr>
          <w:rFonts w:hint="eastAsia" w:ascii="宋体" w:hAnsi="宋体" w:cs="宋体"/>
          <w:szCs w:val="21"/>
        </w:rPr>
        <w:sym w:font="Wingdings" w:char="00A8"/>
      </w:r>
      <w:r>
        <w:rPr>
          <w:rFonts w:hint="eastAsia" w:ascii="宋体" w:hAnsi="宋体"/>
          <w:bCs/>
          <w:szCs w:val="21"/>
        </w:rPr>
        <w:t xml:space="preserve">是  </w:t>
      </w:r>
      <w:r>
        <w:rPr>
          <w:rFonts w:hint="eastAsia" w:ascii="宋体" w:hAnsi="宋体" w:cs="宋体"/>
          <w:szCs w:val="21"/>
        </w:rPr>
        <w:sym w:font="Wingdings" w:char="00A8"/>
      </w:r>
      <w:r>
        <w:rPr>
          <w:rFonts w:hint="eastAsia" w:ascii="宋体" w:hAnsi="宋体"/>
          <w:bCs/>
          <w:szCs w:val="21"/>
        </w:rPr>
        <w:t>否</w:t>
      </w:r>
    </w:p>
    <w:p w14:paraId="3F1680C2">
      <w:pPr>
        <w:adjustRightInd w:val="0"/>
        <w:snapToGrid w:val="0"/>
        <w:spacing w:line="400" w:lineRule="exact"/>
        <w:ind w:firstLine="840" w:firstLineChars="400"/>
        <w:rPr>
          <w:rFonts w:ascii="宋体" w:hAnsi="宋体"/>
          <w:bCs/>
          <w:szCs w:val="21"/>
        </w:rPr>
      </w:pPr>
      <w:r>
        <w:rPr>
          <w:rFonts w:hint="eastAsia" w:ascii="宋体" w:hAnsi="宋体"/>
          <w:bCs/>
          <w:szCs w:val="21"/>
        </w:rPr>
        <w:t>是否邀请专家参加验收：</w:t>
      </w:r>
      <w:r>
        <w:rPr>
          <w:rFonts w:hint="eastAsia" w:ascii="宋体" w:hAnsi="宋体" w:cs="宋体"/>
          <w:szCs w:val="21"/>
        </w:rPr>
        <w:sym w:font="Wingdings" w:char="00A8"/>
      </w:r>
      <w:r>
        <w:rPr>
          <w:rFonts w:hint="eastAsia" w:ascii="宋体" w:hAnsi="宋体"/>
          <w:bCs/>
          <w:szCs w:val="21"/>
        </w:rPr>
        <w:t xml:space="preserve">是  </w:t>
      </w:r>
      <w:r>
        <w:rPr>
          <w:rFonts w:hint="eastAsia" w:ascii="宋体" w:hAnsi="宋体" w:cs="宋体"/>
          <w:szCs w:val="21"/>
        </w:rPr>
        <w:sym w:font="Wingdings" w:char="00A8"/>
      </w:r>
      <w:r>
        <w:rPr>
          <w:rFonts w:hint="eastAsia" w:ascii="宋体" w:hAnsi="宋体"/>
          <w:bCs/>
          <w:szCs w:val="21"/>
        </w:rPr>
        <w:t>否</w:t>
      </w:r>
    </w:p>
    <w:p w14:paraId="2192156C">
      <w:pPr>
        <w:adjustRightInd w:val="0"/>
        <w:snapToGrid w:val="0"/>
        <w:spacing w:line="400" w:lineRule="exact"/>
        <w:ind w:firstLine="840" w:firstLineChars="400"/>
        <w:rPr>
          <w:rFonts w:ascii="宋体" w:hAnsi="宋体"/>
          <w:bCs/>
          <w:szCs w:val="21"/>
        </w:rPr>
      </w:pPr>
      <w:r>
        <w:rPr>
          <w:rFonts w:hint="eastAsia" w:ascii="宋体" w:hAnsi="宋体"/>
          <w:bCs/>
          <w:szCs w:val="21"/>
        </w:rPr>
        <w:t>是否邀请服务对象参加验收：</w:t>
      </w:r>
      <w:r>
        <w:rPr>
          <w:rFonts w:hint="eastAsia" w:ascii="宋体" w:hAnsi="宋体" w:cs="宋体"/>
          <w:szCs w:val="21"/>
        </w:rPr>
        <w:sym w:font="Wingdings" w:char="00A8"/>
      </w:r>
      <w:r>
        <w:rPr>
          <w:rFonts w:hint="eastAsia" w:ascii="宋体" w:hAnsi="宋体"/>
          <w:bCs/>
          <w:szCs w:val="21"/>
        </w:rPr>
        <w:t xml:space="preserve">是  </w:t>
      </w:r>
      <w:r>
        <w:rPr>
          <w:rFonts w:hint="eastAsia" w:ascii="宋体" w:hAnsi="宋体" w:cs="宋体"/>
          <w:szCs w:val="21"/>
        </w:rPr>
        <w:sym w:font="Wingdings" w:char="00A8"/>
      </w:r>
      <w:r>
        <w:rPr>
          <w:rFonts w:hint="eastAsia" w:ascii="宋体" w:hAnsi="宋体"/>
          <w:bCs/>
          <w:szCs w:val="21"/>
        </w:rPr>
        <w:t>否</w:t>
      </w:r>
    </w:p>
    <w:p w14:paraId="3829CE55">
      <w:pPr>
        <w:adjustRightInd w:val="0"/>
        <w:snapToGrid w:val="0"/>
        <w:spacing w:line="400" w:lineRule="exact"/>
        <w:ind w:firstLine="840" w:firstLineChars="400"/>
        <w:rPr>
          <w:rFonts w:ascii="宋体" w:hAnsi="宋体"/>
          <w:bCs/>
          <w:szCs w:val="21"/>
        </w:rPr>
      </w:pPr>
      <w:r>
        <w:rPr>
          <w:rFonts w:hint="eastAsia" w:ascii="宋体" w:hAnsi="宋体"/>
          <w:bCs/>
          <w:szCs w:val="21"/>
        </w:rPr>
        <w:t>是否邀请第三方检测机构参加验收：</w:t>
      </w:r>
      <w:r>
        <w:rPr>
          <w:rFonts w:hint="eastAsia" w:ascii="宋体" w:hAnsi="宋体" w:cs="宋体"/>
          <w:szCs w:val="21"/>
        </w:rPr>
        <w:sym w:font="Wingdings" w:char="00A8"/>
      </w:r>
      <w:r>
        <w:rPr>
          <w:rFonts w:hint="eastAsia" w:ascii="宋体" w:hAnsi="宋体"/>
          <w:bCs/>
          <w:szCs w:val="21"/>
        </w:rPr>
        <w:t xml:space="preserve">是  </w:t>
      </w:r>
      <w:r>
        <w:rPr>
          <w:rFonts w:hint="eastAsia" w:ascii="宋体" w:hAnsi="宋体" w:cs="宋体"/>
          <w:szCs w:val="21"/>
        </w:rPr>
        <w:sym w:font="Wingdings" w:char="00A8"/>
      </w:r>
      <w:r>
        <w:rPr>
          <w:rFonts w:hint="eastAsia" w:ascii="宋体" w:hAnsi="宋体"/>
          <w:bCs/>
          <w:szCs w:val="21"/>
        </w:rPr>
        <w:t>否</w:t>
      </w:r>
    </w:p>
    <w:p w14:paraId="4B45BCFC">
      <w:pPr>
        <w:adjustRightInd w:val="0"/>
        <w:snapToGrid w:val="0"/>
        <w:spacing w:line="400" w:lineRule="exact"/>
        <w:ind w:firstLine="840" w:firstLineChars="400"/>
        <w:rPr>
          <w:rFonts w:ascii="宋体" w:hAnsi="宋体"/>
          <w:bCs/>
          <w:szCs w:val="21"/>
        </w:rPr>
      </w:pPr>
      <w:r>
        <w:rPr>
          <w:rFonts w:hint="eastAsia" w:ascii="宋体" w:hAnsi="宋体"/>
          <w:bCs/>
          <w:szCs w:val="21"/>
        </w:rPr>
        <w:t>是否进行抽查检测：</w:t>
      </w:r>
      <w:r>
        <w:rPr>
          <w:rFonts w:hint="eastAsia" w:ascii="宋体" w:hAnsi="宋体" w:cs="宋体"/>
          <w:szCs w:val="21"/>
        </w:rPr>
        <w:sym w:font="Wingdings" w:char="00A8"/>
      </w:r>
      <w:r>
        <w:rPr>
          <w:rFonts w:hint="eastAsia" w:ascii="宋体" w:hAnsi="宋体"/>
          <w:bCs/>
          <w:szCs w:val="21"/>
        </w:rPr>
        <w:t>是，抽查比例：</w:t>
      </w:r>
      <w:r>
        <w:rPr>
          <w:rFonts w:hint="eastAsia" w:ascii="宋体" w:hAnsi="宋体"/>
          <w:bCs/>
          <w:szCs w:val="21"/>
          <w:u w:val="single"/>
        </w:rPr>
        <w:t xml:space="preserve">        </w:t>
      </w:r>
      <w:r>
        <w:rPr>
          <w:rFonts w:hint="eastAsia" w:ascii="宋体" w:hAnsi="宋体"/>
          <w:bCs/>
          <w:szCs w:val="21"/>
        </w:rPr>
        <w:t xml:space="preserve"> </w:t>
      </w:r>
      <w:r>
        <w:rPr>
          <w:rFonts w:hint="eastAsia" w:ascii="宋体" w:hAnsi="宋体" w:cs="宋体"/>
          <w:szCs w:val="21"/>
        </w:rPr>
        <w:sym w:font="Wingdings" w:char="00A8"/>
      </w:r>
      <w:r>
        <w:rPr>
          <w:rFonts w:hint="eastAsia" w:ascii="宋体" w:hAnsi="宋体"/>
          <w:bCs/>
          <w:szCs w:val="21"/>
        </w:rPr>
        <w:t>否</w:t>
      </w:r>
    </w:p>
    <w:p w14:paraId="708B65ED">
      <w:pPr>
        <w:adjustRightInd w:val="0"/>
        <w:snapToGrid w:val="0"/>
        <w:spacing w:line="400" w:lineRule="exact"/>
        <w:ind w:firstLine="840" w:firstLineChars="400"/>
        <w:rPr>
          <w:rFonts w:ascii="宋体" w:hAnsi="宋体"/>
          <w:bCs/>
          <w:szCs w:val="21"/>
          <w:u w:val="single"/>
        </w:rPr>
      </w:pPr>
      <w:r>
        <w:rPr>
          <w:rFonts w:hint="eastAsia" w:ascii="宋体" w:hAnsi="宋体"/>
          <w:bCs/>
          <w:szCs w:val="21"/>
        </w:rPr>
        <w:t>是否存在破坏性检测：</w:t>
      </w:r>
      <w:r>
        <w:rPr>
          <w:rFonts w:hint="eastAsia" w:ascii="宋体" w:hAnsi="宋体" w:cs="宋体"/>
          <w:szCs w:val="21"/>
        </w:rPr>
        <w:sym w:font="Wingdings" w:char="00A8"/>
      </w:r>
      <w:r>
        <w:rPr>
          <w:rFonts w:hint="eastAsia" w:ascii="宋体" w:hAnsi="宋体"/>
          <w:bCs/>
          <w:szCs w:val="21"/>
        </w:rPr>
        <w:t>是，</w:t>
      </w:r>
      <w:r>
        <w:rPr>
          <w:rFonts w:hint="eastAsia" w:ascii="宋体" w:hAnsi="宋体"/>
          <w:bCs/>
          <w:szCs w:val="21"/>
          <w:u w:val="single"/>
        </w:rPr>
        <w:t>（应明确对被破坏的检测产品的处理方式）</w:t>
      </w:r>
    </w:p>
    <w:p w14:paraId="33D7C3C9">
      <w:pPr>
        <w:adjustRightInd w:val="0"/>
        <w:snapToGrid w:val="0"/>
        <w:spacing w:line="400" w:lineRule="exact"/>
        <w:ind w:firstLine="840" w:firstLineChars="400"/>
        <w:rPr>
          <w:rFonts w:ascii="宋体" w:hAnsi="宋体"/>
          <w:bCs/>
          <w:szCs w:val="21"/>
        </w:rPr>
      </w:pPr>
      <w:r>
        <w:rPr>
          <w:rFonts w:hint="eastAsia" w:ascii="宋体" w:hAnsi="宋体"/>
          <w:bCs/>
          <w:szCs w:val="21"/>
        </w:rPr>
        <w:t xml:space="preserve">                    </w:t>
      </w:r>
      <w:r>
        <w:rPr>
          <w:rFonts w:hint="eastAsia" w:ascii="宋体" w:hAnsi="宋体" w:cs="宋体"/>
          <w:szCs w:val="21"/>
        </w:rPr>
        <w:sym w:font="Wingdings" w:char="00A8"/>
      </w:r>
      <w:r>
        <w:rPr>
          <w:rFonts w:hint="eastAsia" w:ascii="宋体" w:hAnsi="宋体"/>
          <w:bCs/>
          <w:szCs w:val="21"/>
        </w:rPr>
        <w:t>否</w:t>
      </w:r>
    </w:p>
    <w:p w14:paraId="6F6A13A5">
      <w:pPr>
        <w:adjustRightInd w:val="0"/>
        <w:snapToGrid w:val="0"/>
        <w:spacing w:line="400" w:lineRule="exact"/>
        <w:ind w:firstLine="840" w:firstLineChars="400"/>
        <w:rPr>
          <w:rFonts w:ascii="宋体" w:hAnsi="宋体"/>
          <w:bCs/>
          <w:szCs w:val="21"/>
          <w:u w:val="single"/>
        </w:rPr>
      </w:pPr>
      <w:r>
        <w:rPr>
          <w:rFonts w:hint="eastAsia" w:ascii="宋体" w:hAnsi="宋体"/>
          <w:bCs/>
          <w:szCs w:val="21"/>
        </w:rPr>
        <w:t>验收组织的其他事项：</w:t>
      </w:r>
      <w:r>
        <w:rPr>
          <w:rFonts w:hint="eastAsia" w:ascii="宋体" w:hAnsi="宋体"/>
          <w:bCs/>
          <w:szCs w:val="21"/>
          <w:u w:val="single"/>
        </w:rPr>
        <w:t xml:space="preserve">                </w:t>
      </w:r>
    </w:p>
    <w:p w14:paraId="2C68C2C6">
      <w:pPr>
        <w:adjustRightInd w:val="0"/>
        <w:snapToGrid w:val="0"/>
        <w:spacing w:line="400" w:lineRule="exact"/>
        <w:ind w:firstLine="420" w:firstLineChars="200"/>
        <w:rPr>
          <w:rFonts w:ascii="宋体" w:hAnsi="宋体"/>
          <w:bCs/>
          <w:szCs w:val="21"/>
          <w:u w:val="single"/>
        </w:rPr>
      </w:pPr>
      <w:r>
        <w:rPr>
          <w:rFonts w:hint="eastAsia" w:ascii="宋体" w:hAnsi="宋体"/>
          <w:bCs/>
          <w:szCs w:val="21"/>
        </w:rPr>
        <w:t>（2）履约验收时间：</w:t>
      </w:r>
      <w:r>
        <w:rPr>
          <w:rFonts w:hint="eastAsia" w:ascii="宋体" w:hAnsi="宋体"/>
          <w:bCs/>
          <w:szCs w:val="21"/>
          <w:u w:val="single"/>
        </w:rPr>
        <w:t xml:space="preserve">（计划于何时验收/供应商提出验收申请之日起   日内组织验收） </w:t>
      </w:r>
    </w:p>
    <w:p w14:paraId="4120449D">
      <w:pPr>
        <w:adjustRightInd w:val="0"/>
        <w:snapToGrid w:val="0"/>
        <w:spacing w:line="400" w:lineRule="exact"/>
        <w:ind w:firstLine="420" w:firstLineChars="200"/>
        <w:rPr>
          <w:rFonts w:ascii="宋体" w:hAnsi="宋体"/>
          <w:bCs/>
          <w:szCs w:val="21"/>
        </w:rPr>
      </w:pPr>
      <w:r>
        <w:rPr>
          <w:rFonts w:hint="eastAsia" w:ascii="宋体" w:hAnsi="宋体"/>
          <w:bCs/>
          <w:szCs w:val="21"/>
        </w:rPr>
        <w:t>（3）履约验收方式：</w:t>
      </w:r>
      <w:r>
        <w:rPr>
          <w:rFonts w:hint="eastAsia" w:ascii="宋体" w:hAnsi="宋体" w:cs="宋体"/>
          <w:szCs w:val="21"/>
        </w:rPr>
        <w:sym w:font="Wingdings" w:char="00A8"/>
      </w:r>
      <w:r>
        <w:rPr>
          <w:rFonts w:hint="eastAsia" w:ascii="宋体" w:hAnsi="宋体"/>
          <w:bCs/>
          <w:szCs w:val="21"/>
        </w:rPr>
        <w:t xml:space="preserve">一次性验收         </w:t>
      </w:r>
    </w:p>
    <w:p w14:paraId="3AE56CEE">
      <w:pPr>
        <w:adjustRightInd w:val="0"/>
        <w:snapToGrid w:val="0"/>
        <w:spacing w:line="400" w:lineRule="exact"/>
        <w:rPr>
          <w:rFonts w:ascii="宋体" w:hAnsi="宋体"/>
          <w:bCs/>
          <w:szCs w:val="21"/>
        </w:rPr>
      </w:pPr>
      <w:r>
        <w:rPr>
          <w:rFonts w:hint="eastAsia" w:ascii="宋体" w:hAnsi="宋体"/>
          <w:bCs/>
          <w:szCs w:val="21"/>
        </w:rPr>
        <w:t xml:space="preserve">                       </w:t>
      </w:r>
      <w:r>
        <w:rPr>
          <w:rFonts w:hint="eastAsia" w:ascii="宋体" w:hAnsi="宋体" w:cs="宋体"/>
          <w:szCs w:val="21"/>
        </w:rPr>
        <w:sym w:font="Wingdings" w:char="00A8"/>
      </w:r>
      <w:r>
        <w:rPr>
          <w:rFonts w:hint="eastAsia" w:ascii="宋体" w:hAnsi="宋体"/>
          <w:bCs/>
          <w:szCs w:val="21"/>
        </w:rPr>
        <w:t>分期/分项验收：</w:t>
      </w:r>
      <w:r>
        <w:rPr>
          <w:rFonts w:hint="eastAsia" w:ascii="宋体" w:hAnsi="宋体"/>
          <w:bCs/>
          <w:szCs w:val="21"/>
          <w:u w:val="single"/>
        </w:rPr>
        <w:t xml:space="preserve"> （应明确分期</w:t>
      </w:r>
      <w:r>
        <w:rPr>
          <w:rFonts w:ascii="宋体" w:hAnsi="宋体"/>
          <w:bCs/>
          <w:szCs w:val="21"/>
          <w:u w:val="single"/>
          <w:lang w:val="en"/>
        </w:rPr>
        <w:t>/</w:t>
      </w:r>
      <w:r>
        <w:rPr>
          <w:rFonts w:hint="eastAsia" w:ascii="宋体" w:hAnsi="宋体"/>
          <w:bCs/>
          <w:szCs w:val="21"/>
          <w:u w:val="single"/>
          <w:lang w:val="en"/>
        </w:rPr>
        <w:t>分项验收的工作安排</w:t>
      </w:r>
      <w:r>
        <w:rPr>
          <w:rFonts w:hint="eastAsia" w:ascii="宋体" w:hAnsi="宋体"/>
          <w:bCs/>
          <w:szCs w:val="21"/>
          <w:u w:val="single"/>
        </w:rPr>
        <w:t xml:space="preserve">）  </w:t>
      </w:r>
    </w:p>
    <w:p w14:paraId="05A2B340">
      <w:pPr>
        <w:adjustRightInd w:val="0"/>
        <w:snapToGrid w:val="0"/>
        <w:spacing w:line="400" w:lineRule="exact"/>
        <w:ind w:firstLine="420" w:firstLineChars="200"/>
        <w:rPr>
          <w:rFonts w:ascii="宋体" w:hAnsi="宋体"/>
          <w:bCs/>
          <w:szCs w:val="21"/>
        </w:rPr>
      </w:pPr>
      <w:r>
        <w:rPr>
          <w:rFonts w:hint="eastAsia" w:ascii="宋体" w:hAnsi="宋体"/>
          <w:bCs/>
          <w:szCs w:val="21"/>
        </w:rPr>
        <w:t>（4）履约验收程序：</w:t>
      </w:r>
      <w:r>
        <w:rPr>
          <w:rFonts w:hint="eastAsia" w:ascii="宋体" w:hAnsi="宋体"/>
          <w:bCs/>
          <w:szCs w:val="21"/>
          <w:u w:val="single"/>
        </w:rPr>
        <w:t xml:space="preserve">                                         </w:t>
      </w:r>
    </w:p>
    <w:p w14:paraId="4DEBAAFA">
      <w:pPr>
        <w:adjustRightInd w:val="0"/>
        <w:snapToGrid w:val="0"/>
        <w:spacing w:line="400" w:lineRule="exact"/>
        <w:ind w:firstLine="420" w:firstLineChars="200"/>
        <w:rPr>
          <w:rFonts w:ascii="宋体" w:hAnsi="宋体"/>
          <w:bCs/>
          <w:szCs w:val="21"/>
          <w:u w:val="single"/>
        </w:rPr>
      </w:pPr>
      <w:r>
        <w:rPr>
          <w:rFonts w:hint="eastAsia" w:ascii="宋体" w:hAnsi="宋体"/>
          <w:bCs/>
          <w:szCs w:val="21"/>
        </w:rPr>
        <w:t>（5）履约验收的内容：</w:t>
      </w:r>
      <w:r>
        <w:rPr>
          <w:rFonts w:hint="eastAsia" w:ascii="宋体" w:hAnsi="宋体"/>
          <w:bCs/>
          <w:szCs w:val="21"/>
          <w:u w:val="single"/>
        </w:rPr>
        <w:t xml:space="preserve"> （应当包括每一项技术和商务要求的履约情况，特别是落实政府采购扶持中小企业，支持绿色发展和乡村振兴等政策情况）                                      </w:t>
      </w:r>
    </w:p>
    <w:p w14:paraId="49B3A567">
      <w:pPr>
        <w:adjustRightInd w:val="0"/>
        <w:snapToGrid w:val="0"/>
        <w:spacing w:line="400" w:lineRule="exact"/>
        <w:ind w:firstLine="420" w:firstLineChars="200"/>
        <w:rPr>
          <w:rFonts w:ascii="宋体" w:hAnsi="宋体"/>
          <w:bCs/>
          <w:szCs w:val="21"/>
          <w:u w:val="single"/>
        </w:rPr>
      </w:pPr>
      <w:r>
        <w:rPr>
          <w:rFonts w:hint="eastAsia" w:ascii="宋体" w:hAnsi="宋体"/>
          <w:bCs/>
          <w:szCs w:val="21"/>
        </w:rPr>
        <w:t>（6）履约验收标准：</w:t>
      </w:r>
      <w:r>
        <w:rPr>
          <w:rFonts w:hint="eastAsia" w:ascii="宋体" w:hAnsi="宋体"/>
          <w:bCs/>
          <w:szCs w:val="21"/>
          <w:u w:val="single"/>
        </w:rPr>
        <w:t xml:space="preserve">                                         </w:t>
      </w:r>
    </w:p>
    <w:p w14:paraId="625893E1">
      <w:pPr>
        <w:autoSpaceDE w:val="0"/>
        <w:autoSpaceDN w:val="0"/>
        <w:adjustRightInd w:val="0"/>
        <w:spacing w:line="400" w:lineRule="exact"/>
        <w:ind w:firstLine="420" w:firstLineChars="200"/>
        <w:rPr>
          <w:rFonts w:ascii="宋体" w:hAnsi="宋体" w:cs="宋体"/>
          <w:szCs w:val="21"/>
        </w:rPr>
      </w:pPr>
      <w:r>
        <w:rPr>
          <w:rFonts w:hint="eastAsia" w:ascii="宋体" w:hAnsi="宋体" w:cs="宋体"/>
          <w:bCs/>
          <w:szCs w:val="21"/>
        </w:rPr>
        <w:t>（7）是否以采购活动中供应商提供的样品作为参考：</w:t>
      </w:r>
      <w:r>
        <w:rPr>
          <w:rFonts w:hint="eastAsia" w:ascii="宋体" w:hAnsi="宋体" w:cs="宋体"/>
          <w:szCs w:val="21"/>
        </w:rPr>
        <w:sym w:font="Wingdings" w:char="00A8"/>
      </w:r>
      <w:r>
        <w:rPr>
          <w:rFonts w:hint="eastAsia" w:ascii="宋体" w:hAnsi="宋体" w:cs="宋体"/>
          <w:bCs/>
          <w:szCs w:val="21"/>
        </w:rPr>
        <w:t xml:space="preserve">是  </w:t>
      </w:r>
      <w:r>
        <w:rPr>
          <w:rFonts w:hint="eastAsia" w:ascii="宋体" w:hAnsi="宋体" w:cs="宋体"/>
          <w:szCs w:val="21"/>
        </w:rPr>
        <w:sym w:font="Wingdings" w:char="00A8"/>
      </w:r>
      <w:r>
        <w:rPr>
          <w:rFonts w:hint="eastAsia" w:ascii="宋体" w:hAnsi="宋体" w:cs="宋体"/>
          <w:bCs/>
          <w:szCs w:val="21"/>
        </w:rPr>
        <w:t>否</w:t>
      </w:r>
    </w:p>
    <w:p w14:paraId="26A9A416">
      <w:pPr>
        <w:adjustRightInd w:val="0"/>
        <w:snapToGrid w:val="0"/>
        <w:spacing w:line="400" w:lineRule="exact"/>
        <w:ind w:firstLine="420" w:firstLineChars="200"/>
        <w:rPr>
          <w:rFonts w:ascii="宋体" w:hAnsi="宋体" w:cs="宋体"/>
          <w:bCs/>
          <w:szCs w:val="21"/>
          <w:u w:val="single"/>
        </w:rPr>
      </w:pPr>
      <w:r>
        <w:rPr>
          <w:rFonts w:hint="eastAsia" w:ascii="宋体" w:hAnsi="宋体" w:cs="宋体"/>
          <w:bCs/>
          <w:szCs w:val="21"/>
        </w:rPr>
        <w:t>（8）履约验收其他事项：</w:t>
      </w:r>
      <w:r>
        <w:rPr>
          <w:rFonts w:hint="eastAsia" w:ascii="宋体" w:hAnsi="宋体" w:cs="宋体"/>
          <w:bCs/>
          <w:szCs w:val="21"/>
          <w:u w:val="single"/>
        </w:rPr>
        <w:t xml:space="preserve">      （产权过户登记等）          </w:t>
      </w:r>
    </w:p>
    <w:p w14:paraId="62E9F2B1">
      <w:pPr>
        <w:numPr>
          <w:ilvl w:val="0"/>
          <w:numId w:val="10"/>
        </w:numPr>
        <w:adjustRightInd w:val="0"/>
        <w:snapToGrid w:val="0"/>
        <w:spacing w:line="400" w:lineRule="exact"/>
        <w:ind w:firstLine="422" w:firstLineChars="200"/>
        <w:rPr>
          <w:rFonts w:ascii="宋体" w:hAnsi="宋体"/>
          <w:b/>
          <w:szCs w:val="21"/>
        </w:rPr>
      </w:pPr>
      <w:r>
        <w:rPr>
          <w:rFonts w:hint="eastAsia" w:ascii="宋体" w:hAnsi="宋体"/>
          <w:b/>
          <w:szCs w:val="21"/>
        </w:rPr>
        <w:t>组成合同的文件</w:t>
      </w:r>
    </w:p>
    <w:p w14:paraId="2BF66041">
      <w:pPr>
        <w:adjustRightInd w:val="0"/>
        <w:snapToGrid w:val="0"/>
        <w:spacing w:line="400" w:lineRule="exact"/>
        <w:ind w:firstLine="420" w:firstLineChars="200"/>
        <w:rPr>
          <w:rFonts w:ascii="宋体" w:hAnsi="宋体"/>
          <w:szCs w:val="21"/>
        </w:rPr>
      </w:pPr>
      <w:r>
        <w:rPr>
          <w:rFonts w:hint="eastAsia" w:ascii="宋体" w:hAnsi="宋体"/>
          <w:szCs w:val="21"/>
        </w:rPr>
        <w:t>本协议书与下列文件一起构成合同文件，如下述文件之间有任何抵触、矛盾或歧义，应按以下顺序解释：</w:t>
      </w:r>
    </w:p>
    <w:p w14:paraId="539E00EF">
      <w:pPr>
        <w:adjustRightInd w:val="0"/>
        <w:snapToGrid w:val="0"/>
        <w:spacing w:line="400" w:lineRule="exact"/>
        <w:ind w:firstLine="420" w:firstLineChars="200"/>
        <w:rPr>
          <w:rFonts w:ascii="宋体" w:hAnsi="宋体"/>
          <w:szCs w:val="21"/>
        </w:rPr>
      </w:pPr>
      <w:r>
        <w:rPr>
          <w:rFonts w:hint="eastAsia" w:ascii="宋体" w:hAnsi="宋体"/>
          <w:szCs w:val="21"/>
        </w:rPr>
        <w:t>（1）政府采购合同协议书及其变更、补充协议</w:t>
      </w:r>
    </w:p>
    <w:p w14:paraId="3054EE2A">
      <w:pPr>
        <w:adjustRightInd w:val="0"/>
        <w:snapToGrid w:val="0"/>
        <w:spacing w:line="400" w:lineRule="exact"/>
        <w:ind w:firstLine="420" w:firstLineChars="200"/>
        <w:rPr>
          <w:rFonts w:ascii="宋体" w:hAnsi="宋体"/>
          <w:szCs w:val="21"/>
        </w:rPr>
      </w:pPr>
      <w:r>
        <w:rPr>
          <w:rFonts w:hint="eastAsia" w:ascii="宋体" w:hAnsi="宋体"/>
          <w:szCs w:val="21"/>
        </w:rPr>
        <w:t>（2）政府采购合同专用条款</w:t>
      </w:r>
    </w:p>
    <w:p w14:paraId="7346E788">
      <w:pPr>
        <w:adjustRightInd w:val="0"/>
        <w:snapToGrid w:val="0"/>
        <w:spacing w:line="400" w:lineRule="exact"/>
        <w:ind w:firstLine="420" w:firstLineChars="200"/>
        <w:rPr>
          <w:rFonts w:ascii="宋体" w:hAnsi="宋体"/>
          <w:szCs w:val="21"/>
        </w:rPr>
      </w:pPr>
      <w:r>
        <w:rPr>
          <w:rFonts w:hint="eastAsia" w:ascii="宋体" w:hAnsi="宋体"/>
          <w:szCs w:val="21"/>
        </w:rPr>
        <w:t>（3）政府采购合同通用条款</w:t>
      </w:r>
    </w:p>
    <w:p w14:paraId="7578DC7F">
      <w:pPr>
        <w:adjustRightInd w:val="0"/>
        <w:snapToGrid w:val="0"/>
        <w:spacing w:line="400" w:lineRule="exact"/>
        <w:ind w:firstLine="420" w:firstLineChars="200"/>
        <w:rPr>
          <w:rFonts w:ascii="宋体" w:hAnsi="宋体"/>
          <w:szCs w:val="21"/>
        </w:rPr>
      </w:pPr>
      <w:r>
        <w:rPr>
          <w:rFonts w:hint="eastAsia" w:ascii="宋体" w:hAnsi="宋体"/>
          <w:szCs w:val="21"/>
        </w:rPr>
        <w:t>（4）中标（成交）通知书</w:t>
      </w:r>
    </w:p>
    <w:p w14:paraId="48A506CD">
      <w:pPr>
        <w:adjustRightInd w:val="0"/>
        <w:snapToGrid w:val="0"/>
        <w:spacing w:line="400" w:lineRule="exact"/>
        <w:ind w:firstLine="420" w:firstLineChars="200"/>
        <w:rPr>
          <w:rFonts w:ascii="宋体" w:hAnsi="宋体"/>
          <w:szCs w:val="21"/>
        </w:rPr>
      </w:pPr>
      <w:r>
        <w:rPr>
          <w:rFonts w:hint="eastAsia" w:ascii="宋体" w:hAnsi="宋体"/>
          <w:szCs w:val="21"/>
        </w:rPr>
        <w:t>（5）投标（响应）文件</w:t>
      </w:r>
    </w:p>
    <w:p w14:paraId="5EB11B94">
      <w:pPr>
        <w:adjustRightInd w:val="0"/>
        <w:snapToGrid w:val="0"/>
        <w:spacing w:line="400" w:lineRule="exact"/>
        <w:ind w:firstLine="420" w:firstLineChars="200"/>
        <w:rPr>
          <w:rFonts w:ascii="宋体" w:hAnsi="宋体"/>
          <w:szCs w:val="21"/>
        </w:rPr>
      </w:pPr>
      <w:r>
        <w:rPr>
          <w:rFonts w:hint="eastAsia" w:ascii="宋体" w:hAnsi="宋体"/>
          <w:szCs w:val="21"/>
        </w:rPr>
        <w:t>（6）采购文件</w:t>
      </w:r>
    </w:p>
    <w:p w14:paraId="5FF88852">
      <w:pPr>
        <w:adjustRightInd w:val="0"/>
        <w:snapToGrid w:val="0"/>
        <w:spacing w:line="400" w:lineRule="exact"/>
        <w:ind w:firstLine="420" w:firstLineChars="200"/>
        <w:rPr>
          <w:rFonts w:ascii="宋体" w:hAnsi="宋体"/>
          <w:szCs w:val="21"/>
        </w:rPr>
      </w:pPr>
      <w:r>
        <w:rPr>
          <w:rFonts w:hint="eastAsia" w:ascii="宋体" w:hAnsi="宋体"/>
          <w:szCs w:val="21"/>
        </w:rPr>
        <w:t>（7）有关技术文件，图纸</w:t>
      </w:r>
    </w:p>
    <w:p w14:paraId="0D24EDB2">
      <w:pPr>
        <w:autoSpaceDE w:val="0"/>
        <w:autoSpaceDN w:val="0"/>
        <w:adjustRightInd w:val="0"/>
        <w:spacing w:line="400" w:lineRule="exact"/>
        <w:ind w:firstLine="420" w:firstLineChars="200"/>
        <w:rPr>
          <w:rFonts w:ascii="宋体" w:hAnsi="宋体" w:cs="宋体"/>
          <w:szCs w:val="21"/>
        </w:rPr>
      </w:pPr>
      <w:r>
        <w:rPr>
          <w:rFonts w:hint="eastAsia" w:ascii="宋体" w:hAnsi="宋体" w:cs="宋体"/>
          <w:szCs w:val="21"/>
        </w:rPr>
        <w:t>（8）</w:t>
      </w:r>
      <w:r>
        <w:rPr>
          <w:rFonts w:hint="eastAsia" w:ascii="宋体" w:hAnsi="宋体" w:cs="宋体"/>
          <w:color w:val="000000"/>
          <w:szCs w:val="21"/>
        </w:rPr>
        <w:t>国家法律、行政法规和规章制度规定或合同约定的作为合同组成部分的其他文件</w:t>
      </w:r>
    </w:p>
    <w:p w14:paraId="0B88D798">
      <w:pPr>
        <w:numPr>
          <w:ilvl w:val="0"/>
          <w:numId w:val="10"/>
        </w:numPr>
        <w:adjustRightInd w:val="0"/>
        <w:snapToGrid w:val="0"/>
        <w:spacing w:line="400" w:lineRule="exact"/>
        <w:ind w:firstLine="422" w:firstLineChars="200"/>
        <w:rPr>
          <w:rFonts w:ascii="宋体" w:hAnsi="宋体"/>
          <w:b/>
          <w:szCs w:val="21"/>
        </w:rPr>
      </w:pPr>
      <w:r>
        <w:rPr>
          <w:rFonts w:hint="eastAsia" w:ascii="宋体" w:hAnsi="宋体"/>
          <w:b/>
          <w:szCs w:val="21"/>
        </w:rPr>
        <w:t>合同生效</w:t>
      </w:r>
    </w:p>
    <w:p w14:paraId="49435DFC">
      <w:pPr>
        <w:adjustRightInd w:val="0"/>
        <w:snapToGrid w:val="0"/>
        <w:spacing w:line="400" w:lineRule="exact"/>
        <w:ind w:firstLine="420" w:firstLineChars="200"/>
        <w:rPr>
          <w:rFonts w:ascii="宋体" w:hAnsi="宋体"/>
          <w:szCs w:val="21"/>
        </w:rPr>
      </w:pPr>
      <w:r>
        <w:rPr>
          <w:rFonts w:hint="eastAsia" w:ascii="宋体" w:hAnsi="宋体"/>
          <w:szCs w:val="21"/>
        </w:rPr>
        <w:t>本合同自</w:t>
      </w:r>
      <w:r>
        <w:rPr>
          <w:rFonts w:hint="eastAsia" w:ascii="宋体" w:hAnsi="宋体"/>
          <w:szCs w:val="21"/>
          <w:u w:val="single"/>
        </w:rPr>
        <w:t xml:space="preserve">                             </w:t>
      </w:r>
      <w:r>
        <w:rPr>
          <w:rFonts w:hint="eastAsia" w:ascii="宋体" w:hAnsi="宋体"/>
          <w:szCs w:val="21"/>
        </w:rPr>
        <w:t>生效。</w:t>
      </w:r>
    </w:p>
    <w:p w14:paraId="4B546965">
      <w:pPr>
        <w:numPr>
          <w:ilvl w:val="0"/>
          <w:numId w:val="10"/>
        </w:numPr>
        <w:adjustRightInd w:val="0"/>
        <w:snapToGrid w:val="0"/>
        <w:spacing w:line="400" w:lineRule="exact"/>
        <w:ind w:firstLine="422" w:firstLineChars="200"/>
        <w:rPr>
          <w:rFonts w:ascii="宋体" w:hAnsi="宋体"/>
          <w:b/>
          <w:szCs w:val="21"/>
        </w:rPr>
      </w:pPr>
      <w:r>
        <w:rPr>
          <w:rFonts w:hint="eastAsia" w:ascii="宋体" w:hAnsi="宋体"/>
          <w:b/>
          <w:szCs w:val="21"/>
        </w:rPr>
        <w:t>合同份数</w:t>
      </w:r>
    </w:p>
    <w:p w14:paraId="7C7E7656">
      <w:pPr>
        <w:adjustRightInd w:val="0"/>
        <w:snapToGrid w:val="0"/>
        <w:spacing w:line="400" w:lineRule="exact"/>
        <w:ind w:firstLine="420" w:firstLineChars="200"/>
        <w:rPr>
          <w:rFonts w:ascii="宋体" w:hAnsi="宋体"/>
          <w:szCs w:val="21"/>
        </w:rPr>
      </w:pPr>
      <w:r>
        <w:rPr>
          <w:rFonts w:hint="eastAsia" w:ascii="宋体" w:hAnsi="宋体"/>
          <w:szCs w:val="21"/>
        </w:rPr>
        <w:t>本合同一式</w:t>
      </w:r>
      <w:r>
        <w:rPr>
          <w:rFonts w:hint="eastAsia" w:ascii="宋体" w:hAnsi="宋体"/>
          <w:szCs w:val="21"/>
          <w:u w:val="single"/>
        </w:rPr>
        <w:t xml:space="preserve">    </w:t>
      </w:r>
      <w:r>
        <w:rPr>
          <w:rFonts w:hint="eastAsia" w:ascii="宋体" w:hAnsi="宋体"/>
          <w:szCs w:val="21"/>
        </w:rPr>
        <w:t>份，甲方执</w:t>
      </w:r>
      <w:r>
        <w:rPr>
          <w:rFonts w:hint="eastAsia" w:ascii="宋体" w:hAnsi="宋体"/>
          <w:szCs w:val="21"/>
          <w:u w:val="single"/>
        </w:rPr>
        <w:t xml:space="preserve">    </w:t>
      </w:r>
      <w:r>
        <w:rPr>
          <w:rFonts w:hint="eastAsia" w:ascii="宋体" w:hAnsi="宋体"/>
          <w:szCs w:val="21"/>
        </w:rPr>
        <w:t>份，乙方执</w:t>
      </w:r>
      <w:r>
        <w:rPr>
          <w:rFonts w:hint="eastAsia" w:ascii="宋体" w:hAnsi="宋体"/>
          <w:szCs w:val="21"/>
          <w:u w:val="single"/>
        </w:rPr>
        <w:t xml:space="preserve">    </w:t>
      </w:r>
      <w:r>
        <w:rPr>
          <w:rFonts w:hint="eastAsia" w:ascii="宋体" w:hAnsi="宋体"/>
          <w:szCs w:val="21"/>
        </w:rPr>
        <w:t>份，均具有同等法律效力。</w:t>
      </w:r>
    </w:p>
    <w:p w14:paraId="09D4A35F">
      <w:pPr>
        <w:adjustRightInd w:val="0"/>
        <w:snapToGrid w:val="0"/>
        <w:spacing w:line="400" w:lineRule="exact"/>
        <w:ind w:firstLine="420" w:firstLineChars="200"/>
        <w:rPr>
          <w:rFonts w:ascii="宋体" w:hAnsi="宋体"/>
          <w:szCs w:val="21"/>
        </w:rPr>
      </w:pPr>
      <w:r>
        <w:rPr>
          <w:rFonts w:hint="eastAsia" w:ascii="宋体" w:hAnsi="宋体"/>
          <w:szCs w:val="21"/>
        </w:rPr>
        <w:t>合同订立时间：</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13E0B910">
      <w:pPr>
        <w:adjustRightInd w:val="0"/>
        <w:snapToGrid w:val="0"/>
        <w:spacing w:line="400" w:lineRule="exact"/>
        <w:ind w:firstLine="420" w:firstLineChars="200"/>
        <w:rPr>
          <w:rFonts w:ascii="宋体" w:hAnsi="宋体"/>
          <w:szCs w:val="21"/>
        </w:rPr>
      </w:pPr>
      <w:r>
        <w:rPr>
          <w:rFonts w:hint="eastAsia" w:ascii="宋体" w:hAnsi="宋体"/>
          <w:szCs w:val="21"/>
        </w:rPr>
        <w:t>合同订立地点：</w:t>
      </w:r>
      <w:r>
        <w:rPr>
          <w:rFonts w:hint="eastAsia" w:ascii="宋体" w:hAnsi="宋体"/>
          <w:szCs w:val="21"/>
          <w:u w:val="single"/>
        </w:rPr>
        <w:t xml:space="preserve">                           </w:t>
      </w:r>
    </w:p>
    <w:p w14:paraId="7C7D67A7">
      <w:pPr>
        <w:adjustRightInd w:val="0"/>
        <w:snapToGrid w:val="0"/>
        <w:spacing w:line="400" w:lineRule="exact"/>
        <w:ind w:firstLine="420" w:firstLineChars="200"/>
      </w:pPr>
      <w:r>
        <w:rPr>
          <w:rFonts w:hint="eastAsia" w:ascii="宋体" w:hAnsi="宋体"/>
          <w:szCs w:val="21"/>
        </w:rPr>
        <w:t>附件：具体标的及其技术要求和商务要求、联合协议、分包意向协议等。</w:t>
      </w:r>
    </w:p>
    <w:p w14:paraId="45C9BDC8">
      <w:r>
        <w:rPr>
          <w:rFonts w:hint="eastAsia"/>
        </w:rPr>
        <w:br w:type="page"/>
      </w:r>
    </w:p>
    <w:p w14:paraId="448FA7A9">
      <w:pPr>
        <w:ind w:firstLine="420" w:firstLineChars="200"/>
        <w:rPr>
          <w:szCs w:val="21"/>
        </w:rPr>
      </w:pPr>
    </w:p>
    <w:tbl>
      <w:tblPr>
        <w:tblStyle w:val="43"/>
        <w:tblW w:w="8398" w:type="dxa"/>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fixed"/>
        <w:tblCellMar>
          <w:top w:w="0" w:type="dxa"/>
          <w:left w:w="108" w:type="dxa"/>
          <w:bottom w:w="0" w:type="dxa"/>
          <w:right w:w="108" w:type="dxa"/>
        </w:tblCellMar>
      </w:tblPr>
      <w:tblGrid>
        <w:gridCol w:w="1891"/>
        <w:gridCol w:w="2412"/>
        <w:gridCol w:w="1979"/>
        <w:gridCol w:w="2116"/>
      </w:tblGrid>
      <w:tr w14:paraId="4B8E203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4303" w:type="dxa"/>
            <w:gridSpan w:val="2"/>
            <w:tcBorders>
              <w:bottom w:val="single" w:color="auto" w:sz="2" w:space="0"/>
              <w:right w:val="single" w:color="auto" w:sz="2" w:space="0"/>
            </w:tcBorders>
            <w:vAlign w:val="center"/>
          </w:tcPr>
          <w:p w14:paraId="2B26D98D">
            <w:pPr>
              <w:adjustRightInd w:val="0"/>
              <w:snapToGrid w:val="0"/>
              <w:spacing w:line="300" w:lineRule="exact"/>
              <w:jc w:val="center"/>
            </w:pPr>
            <w:r>
              <w:rPr>
                <w:szCs w:val="21"/>
              </w:rPr>
              <w:t>甲方</w:t>
            </w:r>
            <w:r>
              <w:rPr>
                <w:rFonts w:hint="eastAsia"/>
                <w:szCs w:val="21"/>
              </w:rPr>
              <w:t>（采购人</w:t>
            </w:r>
            <w:r>
              <w:rPr>
                <w:rFonts w:hint="eastAsia" w:ascii="宋体" w:hAnsi="宋体"/>
                <w:szCs w:val="21"/>
              </w:rPr>
              <w:t>、受采购人委托签订合同的单位或</w:t>
            </w:r>
            <w:r>
              <w:rPr>
                <w:rFonts w:hint="eastAsia"/>
                <w:szCs w:val="21"/>
              </w:rPr>
              <w:t>采购文件约定的合同甲方）</w:t>
            </w:r>
          </w:p>
        </w:tc>
        <w:tc>
          <w:tcPr>
            <w:tcW w:w="4095" w:type="dxa"/>
            <w:gridSpan w:val="2"/>
            <w:tcBorders>
              <w:left w:val="single" w:color="auto" w:sz="2" w:space="0"/>
              <w:bottom w:val="single" w:color="auto" w:sz="2" w:space="0"/>
            </w:tcBorders>
            <w:vAlign w:val="center"/>
          </w:tcPr>
          <w:p w14:paraId="75947E3E">
            <w:pPr>
              <w:adjustRightInd w:val="0"/>
              <w:snapToGrid w:val="0"/>
              <w:spacing w:line="300" w:lineRule="exact"/>
              <w:jc w:val="center"/>
            </w:pPr>
            <w:r>
              <w:rPr>
                <w:szCs w:val="21"/>
              </w:rPr>
              <w:t>乙方</w:t>
            </w:r>
            <w:r>
              <w:rPr>
                <w:rFonts w:hint="eastAsia"/>
                <w:szCs w:val="21"/>
              </w:rPr>
              <w:t>（供应商）</w:t>
            </w:r>
          </w:p>
        </w:tc>
      </w:tr>
      <w:tr w14:paraId="3F1CBC6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891" w:type="dxa"/>
            <w:tcBorders>
              <w:top w:val="single" w:color="auto" w:sz="2" w:space="0"/>
              <w:bottom w:val="single" w:color="auto" w:sz="2" w:space="0"/>
              <w:right w:val="single" w:color="auto" w:sz="2" w:space="0"/>
            </w:tcBorders>
            <w:vAlign w:val="center"/>
          </w:tcPr>
          <w:p w14:paraId="04B9811C">
            <w:pPr>
              <w:adjustRightInd w:val="0"/>
              <w:snapToGrid w:val="0"/>
              <w:spacing w:line="300" w:lineRule="exact"/>
              <w:jc w:val="center"/>
              <w:rPr>
                <w:szCs w:val="21"/>
              </w:rPr>
            </w:pPr>
            <w:r>
              <w:rPr>
                <w:szCs w:val="21"/>
              </w:rPr>
              <w:t>单位名称</w:t>
            </w:r>
            <w:r>
              <w:rPr>
                <w:rFonts w:hint="eastAsia"/>
                <w:szCs w:val="21"/>
              </w:rPr>
              <w:t>（公章或合同章）</w:t>
            </w:r>
          </w:p>
        </w:tc>
        <w:tc>
          <w:tcPr>
            <w:tcW w:w="2412" w:type="dxa"/>
            <w:tcBorders>
              <w:top w:val="single" w:color="auto" w:sz="2" w:space="0"/>
              <w:left w:val="single" w:color="auto" w:sz="2" w:space="0"/>
              <w:bottom w:val="single" w:color="auto" w:sz="2" w:space="0"/>
              <w:right w:val="single" w:color="auto" w:sz="2" w:space="0"/>
            </w:tcBorders>
            <w:vAlign w:val="center"/>
          </w:tcPr>
          <w:p w14:paraId="669C551C">
            <w:pPr>
              <w:adjustRightInd w:val="0"/>
              <w:snapToGrid w:val="0"/>
              <w:spacing w:line="300" w:lineRule="exact"/>
              <w:jc w:val="center"/>
              <w:rPr>
                <w:szCs w:val="21"/>
              </w:rPr>
            </w:pPr>
          </w:p>
        </w:tc>
        <w:tc>
          <w:tcPr>
            <w:tcW w:w="1979" w:type="dxa"/>
            <w:tcBorders>
              <w:top w:val="single" w:color="auto" w:sz="2" w:space="0"/>
              <w:left w:val="single" w:color="auto" w:sz="2" w:space="0"/>
              <w:bottom w:val="single" w:color="auto" w:sz="2" w:space="0"/>
              <w:right w:val="single" w:color="auto" w:sz="2" w:space="0"/>
            </w:tcBorders>
            <w:vAlign w:val="center"/>
          </w:tcPr>
          <w:p w14:paraId="73DFE064">
            <w:pPr>
              <w:adjustRightInd w:val="0"/>
              <w:snapToGrid w:val="0"/>
              <w:spacing w:line="300" w:lineRule="exact"/>
              <w:jc w:val="center"/>
              <w:rPr>
                <w:szCs w:val="21"/>
              </w:rPr>
            </w:pPr>
            <w:r>
              <w:rPr>
                <w:szCs w:val="21"/>
              </w:rPr>
              <w:t>单位名称</w:t>
            </w:r>
            <w:r>
              <w:rPr>
                <w:rFonts w:hint="eastAsia"/>
                <w:szCs w:val="21"/>
              </w:rPr>
              <w:t>（公章或合同章）</w:t>
            </w:r>
          </w:p>
        </w:tc>
        <w:tc>
          <w:tcPr>
            <w:tcW w:w="2116" w:type="dxa"/>
            <w:tcBorders>
              <w:top w:val="single" w:color="auto" w:sz="2" w:space="0"/>
              <w:left w:val="single" w:color="auto" w:sz="2" w:space="0"/>
              <w:bottom w:val="single" w:color="auto" w:sz="2" w:space="0"/>
            </w:tcBorders>
            <w:vAlign w:val="center"/>
          </w:tcPr>
          <w:p w14:paraId="2CD6F09B">
            <w:pPr>
              <w:adjustRightInd w:val="0"/>
              <w:snapToGrid w:val="0"/>
              <w:spacing w:line="300" w:lineRule="exact"/>
              <w:jc w:val="center"/>
              <w:rPr>
                <w:spacing w:val="20"/>
                <w:szCs w:val="21"/>
              </w:rPr>
            </w:pPr>
          </w:p>
        </w:tc>
      </w:tr>
      <w:tr w14:paraId="0099BBA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891" w:type="dxa"/>
            <w:vMerge w:val="restart"/>
            <w:tcBorders>
              <w:top w:val="single" w:color="auto" w:sz="2" w:space="0"/>
              <w:right w:val="single" w:color="auto" w:sz="2" w:space="0"/>
            </w:tcBorders>
            <w:vAlign w:val="center"/>
          </w:tcPr>
          <w:p w14:paraId="241B4896">
            <w:pPr>
              <w:adjustRightInd w:val="0"/>
              <w:snapToGrid w:val="0"/>
              <w:spacing w:line="300" w:lineRule="exact"/>
              <w:jc w:val="center"/>
              <w:rPr>
                <w:szCs w:val="21"/>
              </w:rPr>
            </w:pPr>
            <w:r>
              <w:rPr>
                <w:szCs w:val="21"/>
              </w:rPr>
              <w:t>法定代表人</w:t>
            </w:r>
          </w:p>
          <w:p w14:paraId="39E75DBC">
            <w:pPr>
              <w:adjustRightInd w:val="0"/>
              <w:snapToGrid w:val="0"/>
              <w:spacing w:line="300" w:lineRule="exact"/>
              <w:ind w:firstLine="100" w:firstLineChars="48"/>
              <w:jc w:val="center"/>
              <w:rPr>
                <w:szCs w:val="21"/>
              </w:rPr>
            </w:pPr>
            <w:r>
              <w:rPr>
                <w:rFonts w:hint="eastAsia"/>
                <w:szCs w:val="21"/>
              </w:rPr>
              <w:t>或其</w:t>
            </w:r>
            <w:r>
              <w:rPr>
                <w:szCs w:val="21"/>
              </w:rPr>
              <w:t>委托代理人</w:t>
            </w:r>
            <w:r>
              <w:rPr>
                <w:rFonts w:hint="eastAsia"/>
                <w:szCs w:val="21"/>
              </w:rPr>
              <w:t>（签章）</w:t>
            </w:r>
          </w:p>
        </w:tc>
        <w:tc>
          <w:tcPr>
            <w:tcW w:w="2412" w:type="dxa"/>
            <w:vMerge w:val="restart"/>
            <w:tcBorders>
              <w:top w:val="single" w:color="auto" w:sz="2" w:space="0"/>
              <w:left w:val="single" w:color="auto" w:sz="2" w:space="0"/>
              <w:right w:val="single" w:color="auto" w:sz="2" w:space="0"/>
            </w:tcBorders>
            <w:vAlign w:val="center"/>
          </w:tcPr>
          <w:p w14:paraId="720E3305">
            <w:pPr>
              <w:adjustRightInd w:val="0"/>
              <w:snapToGrid w:val="0"/>
              <w:spacing w:line="300" w:lineRule="exact"/>
              <w:jc w:val="center"/>
              <w:rPr>
                <w:szCs w:val="21"/>
              </w:rPr>
            </w:pPr>
          </w:p>
        </w:tc>
        <w:tc>
          <w:tcPr>
            <w:tcW w:w="1979" w:type="dxa"/>
            <w:tcBorders>
              <w:top w:val="single" w:color="auto" w:sz="2" w:space="0"/>
              <w:left w:val="single" w:color="auto" w:sz="2" w:space="0"/>
              <w:right w:val="single" w:color="auto" w:sz="2" w:space="0"/>
            </w:tcBorders>
            <w:vAlign w:val="center"/>
          </w:tcPr>
          <w:p w14:paraId="5973A50C">
            <w:pPr>
              <w:adjustRightInd w:val="0"/>
              <w:snapToGrid w:val="0"/>
              <w:spacing w:line="300" w:lineRule="exact"/>
              <w:jc w:val="center"/>
              <w:rPr>
                <w:szCs w:val="21"/>
              </w:rPr>
            </w:pPr>
            <w:r>
              <w:rPr>
                <w:szCs w:val="21"/>
              </w:rPr>
              <w:t>法定代表人</w:t>
            </w:r>
          </w:p>
          <w:p w14:paraId="277BB030">
            <w:pPr>
              <w:adjustRightInd w:val="0"/>
              <w:snapToGrid w:val="0"/>
              <w:spacing w:line="300" w:lineRule="exact"/>
              <w:jc w:val="center"/>
              <w:rPr>
                <w:szCs w:val="21"/>
              </w:rPr>
            </w:pPr>
            <w:r>
              <w:rPr>
                <w:rFonts w:hint="eastAsia"/>
                <w:szCs w:val="21"/>
              </w:rPr>
              <w:t>或其</w:t>
            </w:r>
            <w:r>
              <w:rPr>
                <w:szCs w:val="21"/>
              </w:rPr>
              <w:t>委托代理人</w:t>
            </w:r>
            <w:r>
              <w:rPr>
                <w:rFonts w:hint="eastAsia"/>
                <w:szCs w:val="21"/>
              </w:rPr>
              <w:t>（签章）</w:t>
            </w:r>
          </w:p>
        </w:tc>
        <w:tc>
          <w:tcPr>
            <w:tcW w:w="2116" w:type="dxa"/>
            <w:tcBorders>
              <w:top w:val="single" w:color="auto" w:sz="2" w:space="0"/>
              <w:left w:val="single" w:color="auto" w:sz="2" w:space="0"/>
              <w:bottom w:val="single" w:color="auto" w:sz="2" w:space="0"/>
            </w:tcBorders>
            <w:vAlign w:val="center"/>
          </w:tcPr>
          <w:p w14:paraId="2565DDE8">
            <w:pPr>
              <w:adjustRightInd w:val="0"/>
              <w:snapToGrid w:val="0"/>
              <w:spacing w:line="300" w:lineRule="exact"/>
              <w:jc w:val="center"/>
              <w:rPr>
                <w:szCs w:val="21"/>
              </w:rPr>
            </w:pPr>
          </w:p>
        </w:tc>
      </w:tr>
      <w:tr w14:paraId="22D8064F">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vMerge w:val="continue"/>
            <w:tcBorders>
              <w:bottom w:val="single" w:color="auto" w:sz="2" w:space="0"/>
              <w:right w:val="single" w:color="auto" w:sz="2" w:space="0"/>
            </w:tcBorders>
            <w:vAlign w:val="center"/>
          </w:tcPr>
          <w:p w14:paraId="35317021">
            <w:pPr>
              <w:adjustRightInd w:val="0"/>
              <w:snapToGrid w:val="0"/>
              <w:spacing w:line="300" w:lineRule="exact"/>
              <w:jc w:val="center"/>
              <w:rPr>
                <w:szCs w:val="21"/>
              </w:rPr>
            </w:pPr>
          </w:p>
        </w:tc>
        <w:tc>
          <w:tcPr>
            <w:tcW w:w="2412" w:type="dxa"/>
            <w:vMerge w:val="continue"/>
            <w:tcBorders>
              <w:left w:val="single" w:color="auto" w:sz="2" w:space="0"/>
              <w:bottom w:val="single" w:color="auto" w:sz="2" w:space="0"/>
              <w:right w:val="single" w:color="auto" w:sz="2" w:space="0"/>
            </w:tcBorders>
            <w:vAlign w:val="center"/>
          </w:tcPr>
          <w:p w14:paraId="510B55B6">
            <w:pPr>
              <w:adjustRightInd w:val="0"/>
              <w:snapToGrid w:val="0"/>
              <w:spacing w:line="300" w:lineRule="exact"/>
              <w:jc w:val="center"/>
              <w:rPr>
                <w:szCs w:val="21"/>
              </w:rPr>
            </w:pPr>
          </w:p>
        </w:tc>
        <w:tc>
          <w:tcPr>
            <w:tcW w:w="1979" w:type="dxa"/>
            <w:tcBorders>
              <w:top w:val="single" w:color="auto" w:sz="2" w:space="0"/>
              <w:left w:val="single" w:color="auto" w:sz="2" w:space="0"/>
              <w:bottom w:val="single" w:color="auto" w:sz="2" w:space="0"/>
              <w:right w:val="single" w:color="auto" w:sz="2" w:space="0"/>
            </w:tcBorders>
            <w:vAlign w:val="center"/>
          </w:tcPr>
          <w:p w14:paraId="78E09BF6">
            <w:pPr>
              <w:adjustRightInd w:val="0"/>
              <w:snapToGrid w:val="0"/>
              <w:spacing w:line="300" w:lineRule="exact"/>
              <w:jc w:val="center"/>
              <w:rPr>
                <w:szCs w:val="21"/>
              </w:rPr>
            </w:pPr>
            <w:r>
              <w:rPr>
                <w:rFonts w:hint="eastAsia"/>
                <w:szCs w:val="21"/>
              </w:rPr>
              <w:t>拥有者性别</w:t>
            </w:r>
          </w:p>
        </w:tc>
        <w:tc>
          <w:tcPr>
            <w:tcW w:w="2116" w:type="dxa"/>
            <w:tcBorders>
              <w:top w:val="single" w:color="auto" w:sz="2" w:space="0"/>
              <w:left w:val="single" w:color="auto" w:sz="2" w:space="0"/>
              <w:bottom w:val="single" w:color="auto" w:sz="2" w:space="0"/>
            </w:tcBorders>
            <w:vAlign w:val="center"/>
          </w:tcPr>
          <w:p w14:paraId="509DB720">
            <w:pPr>
              <w:adjustRightInd w:val="0"/>
              <w:snapToGrid w:val="0"/>
              <w:spacing w:line="300" w:lineRule="exact"/>
              <w:jc w:val="center"/>
              <w:rPr>
                <w:spacing w:val="20"/>
                <w:szCs w:val="21"/>
              </w:rPr>
            </w:pPr>
          </w:p>
        </w:tc>
      </w:tr>
      <w:tr w14:paraId="5E7FF62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14:paraId="75F4FD6F">
            <w:pPr>
              <w:adjustRightInd w:val="0"/>
              <w:snapToGrid w:val="0"/>
              <w:spacing w:line="300" w:lineRule="exact"/>
              <w:jc w:val="center"/>
              <w:rPr>
                <w:szCs w:val="21"/>
              </w:rPr>
            </w:pPr>
            <w:r>
              <w:rPr>
                <w:rFonts w:hint="eastAsia"/>
                <w:szCs w:val="21"/>
              </w:rPr>
              <w:t>住  所</w:t>
            </w:r>
          </w:p>
        </w:tc>
        <w:tc>
          <w:tcPr>
            <w:tcW w:w="2412" w:type="dxa"/>
            <w:tcBorders>
              <w:top w:val="single" w:color="auto" w:sz="2" w:space="0"/>
              <w:left w:val="single" w:color="auto" w:sz="2" w:space="0"/>
              <w:bottom w:val="single" w:color="auto" w:sz="2" w:space="0"/>
              <w:right w:val="single" w:color="auto" w:sz="2" w:space="0"/>
            </w:tcBorders>
            <w:vAlign w:val="center"/>
          </w:tcPr>
          <w:p w14:paraId="04E6313C">
            <w:pPr>
              <w:adjustRightInd w:val="0"/>
              <w:snapToGrid w:val="0"/>
              <w:spacing w:line="300" w:lineRule="exact"/>
              <w:jc w:val="center"/>
              <w:rPr>
                <w:szCs w:val="21"/>
              </w:rPr>
            </w:pPr>
          </w:p>
        </w:tc>
        <w:tc>
          <w:tcPr>
            <w:tcW w:w="1979" w:type="dxa"/>
            <w:tcBorders>
              <w:top w:val="single" w:color="auto" w:sz="2" w:space="0"/>
              <w:left w:val="single" w:color="auto" w:sz="2" w:space="0"/>
              <w:bottom w:val="single" w:color="auto" w:sz="2" w:space="0"/>
              <w:right w:val="single" w:color="auto" w:sz="2" w:space="0"/>
            </w:tcBorders>
            <w:vAlign w:val="center"/>
          </w:tcPr>
          <w:p w14:paraId="22E9C975">
            <w:pPr>
              <w:adjustRightInd w:val="0"/>
              <w:snapToGrid w:val="0"/>
              <w:spacing w:line="300" w:lineRule="exact"/>
              <w:jc w:val="center"/>
              <w:rPr>
                <w:szCs w:val="21"/>
              </w:rPr>
            </w:pPr>
            <w:r>
              <w:rPr>
                <w:rFonts w:hint="eastAsia"/>
                <w:szCs w:val="21"/>
              </w:rPr>
              <w:t>住  所</w:t>
            </w:r>
          </w:p>
        </w:tc>
        <w:tc>
          <w:tcPr>
            <w:tcW w:w="2116" w:type="dxa"/>
            <w:tcBorders>
              <w:top w:val="single" w:color="auto" w:sz="2" w:space="0"/>
              <w:left w:val="single" w:color="auto" w:sz="2" w:space="0"/>
              <w:bottom w:val="single" w:color="auto" w:sz="2" w:space="0"/>
            </w:tcBorders>
            <w:vAlign w:val="center"/>
          </w:tcPr>
          <w:p w14:paraId="36B248BD">
            <w:pPr>
              <w:adjustRightInd w:val="0"/>
              <w:snapToGrid w:val="0"/>
              <w:spacing w:line="300" w:lineRule="exact"/>
              <w:jc w:val="center"/>
              <w:rPr>
                <w:spacing w:val="20"/>
                <w:szCs w:val="21"/>
              </w:rPr>
            </w:pPr>
          </w:p>
        </w:tc>
      </w:tr>
      <w:tr w14:paraId="6A251B0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14:paraId="76980EC5">
            <w:pPr>
              <w:adjustRightInd w:val="0"/>
              <w:snapToGrid w:val="0"/>
              <w:spacing w:line="300" w:lineRule="exact"/>
              <w:jc w:val="center"/>
              <w:rPr>
                <w:szCs w:val="21"/>
              </w:rPr>
            </w:pPr>
            <w:r>
              <w:rPr>
                <w:szCs w:val="21"/>
              </w:rPr>
              <w:t>联 系 人</w:t>
            </w:r>
          </w:p>
        </w:tc>
        <w:tc>
          <w:tcPr>
            <w:tcW w:w="2412" w:type="dxa"/>
            <w:tcBorders>
              <w:top w:val="single" w:color="auto" w:sz="2" w:space="0"/>
              <w:left w:val="single" w:color="auto" w:sz="2" w:space="0"/>
              <w:bottom w:val="single" w:color="auto" w:sz="2" w:space="0"/>
              <w:right w:val="single" w:color="auto" w:sz="2" w:space="0"/>
            </w:tcBorders>
            <w:vAlign w:val="center"/>
          </w:tcPr>
          <w:p w14:paraId="56186FA1">
            <w:pPr>
              <w:adjustRightInd w:val="0"/>
              <w:snapToGrid w:val="0"/>
              <w:spacing w:line="300" w:lineRule="exact"/>
              <w:jc w:val="center"/>
              <w:rPr>
                <w:szCs w:val="21"/>
              </w:rPr>
            </w:pPr>
          </w:p>
        </w:tc>
        <w:tc>
          <w:tcPr>
            <w:tcW w:w="1979" w:type="dxa"/>
            <w:tcBorders>
              <w:top w:val="single" w:color="auto" w:sz="2" w:space="0"/>
              <w:left w:val="single" w:color="auto" w:sz="2" w:space="0"/>
              <w:bottom w:val="single" w:color="auto" w:sz="2" w:space="0"/>
              <w:right w:val="single" w:color="auto" w:sz="2" w:space="0"/>
            </w:tcBorders>
            <w:vAlign w:val="center"/>
          </w:tcPr>
          <w:p w14:paraId="74A4E84F">
            <w:pPr>
              <w:adjustRightInd w:val="0"/>
              <w:snapToGrid w:val="0"/>
              <w:spacing w:line="300" w:lineRule="exact"/>
              <w:jc w:val="center"/>
              <w:rPr>
                <w:szCs w:val="21"/>
              </w:rPr>
            </w:pPr>
            <w:r>
              <w:rPr>
                <w:szCs w:val="21"/>
              </w:rPr>
              <w:t>联 系 人</w:t>
            </w:r>
          </w:p>
        </w:tc>
        <w:tc>
          <w:tcPr>
            <w:tcW w:w="2116" w:type="dxa"/>
            <w:tcBorders>
              <w:top w:val="single" w:color="auto" w:sz="2" w:space="0"/>
              <w:left w:val="single" w:color="auto" w:sz="2" w:space="0"/>
              <w:bottom w:val="single" w:color="auto" w:sz="2" w:space="0"/>
            </w:tcBorders>
            <w:vAlign w:val="center"/>
          </w:tcPr>
          <w:p w14:paraId="3622A1FE">
            <w:pPr>
              <w:adjustRightInd w:val="0"/>
              <w:snapToGrid w:val="0"/>
              <w:spacing w:line="300" w:lineRule="exact"/>
              <w:jc w:val="center"/>
              <w:rPr>
                <w:spacing w:val="20"/>
                <w:szCs w:val="21"/>
              </w:rPr>
            </w:pPr>
          </w:p>
        </w:tc>
      </w:tr>
      <w:tr w14:paraId="7263D98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14:paraId="6FE9D032">
            <w:pPr>
              <w:adjustRightInd w:val="0"/>
              <w:snapToGrid w:val="0"/>
              <w:spacing w:line="300" w:lineRule="exact"/>
              <w:jc w:val="center"/>
              <w:rPr>
                <w:szCs w:val="21"/>
              </w:rPr>
            </w:pPr>
            <w:r>
              <w:rPr>
                <w:szCs w:val="21"/>
              </w:rPr>
              <w:t>联系电话</w:t>
            </w:r>
          </w:p>
        </w:tc>
        <w:tc>
          <w:tcPr>
            <w:tcW w:w="2412" w:type="dxa"/>
            <w:tcBorders>
              <w:top w:val="single" w:color="auto" w:sz="2" w:space="0"/>
              <w:left w:val="single" w:color="auto" w:sz="2" w:space="0"/>
              <w:bottom w:val="single" w:color="auto" w:sz="2" w:space="0"/>
              <w:right w:val="single" w:color="auto" w:sz="2" w:space="0"/>
            </w:tcBorders>
            <w:vAlign w:val="center"/>
          </w:tcPr>
          <w:p w14:paraId="719C26E7">
            <w:pPr>
              <w:adjustRightInd w:val="0"/>
              <w:snapToGrid w:val="0"/>
              <w:spacing w:line="300" w:lineRule="exact"/>
              <w:jc w:val="center"/>
              <w:rPr>
                <w:szCs w:val="21"/>
              </w:rPr>
            </w:pPr>
          </w:p>
        </w:tc>
        <w:tc>
          <w:tcPr>
            <w:tcW w:w="1979" w:type="dxa"/>
            <w:tcBorders>
              <w:top w:val="single" w:color="auto" w:sz="2" w:space="0"/>
              <w:left w:val="single" w:color="auto" w:sz="2" w:space="0"/>
              <w:bottom w:val="single" w:color="auto" w:sz="2" w:space="0"/>
              <w:right w:val="single" w:color="auto" w:sz="2" w:space="0"/>
            </w:tcBorders>
            <w:vAlign w:val="center"/>
          </w:tcPr>
          <w:p w14:paraId="6B42AB35">
            <w:pPr>
              <w:adjustRightInd w:val="0"/>
              <w:snapToGrid w:val="0"/>
              <w:spacing w:line="300" w:lineRule="exact"/>
              <w:jc w:val="center"/>
              <w:rPr>
                <w:szCs w:val="21"/>
              </w:rPr>
            </w:pPr>
            <w:r>
              <w:rPr>
                <w:szCs w:val="21"/>
              </w:rPr>
              <w:t>联系电话</w:t>
            </w:r>
          </w:p>
        </w:tc>
        <w:tc>
          <w:tcPr>
            <w:tcW w:w="2116" w:type="dxa"/>
            <w:tcBorders>
              <w:top w:val="single" w:color="auto" w:sz="2" w:space="0"/>
              <w:left w:val="single" w:color="auto" w:sz="2" w:space="0"/>
              <w:bottom w:val="single" w:color="auto" w:sz="2" w:space="0"/>
            </w:tcBorders>
            <w:vAlign w:val="center"/>
          </w:tcPr>
          <w:p w14:paraId="10D05C77">
            <w:pPr>
              <w:adjustRightInd w:val="0"/>
              <w:snapToGrid w:val="0"/>
              <w:spacing w:line="300" w:lineRule="exact"/>
              <w:jc w:val="center"/>
              <w:rPr>
                <w:spacing w:val="20"/>
                <w:szCs w:val="21"/>
              </w:rPr>
            </w:pPr>
          </w:p>
        </w:tc>
      </w:tr>
      <w:tr w14:paraId="6D17577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14:paraId="6AE3F19D">
            <w:pPr>
              <w:adjustRightInd w:val="0"/>
              <w:snapToGrid w:val="0"/>
              <w:spacing w:line="300" w:lineRule="exact"/>
              <w:jc w:val="center"/>
              <w:rPr>
                <w:szCs w:val="21"/>
              </w:rPr>
            </w:pPr>
            <w:r>
              <w:rPr>
                <w:rFonts w:hint="eastAsia"/>
                <w:szCs w:val="21"/>
              </w:rPr>
              <w:t>通信地址</w:t>
            </w:r>
          </w:p>
        </w:tc>
        <w:tc>
          <w:tcPr>
            <w:tcW w:w="2412" w:type="dxa"/>
            <w:tcBorders>
              <w:top w:val="single" w:color="auto" w:sz="2" w:space="0"/>
              <w:left w:val="single" w:color="auto" w:sz="2" w:space="0"/>
              <w:bottom w:val="single" w:color="auto" w:sz="2" w:space="0"/>
              <w:right w:val="single" w:color="auto" w:sz="2" w:space="0"/>
            </w:tcBorders>
            <w:vAlign w:val="center"/>
          </w:tcPr>
          <w:p w14:paraId="4E0B7C37">
            <w:pPr>
              <w:adjustRightInd w:val="0"/>
              <w:snapToGrid w:val="0"/>
              <w:spacing w:line="300" w:lineRule="exact"/>
              <w:jc w:val="center"/>
              <w:rPr>
                <w:szCs w:val="21"/>
              </w:rPr>
            </w:pPr>
          </w:p>
        </w:tc>
        <w:tc>
          <w:tcPr>
            <w:tcW w:w="1979" w:type="dxa"/>
            <w:tcBorders>
              <w:top w:val="single" w:color="auto" w:sz="2" w:space="0"/>
              <w:left w:val="single" w:color="auto" w:sz="2" w:space="0"/>
              <w:bottom w:val="single" w:color="auto" w:sz="2" w:space="0"/>
              <w:right w:val="single" w:color="auto" w:sz="2" w:space="0"/>
            </w:tcBorders>
            <w:vAlign w:val="center"/>
          </w:tcPr>
          <w:p w14:paraId="59DAB83C">
            <w:pPr>
              <w:adjustRightInd w:val="0"/>
              <w:snapToGrid w:val="0"/>
              <w:spacing w:line="300" w:lineRule="exact"/>
              <w:jc w:val="center"/>
              <w:rPr>
                <w:szCs w:val="21"/>
              </w:rPr>
            </w:pPr>
            <w:r>
              <w:rPr>
                <w:rFonts w:hint="eastAsia"/>
                <w:szCs w:val="21"/>
              </w:rPr>
              <w:t>通信地址</w:t>
            </w:r>
          </w:p>
        </w:tc>
        <w:tc>
          <w:tcPr>
            <w:tcW w:w="2116" w:type="dxa"/>
            <w:tcBorders>
              <w:top w:val="single" w:color="auto" w:sz="2" w:space="0"/>
              <w:left w:val="single" w:color="auto" w:sz="2" w:space="0"/>
              <w:bottom w:val="single" w:color="auto" w:sz="2" w:space="0"/>
            </w:tcBorders>
            <w:vAlign w:val="center"/>
          </w:tcPr>
          <w:p w14:paraId="2AA44486">
            <w:pPr>
              <w:adjustRightInd w:val="0"/>
              <w:snapToGrid w:val="0"/>
              <w:spacing w:line="300" w:lineRule="exact"/>
              <w:jc w:val="center"/>
              <w:rPr>
                <w:spacing w:val="20"/>
                <w:szCs w:val="21"/>
              </w:rPr>
            </w:pPr>
          </w:p>
        </w:tc>
      </w:tr>
      <w:tr w14:paraId="2556645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14:paraId="3F53C74D">
            <w:pPr>
              <w:adjustRightInd w:val="0"/>
              <w:snapToGrid w:val="0"/>
              <w:spacing w:line="300" w:lineRule="exact"/>
              <w:jc w:val="center"/>
              <w:rPr>
                <w:szCs w:val="21"/>
              </w:rPr>
            </w:pPr>
            <w:r>
              <w:rPr>
                <w:szCs w:val="21"/>
              </w:rPr>
              <w:t>邮政编码</w:t>
            </w:r>
          </w:p>
        </w:tc>
        <w:tc>
          <w:tcPr>
            <w:tcW w:w="2412" w:type="dxa"/>
            <w:tcBorders>
              <w:top w:val="single" w:color="auto" w:sz="2" w:space="0"/>
              <w:left w:val="single" w:color="auto" w:sz="2" w:space="0"/>
              <w:bottom w:val="single" w:color="auto" w:sz="2" w:space="0"/>
              <w:right w:val="single" w:color="auto" w:sz="2" w:space="0"/>
            </w:tcBorders>
            <w:vAlign w:val="center"/>
          </w:tcPr>
          <w:p w14:paraId="2949592C">
            <w:pPr>
              <w:adjustRightInd w:val="0"/>
              <w:snapToGrid w:val="0"/>
              <w:spacing w:line="300" w:lineRule="exact"/>
              <w:jc w:val="center"/>
              <w:rPr>
                <w:szCs w:val="21"/>
              </w:rPr>
            </w:pPr>
          </w:p>
        </w:tc>
        <w:tc>
          <w:tcPr>
            <w:tcW w:w="1979" w:type="dxa"/>
            <w:tcBorders>
              <w:top w:val="single" w:color="auto" w:sz="2" w:space="0"/>
              <w:left w:val="single" w:color="auto" w:sz="2" w:space="0"/>
              <w:bottom w:val="single" w:color="auto" w:sz="2" w:space="0"/>
              <w:right w:val="single" w:color="auto" w:sz="2" w:space="0"/>
            </w:tcBorders>
            <w:vAlign w:val="center"/>
          </w:tcPr>
          <w:p w14:paraId="6B5D960B">
            <w:pPr>
              <w:adjustRightInd w:val="0"/>
              <w:snapToGrid w:val="0"/>
              <w:spacing w:line="300" w:lineRule="exact"/>
              <w:jc w:val="center"/>
              <w:rPr>
                <w:szCs w:val="21"/>
              </w:rPr>
            </w:pPr>
            <w:r>
              <w:rPr>
                <w:szCs w:val="21"/>
              </w:rPr>
              <w:t>邮政编码</w:t>
            </w:r>
          </w:p>
        </w:tc>
        <w:tc>
          <w:tcPr>
            <w:tcW w:w="2116" w:type="dxa"/>
            <w:tcBorders>
              <w:top w:val="single" w:color="auto" w:sz="2" w:space="0"/>
              <w:left w:val="single" w:color="auto" w:sz="2" w:space="0"/>
              <w:bottom w:val="single" w:color="auto" w:sz="2" w:space="0"/>
            </w:tcBorders>
            <w:vAlign w:val="center"/>
          </w:tcPr>
          <w:p w14:paraId="10E8E8D8">
            <w:pPr>
              <w:adjustRightInd w:val="0"/>
              <w:snapToGrid w:val="0"/>
              <w:spacing w:line="300" w:lineRule="exact"/>
              <w:jc w:val="center"/>
              <w:rPr>
                <w:spacing w:val="20"/>
                <w:szCs w:val="21"/>
              </w:rPr>
            </w:pPr>
          </w:p>
        </w:tc>
      </w:tr>
      <w:tr w14:paraId="28A22C2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14:paraId="701602D1">
            <w:pPr>
              <w:adjustRightInd w:val="0"/>
              <w:snapToGrid w:val="0"/>
              <w:spacing w:line="300" w:lineRule="exact"/>
              <w:jc w:val="center"/>
              <w:rPr>
                <w:szCs w:val="21"/>
              </w:rPr>
            </w:pPr>
            <w:r>
              <w:rPr>
                <w:rFonts w:hint="eastAsia"/>
                <w:szCs w:val="21"/>
              </w:rPr>
              <w:t>电子邮箱</w:t>
            </w:r>
          </w:p>
        </w:tc>
        <w:tc>
          <w:tcPr>
            <w:tcW w:w="2412" w:type="dxa"/>
            <w:tcBorders>
              <w:top w:val="single" w:color="auto" w:sz="2" w:space="0"/>
              <w:left w:val="single" w:color="auto" w:sz="2" w:space="0"/>
              <w:bottom w:val="single" w:color="auto" w:sz="2" w:space="0"/>
              <w:right w:val="single" w:color="auto" w:sz="2" w:space="0"/>
            </w:tcBorders>
            <w:vAlign w:val="center"/>
          </w:tcPr>
          <w:p w14:paraId="3A0DB16B">
            <w:pPr>
              <w:adjustRightInd w:val="0"/>
              <w:snapToGrid w:val="0"/>
              <w:spacing w:line="300" w:lineRule="exact"/>
              <w:jc w:val="center"/>
              <w:rPr>
                <w:szCs w:val="21"/>
              </w:rPr>
            </w:pPr>
          </w:p>
        </w:tc>
        <w:tc>
          <w:tcPr>
            <w:tcW w:w="1979" w:type="dxa"/>
            <w:tcBorders>
              <w:top w:val="single" w:color="auto" w:sz="2" w:space="0"/>
              <w:left w:val="single" w:color="auto" w:sz="2" w:space="0"/>
              <w:bottom w:val="single" w:color="auto" w:sz="2" w:space="0"/>
              <w:right w:val="single" w:color="auto" w:sz="2" w:space="0"/>
            </w:tcBorders>
            <w:vAlign w:val="center"/>
          </w:tcPr>
          <w:p w14:paraId="04E20ED8">
            <w:pPr>
              <w:adjustRightInd w:val="0"/>
              <w:snapToGrid w:val="0"/>
              <w:spacing w:line="300" w:lineRule="exact"/>
              <w:jc w:val="center"/>
              <w:rPr>
                <w:szCs w:val="21"/>
              </w:rPr>
            </w:pPr>
            <w:r>
              <w:rPr>
                <w:rFonts w:hint="eastAsia"/>
                <w:szCs w:val="21"/>
              </w:rPr>
              <w:t>电子邮箱</w:t>
            </w:r>
          </w:p>
        </w:tc>
        <w:tc>
          <w:tcPr>
            <w:tcW w:w="2116" w:type="dxa"/>
            <w:tcBorders>
              <w:top w:val="single" w:color="auto" w:sz="2" w:space="0"/>
              <w:left w:val="single" w:color="auto" w:sz="2" w:space="0"/>
              <w:bottom w:val="single" w:color="auto" w:sz="2" w:space="0"/>
            </w:tcBorders>
            <w:vAlign w:val="center"/>
          </w:tcPr>
          <w:p w14:paraId="6F3D4097">
            <w:pPr>
              <w:adjustRightInd w:val="0"/>
              <w:snapToGrid w:val="0"/>
              <w:spacing w:line="300" w:lineRule="exact"/>
              <w:jc w:val="center"/>
              <w:rPr>
                <w:spacing w:val="20"/>
                <w:szCs w:val="21"/>
              </w:rPr>
            </w:pPr>
          </w:p>
        </w:tc>
      </w:tr>
      <w:tr w14:paraId="6F8C903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14:paraId="6E4D190E">
            <w:pPr>
              <w:adjustRightInd w:val="0"/>
              <w:snapToGrid w:val="0"/>
              <w:spacing w:line="300" w:lineRule="exact"/>
              <w:jc w:val="center"/>
              <w:rPr>
                <w:szCs w:val="21"/>
              </w:rPr>
            </w:pPr>
            <w:r>
              <w:rPr>
                <w:rFonts w:hint="eastAsia"/>
                <w:szCs w:val="21"/>
              </w:rPr>
              <w:t>统一社会信用代码</w:t>
            </w:r>
          </w:p>
        </w:tc>
        <w:tc>
          <w:tcPr>
            <w:tcW w:w="2412" w:type="dxa"/>
            <w:tcBorders>
              <w:top w:val="single" w:color="auto" w:sz="2" w:space="0"/>
              <w:left w:val="single" w:color="auto" w:sz="2" w:space="0"/>
              <w:bottom w:val="single" w:color="auto" w:sz="2" w:space="0"/>
              <w:right w:val="single" w:color="auto" w:sz="2" w:space="0"/>
            </w:tcBorders>
            <w:vAlign w:val="center"/>
          </w:tcPr>
          <w:p w14:paraId="27D0A31B">
            <w:pPr>
              <w:adjustRightInd w:val="0"/>
              <w:snapToGrid w:val="0"/>
              <w:spacing w:line="300" w:lineRule="exact"/>
              <w:jc w:val="center"/>
              <w:rPr>
                <w:szCs w:val="21"/>
              </w:rPr>
            </w:pPr>
          </w:p>
        </w:tc>
        <w:tc>
          <w:tcPr>
            <w:tcW w:w="1979" w:type="dxa"/>
            <w:tcBorders>
              <w:top w:val="single" w:color="auto" w:sz="2" w:space="0"/>
              <w:left w:val="single" w:color="auto" w:sz="2" w:space="0"/>
              <w:bottom w:val="single" w:color="auto" w:sz="2" w:space="0"/>
              <w:right w:val="single" w:color="auto" w:sz="2" w:space="0"/>
            </w:tcBorders>
            <w:vAlign w:val="center"/>
          </w:tcPr>
          <w:p w14:paraId="2436C0E9">
            <w:pPr>
              <w:adjustRightInd w:val="0"/>
              <w:snapToGrid w:val="0"/>
              <w:spacing w:line="300" w:lineRule="exact"/>
              <w:jc w:val="center"/>
              <w:rPr>
                <w:szCs w:val="21"/>
              </w:rPr>
            </w:pPr>
            <w:r>
              <w:rPr>
                <w:rFonts w:hint="eastAsia"/>
                <w:szCs w:val="21"/>
              </w:rPr>
              <w:t>统一社会信用代码</w:t>
            </w:r>
          </w:p>
        </w:tc>
        <w:tc>
          <w:tcPr>
            <w:tcW w:w="2116" w:type="dxa"/>
            <w:tcBorders>
              <w:top w:val="single" w:color="auto" w:sz="2" w:space="0"/>
              <w:left w:val="single" w:color="auto" w:sz="2" w:space="0"/>
              <w:bottom w:val="single" w:color="auto" w:sz="2" w:space="0"/>
            </w:tcBorders>
            <w:vAlign w:val="center"/>
          </w:tcPr>
          <w:p w14:paraId="0C31D02E">
            <w:pPr>
              <w:adjustRightInd w:val="0"/>
              <w:snapToGrid w:val="0"/>
              <w:spacing w:line="300" w:lineRule="exact"/>
              <w:jc w:val="center"/>
              <w:rPr>
                <w:spacing w:val="20"/>
                <w:szCs w:val="21"/>
              </w:rPr>
            </w:pPr>
          </w:p>
        </w:tc>
      </w:tr>
      <w:tr w14:paraId="3A74B8A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14:paraId="69373147">
            <w:pPr>
              <w:adjustRightInd w:val="0"/>
              <w:snapToGrid w:val="0"/>
              <w:spacing w:line="300" w:lineRule="exact"/>
              <w:jc w:val="center"/>
              <w:rPr>
                <w:szCs w:val="21"/>
              </w:rPr>
            </w:pPr>
          </w:p>
        </w:tc>
        <w:tc>
          <w:tcPr>
            <w:tcW w:w="2412" w:type="dxa"/>
            <w:tcBorders>
              <w:top w:val="single" w:color="auto" w:sz="2" w:space="0"/>
              <w:left w:val="single" w:color="auto" w:sz="2" w:space="0"/>
              <w:bottom w:val="single" w:color="auto" w:sz="2" w:space="0"/>
              <w:right w:val="single" w:color="auto" w:sz="2" w:space="0"/>
            </w:tcBorders>
            <w:vAlign w:val="center"/>
          </w:tcPr>
          <w:p w14:paraId="40ECF69D">
            <w:pPr>
              <w:adjustRightInd w:val="0"/>
              <w:snapToGrid w:val="0"/>
              <w:spacing w:line="300" w:lineRule="exact"/>
              <w:jc w:val="center"/>
              <w:rPr>
                <w:szCs w:val="21"/>
              </w:rPr>
            </w:pPr>
          </w:p>
        </w:tc>
        <w:tc>
          <w:tcPr>
            <w:tcW w:w="1979" w:type="dxa"/>
            <w:tcBorders>
              <w:top w:val="single" w:color="auto" w:sz="2" w:space="0"/>
              <w:left w:val="single" w:color="auto" w:sz="2" w:space="0"/>
              <w:bottom w:val="single" w:color="auto" w:sz="2" w:space="0"/>
              <w:right w:val="single" w:color="auto" w:sz="2" w:space="0"/>
            </w:tcBorders>
            <w:vAlign w:val="center"/>
          </w:tcPr>
          <w:p w14:paraId="3F242174">
            <w:pPr>
              <w:adjustRightInd w:val="0"/>
              <w:snapToGrid w:val="0"/>
              <w:spacing w:line="300" w:lineRule="exact"/>
              <w:jc w:val="center"/>
              <w:rPr>
                <w:szCs w:val="21"/>
              </w:rPr>
            </w:pPr>
            <w:r>
              <w:rPr>
                <w:szCs w:val="21"/>
              </w:rPr>
              <w:t>开户名称</w:t>
            </w:r>
          </w:p>
        </w:tc>
        <w:tc>
          <w:tcPr>
            <w:tcW w:w="2116" w:type="dxa"/>
            <w:tcBorders>
              <w:top w:val="single" w:color="auto" w:sz="2" w:space="0"/>
              <w:left w:val="single" w:color="auto" w:sz="2" w:space="0"/>
              <w:bottom w:val="single" w:color="auto" w:sz="2" w:space="0"/>
            </w:tcBorders>
            <w:vAlign w:val="center"/>
          </w:tcPr>
          <w:p w14:paraId="4CA841AA">
            <w:pPr>
              <w:adjustRightInd w:val="0"/>
              <w:snapToGrid w:val="0"/>
              <w:spacing w:line="300" w:lineRule="exact"/>
              <w:jc w:val="center"/>
              <w:rPr>
                <w:spacing w:val="20"/>
                <w:szCs w:val="21"/>
              </w:rPr>
            </w:pPr>
          </w:p>
        </w:tc>
      </w:tr>
      <w:tr w14:paraId="5FE1BE1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14:paraId="7557F326">
            <w:pPr>
              <w:adjustRightInd w:val="0"/>
              <w:snapToGrid w:val="0"/>
              <w:spacing w:line="300" w:lineRule="exact"/>
              <w:jc w:val="center"/>
              <w:rPr>
                <w:szCs w:val="21"/>
              </w:rPr>
            </w:pPr>
          </w:p>
        </w:tc>
        <w:tc>
          <w:tcPr>
            <w:tcW w:w="2412" w:type="dxa"/>
            <w:tcBorders>
              <w:top w:val="single" w:color="auto" w:sz="2" w:space="0"/>
              <w:left w:val="single" w:color="auto" w:sz="2" w:space="0"/>
              <w:bottom w:val="single" w:color="auto" w:sz="2" w:space="0"/>
              <w:right w:val="single" w:color="auto" w:sz="2" w:space="0"/>
            </w:tcBorders>
            <w:vAlign w:val="center"/>
          </w:tcPr>
          <w:p w14:paraId="7496669A">
            <w:pPr>
              <w:adjustRightInd w:val="0"/>
              <w:snapToGrid w:val="0"/>
              <w:spacing w:line="300" w:lineRule="exact"/>
              <w:jc w:val="center"/>
              <w:rPr>
                <w:szCs w:val="21"/>
              </w:rPr>
            </w:pPr>
          </w:p>
        </w:tc>
        <w:tc>
          <w:tcPr>
            <w:tcW w:w="1979" w:type="dxa"/>
            <w:tcBorders>
              <w:top w:val="single" w:color="auto" w:sz="2" w:space="0"/>
              <w:left w:val="single" w:color="auto" w:sz="2" w:space="0"/>
              <w:bottom w:val="single" w:color="auto" w:sz="2" w:space="0"/>
              <w:right w:val="single" w:color="auto" w:sz="2" w:space="0"/>
            </w:tcBorders>
            <w:vAlign w:val="center"/>
          </w:tcPr>
          <w:p w14:paraId="699427AC">
            <w:pPr>
              <w:adjustRightInd w:val="0"/>
              <w:snapToGrid w:val="0"/>
              <w:spacing w:line="300" w:lineRule="exact"/>
              <w:jc w:val="center"/>
              <w:rPr>
                <w:szCs w:val="21"/>
              </w:rPr>
            </w:pPr>
            <w:r>
              <w:rPr>
                <w:szCs w:val="21"/>
              </w:rPr>
              <w:t>开户银行</w:t>
            </w:r>
          </w:p>
        </w:tc>
        <w:tc>
          <w:tcPr>
            <w:tcW w:w="2116" w:type="dxa"/>
            <w:tcBorders>
              <w:top w:val="single" w:color="auto" w:sz="2" w:space="0"/>
              <w:left w:val="single" w:color="auto" w:sz="2" w:space="0"/>
              <w:bottom w:val="single" w:color="auto" w:sz="2" w:space="0"/>
            </w:tcBorders>
            <w:vAlign w:val="center"/>
          </w:tcPr>
          <w:p w14:paraId="15BAF624">
            <w:pPr>
              <w:adjustRightInd w:val="0"/>
              <w:snapToGrid w:val="0"/>
              <w:spacing w:line="300" w:lineRule="exact"/>
              <w:jc w:val="center"/>
              <w:rPr>
                <w:spacing w:val="20"/>
                <w:szCs w:val="21"/>
              </w:rPr>
            </w:pPr>
          </w:p>
        </w:tc>
      </w:tr>
      <w:tr w14:paraId="1F0F568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891" w:type="dxa"/>
            <w:tcBorders>
              <w:top w:val="single" w:color="auto" w:sz="2" w:space="0"/>
              <w:bottom w:val="single" w:color="auto" w:sz="2" w:space="0"/>
              <w:right w:val="single" w:color="auto" w:sz="2" w:space="0"/>
            </w:tcBorders>
            <w:vAlign w:val="center"/>
          </w:tcPr>
          <w:p w14:paraId="5BEBF7D8">
            <w:pPr>
              <w:adjustRightInd w:val="0"/>
              <w:snapToGrid w:val="0"/>
              <w:spacing w:line="300" w:lineRule="exact"/>
              <w:jc w:val="center"/>
              <w:rPr>
                <w:szCs w:val="21"/>
              </w:rPr>
            </w:pPr>
          </w:p>
        </w:tc>
        <w:tc>
          <w:tcPr>
            <w:tcW w:w="2412" w:type="dxa"/>
            <w:tcBorders>
              <w:top w:val="single" w:color="auto" w:sz="2" w:space="0"/>
              <w:left w:val="single" w:color="auto" w:sz="2" w:space="0"/>
              <w:bottom w:val="single" w:color="auto" w:sz="2" w:space="0"/>
              <w:right w:val="single" w:color="auto" w:sz="2" w:space="0"/>
            </w:tcBorders>
            <w:vAlign w:val="center"/>
          </w:tcPr>
          <w:p w14:paraId="398D6339">
            <w:pPr>
              <w:adjustRightInd w:val="0"/>
              <w:snapToGrid w:val="0"/>
              <w:spacing w:line="300" w:lineRule="exact"/>
              <w:jc w:val="center"/>
              <w:rPr>
                <w:szCs w:val="21"/>
              </w:rPr>
            </w:pPr>
          </w:p>
        </w:tc>
        <w:tc>
          <w:tcPr>
            <w:tcW w:w="1979" w:type="dxa"/>
            <w:tcBorders>
              <w:top w:val="single" w:color="auto" w:sz="2" w:space="0"/>
              <w:left w:val="single" w:color="auto" w:sz="2" w:space="0"/>
              <w:bottom w:val="single" w:color="auto" w:sz="2" w:space="0"/>
              <w:right w:val="single" w:color="auto" w:sz="2" w:space="0"/>
            </w:tcBorders>
            <w:vAlign w:val="center"/>
          </w:tcPr>
          <w:p w14:paraId="30BDF1DA">
            <w:pPr>
              <w:adjustRightInd w:val="0"/>
              <w:snapToGrid w:val="0"/>
              <w:spacing w:line="300" w:lineRule="exact"/>
              <w:jc w:val="center"/>
              <w:rPr>
                <w:szCs w:val="21"/>
              </w:rPr>
            </w:pPr>
            <w:r>
              <w:rPr>
                <w:szCs w:val="21"/>
              </w:rPr>
              <w:t>银行账号</w:t>
            </w:r>
          </w:p>
        </w:tc>
        <w:tc>
          <w:tcPr>
            <w:tcW w:w="2116" w:type="dxa"/>
            <w:tcBorders>
              <w:top w:val="single" w:color="auto" w:sz="2" w:space="0"/>
              <w:left w:val="single" w:color="auto" w:sz="2" w:space="0"/>
              <w:bottom w:val="single" w:color="auto" w:sz="2" w:space="0"/>
            </w:tcBorders>
            <w:vAlign w:val="center"/>
          </w:tcPr>
          <w:p w14:paraId="6E65FE4F">
            <w:pPr>
              <w:adjustRightInd w:val="0"/>
              <w:snapToGrid w:val="0"/>
              <w:spacing w:line="300" w:lineRule="exact"/>
              <w:jc w:val="center"/>
              <w:rPr>
                <w:spacing w:val="20"/>
                <w:szCs w:val="21"/>
              </w:rPr>
            </w:pPr>
          </w:p>
        </w:tc>
      </w:tr>
      <w:tr w14:paraId="1270E28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8398" w:type="dxa"/>
            <w:gridSpan w:val="4"/>
            <w:tcBorders>
              <w:top w:val="single" w:color="auto" w:sz="2" w:space="0"/>
            </w:tcBorders>
            <w:vAlign w:val="center"/>
          </w:tcPr>
          <w:p w14:paraId="5B8AE081">
            <w:pPr>
              <w:adjustRightInd w:val="0"/>
              <w:snapToGrid w:val="0"/>
              <w:spacing w:before="120" w:beforeLines="50" w:line="360" w:lineRule="auto"/>
              <w:jc w:val="left"/>
              <w:rPr>
                <w:spacing w:val="20"/>
                <w:szCs w:val="21"/>
              </w:rPr>
            </w:pPr>
            <w:r>
              <w:rPr>
                <w:rFonts w:hint="eastAsia" w:ascii="宋体" w:hAnsi="宋体"/>
                <w:szCs w:val="21"/>
              </w:rPr>
              <w:t>注：涉及联合体或其他合同主体的信息应按上表格式加列。</w:t>
            </w:r>
          </w:p>
        </w:tc>
      </w:tr>
    </w:tbl>
    <w:p w14:paraId="079DFF30">
      <w:pPr>
        <w:keepNext/>
        <w:keepLines/>
        <w:adjustRightInd w:val="0"/>
        <w:snapToGrid w:val="0"/>
        <w:spacing w:before="120" w:beforeLines="50" w:line="360" w:lineRule="auto"/>
        <w:jc w:val="center"/>
        <w:outlineLvl w:val="1"/>
        <w:rPr>
          <w:rFonts w:ascii="黑体" w:hAnsi="黑体" w:eastAsia="黑体"/>
          <w:b/>
          <w:bCs/>
          <w:sz w:val="28"/>
          <w:szCs w:val="28"/>
        </w:rPr>
      </w:pPr>
      <w:r>
        <w:rPr>
          <w:rFonts w:ascii="宋体" w:hAnsi="宋体"/>
          <w:b/>
          <w:bCs/>
          <w:szCs w:val="21"/>
          <w:u w:val="single"/>
        </w:rPr>
        <w:br w:type="page"/>
      </w:r>
      <w:bookmarkStart w:id="86" w:name="_Toc27624"/>
      <w:r>
        <w:rPr>
          <w:rFonts w:hint="eastAsia" w:ascii="黑体" w:hAnsi="黑体" w:eastAsia="黑体"/>
          <w:sz w:val="28"/>
          <w:szCs w:val="28"/>
        </w:rPr>
        <w:t>第二节 政府采购合同通用条款</w:t>
      </w:r>
      <w:bookmarkEnd w:id="86"/>
    </w:p>
    <w:p w14:paraId="58433EE4">
      <w:pPr>
        <w:tabs>
          <w:tab w:val="left" w:pos="8820"/>
          <w:tab w:val="left" w:pos="9345"/>
          <w:tab w:val="left" w:pos="9765"/>
        </w:tabs>
        <w:adjustRightInd w:val="0"/>
        <w:snapToGrid w:val="0"/>
        <w:spacing w:line="400" w:lineRule="exact"/>
        <w:jc w:val="left"/>
        <w:rPr>
          <w:rFonts w:ascii="宋体" w:hAnsi="宋体"/>
          <w:b/>
          <w:bCs/>
          <w:sz w:val="24"/>
        </w:rPr>
      </w:pPr>
      <w:r>
        <w:rPr>
          <w:rFonts w:hint="eastAsia" w:ascii="宋体" w:hAnsi="宋体"/>
          <w:b/>
          <w:sz w:val="24"/>
        </w:rPr>
        <w:t xml:space="preserve">1. </w:t>
      </w:r>
      <w:r>
        <w:rPr>
          <w:rFonts w:hint="eastAsia" w:ascii="宋体" w:hAnsi="宋体"/>
          <w:b/>
          <w:bCs/>
          <w:sz w:val="24"/>
        </w:rPr>
        <w:t>定义</w:t>
      </w:r>
    </w:p>
    <w:p w14:paraId="4DB0CDA7">
      <w:pPr>
        <w:autoSpaceDE w:val="0"/>
        <w:autoSpaceDN w:val="0"/>
        <w:adjustRightInd w:val="0"/>
        <w:snapToGrid w:val="0"/>
        <w:spacing w:line="400" w:lineRule="exact"/>
        <w:ind w:firstLine="420" w:firstLineChars="200"/>
        <w:jc w:val="left"/>
        <w:rPr>
          <w:rFonts w:ascii="宋体" w:hAnsi="宋体"/>
          <w:color w:val="000000"/>
          <w:szCs w:val="21"/>
        </w:rPr>
      </w:pPr>
      <w:r>
        <w:rPr>
          <w:rFonts w:hint="eastAsia" w:ascii="宋体" w:hAnsi="宋体"/>
          <w:color w:val="000000"/>
          <w:szCs w:val="21"/>
        </w:rPr>
        <w:t>1.1合同当事人</w:t>
      </w:r>
    </w:p>
    <w:p w14:paraId="4E180944">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（1）采购人（以下称甲方）是指使用财政性资金，通过政府采购方式向供应商购买货物及其相关服务的国家机关、事业单位、团体组织。</w:t>
      </w:r>
    </w:p>
    <w:p w14:paraId="6FC063AD">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（2）供应商（以下称乙方）是指参加政府采购活动并且中标（成交），向采购人提供合同约定的货物及其相关服务的法人、非法人组织或者自然人。</w:t>
      </w:r>
    </w:p>
    <w:p w14:paraId="5E947D48">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（3）其他合同主体是指除采购人和供应商以外，</w:t>
      </w:r>
      <w:r>
        <w:rPr>
          <w:rFonts w:hint="eastAsia" w:ascii="宋体" w:hAnsi="宋体" w:cs="宋体"/>
          <w:bCs/>
          <w:color w:val="000000"/>
          <w:szCs w:val="21"/>
        </w:rPr>
        <w:t>依法参与合同缔结或履行，享有权利、承担义务的合同当事人</w:t>
      </w:r>
      <w:r>
        <w:rPr>
          <w:rFonts w:hint="eastAsia" w:ascii="宋体" w:hAnsi="宋体"/>
          <w:szCs w:val="21"/>
        </w:rPr>
        <w:t>。</w:t>
      </w:r>
    </w:p>
    <w:p w14:paraId="3114EB9E">
      <w:pPr>
        <w:tabs>
          <w:tab w:val="left" w:pos="570"/>
          <w:tab w:val="left" w:pos="9240"/>
          <w:tab w:val="left" w:pos="9555"/>
        </w:tabs>
        <w:adjustRightInd w:val="0"/>
        <w:snapToGrid w:val="0"/>
        <w:spacing w:line="400" w:lineRule="exact"/>
        <w:ind w:firstLine="420" w:firstLineChars="200"/>
        <w:jc w:val="left"/>
        <w:rPr>
          <w:rFonts w:ascii="宋体" w:hAnsi="宋体"/>
          <w:szCs w:val="21"/>
        </w:rPr>
      </w:pPr>
      <w:r>
        <w:rPr>
          <w:rFonts w:hint="eastAsia" w:ascii="宋体" w:hAnsi="宋体"/>
          <w:szCs w:val="21"/>
        </w:rPr>
        <w:t>1.2本合同下列术语应解释为：</w:t>
      </w:r>
    </w:p>
    <w:p w14:paraId="2D9FC471">
      <w:pPr>
        <w:adjustRightInd w:val="0"/>
        <w:snapToGrid w:val="0"/>
        <w:spacing w:line="400" w:lineRule="exact"/>
        <w:ind w:firstLine="420" w:firstLineChars="200"/>
        <w:jc w:val="left"/>
        <w:rPr>
          <w:rFonts w:ascii="宋体" w:hAnsi="宋体"/>
          <w:szCs w:val="21"/>
        </w:rPr>
      </w:pPr>
      <w:r>
        <w:rPr>
          <w:rFonts w:hint="eastAsia" w:ascii="宋体" w:hAnsi="宋体"/>
          <w:szCs w:val="21"/>
        </w:rPr>
        <w:t>（1）“合同”系指</w:t>
      </w:r>
      <w:r>
        <w:rPr>
          <w:rFonts w:hint="eastAsia" w:ascii="宋体" w:hAnsi="宋体" w:cs="宋体"/>
          <w:bCs/>
          <w:color w:val="000000"/>
          <w:szCs w:val="21"/>
        </w:rPr>
        <w:t>合同当事人意思表示达成一致的任何协议，包括签署的</w:t>
      </w:r>
      <w:r>
        <w:rPr>
          <w:rFonts w:hint="eastAsia" w:ascii="宋体" w:hAnsi="宋体"/>
          <w:szCs w:val="21"/>
        </w:rPr>
        <w:t>政府采购合同协议书及其变更、补充协议，政府采购合同专用条款，政府采购合同通用条款，中标（成交）通知书，投标（响应）文件，采购文件，有关技术文件和图纸，以及</w:t>
      </w:r>
      <w:r>
        <w:rPr>
          <w:rFonts w:hint="eastAsia" w:ascii="宋体" w:hAnsi="宋体" w:cs="宋体"/>
          <w:color w:val="000000"/>
          <w:szCs w:val="21"/>
        </w:rPr>
        <w:t>国家法律、行政法规和规章制度规定或合同约定的作为合同组成部分的其他文件</w:t>
      </w:r>
      <w:r>
        <w:rPr>
          <w:rFonts w:hint="eastAsia" w:ascii="宋体" w:hAnsi="宋体"/>
          <w:szCs w:val="21"/>
        </w:rPr>
        <w:t>。</w:t>
      </w:r>
    </w:p>
    <w:p w14:paraId="7619BE1C">
      <w:pPr>
        <w:tabs>
          <w:tab w:val="left" w:pos="570"/>
          <w:tab w:val="left" w:pos="9240"/>
          <w:tab w:val="left" w:pos="9555"/>
        </w:tabs>
        <w:adjustRightInd w:val="0"/>
        <w:snapToGrid w:val="0"/>
        <w:spacing w:line="400" w:lineRule="exact"/>
        <w:ind w:firstLine="420" w:firstLineChars="200"/>
        <w:jc w:val="left"/>
        <w:rPr>
          <w:rFonts w:ascii="宋体" w:hAnsi="宋体"/>
          <w:szCs w:val="21"/>
        </w:rPr>
      </w:pPr>
      <w:r>
        <w:rPr>
          <w:rFonts w:hint="eastAsia" w:ascii="宋体" w:hAnsi="宋体"/>
          <w:szCs w:val="21"/>
        </w:rPr>
        <w:t>（2）“合同价款”系指根据本合同规定乙方在全面履行合同义务后甲方应支付给乙方的价款。</w:t>
      </w:r>
    </w:p>
    <w:p w14:paraId="7C67B7F1">
      <w:pPr>
        <w:tabs>
          <w:tab w:val="left" w:pos="570"/>
          <w:tab w:val="left" w:pos="9240"/>
          <w:tab w:val="left" w:pos="9555"/>
        </w:tabs>
        <w:adjustRightInd w:val="0"/>
        <w:snapToGrid w:val="0"/>
        <w:spacing w:line="400" w:lineRule="exact"/>
        <w:ind w:firstLine="420" w:firstLineChars="200"/>
        <w:jc w:val="left"/>
        <w:rPr>
          <w:rFonts w:ascii="宋体" w:hAnsi="宋体"/>
          <w:color w:val="000000"/>
          <w:szCs w:val="21"/>
        </w:rPr>
      </w:pPr>
      <w:r>
        <w:rPr>
          <w:rFonts w:hint="eastAsia" w:ascii="宋体" w:hAnsi="宋体"/>
          <w:szCs w:val="21"/>
        </w:rPr>
        <w:t>（3）“货物”系指乙方根据本合同规定须向甲方提供的各种形态和种类的物品，包括原材料、设备、产品（</w:t>
      </w:r>
      <w:r>
        <w:rPr>
          <w:rFonts w:hint="eastAsia" w:ascii="宋体" w:hAnsi="宋体"/>
          <w:color w:val="000000"/>
          <w:szCs w:val="21"/>
        </w:rPr>
        <w:t>包括软件）及相关的其备品备件、工具、手册及</w:t>
      </w:r>
      <w:r>
        <w:rPr>
          <w:rFonts w:ascii="宋体" w:hAnsi="宋体"/>
          <w:color w:val="000000"/>
          <w:szCs w:val="21"/>
          <w:lang w:val="en"/>
        </w:rPr>
        <w:t>其他</w:t>
      </w:r>
      <w:r>
        <w:rPr>
          <w:rFonts w:hint="eastAsia" w:ascii="宋体" w:hAnsi="宋体"/>
          <w:color w:val="000000"/>
          <w:szCs w:val="21"/>
        </w:rPr>
        <w:t>技术资料和材料等。</w:t>
      </w:r>
    </w:p>
    <w:p w14:paraId="5E0060C7">
      <w:pPr>
        <w:adjustRightInd w:val="0"/>
        <w:snapToGrid w:val="0"/>
        <w:spacing w:line="400" w:lineRule="exact"/>
        <w:ind w:firstLine="420" w:firstLineChars="200"/>
        <w:jc w:val="left"/>
        <w:rPr>
          <w:rFonts w:ascii="宋体" w:hAnsi="宋体"/>
          <w:color w:val="000000"/>
          <w:szCs w:val="21"/>
          <w:highlight w:val="yellow"/>
        </w:rPr>
      </w:pPr>
      <w:r>
        <w:rPr>
          <w:rFonts w:hint="eastAsia" w:ascii="宋体" w:hAnsi="宋体"/>
          <w:color w:val="000000"/>
          <w:szCs w:val="21"/>
        </w:rPr>
        <w:t>（4）“</w:t>
      </w:r>
      <w:r>
        <w:rPr>
          <w:rFonts w:hint="eastAsia" w:ascii="宋体" w:hAnsi="宋体"/>
          <w:szCs w:val="21"/>
        </w:rPr>
        <w:t>相关</w:t>
      </w:r>
      <w:r>
        <w:rPr>
          <w:rFonts w:hint="eastAsia" w:ascii="宋体" w:hAnsi="宋体"/>
          <w:color w:val="000000"/>
          <w:szCs w:val="21"/>
        </w:rPr>
        <w:t>服务”系指根据合同规定，乙方应提供的与货物有关的技术、管理和</w:t>
      </w:r>
      <w:r>
        <w:rPr>
          <w:rFonts w:ascii="宋体" w:hAnsi="宋体"/>
          <w:color w:val="000000"/>
          <w:szCs w:val="21"/>
          <w:lang w:val="en"/>
        </w:rPr>
        <w:t>其他</w:t>
      </w:r>
      <w:r>
        <w:rPr>
          <w:rFonts w:hint="eastAsia" w:ascii="宋体" w:hAnsi="宋体"/>
          <w:color w:val="000000"/>
          <w:szCs w:val="21"/>
        </w:rPr>
        <w:t>服务，包括但不限于：管理和质量保证、运输、保险、检验、现场准备、安装、集成、调试、培训、维修、废弃处置、技术支持等以及合同中规定乙方应承担的</w:t>
      </w:r>
      <w:r>
        <w:rPr>
          <w:rFonts w:ascii="宋体" w:hAnsi="宋体"/>
          <w:color w:val="000000"/>
          <w:szCs w:val="21"/>
          <w:lang w:val="en"/>
        </w:rPr>
        <w:t>其他</w:t>
      </w:r>
      <w:r>
        <w:rPr>
          <w:rFonts w:hint="eastAsia" w:ascii="宋体" w:hAnsi="宋体"/>
          <w:color w:val="000000"/>
          <w:szCs w:val="21"/>
        </w:rPr>
        <w:t>义务。</w:t>
      </w:r>
    </w:p>
    <w:p w14:paraId="4EDDB028">
      <w:pPr>
        <w:adjustRightInd w:val="0"/>
        <w:snapToGrid w:val="0"/>
        <w:spacing w:line="400" w:lineRule="exact"/>
        <w:ind w:firstLine="420" w:firstLineChars="200"/>
        <w:jc w:val="left"/>
        <w:rPr>
          <w:rFonts w:ascii="宋体" w:hAnsi="宋体"/>
          <w:color w:val="000000"/>
          <w:szCs w:val="21"/>
          <w:highlight w:val="yellow"/>
        </w:rPr>
      </w:pPr>
      <w:r>
        <w:rPr>
          <w:rFonts w:hint="eastAsia" w:ascii="宋体" w:hAnsi="宋体"/>
          <w:color w:val="000000"/>
          <w:szCs w:val="21"/>
        </w:rPr>
        <w:t>（5）“分包”系指中标（成交）供应商按采购文件、投标（响应）文件的规定，根据分包意向协议，将中标（成交）项目中的部分履约内容，分给具有相应资质条件的供应商履行合同的行为。</w:t>
      </w:r>
    </w:p>
    <w:p w14:paraId="2FBF62C3">
      <w:pPr>
        <w:tabs>
          <w:tab w:val="left" w:pos="570"/>
          <w:tab w:val="left" w:pos="9240"/>
          <w:tab w:val="left" w:pos="9555"/>
        </w:tabs>
        <w:adjustRightInd w:val="0"/>
        <w:snapToGrid w:val="0"/>
        <w:spacing w:line="400" w:lineRule="exact"/>
        <w:ind w:firstLine="420" w:firstLineChars="200"/>
        <w:jc w:val="left"/>
        <w:rPr>
          <w:rFonts w:ascii="宋体" w:hAnsi="宋体"/>
          <w:color w:val="000000"/>
          <w:szCs w:val="21"/>
        </w:rPr>
      </w:pPr>
      <w:r>
        <w:rPr>
          <w:rFonts w:hint="eastAsia" w:ascii="宋体" w:hAnsi="宋体"/>
          <w:color w:val="000000"/>
          <w:szCs w:val="21"/>
        </w:rPr>
        <w:t>（6）</w:t>
      </w:r>
      <w:r>
        <w:rPr>
          <w:rFonts w:hint="eastAsia" w:ascii="宋体" w:hAnsi="宋体"/>
          <w:szCs w:val="21"/>
        </w:rPr>
        <w:t>“联合体”系指由两个以上的自然人、法人或者非法人组织组成，以一个供应商的身份共同参加政府采购的主体</w:t>
      </w:r>
      <w:r>
        <w:rPr>
          <w:rFonts w:hint="eastAsia" w:ascii="宋体" w:hAnsi="宋体"/>
          <w:color w:val="000000"/>
          <w:szCs w:val="21"/>
        </w:rPr>
        <w:t>。联合体各方应在签订合同协议书前向甲方提交联合协议，且明确牵头人及各成员单位的工作分工、权利、义务、责任，联合体各方应共同与甲方签订合同，就合同约定的事项对甲方承担连带责任。联合体具体要求见【</w:t>
      </w:r>
      <w:r>
        <w:rPr>
          <w:rFonts w:hint="eastAsia" w:ascii="宋体" w:hAnsi="宋体"/>
          <w:b/>
          <w:bCs/>
          <w:color w:val="000000"/>
          <w:szCs w:val="21"/>
        </w:rPr>
        <w:t>政府采购合同专用条款</w:t>
      </w:r>
      <w:r>
        <w:rPr>
          <w:rFonts w:hint="eastAsia" w:ascii="宋体" w:hAnsi="宋体"/>
          <w:color w:val="000000"/>
          <w:szCs w:val="21"/>
        </w:rPr>
        <w:t>】。</w:t>
      </w:r>
    </w:p>
    <w:p w14:paraId="172DA4DD">
      <w:pPr>
        <w:tabs>
          <w:tab w:val="left" w:pos="570"/>
          <w:tab w:val="left" w:pos="9240"/>
          <w:tab w:val="left" w:pos="9555"/>
        </w:tabs>
        <w:adjustRightInd w:val="0"/>
        <w:snapToGrid w:val="0"/>
        <w:spacing w:line="400" w:lineRule="exact"/>
        <w:ind w:firstLine="420" w:firstLineChars="200"/>
        <w:jc w:val="left"/>
        <w:rPr>
          <w:rFonts w:ascii="宋体" w:hAnsi="宋体"/>
          <w:color w:val="000000"/>
          <w:szCs w:val="21"/>
        </w:rPr>
      </w:pPr>
      <w:r>
        <w:rPr>
          <w:rFonts w:hint="eastAsia" w:ascii="宋体" w:hAnsi="宋体"/>
          <w:color w:val="000000"/>
          <w:szCs w:val="21"/>
        </w:rPr>
        <w:t>（7）其他术语解释，见【</w:t>
      </w:r>
      <w:r>
        <w:rPr>
          <w:rFonts w:hint="eastAsia" w:ascii="宋体" w:hAnsi="宋体"/>
          <w:b/>
          <w:bCs/>
          <w:color w:val="000000"/>
          <w:szCs w:val="21"/>
        </w:rPr>
        <w:t>政府采购合同专用条款</w:t>
      </w:r>
      <w:r>
        <w:rPr>
          <w:rFonts w:hint="eastAsia" w:ascii="宋体" w:hAnsi="宋体"/>
          <w:color w:val="000000"/>
          <w:szCs w:val="21"/>
        </w:rPr>
        <w:t>】。</w:t>
      </w:r>
    </w:p>
    <w:p w14:paraId="4DC23458">
      <w:pPr>
        <w:numPr>
          <w:ilvl w:val="0"/>
          <w:numId w:val="13"/>
        </w:numPr>
        <w:autoSpaceDE w:val="0"/>
        <w:autoSpaceDN w:val="0"/>
        <w:adjustRightInd w:val="0"/>
        <w:snapToGrid w:val="0"/>
        <w:spacing w:line="400" w:lineRule="exact"/>
        <w:jc w:val="left"/>
        <w:rPr>
          <w:rFonts w:ascii="宋体" w:hAnsi="宋体"/>
          <w:b/>
          <w:bCs/>
          <w:color w:val="000000"/>
          <w:sz w:val="24"/>
        </w:rPr>
      </w:pPr>
      <w:r>
        <w:rPr>
          <w:rFonts w:hint="eastAsia" w:ascii="宋体" w:hAnsi="宋体"/>
          <w:b/>
          <w:color w:val="000000"/>
          <w:sz w:val="24"/>
        </w:rPr>
        <w:t>合同标的及金额</w:t>
      </w:r>
    </w:p>
    <w:p w14:paraId="3A073532">
      <w:pPr>
        <w:autoSpaceDE w:val="0"/>
        <w:autoSpaceDN w:val="0"/>
        <w:adjustRightInd w:val="0"/>
        <w:snapToGrid w:val="0"/>
        <w:spacing w:line="400" w:lineRule="exact"/>
        <w:ind w:firstLine="420" w:firstLineChars="200"/>
        <w:jc w:val="left"/>
        <w:rPr>
          <w:rFonts w:ascii="宋体" w:hAnsi="宋体"/>
          <w:b/>
          <w:bCs/>
          <w:i/>
          <w:iCs/>
          <w:color w:val="000000"/>
          <w:szCs w:val="21"/>
        </w:rPr>
      </w:pPr>
      <w:r>
        <w:rPr>
          <w:rFonts w:hint="eastAsia" w:ascii="宋体" w:hAnsi="宋体"/>
          <w:color w:val="000000"/>
          <w:szCs w:val="21"/>
        </w:rPr>
        <w:t>2.1 合同标的及金额应与中标（成交）结果一致。乙方为履行本合同而发生的所有费用均应包含在合同价款中，甲方不再另行支付</w:t>
      </w:r>
      <w:r>
        <w:rPr>
          <w:rFonts w:ascii="宋体" w:hAnsi="宋体"/>
          <w:color w:val="000000"/>
          <w:szCs w:val="21"/>
          <w:lang w:val="en"/>
        </w:rPr>
        <w:t>其他</w:t>
      </w:r>
      <w:r>
        <w:rPr>
          <w:rFonts w:hint="eastAsia" w:ascii="宋体" w:hAnsi="宋体"/>
          <w:color w:val="000000"/>
          <w:szCs w:val="21"/>
        </w:rPr>
        <w:t>任何费用。</w:t>
      </w:r>
    </w:p>
    <w:p w14:paraId="6A98ED58">
      <w:pPr>
        <w:adjustRightInd w:val="0"/>
        <w:snapToGrid w:val="0"/>
        <w:spacing w:line="400" w:lineRule="exact"/>
        <w:jc w:val="left"/>
        <w:rPr>
          <w:rFonts w:ascii="宋体" w:hAnsi="宋体"/>
          <w:b/>
          <w:color w:val="000000"/>
          <w:sz w:val="24"/>
        </w:rPr>
      </w:pPr>
      <w:r>
        <w:rPr>
          <w:rFonts w:hint="eastAsia" w:ascii="宋体" w:hAnsi="宋体"/>
          <w:b/>
          <w:color w:val="000000"/>
          <w:sz w:val="24"/>
        </w:rPr>
        <w:t>3. 履行合同的时间、地点和方式</w:t>
      </w:r>
    </w:p>
    <w:p w14:paraId="70BFB0B4">
      <w:pPr>
        <w:autoSpaceDE w:val="0"/>
        <w:autoSpaceDN w:val="0"/>
        <w:adjustRightInd w:val="0"/>
        <w:snapToGrid w:val="0"/>
        <w:spacing w:line="400" w:lineRule="exact"/>
        <w:ind w:firstLine="420" w:firstLineChars="200"/>
        <w:jc w:val="left"/>
        <w:rPr>
          <w:rFonts w:ascii="宋体" w:hAnsi="宋体"/>
          <w:color w:val="000000"/>
          <w:szCs w:val="21"/>
        </w:rPr>
      </w:pPr>
      <w:r>
        <w:rPr>
          <w:rFonts w:hint="eastAsia" w:ascii="宋体" w:hAnsi="宋体"/>
          <w:color w:val="000000"/>
          <w:szCs w:val="21"/>
        </w:rPr>
        <w:t xml:space="preserve">3.1 </w:t>
      </w:r>
      <w:r>
        <w:rPr>
          <w:rFonts w:hint="eastAsia" w:ascii="宋体" w:hAnsi="宋体" w:cs="宋体"/>
          <w:szCs w:val="21"/>
        </w:rPr>
        <w:t>乙方应当在约定的时间、地点，按照约定方式履行合同。</w:t>
      </w:r>
    </w:p>
    <w:p w14:paraId="44AC6E15">
      <w:pPr>
        <w:autoSpaceDE w:val="0"/>
        <w:autoSpaceDN w:val="0"/>
        <w:adjustRightInd w:val="0"/>
        <w:snapToGrid w:val="0"/>
        <w:spacing w:line="400" w:lineRule="exact"/>
        <w:jc w:val="left"/>
        <w:rPr>
          <w:rFonts w:ascii="宋体" w:hAnsi="宋体"/>
          <w:b/>
          <w:bCs/>
          <w:color w:val="000000"/>
          <w:sz w:val="24"/>
        </w:rPr>
      </w:pPr>
      <w:r>
        <w:rPr>
          <w:rFonts w:hint="eastAsia" w:ascii="宋体" w:hAnsi="宋体"/>
          <w:b/>
          <w:bCs/>
          <w:color w:val="000000"/>
          <w:sz w:val="24"/>
        </w:rPr>
        <w:t>4. 甲方的权利和义务</w:t>
      </w:r>
    </w:p>
    <w:p w14:paraId="45B0D3E3">
      <w:pPr>
        <w:autoSpaceDE w:val="0"/>
        <w:autoSpaceDN w:val="0"/>
        <w:adjustRightInd w:val="0"/>
        <w:snapToGrid w:val="0"/>
        <w:spacing w:line="400" w:lineRule="exact"/>
        <w:ind w:firstLine="420" w:firstLineChars="200"/>
        <w:jc w:val="left"/>
        <w:rPr>
          <w:rFonts w:ascii="宋体" w:hAnsi="宋体"/>
          <w:color w:val="000000"/>
          <w:szCs w:val="21"/>
        </w:rPr>
      </w:pPr>
      <w:r>
        <w:rPr>
          <w:rFonts w:hint="eastAsia" w:ascii="宋体" w:hAnsi="宋体"/>
          <w:color w:val="000000"/>
          <w:szCs w:val="21"/>
        </w:rPr>
        <w:t>4.1</w:t>
      </w:r>
      <w:r>
        <w:rPr>
          <w:rFonts w:ascii="宋体" w:hAnsi="宋体"/>
          <w:color w:val="000000"/>
          <w:szCs w:val="21"/>
        </w:rPr>
        <w:t xml:space="preserve"> 签署合同后，甲方</w:t>
      </w:r>
      <w:r>
        <w:rPr>
          <w:rFonts w:hint="eastAsia" w:ascii="宋体" w:hAnsi="宋体"/>
          <w:color w:val="000000"/>
          <w:szCs w:val="21"/>
        </w:rPr>
        <w:t>应</w:t>
      </w:r>
      <w:r>
        <w:rPr>
          <w:rFonts w:ascii="宋体" w:hAnsi="宋体"/>
          <w:color w:val="000000"/>
          <w:szCs w:val="21"/>
        </w:rPr>
        <w:t>确定</w:t>
      </w:r>
      <w:r>
        <w:rPr>
          <w:rFonts w:hint="eastAsia" w:ascii="宋体" w:hAnsi="宋体"/>
          <w:color w:val="000000"/>
          <w:szCs w:val="21"/>
        </w:rPr>
        <w:t>项目负责人（或项目联系人）</w:t>
      </w:r>
      <w:r>
        <w:rPr>
          <w:rFonts w:ascii="宋体" w:hAnsi="宋体"/>
          <w:color w:val="000000"/>
          <w:szCs w:val="21"/>
        </w:rPr>
        <w:t>，负责与本合同有关的事务。</w:t>
      </w:r>
      <w:r>
        <w:rPr>
          <w:rFonts w:hint="eastAsia" w:ascii="宋体" w:hAnsi="宋体"/>
          <w:color w:val="000000"/>
          <w:szCs w:val="21"/>
        </w:rPr>
        <w:t>甲方有权对乙方的履约行为进行检查，并</w:t>
      </w:r>
      <w:r>
        <w:rPr>
          <w:rFonts w:ascii="宋体" w:hAnsi="宋体"/>
          <w:color w:val="000000"/>
          <w:szCs w:val="21"/>
        </w:rPr>
        <w:t>及时确认乙方提交的事项</w:t>
      </w:r>
      <w:r>
        <w:rPr>
          <w:rFonts w:hint="eastAsia" w:ascii="宋体" w:hAnsi="宋体"/>
          <w:color w:val="000000"/>
          <w:szCs w:val="21"/>
        </w:rPr>
        <w:t>。甲方应当</w:t>
      </w:r>
      <w:r>
        <w:rPr>
          <w:rFonts w:ascii="宋体" w:hAnsi="宋体"/>
          <w:color w:val="000000"/>
          <w:szCs w:val="21"/>
        </w:rPr>
        <w:t>配合乙方完成</w:t>
      </w:r>
      <w:r>
        <w:rPr>
          <w:rFonts w:hint="eastAsia" w:ascii="宋体" w:hAnsi="宋体"/>
          <w:color w:val="000000"/>
          <w:szCs w:val="21"/>
        </w:rPr>
        <w:t>相关项目</w:t>
      </w:r>
      <w:r>
        <w:rPr>
          <w:rFonts w:ascii="宋体" w:hAnsi="宋体"/>
          <w:color w:val="000000"/>
          <w:szCs w:val="21"/>
        </w:rPr>
        <w:t>实施工作。</w:t>
      </w:r>
    </w:p>
    <w:p w14:paraId="1A5233F9">
      <w:pPr>
        <w:autoSpaceDE w:val="0"/>
        <w:autoSpaceDN w:val="0"/>
        <w:adjustRightInd w:val="0"/>
        <w:snapToGrid w:val="0"/>
        <w:spacing w:line="400" w:lineRule="exact"/>
        <w:ind w:firstLine="420" w:firstLineChars="200"/>
        <w:jc w:val="left"/>
        <w:rPr>
          <w:rFonts w:ascii="宋体" w:hAnsi="宋体"/>
          <w:color w:val="000000"/>
          <w:szCs w:val="21"/>
        </w:rPr>
      </w:pPr>
      <w:r>
        <w:rPr>
          <w:rFonts w:hint="eastAsia" w:ascii="宋体" w:hAnsi="宋体"/>
          <w:color w:val="000000"/>
          <w:szCs w:val="21"/>
        </w:rPr>
        <w:t xml:space="preserve">4.2 </w:t>
      </w:r>
      <w:r>
        <w:rPr>
          <w:rFonts w:ascii="宋体" w:hAnsi="宋体"/>
          <w:color w:val="000000"/>
          <w:szCs w:val="21"/>
        </w:rPr>
        <w:t>甲方有权要求乙方按时提交各阶段有关</w:t>
      </w:r>
      <w:r>
        <w:rPr>
          <w:rFonts w:hint="eastAsia" w:ascii="宋体" w:hAnsi="宋体"/>
          <w:color w:val="000000"/>
          <w:szCs w:val="21"/>
        </w:rPr>
        <w:t>安排计划</w:t>
      </w:r>
      <w:r>
        <w:rPr>
          <w:rFonts w:ascii="宋体" w:hAnsi="宋体"/>
          <w:color w:val="000000"/>
          <w:szCs w:val="21"/>
        </w:rPr>
        <w:t>，并有权</w:t>
      </w:r>
      <w:r>
        <w:rPr>
          <w:rFonts w:hint="eastAsia" w:ascii="宋体" w:hAnsi="宋体"/>
          <w:color w:val="000000"/>
          <w:szCs w:val="21"/>
        </w:rPr>
        <w:t>定期核对乙方提供货物数量、规格、质量等内容。甲方</w:t>
      </w:r>
      <w:r>
        <w:rPr>
          <w:rFonts w:ascii="宋体" w:hAnsi="宋体"/>
          <w:color w:val="000000"/>
          <w:szCs w:val="21"/>
        </w:rPr>
        <w:t>有权督促乙方工作并要求乙方</w:t>
      </w:r>
      <w:r>
        <w:rPr>
          <w:rFonts w:hint="eastAsia" w:ascii="宋体" w:hAnsi="宋体"/>
          <w:color w:val="000000"/>
          <w:szCs w:val="21"/>
        </w:rPr>
        <w:t>更</w:t>
      </w:r>
      <w:r>
        <w:rPr>
          <w:rFonts w:ascii="宋体" w:hAnsi="宋体"/>
          <w:color w:val="000000"/>
          <w:szCs w:val="21"/>
        </w:rPr>
        <w:t>换不符合要求的</w:t>
      </w:r>
      <w:r>
        <w:rPr>
          <w:rFonts w:hint="eastAsia" w:ascii="宋体" w:hAnsi="宋体"/>
          <w:color w:val="000000"/>
          <w:szCs w:val="21"/>
        </w:rPr>
        <w:t>货物</w:t>
      </w:r>
      <w:r>
        <w:rPr>
          <w:rFonts w:ascii="宋体" w:hAnsi="宋体"/>
          <w:color w:val="000000"/>
          <w:szCs w:val="21"/>
        </w:rPr>
        <w:t>。</w:t>
      </w:r>
    </w:p>
    <w:p w14:paraId="5402A473">
      <w:pPr>
        <w:autoSpaceDE w:val="0"/>
        <w:autoSpaceDN w:val="0"/>
        <w:adjustRightInd w:val="0"/>
        <w:snapToGrid w:val="0"/>
        <w:spacing w:line="400" w:lineRule="exact"/>
        <w:ind w:firstLine="420" w:firstLineChars="200"/>
        <w:jc w:val="left"/>
        <w:rPr>
          <w:rFonts w:ascii="宋体" w:hAnsi="宋体"/>
          <w:color w:val="000000"/>
          <w:szCs w:val="21"/>
        </w:rPr>
      </w:pPr>
      <w:r>
        <w:rPr>
          <w:rFonts w:hint="eastAsia" w:ascii="宋体" w:hAnsi="宋体"/>
          <w:color w:val="000000"/>
          <w:szCs w:val="21"/>
        </w:rPr>
        <w:t>4.</w:t>
      </w:r>
      <w:r>
        <w:rPr>
          <w:rFonts w:ascii="宋体" w:hAnsi="宋体"/>
          <w:color w:val="000000"/>
          <w:szCs w:val="21"/>
        </w:rPr>
        <w:t>3</w:t>
      </w:r>
      <w:r>
        <w:rPr>
          <w:rFonts w:hint="eastAsia" w:ascii="宋体" w:hAnsi="宋体"/>
          <w:color w:val="000000"/>
          <w:szCs w:val="21"/>
        </w:rPr>
        <w:t xml:space="preserve"> </w:t>
      </w:r>
      <w:r>
        <w:rPr>
          <w:rFonts w:ascii="宋体" w:hAnsi="宋体"/>
          <w:color w:val="000000"/>
          <w:szCs w:val="21"/>
        </w:rPr>
        <w:t>甲方</w:t>
      </w:r>
      <w:r>
        <w:rPr>
          <w:rFonts w:hint="eastAsia" w:ascii="宋体" w:hAnsi="宋体"/>
          <w:color w:val="000000"/>
          <w:szCs w:val="21"/>
        </w:rPr>
        <w:t>有权要求乙方对缺陷部分予以修复，并按合同约定享有货物保修及其他合同约定的权利。</w:t>
      </w:r>
    </w:p>
    <w:p w14:paraId="3D50D6C5">
      <w:pPr>
        <w:snapToGrid w:val="0"/>
        <w:spacing w:line="400" w:lineRule="exact"/>
        <w:ind w:firstLine="420" w:firstLineChars="200"/>
        <w:rPr>
          <w:rFonts w:eastAsia="华文楷体"/>
        </w:rPr>
      </w:pPr>
      <w:r>
        <w:rPr>
          <w:rFonts w:ascii="宋体" w:hAnsi="宋体"/>
          <w:color w:val="000000"/>
          <w:szCs w:val="21"/>
        </w:rPr>
        <w:t>4.4 甲方应当按照合同约定及时对交付的货物进行验收</w:t>
      </w:r>
      <w:r>
        <w:rPr>
          <w:rFonts w:hint="eastAsia" w:ascii="宋体" w:hAnsi="宋体"/>
          <w:color w:val="000000"/>
          <w:szCs w:val="21"/>
        </w:rPr>
        <w:t>，</w:t>
      </w:r>
      <w:r>
        <w:rPr>
          <w:rFonts w:hint="eastAsia" w:ascii="宋体" w:hAnsi="宋体" w:cs="宋体"/>
          <w:szCs w:val="21"/>
        </w:rPr>
        <w:t>未</w:t>
      </w:r>
      <w:r>
        <w:rPr>
          <w:rFonts w:hint="eastAsia" w:ascii="宋体" w:hAnsi="宋体"/>
          <w:color w:val="000000"/>
          <w:szCs w:val="21"/>
        </w:rPr>
        <w:t>在</w:t>
      </w:r>
      <w:r>
        <w:rPr>
          <w:rFonts w:hint="eastAsia" w:ascii="宋体" w:hAnsi="宋体" w:cs="宋体"/>
          <w:b/>
          <w:bCs/>
          <w:szCs w:val="21"/>
        </w:rPr>
        <w:t>【政府采购合同专用条款】</w:t>
      </w:r>
      <w:r>
        <w:rPr>
          <w:rFonts w:hint="eastAsia" w:ascii="宋体" w:hAnsi="宋体" w:cs="宋体"/>
          <w:szCs w:val="21"/>
        </w:rPr>
        <w:t>约定的期限内对乙方履约提出任何异议或者向乙方作出任何说明的，</w:t>
      </w:r>
      <w:r>
        <w:rPr>
          <w:rFonts w:hint="eastAsia" w:ascii="宋体" w:hAnsi="宋体"/>
          <w:color w:val="000000"/>
          <w:szCs w:val="21"/>
        </w:rPr>
        <w:t>视为验收通过。</w:t>
      </w:r>
    </w:p>
    <w:p w14:paraId="0E6C0302">
      <w:pPr>
        <w:autoSpaceDE w:val="0"/>
        <w:autoSpaceDN w:val="0"/>
        <w:adjustRightInd w:val="0"/>
        <w:snapToGrid w:val="0"/>
        <w:spacing w:line="400" w:lineRule="exact"/>
        <w:ind w:firstLine="420" w:firstLineChars="200"/>
        <w:jc w:val="left"/>
        <w:rPr>
          <w:rFonts w:ascii="宋体" w:hAnsi="宋体"/>
          <w:color w:val="000000"/>
          <w:szCs w:val="21"/>
        </w:rPr>
      </w:pPr>
      <w:r>
        <w:rPr>
          <w:rFonts w:ascii="宋体" w:hAnsi="宋体"/>
          <w:color w:val="000000"/>
          <w:szCs w:val="21"/>
        </w:rPr>
        <w:t>4</w:t>
      </w:r>
      <w:r>
        <w:rPr>
          <w:rFonts w:hint="eastAsia" w:ascii="宋体" w:hAnsi="宋体"/>
          <w:color w:val="000000"/>
          <w:szCs w:val="21"/>
        </w:rPr>
        <w:t>.</w:t>
      </w:r>
      <w:r>
        <w:rPr>
          <w:rFonts w:ascii="宋体" w:hAnsi="宋体"/>
          <w:color w:val="000000"/>
          <w:szCs w:val="21"/>
        </w:rPr>
        <w:t xml:space="preserve">5 </w:t>
      </w:r>
      <w:r>
        <w:rPr>
          <w:rFonts w:hint="eastAsia" w:ascii="宋体" w:hAnsi="宋体"/>
          <w:color w:val="000000"/>
          <w:szCs w:val="21"/>
        </w:rPr>
        <w:t>甲方应当根据合同约定及时向乙方支付合同价款</w:t>
      </w:r>
      <w:r>
        <w:rPr>
          <w:rFonts w:ascii="宋体" w:hAnsi="宋体"/>
          <w:color w:val="000000"/>
          <w:szCs w:val="21"/>
        </w:rPr>
        <w:t>，不得以内部人员变更、履行内部付款流程等为由，拒绝或迟延支付。</w:t>
      </w:r>
    </w:p>
    <w:p w14:paraId="25361FC8">
      <w:pPr>
        <w:autoSpaceDE w:val="0"/>
        <w:autoSpaceDN w:val="0"/>
        <w:adjustRightInd w:val="0"/>
        <w:snapToGrid w:val="0"/>
        <w:spacing w:line="400" w:lineRule="exact"/>
        <w:ind w:firstLine="420" w:firstLineChars="200"/>
        <w:jc w:val="left"/>
        <w:rPr>
          <w:rFonts w:ascii="宋体" w:hAnsi="宋体"/>
          <w:color w:val="000000"/>
          <w:szCs w:val="21"/>
        </w:rPr>
      </w:pPr>
      <w:r>
        <w:rPr>
          <w:rFonts w:hint="eastAsia" w:ascii="宋体" w:hAnsi="宋体"/>
          <w:color w:val="000000"/>
          <w:szCs w:val="21"/>
        </w:rPr>
        <w:t>4.6</w:t>
      </w:r>
      <w:r>
        <w:rPr>
          <w:rFonts w:ascii="宋体" w:hAnsi="宋体"/>
          <w:color w:val="000000"/>
          <w:szCs w:val="21"/>
        </w:rPr>
        <w:t xml:space="preserve"> </w:t>
      </w:r>
      <w:r>
        <w:rPr>
          <w:rFonts w:hint="eastAsia" w:ascii="宋体" w:hAnsi="宋体"/>
          <w:color w:val="000000"/>
          <w:szCs w:val="21"/>
        </w:rPr>
        <w:t>国家法律法规规定及</w:t>
      </w:r>
      <w:r>
        <w:rPr>
          <w:rFonts w:hint="eastAsia" w:ascii="宋体" w:hAnsi="宋体" w:cs="宋体"/>
          <w:b/>
          <w:bCs/>
          <w:szCs w:val="21"/>
        </w:rPr>
        <w:t>【政府采购合同专用条款】</w:t>
      </w:r>
      <w:r>
        <w:rPr>
          <w:rFonts w:hint="eastAsia" w:ascii="宋体" w:hAnsi="宋体"/>
          <w:color w:val="000000"/>
          <w:szCs w:val="21"/>
        </w:rPr>
        <w:t>约定应由甲方承担的其他义务和责任。</w:t>
      </w:r>
    </w:p>
    <w:p w14:paraId="24C49014">
      <w:pPr>
        <w:autoSpaceDE w:val="0"/>
        <w:autoSpaceDN w:val="0"/>
        <w:adjustRightInd w:val="0"/>
        <w:snapToGrid w:val="0"/>
        <w:spacing w:line="400" w:lineRule="exact"/>
        <w:jc w:val="left"/>
        <w:rPr>
          <w:rFonts w:ascii="宋体" w:hAnsi="宋体"/>
          <w:b/>
          <w:bCs/>
          <w:color w:val="000000"/>
          <w:sz w:val="24"/>
        </w:rPr>
      </w:pPr>
      <w:r>
        <w:rPr>
          <w:rFonts w:hint="eastAsia" w:ascii="宋体" w:hAnsi="宋体"/>
          <w:b/>
          <w:bCs/>
          <w:color w:val="000000"/>
          <w:sz w:val="24"/>
        </w:rPr>
        <w:t>5. 乙方的权利和义务</w:t>
      </w:r>
    </w:p>
    <w:p w14:paraId="6A19F473">
      <w:pPr>
        <w:autoSpaceDE w:val="0"/>
        <w:autoSpaceDN w:val="0"/>
        <w:adjustRightInd w:val="0"/>
        <w:snapToGrid w:val="0"/>
        <w:spacing w:line="400" w:lineRule="exact"/>
        <w:ind w:firstLine="420" w:firstLineChars="200"/>
        <w:jc w:val="left"/>
        <w:rPr>
          <w:rFonts w:ascii="宋体" w:hAnsi="宋体"/>
          <w:color w:val="000000"/>
          <w:szCs w:val="21"/>
        </w:rPr>
      </w:pPr>
      <w:r>
        <w:rPr>
          <w:rFonts w:hint="eastAsia" w:ascii="宋体" w:hAnsi="宋体"/>
          <w:color w:val="000000"/>
          <w:szCs w:val="21"/>
        </w:rPr>
        <w:t xml:space="preserve">5.1 </w:t>
      </w:r>
      <w:r>
        <w:rPr>
          <w:rFonts w:ascii="宋体" w:hAnsi="宋体"/>
          <w:color w:val="000000"/>
          <w:szCs w:val="21"/>
        </w:rPr>
        <w:t>签署合同后，乙方</w:t>
      </w:r>
      <w:r>
        <w:rPr>
          <w:rFonts w:hint="eastAsia" w:ascii="宋体" w:hAnsi="宋体"/>
          <w:color w:val="000000"/>
          <w:szCs w:val="21"/>
        </w:rPr>
        <w:t>应</w:t>
      </w:r>
      <w:r>
        <w:rPr>
          <w:rFonts w:ascii="宋体" w:hAnsi="宋体"/>
          <w:color w:val="000000"/>
          <w:szCs w:val="21"/>
        </w:rPr>
        <w:t>确定</w:t>
      </w:r>
      <w:r>
        <w:rPr>
          <w:rFonts w:hint="eastAsia" w:ascii="宋体" w:hAnsi="宋体"/>
          <w:color w:val="000000"/>
          <w:szCs w:val="21"/>
        </w:rPr>
        <w:t>项目负责人（或项目联系人）</w:t>
      </w:r>
      <w:r>
        <w:rPr>
          <w:rFonts w:ascii="宋体" w:hAnsi="宋体"/>
          <w:color w:val="000000"/>
          <w:szCs w:val="21"/>
        </w:rPr>
        <w:t>，负责与本合同有关的事务。</w:t>
      </w:r>
    </w:p>
    <w:p w14:paraId="5F368365">
      <w:pPr>
        <w:autoSpaceDE w:val="0"/>
        <w:autoSpaceDN w:val="0"/>
        <w:adjustRightInd w:val="0"/>
        <w:snapToGrid w:val="0"/>
        <w:spacing w:line="400" w:lineRule="exact"/>
        <w:ind w:firstLine="420" w:firstLineChars="200"/>
        <w:jc w:val="left"/>
        <w:rPr>
          <w:rFonts w:ascii="宋体" w:hAnsi="宋体"/>
          <w:color w:val="000000"/>
          <w:szCs w:val="21"/>
        </w:rPr>
      </w:pPr>
      <w:r>
        <w:rPr>
          <w:rFonts w:hint="eastAsia" w:ascii="宋体" w:hAnsi="宋体"/>
          <w:color w:val="000000"/>
          <w:szCs w:val="21"/>
        </w:rPr>
        <w:t>5.</w:t>
      </w:r>
      <w:r>
        <w:rPr>
          <w:rFonts w:ascii="宋体" w:hAnsi="宋体"/>
          <w:color w:val="000000"/>
          <w:szCs w:val="21"/>
        </w:rPr>
        <w:t>2 乙方应按照合同要求</w:t>
      </w:r>
      <w:r>
        <w:rPr>
          <w:rFonts w:hint="eastAsia" w:ascii="宋体" w:hAnsi="宋体"/>
          <w:color w:val="000000"/>
          <w:szCs w:val="21"/>
        </w:rPr>
        <w:t>履约</w:t>
      </w:r>
      <w:r>
        <w:rPr>
          <w:rFonts w:ascii="宋体" w:hAnsi="宋体"/>
          <w:color w:val="000000"/>
          <w:szCs w:val="21"/>
        </w:rPr>
        <w:t>，充分合理安排，确保</w:t>
      </w:r>
      <w:r>
        <w:rPr>
          <w:rFonts w:hint="eastAsia" w:ascii="宋体" w:hAnsi="宋体"/>
          <w:color w:val="000000"/>
          <w:szCs w:val="21"/>
        </w:rPr>
        <w:t>提供的货物及相关服务符合合同有关</w:t>
      </w:r>
      <w:r>
        <w:rPr>
          <w:rFonts w:ascii="宋体" w:hAnsi="宋体"/>
          <w:color w:val="000000"/>
          <w:szCs w:val="21"/>
        </w:rPr>
        <w:t>要求</w:t>
      </w:r>
      <w:r>
        <w:rPr>
          <w:rFonts w:hint="eastAsia" w:ascii="宋体" w:hAnsi="宋体"/>
          <w:color w:val="000000"/>
          <w:szCs w:val="21"/>
        </w:rPr>
        <w:t>。接受项目行业管理部门及政府有关部门的指导，配合甲方的履约检查及验收，并</w:t>
      </w:r>
      <w:r>
        <w:rPr>
          <w:rFonts w:ascii="宋体" w:hAnsi="宋体"/>
          <w:color w:val="000000"/>
          <w:szCs w:val="21"/>
        </w:rPr>
        <w:t>负责项目实施过程中的所有协调工作。</w:t>
      </w:r>
    </w:p>
    <w:p w14:paraId="49312675">
      <w:pPr>
        <w:spacing w:line="400" w:lineRule="exact"/>
        <w:ind w:firstLine="369" w:firstLineChars="176"/>
        <w:rPr>
          <w:rFonts w:ascii="宋体" w:hAnsi="宋体" w:cs="宋体"/>
          <w:color w:val="000000"/>
          <w:szCs w:val="21"/>
        </w:rPr>
      </w:pPr>
      <w:r>
        <w:rPr>
          <w:rFonts w:hint="eastAsia" w:ascii="宋体" w:hAnsi="宋体"/>
          <w:color w:val="000000"/>
          <w:szCs w:val="21"/>
        </w:rPr>
        <w:t>5.</w:t>
      </w:r>
      <w:r>
        <w:rPr>
          <w:rFonts w:ascii="宋体" w:hAnsi="宋体"/>
          <w:color w:val="000000"/>
          <w:szCs w:val="21"/>
        </w:rPr>
        <w:t>3</w:t>
      </w:r>
      <w:r>
        <w:rPr>
          <w:rFonts w:hint="eastAsia" w:ascii="宋体" w:hAnsi="宋体"/>
          <w:color w:val="000000"/>
          <w:szCs w:val="21"/>
        </w:rPr>
        <w:t>乙方有权</w:t>
      </w:r>
      <w:r>
        <w:rPr>
          <w:rFonts w:hint="eastAsia" w:ascii="宋体" w:hAnsi="宋体" w:cs="宋体"/>
          <w:color w:val="000000"/>
          <w:szCs w:val="21"/>
        </w:rPr>
        <w:t>根据合同约定向甲方收取合同价款。</w:t>
      </w:r>
    </w:p>
    <w:p w14:paraId="64FFB126">
      <w:pPr>
        <w:spacing w:line="400" w:lineRule="exact"/>
        <w:ind w:firstLine="369" w:firstLineChars="176"/>
        <w:rPr>
          <w:rFonts w:ascii="宋体" w:hAnsi="宋体" w:cs="宋体"/>
          <w:color w:val="000000"/>
          <w:szCs w:val="21"/>
        </w:rPr>
      </w:pPr>
      <w:r>
        <w:rPr>
          <w:rFonts w:hint="eastAsia" w:ascii="宋体" w:hAnsi="宋体"/>
          <w:color w:val="000000"/>
          <w:szCs w:val="21"/>
        </w:rPr>
        <w:t>5.</w:t>
      </w:r>
      <w:r>
        <w:rPr>
          <w:rFonts w:ascii="宋体" w:hAnsi="宋体"/>
          <w:color w:val="000000"/>
          <w:szCs w:val="21"/>
        </w:rPr>
        <w:t>4</w:t>
      </w:r>
      <w:r>
        <w:rPr>
          <w:rFonts w:hint="eastAsia" w:ascii="宋体" w:hAnsi="宋体" w:cs="宋体"/>
          <w:color w:val="000000"/>
          <w:szCs w:val="21"/>
        </w:rPr>
        <w:t>国家法律法规规定</w:t>
      </w:r>
      <w:r>
        <w:rPr>
          <w:rFonts w:hint="eastAsia" w:ascii="宋体" w:hAnsi="宋体"/>
          <w:color w:val="000000"/>
          <w:szCs w:val="21"/>
        </w:rPr>
        <w:t>及</w:t>
      </w:r>
      <w:r>
        <w:rPr>
          <w:rFonts w:hint="eastAsia" w:ascii="宋体" w:hAnsi="宋体" w:cs="宋体"/>
          <w:b/>
          <w:bCs/>
          <w:szCs w:val="21"/>
        </w:rPr>
        <w:t>【政府采购合同专用条款】</w:t>
      </w:r>
      <w:r>
        <w:rPr>
          <w:rFonts w:hint="eastAsia" w:ascii="宋体" w:hAnsi="宋体" w:cs="宋体"/>
          <w:szCs w:val="21"/>
        </w:rPr>
        <w:t>约定应</w:t>
      </w:r>
      <w:r>
        <w:rPr>
          <w:rFonts w:hint="eastAsia" w:ascii="宋体" w:hAnsi="宋体" w:cs="宋体"/>
          <w:color w:val="000000"/>
          <w:szCs w:val="21"/>
        </w:rPr>
        <w:t>由乙方承担的其他义务和责任。</w:t>
      </w:r>
    </w:p>
    <w:p w14:paraId="75AC8A7F">
      <w:pPr>
        <w:numPr>
          <w:ilvl w:val="0"/>
          <w:numId w:val="14"/>
        </w:numPr>
        <w:autoSpaceDE w:val="0"/>
        <w:autoSpaceDN w:val="0"/>
        <w:adjustRightInd w:val="0"/>
        <w:snapToGrid w:val="0"/>
        <w:spacing w:line="400" w:lineRule="exact"/>
        <w:jc w:val="left"/>
        <w:rPr>
          <w:rFonts w:ascii="宋体" w:hAnsi="宋体"/>
          <w:b/>
          <w:bCs/>
          <w:color w:val="000000"/>
          <w:sz w:val="24"/>
        </w:rPr>
      </w:pPr>
      <w:r>
        <w:rPr>
          <w:rFonts w:hint="eastAsia" w:ascii="宋体" w:hAnsi="宋体"/>
          <w:b/>
          <w:bCs/>
          <w:color w:val="000000"/>
          <w:sz w:val="24"/>
        </w:rPr>
        <w:t>合同履行</w:t>
      </w:r>
    </w:p>
    <w:p w14:paraId="5E2E8E6A">
      <w:pPr>
        <w:autoSpaceDE w:val="0"/>
        <w:autoSpaceDN w:val="0"/>
        <w:adjustRightInd w:val="0"/>
        <w:snapToGrid w:val="0"/>
        <w:spacing w:line="400" w:lineRule="exact"/>
        <w:ind w:firstLine="420" w:firstLineChars="200"/>
        <w:jc w:val="left"/>
        <w:rPr>
          <w:rFonts w:ascii="宋体" w:hAnsi="宋体"/>
          <w:color w:val="000000"/>
          <w:szCs w:val="21"/>
        </w:rPr>
      </w:pPr>
      <w:r>
        <w:rPr>
          <w:rFonts w:hint="eastAsia" w:ascii="宋体" w:hAnsi="宋体"/>
          <w:color w:val="000000"/>
          <w:szCs w:val="21"/>
        </w:rPr>
        <w:t>6.1 甲乙双方应当按照</w:t>
      </w:r>
      <w:r>
        <w:rPr>
          <w:rFonts w:hint="eastAsia" w:ascii="宋体" w:hAnsi="宋体" w:cs="宋体"/>
          <w:b/>
          <w:bCs/>
          <w:szCs w:val="21"/>
        </w:rPr>
        <w:t>【政府采购合同专用条款】</w:t>
      </w:r>
      <w:r>
        <w:rPr>
          <w:rFonts w:hint="eastAsia" w:ascii="宋体" w:hAnsi="宋体"/>
          <w:color w:val="000000"/>
          <w:szCs w:val="21"/>
        </w:rPr>
        <w:t>约定顺序履行合同义务；如果没有先后顺序的，应当同时履行。</w:t>
      </w:r>
    </w:p>
    <w:p w14:paraId="06A310E8">
      <w:pPr>
        <w:autoSpaceDE w:val="0"/>
        <w:autoSpaceDN w:val="0"/>
        <w:adjustRightInd w:val="0"/>
        <w:snapToGrid w:val="0"/>
        <w:spacing w:line="400" w:lineRule="exact"/>
        <w:ind w:firstLine="420" w:firstLineChars="200"/>
        <w:jc w:val="left"/>
      </w:pPr>
      <w:r>
        <w:rPr>
          <w:rFonts w:hint="eastAsia" w:ascii="宋体" w:hAnsi="宋体"/>
          <w:color w:val="000000"/>
          <w:szCs w:val="21"/>
        </w:rPr>
        <w:t>6.2 甲乙双方按照合同约定顺序履行合同义务时，应当先履行一方未履行的，后履行一方有权拒绝其履行请求。先履行一方履行不符合约定的，后履行一方有权拒绝其相应的履行请求。</w:t>
      </w:r>
    </w:p>
    <w:p w14:paraId="31712971">
      <w:pPr>
        <w:adjustRightInd w:val="0"/>
        <w:snapToGrid w:val="0"/>
        <w:spacing w:line="400" w:lineRule="exact"/>
        <w:jc w:val="left"/>
        <w:rPr>
          <w:rFonts w:ascii="宋体" w:hAnsi="宋体"/>
          <w:b/>
          <w:bCs/>
          <w:color w:val="000000"/>
          <w:sz w:val="24"/>
        </w:rPr>
      </w:pPr>
      <w:r>
        <w:rPr>
          <w:rFonts w:hint="eastAsia" w:ascii="宋体" w:hAnsi="宋体"/>
          <w:b/>
          <w:bCs/>
          <w:color w:val="000000"/>
          <w:sz w:val="24"/>
        </w:rPr>
        <w:t>7. 货物包装、运输、保险和交付要求</w:t>
      </w:r>
    </w:p>
    <w:p w14:paraId="7CB814DF">
      <w:pPr>
        <w:autoSpaceDE w:val="0"/>
        <w:autoSpaceDN w:val="0"/>
        <w:adjustRightInd w:val="0"/>
        <w:snapToGrid w:val="0"/>
        <w:spacing w:line="400" w:lineRule="exact"/>
        <w:ind w:firstLine="420" w:firstLineChars="200"/>
        <w:jc w:val="left"/>
        <w:rPr>
          <w:rFonts w:ascii="宋体" w:hAnsi="宋体"/>
          <w:color w:val="000000"/>
          <w:szCs w:val="21"/>
        </w:rPr>
      </w:pPr>
      <w:r>
        <w:rPr>
          <w:rFonts w:hint="eastAsia" w:ascii="宋体" w:hAnsi="宋体"/>
          <w:color w:val="000000"/>
          <w:szCs w:val="21"/>
        </w:rPr>
        <w:t>7.1 本合同</w:t>
      </w:r>
      <w:r>
        <w:rPr>
          <w:rFonts w:hint="eastAsia" w:ascii="宋体" w:hAnsi="宋体"/>
          <w:bCs/>
          <w:color w:val="000000"/>
          <w:szCs w:val="21"/>
        </w:rPr>
        <w:t>涉及商品包装、快递包装的，</w:t>
      </w:r>
      <w:r>
        <w:rPr>
          <w:rFonts w:hint="eastAsia" w:ascii="宋体" w:hAnsi="宋体"/>
          <w:color w:val="000000"/>
          <w:szCs w:val="21"/>
        </w:rPr>
        <w:t>除</w:t>
      </w:r>
      <w:r>
        <w:rPr>
          <w:rFonts w:hint="eastAsia" w:ascii="宋体" w:hAnsi="宋体"/>
          <w:b/>
          <w:color w:val="000000"/>
          <w:szCs w:val="21"/>
        </w:rPr>
        <w:t>【政府采购合同专用条款】</w:t>
      </w:r>
      <w:r>
        <w:rPr>
          <w:rFonts w:hint="eastAsia" w:ascii="宋体" w:hAnsi="宋体"/>
          <w:bCs/>
          <w:color w:val="000000"/>
          <w:szCs w:val="21"/>
        </w:rPr>
        <w:t>另有约定外，</w:t>
      </w:r>
      <w:r>
        <w:rPr>
          <w:rFonts w:hint="eastAsia" w:ascii="宋体" w:hAnsi="宋体"/>
          <w:color w:val="000000"/>
          <w:szCs w:val="21"/>
        </w:rPr>
        <w:t>包装应适应远距离运输、防潮、防震、防锈和防野蛮装卸等要求，确保货物安全无损地运抵</w:t>
      </w:r>
      <w:r>
        <w:rPr>
          <w:rFonts w:hint="eastAsia" w:ascii="宋体" w:hAnsi="宋体"/>
          <w:b/>
          <w:color w:val="000000"/>
          <w:szCs w:val="21"/>
        </w:rPr>
        <w:t>【政府采购合同专用条款】</w:t>
      </w:r>
      <w:r>
        <w:rPr>
          <w:rFonts w:hint="eastAsia" w:ascii="宋体" w:hAnsi="宋体"/>
          <w:bCs/>
          <w:color w:val="000000"/>
          <w:szCs w:val="21"/>
        </w:rPr>
        <w:t>约定的</w:t>
      </w:r>
      <w:r>
        <w:rPr>
          <w:rFonts w:hint="eastAsia" w:ascii="宋体" w:hAnsi="宋体"/>
          <w:color w:val="000000"/>
          <w:szCs w:val="21"/>
        </w:rPr>
        <w:t>指定现场。</w:t>
      </w:r>
    </w:p>
    <w:p w14:paraId="0CDEB078">
      <w:pPr>
        <w:adjustRightInd w:val="0"/>
        <w:snapToGrid w:val="0"/>
        <w:spacing w:line="400" w:lineRule="exact"/>
        <w:ind w:firstLine="420" w:firstLineChars="200"/>
        <w:jc w:val="left"/>
        <w:rPr>
          <w:rFonts w:ascii="宋体" w:hAnsi="宋体"/>
          <w:color w:val="000000"/>
          <w:szCs w:val="21"/>
        </w:rPr>
      </w:pPr>
      <w:r>
        <w:rPr>
          <w:rFonts w:hint="eastAsia" w:ascii="宋体" w:hAnsi="宋体"/>
          <w:color w:val="000000"/>
          <w:szCs w:val="21"/>
        </w:rPr>
        <w:t>7.2 除</w:t>
      </w:r>
      <w:r>
        <w:rPr>
          <w:rFonts w:hint="eastAsia" w:ascii="宋体" w:hAnsi="宋体"/>
          <w:b/>
          <w:color w:val="000000"/>
          <w:szCs w:val="21"/>
        </w:rPr>
        <w:t>【政府采购合同专用条款】</w:t>
      </w:r>
      <w:r>
        <w:rPr>
          <w:rFonts w:hint="eastAsia" w:ascii="宋体" w:hAnsi="宋体"/>
          <w:bCs/>
          <w:color w:val="000000"/>
          <w:szCs w:val="21"/>
        </w:rPr>
        <w:t>另有约定外，</w:t>
      </w:r>
      <w:r>
        <w:rPr>
          <w:rFonts w:hint="eastAsia" w:ascii="宋体" w:hAnsi="宋体"/>
          <w:color w:val="000000"/>
          <w:szCs w:val="21"/>
        </w:rPr>
        <w:t>乙方负责办理将货物运抵本合同规定的交货地点，并装卸、交付至甲方的一切运输事项，相关费用应包含在合同价款中。</w:t>
      </w:r>
    </w:p>
    <w:p w14:paraId="06BF5D1C">
      <w:pPr>
        <w:adjustRightInd w:val="0"/>
        <w:snapToGrid w:val="0"/>
        <w:spacing w:line="400" w:lineRule="exact"/>
        <w:ind w:firstLine="420" w:firstLineChars="200"/>
        <w:jc w:val="left"/>
        <w:rPr>
          <w:rFonts w:ascii="宋体" w:hAnsi="宋体"/>
          <w:color w:val="000000"/>
          <w:szCs w:val="21"/>
        </w:rPr>
      </w:pPr>
      <w:r>
        <w:rPr>
          <w:rFonts w:hint="eastAsia" w:ascii="宋体" w:hAnsi="宋体"/>
          <w:color w:val="000000"/>
          <w:szCs w:val="21"/>
        </w:rPr>
        <w:t>7.3 货物保险要求按</w:t>
      </w:r>
      <w:r>
        <w:rPr>
          <w:rFonts w:hint="eastAsia" w:ascii="宋体" w:hAnsi="宋体"/>
          <w:b/>
          <w:color w:val="000000"/>
          <w:szCs w:val="21"/>
        </w:rPr>
        <w:t>【政府采购合同专用条款】</w:t>
      </w:r>
      <w:r>
        <w:rPr>
          <w:rFonts w:hint="eastAsia" w:ascii="宋体" w:hAnsi="宋体"/>
          <w:bCs/>
          <w:color w:val="000000"/>
          <w:szCs w:val="21"/>
        </w:rPr>
        <w:t>规定执行</w:t>
      </w:r>
      <w:r>
        <w:rPr>
          <w:rFonts w:hint="eastAsia" w:ascii="宋体" w:hAnsi="宋体"/>
          <w:color w:val="000000"/>
          <w:szCs w:val="21"/>
        </w:rPr>
        <w:t>。</w:t>
      </w:r>
    </w:p>
    <w:p w14:paraId="4507D15F">
      <w:pPr>
        <w:autoSpaceDE w:val="0"/>
        <w:autoSpaceDN w:val="0"/>
        <w:adjustRightInd w:val="0"/>
        <w:snapToGrid w:val="0"/>
        <w:spacing w:line="400" w:lineRule="exact"/>
        <w:ind w:firstLine="420" w:firstLineChars="200"/>
        <w:jc w:val="left"/>
        <w:rPr>
          <w:rFonts w:ascii="宋体" w:hAnsi="宋体"/>
          <w:color w:val="000000"/>
          <w:szCs w:val="21"/>
        </w:rPr>
      </w:pPr>
      <w:r>
        <w:rPr>
          <w:rFonts w:hint="eastAsia" w:ascii="宋体" w:hAnsi="宋体"/>
          <w:color w:val="000000"/>
          <w:szCs w:val="21"/>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14:paraId="4F37882C">
      <w:pPr>
        <w:autoSpaceDE w:val="0"/>
        <w:autoSpaceDN w:val="0"/>
        <w:adjustRightInd w:val="0"/>
        <w:snapToGrid w:val="0"/>
        <w:spacing w:line="400" w:lineRule="exact"/>
        <w:ind w:firstLine="420" w:firstLineChars="200"/>
        <w:jc w:val="left"/>
        <w:rPr>
          <w:rFonts w:ascii="宋体" w:hAnsi="宋体"/>
          <w:color w:val="000000"/>
          <w:szCs w:val="21"/>
        </w:rPr>
      </w:pPr>
      <w:r>
        <w:rPr>
          <w:rFonts w:hint="eastAsia" w:ascii="宋体" w:hAnsi="宋体"/>
          <w:color w:val="000000"/>
          <w:szCs w:val="21"/>
        </w:rPr>
        <w:t xml:space="preserve">7.5 </w:t>
      </w:r>
      <w:r>
        <w:rPr>
          <w:rFonts w:hint="eastAsia" w:ascii="宋体" w:hAnsi="宋体" w:cs="宋体"/>
          <w:color w:val="000000"/>
          <w:szCs w:val="21"/>
        </w:rPr>
        <w:t>乙方在运输到达之前应提前通知甲方，并提示货物运输装卸的注意事项，甲方配合乙方做好货物的接收工作。</w:t>
      </w:r>
    </w:p>
    <w:p w14:paraId="69720B9F">
      <w:pPr>
        <w:autoSpaceDE w:val="0"/>
        <w:autoSpaceDN w:val="0"/>
        <w:adjustRightInd w:val="0"/>
        <w:spacing w:line="400" w:lineRule="exact"/>
        <w:ind w:firstLine="420" w:firstLineChars="200"/>
        <w:rPr>
          <w:rFonts w:ascii="华文楷体" w:hAnsi="华文楷体" w:eastAsia="华文楷体" w:cs="华文楷体"/>
          <w:szCs w:val="21"/>
        </w:rPr>
      </w:pPr>
      <w:r>
        <w:rPr>
          <w:rFonts w:hint="eastAsia" w:ascii="宋体" w:hAnsi="宋体"/>
          <w:color w:val="000000"/>
          <w:szCs w:val="21"/>
        </w:rPr>
        <w:t>7.6 如因包装、运输问题导致货物损毁、丢失或者品质下降，甲方有权要求降价、换货、拒收部分或整批货物，由此产生的费用和损失，均由乙方承担。</w:t>
      </w:r>
    </w:p>
    <w:p w14:paraId="4DD23E4F">
      <w:pPr>
        <w:adjustRightInd w:val="0"/>
        <w:snapToGrid w:val="0"/>
        <w:spacing w:line="400" w:lineRule="exact"/>
        <w:jc w:val="left"/>
        <w:rPr>
          <w:rFonts w:ascii="宋体" w:hAnsi="宋体"/>
          <w:b/>
          <w:sz w:val="24"/>
        </w:rPr>
      </w:pPr>
      <w:r>
        <w:rPr>
          <w:rFonts w:hint="eastAsia" w:ascii="宋体" w:hAnsi="宋体"/>
          <w:b/>
          <w:color w:val="000000"/>
          <w:sz w:val="24"/>
        </w:rPr>
        <w:t xml:space="preserve">8. </w:t>
      </w:r>
      <w:r>
        <w:rPr>
          <w:rFonts w:hint="eastAsia" w:ascii="宋体" w:hAnsi="宋体"/>
          <w:b/>
          <w:sz w:val="24"/>
        </w:rPr>
        <w:t>质量标准和保证</w:t>
      </w:r>
    </w:p>
    <w:p w14:paraId="2B1F391B">
      <w:pPr>
        <w:adjustRightInd w:val="0"/>
        <w:snapToGrid w:val="0"/>
        <w:spacing w:line="400" w:lineRule="exact"/>
        <w:ind w:firstLine="420" w:firstLineChars="200"/>
        <w:jc w:val="left"/>
        <w:rPr>
          <w:rFonts w:ascii="宋体" w:hAnsi="宋体" w:cs="Courier New"/>
          <w:b/>
          <w:szCs w:val="21"/>
        </w:rPr>
      </w:pPr>
      <w:r>
        <w:rPr>
          <w:rFonts w:hint="eastAsia" w:ascii="宋体" w:hAnsi="宋体" w:cs="Courier New"/>
          <w:szCs w:val="21"/>
        </w:rPr>
        <w:t>8.1 质量标准</w:t>
      </w:r>
    </w:p>
    <w:p w14:paraId="7F231F4E">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（1）本合同下提供的货物应符合合同</w:t>
      </w:r>
      <w:r>
        <w:rPr>
          <w:rFonts w:hint="eastAsia" w:ascii="宋体" w:hAnsi="宋体" w:cs="宋体"/>
          <w:color w:val="000000"/>
          <w:szCs w:val="21"/>
        </w:rPr>
        <w:t>约定的</w:t>
      </w:r>
      <w:r>
        <w:rPr>
          <w:rFonts w:hint="eastAsia" w:ascii="宋体" w:hAnsi="宋体" w:cs="宋体"/>
          <w:szCs w:val="21"/>
        </w:rPr>
        <w:t>品牌、规格型号、技术性能、配置、质量、数量等要求。</w:t>
      </w:r>
      <w:r>
        <w:rPr>
          <w:rFonts w:hint="eastAsia" w:ascii="宋体" w:hAnsi="宋体"/>
          <w:szCs w:val="21"/>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14:paraId="35A60215">
      <w:pPr>
        <w:adjustRightInd w:val="0"/>
        <w:snapToGrid w:val="0"/>
        <w:spacing w:line="400" w:lineRule="exact"/>
        <w:ind w:firstLine="420" w:firstLineChars="200"/>
        <w:jc w:val="left"/>
        <w:rPr>
          <w:rFonts w:ascii="宋体" w:hAnsi="宋体" w:cs="Courier New"/>
          <w:szCs w:val="21"/>
        </w:rPr>
      </w:pPr>
      <w:r>
        <w:rPr>
          <w:rFonts w:hint="eastAsia" w:ascii="宋体" w:hAnsi="宋体" w:cs="Courier New"/>
          <w:szCs w:val="21"/>
        </w:rPr>
        <w:t>（2）采用中华人民共和国法定计量单位。</w:t>
      </w:r>
    </w:p>
    <w:p w14:paraId="26A2225F">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（3）乙方所提供的货物应符合国家有关安全、环保、卫生的规定。</w:t>
      </w:r>
    </w:p>
    <w:p w14:paraId="34746DEB">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（4）乙方应向甲方提交所提供货物的技术文件，包括相应的中文技术文件，如：产品目录、图纸、操作手册、使用说明、维护手册或服务指南等。上述文件应包装好随货物一同发运。</w:t>
      </w:r>
    </w:p>
    <w:p w14:paraId="6D9A1C0E">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8.2 保证</w:t>
      </w:r>
    </w:p>
    <w:p w14:paraId="4BC0D977">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（1）乙方应保证提供的货物完全符合合同规定的质量、规格和性能要求。乙方应保证货物在正确安装、正常使用和保养条件下，</w:t>
      </w:r>
      <w:r>
        <w:rPr>
          <w:rFonts w:hint="eastAsia" w:ascii="宋体" w:hAnsi="宋体" w:cs="宋体"/>
          <w:szCs w:val="21"/>
        </w:rPr>
        <w:t>在其使用寿命期内具备合同约定的性能</w:t>
      </w:r>
      <w:r>
        <w:rPr>
          <w:rFonts w:hint="eastAsia" w:ascii="宋体" w:hAnsi="宋体"/>
          <w:szCs w:val="21"/>
        </w:rPr>
        <w:t>。存在质量保证期的，货物最终交付验收合格后在</w:t>
      </w:r>
      <w:r>
        <w:rPr>
          <w:rFonts w:hint="eastAsia" w:ascii="宋体" w:hAnsi="宋体"/>
          <w:b/>
          <w:szCs w:val="21"/>
        </w:rPr>
        <w:t>【政府采购合同专用条款】</w:t>
      </w:r>
      <w:r>
        <w:rPr>
          <w:rFonts w:hint="eastAsia" w:ascii="宋体" w:hAnsi="宋体"/>
          <w:szCs w:val="21"/>
        </w:rPr>
        <w:t>规定或乙方书面承诺（两者以较长的为准）的质量保证期内，本保证保持有效。</w:t>
      </w:r>
    </w:p>
    <w:p w14:paraId="563A8930">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（2）在质量保证期内所发现的缺陷，甲方应尽快以书面形式通知乙方。</w:t>
      </w:r>
    </w:p>
    <w:p w14:paraId="23ADA029">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（3）乙方收到通知后，应在</w:t>
      </w:r>
      <w:r>
        <w:rPr>
          <w:rFonts w:hint="eastAsia" w:ascii="宋体" w:hAnsi="宋体"/>
          <w:b/>
          <w:szCs w:val="21"/>
        </w:rPr>
        <w:t>【政府采购合同专用条款】</w:t>
      </w:r>
      <w:r>
        <w:rPr>
          <w:rFonts w:hint="eastAsia" w:ascii="宋体" w:hAnsi="宋体"/>
          <w:szCs w:val="21"/>
        </w:rPr>
        <w:t>规定的响应时间内以合理的速度免费维修或更换有缺陷的货物或部件。</w:t>
      </w:r>
    </w:p>
    <w:p w14:paraId="278AD2CC">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（4）在质量保证期内，如果货物的质量或规格与合同不符，或证实货物是有缺陷的，包括潜在的缺陷或使用不符合要求的材料等，甲方可以根据本合同第1</w:t>
      </w:r>
      <w:r>
        <w:rPr>
          <w:rFonts w:hint="eastAsia" w:ascii="宋体" w:hAnsi="宋体"/>
          <w:color w:val="000000"/>
          <w:szCs w:val="21"/>
        </w:rPr>
        <w:t>5</w:t>
      </w:r>
      <w:r>
        <w:rPr>
          <w:rFonts w:hint="eastAsia" w:ascii="宋体" w:hAnsi="宋体"/>
          <w:szCs w:val="21"/>
        </w:rPr>
        <w:t>.1条规定以书面形式</w:t>
      </w:r>
      <w:r>
        <w:rPr>
          <w:rFonts w:hint="eastAsia" w:ascii="宋体" w:hAnsi="宋体"/>
          <w:color w:val="000000"/>
          <w:szCs w:val="21"/>
        </w:rPr>
        <w:t>追究</w:t>
      </w:r>
      <w:r>
        <w:rPr>
          <w:rFonts w:hint="eastAsia" w:ascii="宋体" w:hAnsi="宋体"/>
          <w:szCs w:val="21"/>
        </w:rPr>
        <w:t>乙方</w:t>
      </w:r>
      <w:r>
        <w:rPr>
          <w:rFonts w:hint="eastAsia" w:ascii="宋体" w:hAnsi="宋体"/>
          <w:color w:val="000000"/>
          <w:szCs w:val="21"/>
        </w:rPr>
        <w:t>的违约责任</w:t>
      </w:r>
      <w:r>
        <w:rPr>
          <w:rFonts w:hint="eastAsia" w:ascii="宋体" w:hAnsi="宋体"/>
          <w:szCs w:val="21"/>
        </w:rPr>
        <w:t>。</w:t>
      </w:r>
    </w:p>
    <w:p w14:paraId="5E1CC7BD">
      <w:pPr>
        <w:adjustRightInd w:val="0"/>
        <w:snapToGrid w:val="0"/>
        <w:spacing w:line="400" w:lineRule="exact"/>
        <w:ind w:firstLine="420" w:firstLineChars="200"/>
        <w:jc w:val="left"/>
      </w:pPr>
      <w:r>
        <w:rPr>
          <w:rFonts w:hint="eastAsia" w:ascii="宋体" w:hAnsi="宋体"/>
          <w:szCs w:val="21"/>
        </w:rPr>
        <w:t>（5）乙方在约定的时间内未能弥补缺陷，甲方可采取必要的补救措施，但其风险和费用将由乙方承担，甲方根据合同约定对乙方行使的其他权利不受影响。</w:t>
      </w:r>
    </w:p>
    <w:p w14:paraId="0F7E5AAE">
      <w:pPr>
        <w:adjustRightInd w:val="0"/>
        <w:snapToGrid w:val="0"/>
        <w:spacing w:line="400" w:lineRule="exact"/>
        <w:jc w:val="left"/>
        <w:rPr>
          <w:rFonts w:ascii="宋体" w:hAnsi="宋体"/>
          <w:b/>
          <w:bCs/>
          <w:sz w:val="24"/>
        </w:rPr>
      </w:pPr>
      <w:r>
        <w:rPr>
          <w:rFonts w:hint="eastAsia" w:ascii="宋体" w:hAnsi="宋体"/>
          <w:b/>
          <w:bCs/>
          <w:color w:val="000000"/>
          <w:sz w:val="24"/>
        </w:rPr>
        <w:t>9</w:t>
      </w:r>
      <w:r>
        <w:rPr>
          <w:rFonts w:hint="eastAsia" w:ascii="宋体" w:hAnsi="宋体"/>
          <w:b/>
          <w:bCs/>
          <w:sz w:val="24"/>
        </w:rPr>
        <w:t>.</w:t>
      </w:r>
      <w:r>
        <w:rPr>
          <w:rFonts w:hint="eastAsia" w:ascii="宋体" w:hAnsi="宋体"/>
          <w:b/>
          <w:bCs/>
          <w:color w:val="000000"/>
          <w:sz w:val="24"/>
        </w:rPr>
        <w:t xml:space="preserve"> </w:t>
      </w:r>
      <w:r>
        <w:rPr>
          <w:rFonts w:hint="eastAsia" w:ascii="宋体" w:hAnsi="宋体"/>
          <w:b/>
          <w:bCs/>
          <w:sz w:val="24"/>
        </w:rPr>
        <w:t>权利瑕疵担保</w:t>
      </w:r>
    </w:p>
    <w:p w14:paraId="34BC047B">
      <w:pPr>
        <w:autoSpaceDE w:val="0"/>
        <w:autoSpaceDN w:val="0"/>
        <w:adjustRightInd w:val="0"/>
        <w:snapToGrid w:val="0"/>
        <w:spacing w:line="400" w:lineRule="exact"/>
        <w:ind w:firstLine="420" w:firstLineChars="200"/>
        <w:jc w:val="left"/>
        <w:rPr>
          <w:rFonts w:ascii="宋体" w:hAnsi="宋体"/>
          <w:color w:val="000000"/>
          <w:szCs w:val="21"/>
        </w:rPr>
      </w:pPr>
      <w:r>
        <w:rPr>
          <w:rFonts w:hint="eastAsia" w:ascii="宋体" w:hAnsi="宋体"/>
          <w:color w:val="000000"/>
          <w:szCs w:val="21"/>
        </w:rPr>
        <w:t>9.1 乙方保证对其出售的货物享有合法的权利。</w:t>
      </w:r>
    </w:p>
    <w:p w14:paraId="2CEB6762">
      <w:pPr>
        <w:autoSpaceDE w:val="0"/>
        <w:autoSpaceDN w:val="0"/>
        <w:adjustRightInd w:val="0"/>
        <w:snapToGrid w:val="0"/>
        <w:spacing w:line="400" w:lineRule="exact"/>
        <w:ind w:firstLine="420" w:firstLineChars="200"/>
        <w:jc w:val="left"/>
        <w:rPr>
          <w:rFonts w:ascii="宋体" w:hAnsi="宋体"/>
          <w:color w:val="000000"/>
          <w:szCs w:val="21"/>
        </w:rPr>
      </w:pPr>
      <w:r>
        <w:rPr>
          <w:rFonts w:hint="eastAsia" w:ascii="宋体" w:hAnsi="宋体"/>
          <w:color w:val="000000"/>
          <w:szCs w:val="21"/>
        </w:rPr>
        <w:t xml:space="preserve">9.2 </w:t>
      </w:r>
      <w:r>
        <w:rPr>
          <w:rFonts w:hint="eastAsia" w:ascii="宋体" w:hAnsi="宋体" w:cs="宋体"/>
          <w:szCs w:val="15"/>
        </w:rPr>
        <w:t>乙方保证在交付的货物上不存在抵押权等担保物权。</w:t>
      </w:r>
    </w:p>
    <w:p w14:paraId="5602342C">
      <w:pPr>
        <w:autoSpaceDE w:val="0"/>
        <w:autoSpaceDN w:val="0"/>
        <w:adjustRightInd w:val="0"/>
        <w:snapToGrid w:val="0"/>
        <w:spacing w:line="400" w:lineRule="exact"/>
        <w:ind w:firstLine="420" w:firstLineChars="200"/>
        <w:jc w:val="left"/>
        <w:rPr>
          <w:rFonts w:ascii="宋体" w:hAnsi="宋体"/>
          <w:color w:val="000000"/>
          <w:szCs w:val="21"/>
        </w:rPr>
      </w:pPr>
      <w:r>
        <w:rPr>
          <w:rFonts w:hint="eastAsia" w:ascii="宋体" w:hAnsi="宋体"/>
          <w:color w:val="000000"/>
          <w:szCs w:val="21"/>
        </w:rPr>
        <w:t>9.3 如甲方使用上述货物构成对第三人侵权的，则由乙方承担全部责任。</w:t>
      </w:r>
    </w:p>
    <w:p w14:paraId="1E3EE5CB">
      <w:pPr>
        <w:autoSpaceDE w:val="0"/>
        <w:autoSpaceDN w:val="0"/>
        <w:adjustRightInd w:val="0"/>
        <w:snapToGrid w:val="0"/>
        <w:spacing w:line="400" w:lineRule="exact"/>
        <w:jc w:val="left"/>
        <w:rPr>
          <w:rFonts w:ascii="宋体" w:hAnsi="宋体"/>
          <w:b/>
          <w:bCs/>
          <w:color w:val="000000"/>
          <w:sz w:val="24"/>
        </w:rPr>
      </w:pPr>
      <w:r>
        <w:rPr>
          <w:rFonts w:hint="eastAsia" w:ascii="宋体" w:hAnsi="宋体"/>
          <w:b/>
          <w:bCs/>
          <w:color w:val="000000"/>
          <w:sz w:val="24"/>
        </w:rPr>
        <w:t>10. 知识产权保护</w:t>
      </w:r>
    </w:p>
    <w:p w14:paraId="4170F08E">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color w:val="000000"/>
          <w:szCs w:val="21"/>
        </w:rPr>
        <w:t>10.1 乙方对其所销售的货物应当享有知识产权或经权利人合法授权，保证没有侵犯任</w:t>
      </w:r>
      <w:r>
        <w:rPr>
          <w:rFonts w:hint="eastAsia" w:ascii="宋体" w:hAnsi="宋体"/>
          <w:szCs w:val="21"/>
        </w:rPr>
        <w:t>何第三人的知识产权等权利。</w:t>
      </w:r>
      <w:bookmarkStart w:id="87" w:name="_Hlk163047038"/>
      <w:r>
        <w:rPr>
          <w:rFonts w:hint="eastAsia" w:ascii="宋体" w:hAnsi="宋体" w:cs="宋体"/>
          <w:szCs w:val="15"/>
        </w:rPr>
        <w:t>因违反前述约定对第三人构成侵权的，应当由乙方向第三人承担法律责任；甲方依法向第三人赔偿后，有权向乙方追偿。甲方有其他损失的，乙方应当赔偿</w:t>
      </w:r>
      <w:bookmarkEnd w:id="87"/>
      <w:r>
        <w:rPr>
          <w:rFonts w:hint="eastAsia" w:ascii="宋体" w:hAnsi="宋体"/>
          <w:szCs w:val="21"/>
        </w:rPr>
        <w:t>。</w:t>
      </w:r>
    </w:p>
    <w:p w14:paraId="7F4B56BB">
      <w:pPr>
        <w:autoSpaceDE w:val="0"/>
        <w:autoSpaceDN w:val="0"/>
        <w:adjustRightInd w:val="0"/>
        <w:snapToGrid w:val="0"/>
        <w:spacing w:line="400" w:lineRule="exact"/>
        <w:jc w:val="left"/>
        <w:rPr>
          <w:rFonts w:ascii="宋体" w:hAnsi="宋体"/>
          <w:b/>
          <w:bCs/>
          <w:sz w:val="24"/>
        </w:rPr>
      </w:pPr>
      <w:r>
        <w:rPr>
          <w:rFonts w:hint="eastAsia" w:ascii="宋体" w:hAnsi="宋体"/>
          <w:b/>
          <w:bCs/>
          <w:sz w:val="24"/>
        </w:rPr>
        <w:t>11. 保密义务</w:t>
      </w:r>
    </w:p>
    <w:p w14:paraId="158E721F">
      <w:pPr>
        <w:autoSpaceDE w:val="0"/>
        <w:autoSpaceDN w:val="0"/>
        <w:adjustRightInd w:val="0"/>
        <w:snapToGrid w:val="0"/>
        <w:spacing w:line="400" w:lineRule="exact"/>
        <w:ind w:firstLine="420" w:firstLineChars="200"/>
        <w:jc w:val="left"/>
        <w:rPr>
          <w:rFonts w:ascii="宋体" w:hAnsi="宋体" w:cs="宋体"/>
          <w:szCs w:val="15"/>
        </w:rPr>
      </w:pPr>
      <w:r>
        <w:rPr>
          <w:rFonts w:hint="eastAsia" w:ascii="宋体" w:hAnsi="宋体" w:cs="宋体"/>
          <w:szCs w:val="15"/>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rFonts w:hint="eastAsia" w:ascii="宋体" w:hAnsi="宋体" w:cs="宋体"/>
          <w:b/>
          <w:bCs/>
          <w:szCs w:val="15"/>
        </w:rPr>
        <w:t>【政府采购合同专用条款】</w:t>
      </w:r>
      <w:r>
        <w:rPr>
          <w:rFonts w:hint="eastAsia" w:ascii="宋体" w:hAnsi="宋体" w:cs="宋体"/>
          <w:szCs w:val="15"/>
        </w:rPr>
        <w:t>中约定。</w:t>
      </w:r>
    </w:p>
    <w:p w14:paraId="4F462009">
      <w:pPr>
        <w:autoSpaceDE w:val="0"/>
        <w:autoSpaceDN w:val="0"/>
        <w:adjustRightInd w:val="0"/>
        <w:snapToGrid w:val="0"/>
        <w:spacing w:line="400" w:lineRule="exact"/>
        <w:jc w:val="left"/>
        <w:rPr>
          <w:rFonts w:ascii="宋体" w:hAnsi="宋体"/>
          <w:b/>
          <w:bCs/>
          <w:sz w:val="24"/>
        </w:rPr>
      </w:pPr>
      <w:r>
        <w:rPr>
          <w:rFonts w:hint="eastAsia" w:ascii="宋体" w:hAnsi="宋体"/>
          <w:b/>
          <w:bCs/>
          <w:sz w:val="24"/>
        </w:rPr>
        <w:t>12. 合同价款支付</w:t>
      </w:r>
    </w:p>
    <w:p w14:paraId="1FA3913B">
      <w:pPr>
        <w:adjustRightInd w:val="0"/>
        <w:snapToGrid w:val="0"/>
        <w:spacing w:line="400" w:lineRule="exact"/>
        <w:ind w:firstLine="420" w:firstLineChars="200"/>
        <w:jc w:val="left"/>
        <w:rPr>
          <w:rFonts w:ascii="宋体" w:hAnsi="宋体"/>
          <w:szCs w:val="21"/>
        </w:rPr>
      </w:pPr>
      <w:r>
        <w:rPr>
          <w:rFonts w:hint="eastAsia" w:ascii="宋体" w:hAnsi="宋体"/>
          <w:szCs w:val="21"/>
        </w:rPr>
        <w:t>12.1 合同价款支付按照国库集中支付制度及财政管理相关规定执行。</w:t>
      </w:r>
    </w:p>
    <w:p w14:paraId="43219C48">
      <w:pPr>
        <w:keepNext/>
        <w:keepLines/>
        <w:spacing w:line="400" w:lineRule="exact"/>
        <w:ind w:firstLine="420" w:firstLineChars="200"/>
        <w:rPr>
          <w:rFonts w:ascii="Arial" w:hAnsi="Arial"/>
          <w:b/>
          <w:bCs/>
          <w:sz w:val="24"/>
          <w:szCs w:val="32"/>
        </w:rPr>
      </w:pPr>
      <w:r>
        <w:rPr>
          <w:rFonts w:hint="eastAsia" w:ascii="宋体" w:hAnsi="宋体"/>
          <w:szCs w:val="21"/>
        </w:rPr>
        <w:t>12.2 对于满足合同约定支付条件的，甲方原则上应当自收到发票后10个工作日内将资金支付到合同约定的乙方账户，不得以机构变动、人员更替、政策调整等为由迟延付款，不得将采购文件和合同中未规定的义务作为向乙方付款的条件。具体合同价款支付时间在【</w:t>
      </w:r>
      <w:r>
        <w:rPr>
          <w:rFonts w:hint="eastAsia" w:ascii="宋体" w:hAnsi="宋体"/>
          <w:b/>
          <w:bCs/>
          <w:szCs w:val="21"/>
        </w:rPr>
        <w:t>政府采购合同专用条款</w:t>
      </w:r>
      <w:r>
        <w:rPr>
          <w:rFonts w:hint="eastAsia" w:ascii="宋体" w:hAnsi="宋体"/>
          <w:szCs w:val="21"/>
        </w:rPr>
        <w:t>】中约定。</w:t>
      </w:r>
    </w:p>
    <w:p w14:paraId="051A1CC7">
      <w:pPr>
        <w:spacing w:line="400" w:lineRule="exact"/>
        <w:rPr>
          <w:rFonts w:ascii="宋体" w:hAnsi="宋体"/>
          <w:b/>
          <w:bCs/>
          <w:sz w:val="24"/>
        </w:rPr>
      </w:pPr>
      <w:r>
        <w:rPr>
          <w:rFonts w:hint="eastAsia" w:ascii="宋体" w:hAnsi="宋体"/>
          <w:b/>
          <w:bCs/>
          <w:sz w:val="24"/>
        </w:rPr>
        <w:t>13. 履约保证金</w:t>
      </w:r>
    </w:p>
    <w:p w14:paraId="066CB7CA">
      <w:pPr>
        <w:adjustRightInd w:val="0"/>
        <w:snapToGrid w:val="0"/>
        <w:spacing w:line="400" w:lineRule="exact"/>
        <w:ind w:firstLine="420" w:firstLineChars="200"/>
        <w:jc w:val="left"/>
        <w:rPr>
          <w:rFonts w:ascii="宋体" w:hAnsi="宋体"/>
          <w:szCs w:val="21"/>
        </w:rPr>
      </w:pPr>
      <w:r>
        <w:rPr>
          <w:rFonts w:hint="eastAsia" w:ascii="宋体" w:hAnsi="宋体"/>
          <w:szCs w:val="21"/>
        </w:rPr>
        <w:t xml:space="preserve">13.1 </w:t>
      </w:r>
      <w:r>
        <w:rPr>
          <w:rFonts w:hint="eastAsia" w:ascii="宋体" w:hAnsi="宋体" w:cs="宋体"/>
          <w:szCs w:val="15"/>
        </w:rPr>
        <w:t>乙方应当以支票、汇票、本票或者金融机构、担保机构出具的保函等非现金形式提交。</w:t>
      </w:r>
    </w:p>
    <w:p w14:paraId="4FF72E08">
      <w:pPr>
        <w:adjustRightInd w:val="0"/>
        <w:snapToGrid w:val="0"/>
        <w:spacing w:line="400" w:lineRule="exact"/>
        <w:ind w:firstLine="420" w:firstLineChars="200"/>
        <w:jc w:val="left"/>
        <w:rPr>
          <w:rFonts w:ascii="宋体" w:hAnsi="宋体"/>
          <w:szCs w:val="21"/>
        </w:rPr>
      </w:pPr>
      <w:r>
        <w:rPr>
          <w:rFonts w:hint="eastAsia" w:ascii="宋体" w:hAnsi="宋体"/>
          <w:szCs w:val="21"/>
        </w:rPr>
        <w:t>13.2 如果乙方出现</w:t>
      </w:r>
      <w:r>
        <w:rPr>
          <w:rFonts w:hint="eastAsia" w:ascii="宋体" w:hAnsi="宋体" w:cs="宋体"/>
          <w:b/>
          <w:bCs/>
          <w:szCs w:val="15"/>
        </w:rPr>
        <w:t>【政府采购合同专用条款】</w:t>
      </w:r>
      <w:r>
        <w:rPr>
          <w:rFonts w:hint="eastAsia" w:ascii="宋体" w:hAnsi="宋体" w:cs="宋体"/>
          <w:szCs w:val="15"/>
        </w:rPr>
        <w:t>约定情形的</w:t>
      </w:r>
      <w:r>
        <w:rPr>
          <w:rFonts w:hint="eastAsia" w:ascii="宋体" w:hAnsi="宋体"/>
          <w:szCs w:val="21"/>
        </w:rPr>
        <w:t>，履约保证金不予退还；如果乙方未能按合同约定全面履行义务，甲方有权从履约保证金中取得补偿或赔偿，且不影响甲方要求乙方承担合同约定的超过履约保证金的违约责任的权利。</w:t>
      </w:r>
    </w:p>
    <w:p w14:paraId="064572B5">
      <w:pPr>
        <w:spacing w:line="400" w:lineRule="exact"/>
        <w:ind w:firstLine="420"/>
      </w:pPr>
      <w:r>
        <w:rPr>
          <w:rFonts w:hint="eastAsia" w:ascii="宋体" w:hAnsi="宋体"/>
          <w:szCs w:val="21"/>
        </w:rPr>
        <w:t>13.3 甲方在项目通过验收后按照</w:t>
      </w:r>
      <w:r>
        <w:rPr>
          <w:rFonts w:hint="eastAsia" w:ascii="宋体" w:hAnsi="宋体"/>
          <w:b/>
          <w:szCs w:val="21"/>
        </w:rPr>
        <w:t>【政府采购合同专用条款】</w:t>
      </w:r>
      <w:r>
        <w:rPr>
          <w:rFonts w:hint="eastAsia" w:ascii="宋体" w:hAnsi="宋体"/>
          <w:szCs w:val="21"/>
        </w:rPr>
        <w:t>规定的时间内将履约保证金退还乙方；逾期退还的，乙方可要求甲方支付违约金，违约金按照</w:t>
      </w:r>
      <w:r>
        <w:rPr>
          <w:rFonts w:hint="eastAsia" w:ascii="宋体" w:hAnsi="宋体"/>
          <w:b/>
          <w:szCs w:val="21"/>
        </w:rPr>
        <w:t>【政府采购合同专用条款】</w:t>
      </w:r>
      <w:r>
        <w:rPr>
          <w:rFonts w:hint="eastAsia" w:ascii="宋体" w:hAnsi="宋体"/>
          <w:szCs w:val="21"/>
        </w:rPr>
        <w:t>规定支付。</w:t>
      </w:r>
    </w:p>
    <w:p w14:paraId="0112D74B">
      <w:pPr>
        <w:autoSpaceDE w:val="0"/>
        <w:autoSpaceDN w:val="0"/>
        <w:adjustRightInd w:val="0"/>
        <w:snapToGrid w:val="0"/>
        <w:spacing w:line="400" w:lineRule="exact"/>
        <w:jc w:val="left"/>
        <w:rPr>
          <w:rFonts w:ascii="宋体" w:hAnsi="宋体"/>
          <w:b/>
          <w:sz w:val="24"/>
        </w:rPr>
      </w:pPr>
      <w:r>
        <w:rPr>
          <w:rFonts w:hint="eastAsia" w:ascii="宋体" w:hAnsi="宋体"/>
          <w:b/>
          <w:bCs/>
          <w:sz w:val="24"/>
        </w:rPr>
        <w:t xml:space="preserve">14. </w:t>
      </w:r>
      <w:r>
        <w:rPr>
          <w:rFonts w:hint="eastAsia"/>
          <w:b/>
          <w:sz w:val="24"/>
        </w:rPr>
        <w:t>售后</w:t>
      </w:r>
      <w:r>
        <w:rPr>
          <w:rFonts w:hint="eastAsia" w:ascii="宋体" w:hAnsi="宋体"/>
          <w:b/>
          <w:sz w:val="24"/>
        </w:rPr>
        <w:t>服务</w:t>
      </w:r>
    </w:p>
    <w:p w14:paraId="7A894DA2">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14.1 除项目不涉及或采购活动中明确约定无须承担外，乙方还应提供下列服务：</w:t>
      </w:r>
    </w:p>
    <w:p w14:paraId="5F0A2199">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（1）货物的现场移动、安装、调试、启动监督及技术支持；</w:t>
      </w:r>
    </w:p>
    <w:p w14:paraId="09B162E9">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（2）提供货物组装和维修所需的专用工具和辅助材料；</w:t>
      </w:r>
    </w:p>
    <w:p w14:paraId="09F57058">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（3）在</w:t>
      </w:r>
      <w:r>
        <w:rPr>
          <w:rFonts w:hint="eastAsia" w:ascii="宋体" w:hAnsi="宋体" w:cs="宋体"/>
          <w:b/>
          <w:bCs/>
          <w:szCs w:val="15"/>
        </w:rPr>
        <w:t>【政府采购合同专用条款】</w:t>
      </w:r>
      <w:r>
        <w:rPr>
          <w:rFonts w:hint="eastAsia" w:ascii="宋体" w:hAnsi="宋体"/>
          <w:szCs w:val="21"/>
        </w:rPr>
        <w:t>约定的期限内对所有的货物实施运行监督、维修，但前提条件是该服务并不能免除乙方在质量保证期内所承担的义务；</w:t>
      </w:r>
    </w:p>
    <w:p w14:paraId="5F76B5C7">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（4）在制造商所在地或指定现场就货物的安装、启动、运营、维护、废弃处置等对甲方操作人员进行培训</w:t>
      </w:r>
      <w:r>
        <w:rPr>
          <w:rFonts w:hint="eastAsia" w:ascii="宋体" w:hAnsi="宋体" w:cs="宋体"/>
          <w:szCs w:val="15"/>
        </w:rPr>
        <w:t>；</w:t>
      </w:r>
    </w:p>
    <w:p w14:paraId="7F76FA1E">
      <w:pPr>
        <w:autoSpaceDE w:val="0"/>
        <w:autoSpaceDN w:val="0"/>
        <w:adjustRightInd w:val="0"/>
        <w:spacing w:line="400" w:lineRule="exact"/>
        <w:ind w:firstLine="420" w:firstLineChars="200"/>
        <w:rPr>
          <w:rFonts w:ascii="宋体" w:hAnsi="宋体" w:cs="宋体"/>
          <w:szCs w:val="21"/>
        </w:rPr>
      </w:pPr>
      <w:r>
        <w:rPr>
          <w:rFonts w:hint="eastAsia" w:ascii="宋体" w:hAnsi="宋体" w:cs="宋体"/>
          <w:szCs w:val="21"/>
        </w:rPr>
        <w:t>（5）依照法律、行政法规的规定或者按照</w:t>
      </w:r>
      <w:r>
        <w:rPr>
          <w:rFonts w:hint="eastAsia" w:ascii="宋体" w:hAnsi="宋体" w:cs="宋体"/>
          <w:b/>
          <w:bCs/>
          <w:szCs w:val="21"/>
        </w:rPr>
        <w:t>【政府采购合同专用条款】</w:t>
      </w:r>
      <w:r>
        <w:rPr>
          <w:rFonts w:hint="eastAsia" w:ascii="宋体" w:hAnsi="宋体" w:cs="宋体"/>
          <w:szCs w:val="21"/>
        </w:rPr>
        <w:t>约定，货物在有效使用年限届满后应予回收的，乙方负有自行或者委托第三人对货物予以回收的义务；</w:t>
      </w:r>
    </w:p>
    <w:p w14:paraId="53D0554B">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（6）</w:t>
      </w:r>
      <w:r>
        <w:rPr>
          <w:rFonts w:hint="eastAsia" w:ascii="宋体" w:hAnsi="宋体"/>
          <w:b/>
          <w:szCs w:val="21"/>
        </w:rPr>
        <w:t>【政府采购合同专用条款】</w:t>
      </w:r>
      <w:r>
        <w:rPr>
          <w:rFonts w:hint="eastAsia" w:ascii="宋体" w:hAnsi="宋体"/>
          <w:szCs w:val="21"/>
        </w:rPr>
        <w:t>规定由乙方提供的其他服务。</w:t>
      </w:r>
    </w:p>
    <w:p w14:paraId="28DEDAF1">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14.2 乙方提供的售后服务的费用已包含在合同价款中，甲方不再另行支付。</w:t>
      </w:r>
    </w:p>
    <w:p w14:paraId="2C2FED5B">
      <w:pPr>
        <w:adjustRightInd w:val="0"/>
        <w:snapToGrid w:val="0"/>
        <w:spacing w:line="400" w:lineRule="exact"/>
        <w:jc w:val="left"/>
        <w:rPr>
          <w:rFonts w:ascii="宋体" w:hAnsi="宋体"/>
          <w:b/>
          <w:bCs/>
          <w:sz w:val="24"/>
        </w:rPr>
      </w:pPr>
      <w:r>
        <w:rPr>
          <w:rFonts w:hint="eastAsia" w:ascii="宋体" w:hAnsi="宋体"/>
          <w:b/>
          <w:bCs/>
          <w:sz w:val="24"/>
        </w:rPr>
        <w:t>15. 违约责任</w:t>
      </w:r>
    </w:p>
    <w:p w14:paraId="55701291">
      <w:pPr>
        <w:adjustRightInd w:val="0"/>
        <w:snapToGrid w:val="0"/>
        <w:spacing w:line="400" w:lineRule="exact"/>
        <w:ind w:firstLine="420" w:firstLineChars="200"/>
        <w:jc w:val="left"/>
        <w:rPr>
          <w:rFonts w:ascii="宋体" w:hAnsi="宋体"/>
          <w:bCs/>
          <w:szCs w:val="21"/>
        </w:rPr>
      </w:pPr>
      <w:r>
        <w:rPr>
          <w:rFonts w:hint="eastAsia" w:ascii="宋体" w:hAnsi="宋体"/>
          <w:bCs/>
          <w:szCs w:val="21"/>
        </w:rPr>
        <w:t>15.1质量瑕疵的违约责任</w:t>
      </w:r>
    </w:p>
    <w:p w14:paraId="6775C094">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乙方提供的产品不符合合同约定的质量标准或存在产品质量缺陷，甲方有权要求乙方根据</w:t>
      </w:r>
      <w:r>
        <w:rPr>
          <w:rFonts w:hint="eastAsia" w:ascii="宋体" w:hAnsi="宋体"/>
          <w:b/>
          <w:szCs w:val="21"/>
        </w:rPr>
        <w:t>【政府采购合同专用条款】</w:t>
      </w:r>
      <w:r>
        <w:rPr>
          <w:rFonts w:hint="eastAsia" w:ascii="宋体" w:hAnsi="宋体"/>
          <w:bCs/>
          <w:szCs w:val="21"/>
        </w:rPr>
        <w:t>要求</w:t>
      </w:r>
      <w:r>
        <w:rPr>
          <w:rFonts w:hint="eastAsia" w:ascii="宋体" w:hAnsi="宋体"/>
          <w:szCs w:val="21"/>
        </w:rPr>
        <w:t>及时修理、重作、更换，并承担由此给甲方造成的损失。</w:t>
      </w:r>
    </w:p>
    <w:p w14:paraId="3EFFB7CC">
      <w:pPr>
        <w:autoSpaceDE w:val="0"/>
        <w:autoSpaceDN w:val="0"/>
        <w:adjustRightInd w:val="0"/>
        <w:snapToGrid w:val="0"/>
        <w:spacing w:line="400" w:lineRule="exact"/>
        <w:ind w:firstLine="420" w:firstLineChars="200"/>
        <w:jc w:val="left"/>
        <w:rPr>
          <w:rFonts w:ascii="宋体" w:hAnsi="宋体"/>
          <w:bCs/>
          <w:szCs w:val="21"/>
        </w:rPr>
      </w:pPr>
      <w:r>
        <w:rPr>
          <w:rFonts w:hint="eastAsia" w:ascii="宋体" w:hAnsi="宋体"/>
          <w:bCs/>
          <w:szCs w:val="21"/>
        </w:rPr>
        <w:t>15.2 迟延交货的违约责任</w:t>
      </w:r>
    </w:p>
    <w:p w14:paraId="05E66470">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14:paraId="36DCABE5">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（2）如果乙方没有按照合同规定的时间交货和提供相关服务，甲方有权从货款中扣除误期赔偿费而不影响合同项下的其他补救方法，赔偿费按</w:t>
      </w:r>
      <w:r>
        <w:rPr>
          <w:rFonts w:hint="eastAsia" w:ascii="宋体" w:hAnsi="宋体"/>
          <w:b/>
          <w:szCs w:val="21"/>
        </w:rPr>
        <w:t>【政府采购合同专用条款】</w:t>
      </w:r>
      <w:r>
        <w:rPr>
          <w:rFonts w:hint="eastAsia" w:ascii="宋体" w:hAnsi="宋体"/>
          <w:szCs w:val="21"/>
        </w:rPr>
        <w:t>规定执行。如果涉及公共利益，且赔偿金额无法弥补公共利益损失，甲方可要求继续履行或者采取其他补救措施。</w:t>
      </w:r>
    </w:p>
    <w:p w14:paraId="2E21FCEF">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15.3 迟延支付的违约责任</w:t>
      </w:r>
    </w:p>
    <w:p w14:paraId="7C9D5368">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甲方存在迟延支付乙方合同款项的，应当承担</w:t>
      </w:r>
      <w:r>
        <w:rPr>
          <w:rFonts w:hint="eastAsia" w:ascii="宋体" w:hAnsi="宋体"/>
          <w:b/>
          <w:bCs/>
          <w:szCs w:val="21"/>
        </w:rPr>
        <w:t>【政府采购合同专用条款】</w:t>
      </w:r>
      <w:r>
        <w:rPr>
          <w:rFonts w:hint="eastAsia" w:ascii="宋体" w:hAnsi="宋体"/>
          <w:szCs w:val="21"/>
        </w:rPr>
        <w:t>规定的逾期付款利息。</w:t>
      </w:r>
    </w:p>
    <w:p w14:paraId="1EF35949">
      <w:pPr>
        <w:adjustRightInd w:val="0"/>
        <w:snapToGrid w:val="0"/>
        <w:spacing w:line="400" w:lineRule="exact"/>
        <w:ind w:firstLine="420" w:firstLineChars="200"/>
        <w:jc w:val="left"/>
        <w:rPr>
          <w:rFonts w:ascii="宋体" w:hAnsi="宋体"/>
          <w:szCs w:val="21"/>
        </w:rPr>
      </w:pPr>
      <w:r>
        <w:rPr>
          <w:rFonts w:hint="eastAsia" w:ascii="宋体" w:hAnsi="宋体"/>
          <w:bCs/>
          <w:szCs w:val="21"/>
        </w:rPr>
        <w:t>15.4其他违约责任根据项目实际需要按</w:t>
      </w:r>
      <w:r>
        <w:rPr>
          <w:rFonts w:hint="eastAsia" w:ascii="宋体" w:hAnsi="宋体"/>
          <w:b/>
          <w:bCs/>
          <w:szCs w:val="21"/>
        </w:rPr>
        <w:t>【政府采购合同专用条款】</w:t>
      </w:r>
      <w:r>
        <w:rPr>
          <w:rFonts w:hint="eastAsia" w:ascii="宋体" w:hAnsi="宋体"/>
          <w:szCs w:val="21"/>
        </w:rPr>
        <w:t>规定执行。</w:t>
      </w:r>
    </w:p>
    <w:p w14:paraId="4D9DE50C">
      <w:pPr>
        <w:numPr>
          <w:ilvl w:val="0"/>
          <w:numId w:val="15"/>
        </w:numPr>
        <w:autoSpaceDE w:val="0"/>
        <w:autoSpaceDN w:val="0"/>
        <w:adjustRightInd w:val="0"/>
        <w:snapToGrid w:val="0"/>
        <w:spacing w:line="400" w:lineRule="exact"/>
        <w:jc w:val="left"/>
        <w:rPr>
          <w:rFonts w:ascii="宋体" w:hAnsi="宋体"/>
          <w:b/>
          <w:sz w:val="24"/>
        </w:rPr>
      </w:pPr>
      <w:r>
        <w:rPr>
          <w:rFonts w:hint="eastAsia" w:ascii="宋体" w:hAnsi="宋体"/>
          <w:b/>
          <w:sz w:val="24"/>
        </w:rPr>
        <w:t>合同变更、中止与终止</w:t>
      </w:r>
    </w:p>
    <w:p w14:paraId="35709D44">
      <w:pPr>
        <w:adjustRightInd w:val="0"/>
        <w:snapToGrid w:val="0"/>
        <w:spacing w:line="400" w:lineRule="exact"/>
        <w:jc w:val="left"/>
        <w:rPr>
          <w:rFonts w:ascii="宋体" w:hAnsi="宋体"/>
          <w:szCs w:val="21"/>
        </w:rPr>
      </w:pPr>
      <w:r>
        <w:rPr>
          <w:rFonts w:hint="eastAsia" w:ascii="宋体" w:hAnsi="宋体"/>
          <w:szCs w:val="21"/>
        </w:rPr>
        <w:t xml:space="preserve">    16.1合同的变更</w:t>
      </w:r>
    </w:p>
    <w:p w14:paraId="18A79FB9">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政府采购合同履行中，在不改变合同其他条款的前提下，甲方可以在合同价款10%的范围内追加与合同标的相同的货物，并就此与乙方协商一致后签订补充协议。</w:t>
      </w:r>
    </w:p>
    <w:p w14:paraId="4038C68E">
      <w:pPr>
        <w:adjustRightInd w:val="0"/>
        <w:snapToGrid w:val="0"/>
        <w:spacing w:line="400" w:lineRule="exact"/>
        <w:ind w:firstLine="420" w:firstLineChars="200"/>
        <w:jc w:val="left"/>
        <w:rPr>
          <w:rFonts w:ascii="宋体" w:hAnsi="宋体"/>
          <w:szCs w:val="21"/>
        </w:rPr>
      </w:pPr>
      <w:r>
        <w:rPr>
          <w:rFonts w:hint="eastAsia" w:ascii="宋体" w:hAnsi="宋体"/>
          <w:szCs w:val="21"/>
        </w:rPr>
        <w:t>16.2合同的中止</w:t>
      </w:r>
    </w:p>
    <w:p w14:paraId="76E0F879">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（1）合同履行过程中因供应商就采购文件、采购过程或结果提起投诉的，甲方认为有必要的，可以中止合同的履行。</w:t>
      </w:r>
    </w:p>
    <w:p w14:paraId="03A8AF4E">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14:paraId="70EC4904">
      <w:pPr>
        <w:autoSpaceDE w:val="0"/>
        <w:autoSpaceDN w:val="0"/>
        <w:adjustRightInd w:val="0"/>
        <w:spacing w:line="400" w:lineRule="exact"/>
        <w:ind w:firstLine="420" w:firstLineChars="200"/>
        <w:rPr>
          <w:rFonts w:ascii="华文楷体" w:hAnsi="华文楷体" w:eastAsia="华文楷体" w:cs="华文楷体"/>
          <w:szCs w:val="21"/>
        </w:rPr>
      </w:pPr>
      <w:r>
        <w:rPr>
          <w:rFonts w:hint="eastAsia" w:ascii="宋体" w:hAnsi="宋体" w:cs="宋体"/>
          <w:szCs w:val="21"/>
        </w:rPr>
        <w:t>（3）乙方分立、合并或者变更住所的，应当及时以书面形式告知甲方。乙方没有及时告知甲方，致使合同履行发生困难的，甲方可以中止合同履行并要求乙方承担由此给甲方造成的损失。</w:t>
      </w:r>
    </w:p>
    <w:p w14:paraId="5ED5E7A9">
      <w:pPr>
        <w:snapToGrid w:val="0"/>
        <w:spacing w:line="400" w:lineRule="exact"/>
        <w:ind w:firstLine="420" w:firstLineChars="200"/>
        <w:jc w:val="left"/>
      </w:pPr>
      <w:r>
        <w:rPr>
          <w:rFonts w:hint="eastAsia" w:ascii="宋体" w:hAnsi="宋体"/>
          <w:szCs w:val="21"/>
        </w:rPr>
        <w:t>（4）甲方不得以行政区划调整、政府换届、机构或者职能调整以及相关责任人更替为由中止合同。</w:t>
      </w:r>
    </w:p>
    <w:p w14:paraId="236F87B9">
      <w:pPr>
        <w:adjustRightInd w:val="0"/>
        <w:snapToGrid w:val="0"/>
        <w:spacing w:line="400" w:lineRule="exact"/>
        <w:ind w:firstLine="420" w:firstLineChars="200"/>
        <w:jc w:val="left"/>
        <w:rPr>
          <w:rFonts w:ascii="宋体" w:hAnsi="宋体"/>
          <w:szCs w:val="21"/>
        </w:rPr>
      </w:pPr>
      <w:r>
        <w:rPr>
          <w:rFonts w:hint="eastAsia" w:ascii="宋体" w:hAnsi="宋体"/>
          <w:szCs w:val="21"/>
        </w:rPr>
        <w:t>16.3合同的终止</w:t>
      </w:r>
    </w:p>
    <w:p w14:paraId="501F15A7">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（1）合同因有效期限届满而终止；</w:t>
      </w:r>
    </w:p>
    <w:p w14:paraId="6A5F073B">
      <w:pPr>
        <w:snapToGrid w:val="0"/>
        <w:spacing w:line="400" w:lineRule="exact"/>
        <w:ind w:firstLine="420" w:firstLineChars="200"/>
        <w:rPr>
          <w:rFonts w:ascii="宋体" w:hAnsi="宋体" w:cs="宋体"/>
          <w:szCs w:val="21"/>
        </w:rPr>
      </w:pPr>
      <w:r>
        <w:rPr>
          <w:rFonts w:hint="eastAsia" w:ascii="宋体" w:hAnsi="宋体"/>
          <w:szCs w:val="21"/>
        </w:rPr>
        <w:t>（2）乙方未按合同约定履行，构成根本性违约的，甲方有权终止合同，</w:t>
      </w:r>
      <w:r>
        <w:rPr>
          <w:rFonts w:hint="eastAsia" w:ascii="宋体" w:hAnsi="宋体" w:cs="宋体"/>
          <w:szCs w:val="21"/>
        </w:rPr>
        <w:t>并追究乙方的违约责任</w:t>
      </w:r>
      <w:r>
        <w:rPr>
          <w:rFonts w:hint="eastAsia" w:ascii="宋体" w:hAnsi="宋体"/>
          <w:szCs w:val="21"/>
        </w:rPr>
        <w:t>。</w:t>
      </w:r>
    </w:p>
    <w:p w14:paraId="3A618050">
      <w:pPr>
        <w:autoSpaceDE w:val="0"/>
        <w:autoSpaceDN w:val="0"/>
        <w:adjustRightInd w:val="0"/>
        <w:spacing w:line="400" w:lineRule="exact"/>
        <w:ind w:firstLine="440" w:firstLineChars="200"/>
        <w:rPr>
          <w:rFonts w:ascii="宋体" w:hAnsi="宋体" w:eastAsia="华文楷体" w:cs="华文楷体"/>
          <w:sz w:val="22"/>
          <w:szCs w:val="21"/>
        </w:rPr>
      </w:pPr>
      <w:r>
        <w:rPr>
          <w:rFonts w:hint="eastAsia" w:ascii="宋体" w:hAnsi="宋体" w:eastAsia="华文楷体" w:cs="华文楷体"/>
          <w:sz w:val="22"/>
          <w:szCs w:val="21"/>
        </w:rPr>
        <w:t xml:space="preserve">16.4 </w:t>
      </w:r>
      <w:r>
        <w:rPr>
          <w:rFonts w:hint="eastAsia" w:ascii="宋体" w:hAnsi="宋体"/>
          <w:szCs w:val="21"/>
        </w:rPr>
        <w:t>涉及国家利益、社会公共利益的情形</w:t>
      </w:r>
    </w:p>
    <w:p w14:paraId="5E53DD2B">
      <w:pPr>
        <w:autoSpaceDE w:val="0"/>
        <w:autoSpaceDN w:val="0"/>
        <w:adjustRightInd w:val="0"/>
        <w:spacing w:line="400" w:lineRule="exact"/>
        <w:ind w:firstLine="420" w:firstLineChars="200"/>
        <w:rPr>
          <w:rFonts w:ascii="华文楷体" w:hAnsi="华文楷体" w:eastAsia="华文楷体" w:cs="华文楷体"/>
          <w:szCs w:val="21"/>
        </w:rPr>
      </w:pPr>
      <w:r>
        <w:rPr>
          <w:rFonts w:hint="eastAsia" w:ascii="宋体" w:hAnsi="宋体" w:cs="宋体"/>
          <w:szCs w:val="21"/>
        </w:rPr>
        <w:t>政府采购合同继续履行将损害国家利益和社会公共利益的，双方当事人应当变更、中止或者终止合同。有过错的一方应当承担赔偿责任，双方都有过错的，各自承担相应的责任。</w:t>
      </w:r>
    </w:p>
    <w:p w14:paraId="2B266C61">
      <w:pPr>
        <w:autoSpaceDE w:val="0"/>
        <w:autoSpaceDN w:val="0"/>
        <w:adjustRightInd w:val="0"/>
        <w:snapToGrid w:val="0"/>
        <w:spacing w:line="400" w:lineRule="exact"/>
        <w:jc w:val="left"/>
        <w:rPr>
          <w:rFonts w:ascii="宋体" w:hAnsi="宋体"/>
          <w:b/>
          <w:bCs/>
          <w:sz w:val="24"/>
        </w:rPr>
      </w:pPr>
      <w:r>
        <w:rPr>
          <w:rFonts w:hint="eastAsia" w:ascii="宋体" w:hAnsi="宋体"/>
          <w:b/>
          <w:bCs/>
          <w:sz w:val="24"/>
        </w:rPr>
        <w:t>17. 合同分包</w:t>
      </w:r>
    </w:p>
    <w:p w14:paraId="57DEAE76">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17.1 乙方不得将合同转包给其他供应商。涉及合同分包的，乙方应根据采购文件和投标（响应）文件规定进行合同分包。</w:t>
      </w:r>
    </w:p>
    <w:p w14:paraId="3546C6B0">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17.2 乙方执行政府采购政策向中小企业依法分包的，乙方应当按采购文件和投标（响应）文件签订分包意向协议，分包意向协议属于本合同组成部分。</w:t>
      </w:r>
    </w:p>
    <w:p w14:paraId="138E0AE1">
      <w:pPr>
        <w:autoSpaceDE w:val="0"/>
        <w:autoSpaceDN w:val="0"/>
        <w:adjustRightInd w:val="0"/>
        <w:snapToGrid w:val="0"/>
        <w:spacing w:line="400" w:lineRule="exact"/>
        <w:jc w:val="left"/>
        <w:rPr>
          <w:rFonts w:ascii="宋体" w:hAnsi="宋体"/>
          <w:b/>
          <w:bCs/>
          <w:sz w:val="24"/>
        </w:rPr>
      </w:pPr>
      <w:r>
        <w:rPr>
          <w:rFonts w:hint="eastAsia" w:ascii="宋体" w:hAnsi="宋体"/>
          <w:b/>
          <w:bCs/>
          <w:sz w:val="24"/>
        </w:rPr>
        <w:t>18. 不可抗力</w:t>
      </w:r>
    </w:p>
    <w:p w14:paraId="6E2E2AA1">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18.1 不可抗力是指合同双方不能预见、不能避免且不能克服的客观情况。</w:t>
      </w:r>
    </w:p>
    <w:p w14:paraId="17869836">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18.2 任何一方对由于不可抗力造成的部分或全部不能履行合同不承担违约责任。但迟延履行后发生不可抗力的，不能免除责任。</w:t>
      </w:r>
    </w:p>
    <w:p w14:paraId="3430540C">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14:paraId="182AF407">
      <w:pPr>
        <w:autoSpaceDE w:val="0"/>
        <w:autoSpaceDN w:val="0"/>
        <w:adjustRightInd w:val="0"/>
        <w:snapToGrid w:val="0"/>
        <w:spacing w:line="400" w:lineRule="exact"/>
        <w:jc w:val="left"/>
        <w:rPr>
          <w:rFonts w:ascii="宋体" w:hAnsi="宋体"/>
          <w:b/>
          <w:bCs/>
          <w:sz w:val="24"/>
        </w:rPr>
      </w:pPr>
      <w:r>
        <w:rPr>
          <w:rFonts w:hint="eastAsia" w:ascii="宋体" w:hAnsi="宋体"/>
          <w:b/>
          <w:bCs/>
          <w:sz w:val="24"/>
        </w:rPr>
        <w:t>19. 解决争议的方法</w:t>
      </w:r>
    </w:p>
    <w:p w14:paraId="1F983BFE">
      <w:pPr>
        <w:autoSpaceDE w:val="0"/>
        <w:autoSpaceDN w:val="0"/>
        <w:adjustRightInd w:val="0"/>
        <w:spacing w:line="400" w:lineRule="exact"/>
        <w:ind w:firstLine="420" w:firstLineChars="200"/>
        <w:rPr>
          <w:rFonts w:ascii="宋体" w:hAnsi="宋体" w:cs="宋体"/>
          <w:szCs w:val="21"/>
        </w:rPr>
      </w:pPr>
      <w:r>
        <w:rPr>
          <w:rFonts w:hint="eastAsia" w:ascii="宋体" w:hAnsi="宋体" w:cs="宋体"/>
          <w:szCs w:val="21"/>
        </w:rPr>
        <w:t>19.1 因本合同及合同有关事项发生的争议，由甲乙双方友好协商解决。协商不成时，可以向有关组织申请调解。合同一方或双方不愿调解或调解不成的，可以通过仲裁或诉讼的方式解决争议。</w:t>
      </w:r>
    </w:p>
    <w:p w14:paraId="63EA3A58">
      <w:pPr>
        <w:autoSpaceDE w:val="0"/>
        <w:autoSpaceDN w:val="0"/>
        <w:adjustRightInd w:val="0"/>
        <w:spacing w:line="400" w:lineRule="exact"/>
        <w:ind w:firstLine="420" w:firstLineChars="200"/>
        <w:rPr>
          <w:rFonts w:ascii="宋体" w:hAnsi="宋体" w:cs="宋体"/>
          <w:szCs w:val="21"/>
        </w:rPr>
      </w:pPr>
      <w:r>
        <w:rPr>
          <w:rFonts w:hint="eastAsia" w:ascii="宋体" w:hAnsi="宋体" w:cs="宋体"/>
          <w:szCs w:val="21"/>
        </w:rPr>
        <w:t>19.2 选择仲裁的，应在</w:t>
      </w:r>
      <w:r>
        <w:rPr>
          <w:rFonts w:hint="eastAsia" w:ascii="宋体" w:hAnsi="宋体" w:cs="宋体"/>
          <w:b/>
          <w:bCs/>
          <w:szCs w:val="21"/>
        </w:rPr>
        <w:t>【政府采购合同专用条款】</w:t>
      </w:r>
      <w:r>
        <w:rPr>
          <w:rFonts w:hint="eastAsia" w:ascii="宋体" w:hAnsi="宋体" w:cs="宋体"/>
          <w:szCs w:val="21"/>
        </w:rPr>
        <w:t>中明确仲裁机构及仲裁地；通过诉讼方式解决的，可以在</w:t>
      </w:r>
      <w:r>
        <w:rPr>
          <w:rFonts w:hint="eastAsia" w:ascii="宋体" w:hAnsi="宋体" w:cs="宋体"/>
          <w:b/>
          <w:bCs/>
          <w:szCs w:val="21"/>
        </w:rPr>
        <w:t>【政府采购合同专用条款】</w:t>
      </w:r>
      <w:r>
        <w:rPr>
          <w:rFonts w:hint="eastAsia" w:ascii="宋体" w:hAnsi="宋体" w:cs="宋体"/>
          <w:szCs w:val="21"/>
        </w:rPr>
        <w:t>中进一步约定选择与争议有实际联系的地点的人民法院管辖，但管辖法院的约定不得违反级别管辖和专属管辖的规定。</w:t>
      </w:r>
    </w:p>
    <w:p w14:paraId="4C59C49F">
      <w:pPr>
        <w:autoSpaceDE w:val="0"/>
        <w:autoSpaceDN w:val="0"/>
        <w:adjustRightInd w:val="0"/>
        <w:spacing w:line="400" w:lineRule="exact"/>
        <w:ind w:firstLine="420" w:firstLineChars="200"/>
        <w:rPr>
          <w:rFonts w:ascii="宋体" w:hAnsi="宋体" w:cs="宋体"/>
          <w:szCs w:val="21"/>
        </w:rPr>
      </w:pPr>
      <w:r>
        <w:rPr>
          <w:rFonts w:hint="eastAsia" w:ascii="宋体" w:hAnsi="宋体" w:cs="宋体"/>
          <w:szCs w:val="21"/>
        </w:rPr>
        <w:t>19.3 如甲乙双方有争议的事项不影响合同其他部分的履行，在争议解决期间，合同其他部分应当继续履行。</w:t>
      </w:r>
    </w:p>
    <w:p w14:paraId="1C5888B3">
      <w:pPr>
        <w:autoSpaceDE w:val="0"/>
        <w:autoSpaceDN w:val="0"/>
        <w:adjustRightInd w:val="0"/>
        <w:snapToGrid w:val="0"/>
        <w:spacing w:line="400" w:lineRule="exact"/>
        <w:jc w:val="left"/>
        <w:rPr>
          <w:rFonts w:ascii="宋体" w:hAnsi="宋体"/>
          <w:sz w:val="24"/>
        </w:rPr>
      </w:pPr>
      <w:r>
        <w:rPr>
          <w:rFonts w:hint="eastAsia" w:ascii="宋体" w:hAnsi="宋体"/>
          <w:b/>
          <w:sz w:val="24"/>
        </w:rPr>
        <w:t>20. 政府采购政策</w:t>
      </w:r>
    </w:p>
    <w:p w14:paraId="1B1A2D78">
      <w:pPr>
        <w:autoSpaceDE w:val="0"/>
        <w:autoSpaceDN w:val="0"/>
        <w:adjustRightInd w:val="0"/>
        <w:snapToGrid w:val="0"/>
        <w:spacing w:line="400" w:lineRule="exact"/>
        <w:ind w:firstLine="420" w:firstLineChars="200"/>
        <w:jc w:val="left"/>
        <w:rPr>
          <w:rFonts w:ascii="宋体" w:hAnsi="宋体"/>
          <w:szCs w:val="21"/>
        </w:rPr>
      </w:pPr>
      <w:r>
        <w:rPr>
          <w:rFonts w:hint="eastAsia" w:ascii="宋体" w:hAnsi="宋体"/>
          <w:szCs w:val="21"/>
        </w:rPr>
        <w:t xml:space="preserve">20.1 </w:t>
      </w:r>
      <w:r>
        <w:rPr>
          <w:rFonts w:hint="eastAsia" w:ascii="宋体" w:hAnsi="宋体" w:cs="宋体"/>
          <w:lang w:val="en-GB"/>
        </w:rPr>
        <w:t>本合同应当按照规定执行政府采购政策。</w:t>
      </w:r>
    </w:p>
    <w:p w14:paraId="0C89D24F">
      <w:pPr>
        <w:autoSpaceDE w:val="0"/>
        <w:autoSpaceDN w:val="0"/>
        <w:adjustRightInd w:val="0"/>
        <w:snapToGrid w:val="0"/>
        <w:spacing w:line="400" w:lineRule="exact"/>
        <w:ind w:firstLine="420" w:firstLineChars="200"/>
        <w:jc w:val="left"/>
        <w:rPr>
          <w:rFonts w:ascii="宋体" w:hAnsi="宋体"/>
          <w:szCs w:val="21"/>
        </w:rPr>
      </w:pPr>
      <w:r>
        <w:rPr>
          <w:rFonts w:ascii="宋体" w:hAnsi="宋体"/>
          <w:szCs w:val="21"/>
        </w:rPr>
        <w:t>2</w:t>
      </w:r>
      <w:r>
        <w:rPr>
          <w:rFonts w:hint="eastAsia" w:ascii="宋体" w:hAnsi="宋体"/>
          <w:szCs w:val="21"/>
        </w:rPr>
        <w:t>0.2 本合同依法执行政府采购政策的方式和内容，属于合同履约验收的范围。</w:t>
      </w:r>
      <w:r>
        <w:rPr>
          <w:rFonts w:hint="eastAsia" w:ascii="宋体" w:hAnsi="宋体" w:cs="宋体"/>
        </w:rPr>
        <w:t>甲乙双方</w:t>
      </w:r>
      <w:r>
        <w:rPr>
          <w:rFonts w:hint="eastAsia" w:ascii="宋体" w:hAnsi="宋体" w:cs="宋体"/>
          <w:lang w:val="en-GB"/>
        </w:rPr>
        <w:t>未按规定要求执行政府采购政策造成损失的</w:t>
      </w:r>
      <w:r>
        <w:rPr>
          <w:rFonts w:hint="eastAsia" w:ascii="宋体" w:hAnsi="宋体"/>
          <w:szCs w:val="21"/>
        </w:rPr>
        <w:t>，有过错的一方应当承担赔偿责任，双方都有过错的，各自承担相应的责任。</w:t>
      </w:r>
    </w:p>
    <w:p w14:paraId="7DE49952">
      <w:pPr>
        <w:spacing w:line="400" w:lineRule="exact"/>
        <w:ind w:firstLine="420" w:firstLineChars="200"/>
        <w:rPr>
          <w:rFonts w:ascii="Calibri" w:hAnsi="Calibri"/>
          <w:szCs w:val="22"/>
        </w:rPr>
      </w:pPr>
      <w:r>
        <w:rPr>
          <w:rFonts w:ascii="宋体" w:hAnsi="宋体"/>
          <w:szCs w:val="21"/>
        </w:rPr>
        <w:t>2</w:t>
      </w:r>
      <w:r>
        <w:rPr>
          <w:rFonts w:hint="eastAsia" w:ascii="宋体" w:hAnsi="宋体"/>
          <w:szCs w:val="21"/>
        </w:rPr>
        <w:t>0.3 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541885AE">
      <w:pPr>
        <w:autoSpaceDE w:val="0"/>
        <w:autoSpaceDN w:val="0"/>
        <w:adjustRightInd w:val="0"/>
        <w:snapToGrid w:val="0"/>
        <w:spacing w:line="400" w:lineRule="exact"/>
        <w:jc w:val="left"/>
        <w:rPr>
          <w:rFonts w:ascii="宋体" w:hAnsi="宋体"/>
          <w:b/>
          <w:sz w:val="24"/>
        </w:rPr>
      </w:pPr>
      <w:r>
        <w:rPr>
          <w:rFonts w:hint="eastAsia" w:ascii="宋体" w:hAnsi="宋体"/>
          <w:b/>
          <w:sz w:val="24"/>
        </w:rPr>
        <w:t>21. 法律适用</w:t>
      </w:r>
    </w:p>
    <w:p w14:paraId="48492197">
      <w:pPr>
        <w:autoSpaceDE w:val="0"/>
        <w:autoSpaceDN w:val="0"/>
        <w:adjustRightInd w:val="0"/>
        <w:spacing w:line="400" w:lineRule="exact"/>
        <w:ind w:firstLine="420" w:firstLineChars="200"/>
        <w:rPr>
          <w:rFonts w:ascii="宋体" w:hAnsi="宋体" w:cs="宋体"/>
          <w:szCs w:val="21"/>
        </w:rPr>
      </w:pPr>
      <w:r>
        <w:rPr>
          <w:rFonts w:hint="eastAsia" w:ascii="宋体" w:hAnsi="宋体" w:cs="宋体"/>
          <w:szCs w:val="21"/>
        </w:rPr>
        <w:t>21.1 本合同的订立、生效、解释、履行及与本合同有关的争议解决，均适用法律、行政法规。</w:t>
      </w:r>
    </w:p>
    <w:p w14:paraId="0EEAF146">
      <w:pPr>
        <w:autoSpaceDE w:val="0"/>
        <w:autoSpaceDN w:val="0"/>
        <w:adjustRightInd w:val="0"/>
        <w:spacing w:line="400" w:lineRule="exact"/>
        <w:ind w:firstLine="420" w:firstLineChars="200"/>
        <w:rPr>
          <w:rFonts w:ascii="宋体" w:hAnsi="宋体" w:cs="宋体"/>
          <w:szCs w:val="21"/>
        </w:rPr>
      </w:pPr>
      <w:r>
        <w:rPr>
          <w:rFonts w:hint="eastAsia" w:ascii="宋体" w:hAnsi="宋体" w:cs="宋体"/>
          <w:szCs w:val="21"/>
        </w:rPr>
        <w:t>21.2 本合同条款与法律、行政法规的强制性规定不一致的，双方当事人应按照法律、行政法规的强制性规定修改本合同的相关条款。</w:t>
      </w:r>
    </w:p>
    <w:p w14:paraId="6D118B24">
      <w:pPr>
        <w:numPr>
          <w:ilvl w:val="255"/>
          <w:numId w:val="0"/>
        </w:numPr>
        <w:autoSpaceDE w:val="0"/>
        <w:autoSpaceDN w:val="0"/>
        <w:adjustRightInd w:val="0"/>
        <w:snapToGrid w:val="0"/>
        <w:spacing w:line="400" w:lineRule="exact"/>
        <w:jc w:val="left"/>
        <w:rPr>
          <w:rFonts w:ascii="宋体" w:hAnsi="宋体"/>
          <w:b/>
          <w:sz w:val="24"/>
        </w:rPr>
      </w:pPr>
      <w:r>
        <w:rPr>
          <w:rFonts w:hint="eastAsia" w:ascii="宋体" w:hAnsi="宋体"/>
          <w:b/>
          <w:sz w:val="24"/>
        </w:rPr>
        <w:t>22. 通知</w:t>
      </w:r>
    </w:p>
    <w:p w14:paraId="23465594">
      <w:pPr>
        <w:autoSpaceDE w:val="0"/>
        <w:autoSpaceDN w:val="0"/>
        <w:adjustRightInd w:val="0"/>
        <w:spacing w:line="400" w:lineRule="exact"/>
        <w:ind w:firstLine="420" w:firstLineChars="200"/>
        <w:rPr>
          <w:rFonts w:ascii="宋体" w:hAnsi="宋体" w:cs="宋体"/>
          <w:szCs w:val="21"/>
        </w:rPr>
      </w:pPr>
      <w:r>
        <w:rPr>
          <w:rFonts w:hint="eastAsia" w:ascii="宋体" w:hAnsi="宋体" w:cs="宋体"/>
          <w:szCs w:val="21"/>
        </w:rPr>
        <w:t>22.1 本合同任何一方向对方发出的通知、信件、数据电文等，应当发送至本合同第一部分《政府采购合同协议书》所约定的通讯地址、联系人、联系电话或电子邮箱。</w:t>
      </w:r>
    </w:p>
    <w:p w14:paraId="7A0CA68B">
      <w:pPr>
        <w:autoSpaceDE w:val="0"/>
        <w:autoSpaceDN w:val="0"/>
        <w:adjustRightInd w:val="0"/>
        <w:spacing w:line="400" w:lineRule="exact"/>
        <w:rPr>
          <w:rFonts w:ascii="华文楷体" w:hAnsi="华文楷体" w:eastAsia="华文楷体" w:cs="华文楷体"/>
          <w:szCs w:val="21"/>
        </w:rPr>
      </w:pPr>
      <w:r>
        <w:rPr>
          <w:rFonts w:hint="eastAsia" w:ascii="宋体" w:hAnsi="宋体" w:cs="宋体"/>
          <w:szCs w:val="21"/>
        </w:rPr>
        <w:t xml:space="preserve">    22.2 一方当事人变更名称、住所、联系人、联系电话或电子邮箱等信息的，应当在变更后3日内及时书面通知对方，对方实际收到变更通知前的送达仍为有效送达。</w:t>
      </w:r>
    </w:p>
    <w:p w14:paraId="72F4902D">
      <w:pPr>
        <w:adjustRightInd w:val="0"/>
        <w:snapToGrid w:val="0"/>
        <w:spacing w:line="400" w:lineRule="exact"/>
        <w:ind w:firstLine="420" w:firstLineChars="200"/>
        <w:jc w:val="left"/>
        <w:rPr>
          <w:rFonts w:ascii="宋体" w:hAnsi="宋体"/>
          <w:szCs w:val="21"/>
        </w:rPr>
      </w:pPr>
      <w:r>
        <w:rPr>
          <w:rFonts w:hint="eastAsia" w:ascii="宋体" w:hAnsi="宋体"/>
          <w:szCs w:val="21"/>
        </w:rPr>
        <w:t>22.3本合同一方给另一方的通知均应采用书面形式，传真或快递送到本合同中规定的对方的地址和办理签收手续。</w:t>
      </w:r>
    </w:p>
    <w:p w14:paraId="6C7AE18C">
      <w:pPr>
        <w:adjustRightInd w:val="0"/>
        <w:snapToGrid w:val="0"/>
        <w:spacing w:line="400" w:lineRule="exact"/>
        <w:ind w:firstLine="420" w:firstLineChars="200"/>
        <w:jc w:val="left"/>
        <w:rPr>
          <w:rFonts w:ascii="宋体" w:hAnsi="宋体"/>
          <w:szCs w:val="21"/>
        </w:rPr>
      </w:pPr>
      <w:r>
        <w:rPr>
          <w:rFonts w:hint="eastAsia" w:ascii="宋体" w:hAnsi="宋体"/>
          <w:szCs w:val="21"/>
        </w:rPr>
        <w:t>22.4通知以送达之日或通知书中规定的生效之日起生效，两者中以较迟之日为准。</w:t>
      </w:r>
    </w:p>
    <w:p w14:paraId="5B77F3E3">
      <w:pPr>
        <w:numPr>
          <w:ilvl w:val="0"/>
          <w:numId w:val="16"/>
        </w:numPr>
        <w:adjustRightInd w:val="0"/>
        <w:snapToGrid w:val="0"/>
        <w:spacing w:line="400" w:lineRule="exact"/>
        <w:jc w:val="left"/>
        <w:rPr>
          <w:rFonts w:ascii="宋体" w:hAnsi="宋体"/>
          <w:b/>
          <w:bCs/>
          <w:sz w:val="24"/>
        </w:rPr>
      </w:pPr>
      <w:r>
        <w:rPr>
          <w:rFonts w:hint="eastAsia" w:ascii="宋体" w:hAnsi="宋体"/>
          <w:b/>
          <w:bCs/>
          <w:sz w:val="24"/>
        </w:rPr>
        <w:t>合同未尽事项</w:t>
      </w:r>
    </w:p>
    <w:p w14:paraId="74DFA7A1">
      <w:pPr>
        <w:adjustRightInd w:val="0"/>
        <w:snapToGrid w:val="0"/>
        <w:spacing w:line="400" w:lineRule="exact"/>
        <w:ind w:firstLine="420" w:firstLineChars="200"/>
        <w:jc w:val="left"/>
        <w:rPr>
          <w:rFonts w:ascii="宋体" w:hAnsi="宋体"/>
          <w:bCs/>
          <w:szCs w:val="21"/>
        </w:rPr>
      </w:pPr>
      <w:r>
        <w:rPr>
          <w:rFonts w:hint="eastAsia" w:ascii="宋体" w:hAnsi="宋体"/>
          <w:bCs/>
          <w:szCs w:val="21"/>
        </w:rPr>
        <w:t>23.1合同未尽事项见</w:t>
      </w:r>
      <w:r>
        <w:rPr>
          <w:rFonts w:hint="eastAsia" w:ascii="宋体" w:hAnsi="宋体"/>
          <w:b/>
          <w:szCs w:val="21"/>
        </w:rPr>
        <w:t>【政府采购合同专用条款】</w:t>
      </w:r>
      <w:r>
        <w:rPr>
          <w:rFonts w:hint="eastAsia" w:ascii="宋体" w:hAnsi="宋体"/>
          <w:bCs/>
          <w:szCs w:val="21"/>
        </w:rPr>
        <w:t>。</w:t>
      </w:r>
    </w:p>
    <w:p w14:paraId="458C55EA">
      <w:pPr>
        <w:adjustRightInd w:val="0"/>
        <w:snapToGrid w:val="0"/>
        <w:spacing w:line="400" w:lineRule="exact"/>
        <w:jc w:val="left"/>
        <w:rPr>
          <w:rFonts w:ascii="黑体" w:hAnsi="华文中宋" w:eastAsia="黑体"/>
          <w:sz w:val="28"/>
          <w:szCs w:val="28"/>
        </w:rPr>
      </w:pPr>
      <w:r>
        <w:rPr>
          <w:rFonts w:hint="eastAsia" w:ascii="宋体" w:hAnsi="宋体"/>
          <w:bCs/>
          <w:szCs w:val="21"/>
        </w:rPr>
        <w:t xml:space="preserve">    23.2 合同附件与合同正文具有同等的法律效力。</w:t>
      </w:r>
      <w:bookmarkStart w:id="88" w:name="_Toc20313"/>
    </w:p>
    <w:p w14:paraId="7BA0D42D">
      <w:pPr>
        <w:adjustRightInd w:val="0"/>
        <w:snapToGrid w:val="0"/>
        <w:jc w:val="center"/>
        <w:rPr>
          <w:rFonts w:ascii="黑体" w:hAnsi="华文中宋" w:eastAsia="黑体"/>
          <w:sz w:val="28"/>
          <w:szCs w:val="28"/>
        </w:rPr>
      </w:pPr>
      <w:r>
        <w:rPr>
          <w:rFonts w:hint="eastAsia" w:ascii="黑体" w:hAnsi="华文中宋" w:eastAsia="黑体"/>
          <w:sz w:val="28"/>
          <w:szCs w:val="28"/>
        </w:rPr>
        <w:br w:type="page"/>
      </w:r>
    </w:p>
    <w:p w14:paraId="74E2D8CB">
      <w:pPr>
        <w:keepNext/>
        <w:keepLines/>
        <w:adjustRightInd w:val="0"/>
        <w:snapToGrid w:val="0"/>
        <w:spacing w:line="360" w:lineRule="auto"/>
        <w:jc w:val="center"/>
        <w:outlineLvl w:val="1"/>
        <w:rPr>
          <w:rFonts w:ascii="黑体" w:hAnsi="华文中宋" w:eastAsia="黑体"/>
          <w:sz w:val="28"/>
          <w:szCs w:val="28"/>
        </w:rPr>
      </w:pPr>
      <w:r>
        <w:rPr>
          <w:rFonts w:hint="eastAsia" w:ascii="黑体" w:hAnsi="华文中宋" w:eastAsia="黑体"/>
          <w:sz w:val="28"/>
          <w:szCs w:val="28"/>
        </w:rPr>
        <w:t>第三节 政府采购合同专用条款</w:t>
      </w:r>
      <w:bookmarkEnd w:id="88"/>
    </w:p>
    <w:tbl>
      <w:tblPr>
        <w:tblStyle w:val="43"/>
        <w:tblW w:w="851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07"/>
        <w:gridCol w:w="1742"/>
        <w:gridCol w:w="5170"/>
      </w:tblGrid>
      <w:tr w14:paraId="24418B0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755AC022">
            <w:pPr>
              <w:adjustRightInd w:val="0"/>
              <w:snapToGrid w:val="0"/>
              <w:jc w:val="center"/>
              <w:rPr>
                <w:rFonts w:ascii="宋体" w:hAnsi="宋体"/>
                <w:szCs w:val="21"/>
              </w:rPr>
            </w:pPr>
            <w:r>
              <w:rPr>
                <w:rFonts w:hint="eastAsia" w:ascii="宋体" w:hAnsi="宋体"/>
                <w:szCs w:val="21"/>
              </w:rPr>
              <w:t>第二节</w:t>
            </w:r>
          </w:p>
          <w:p w14:paraId="06F90793">
            <w:pPr>
              <w:adjustRightInd w:val="0"/>
              <w:snapToGrid w:val="0"/>
              <w:jc w:val="center"/>
              <w:rPr>
                <w:rFonts w:ascii="宋体" w:hAnsi="宋体"/>
                <w:szCs w:val="21"/>
              </w:rPr>
            </w:pPr>
            <w:r>
              <w:rPr>
                <w:rFonts w:hint="eastAsia" w:ascii="宋体" w:hAnsi="宋体"/>
                <w:szCs w:val="21"/>
              </w:rPr>
              <w:t>第1.2（6）项</w:t>
            </w:r>
          </w:p>
        </w:tc>
        <w:tc>
          <w:tcPr>
            <w:tcW w:w="1742" w:type="dxa"/>
            <w:vAlign w:val="center"/>
          </w:tcPr>
          <w:p w14:paraId="7E055DC2">
            <w:pPr>
              <w:adjustRightInd w:val="0"/>
              <w:snapToGrid w:val="0"/>
              <w:jc w:val="left"/>
              <w:rPr>
                <w:rFonts w:ascii="宋体" w:hAnsi="宋体"/>
                <w:szCs w:val="21"/>
              </w:rPr>
            </w:pPr>
            <w:r>
              <w:rPr>
                <w:rFonts w:hint="eastAsia" w:ascii="宋体" w:hAnsi="宋体"/>
                <w:szCs w:val="21"/>
              </w:rPr>
              <w:t>联合体具体要求</w:t>
            </w:r>
          </w:p>
        </w:tc>
        <w:tc>
          <w:tcPr>
            <w:tcW w:w="5170" w:type="dxa"/>
            <w:vAlign w:val="center"/>
          </w:tcPr>
          <w:p w14:paraId="6522DB48">
            <w:pPr>
              <w:adjustRightInd w:val="0"/>
              <w:snapToGrid w:val="0"/>
              <w:jc w:val="left"/>
              <w:rPr>
                <w:rFonts w:ascii="宋体" w:hAnsi="宋体"/>
                <w:szCs w:val="21"/>
              </w:rPr>
            </w:pPr>
          </w:p>
        </w:tc>
      </w:tr>
      <w:tr w14:paraId="4FFC7E6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607" w:type="dxa"/>
            <w:vAlign w:val="center"/>
          </w:tcPr>
          <w:p w14:paraId="4A0FE456">
            <w:pPr>
              <w:adjustRightInd w:val="0"/>
              <w:snapToGrid w:val="0"/>
              <w:jc w:val="center"/>
              <w:rPr>
                <w:rFonts w:ascii="宋体" w:hAnsi="宋体"/>
                <w:szCs w:val="21"/>
              </w:rPr>
            </w:pPr>
            <w:r>
              <w:rPr>
                <w:rFonts w:hint="eastAsia" w:ascii="宋体" w:hAnsi="宋体"/>
                <w:szCs w:val="21"/>
              </w:rPr>
              <w:t>第二节</w:t>
            </w:r>
          </w:p>
          <w:p w14:paraId="5A64C019">
            <w:pPr>
              <w:adjustRightInd w:val="0"/>
              <w:snapToGrid w:val="0"/>
              <w:jc w:val="center"/>
              <w:rPr>
                <w:rFonts w:ascii="宋体" w:hAnsi="宋体"/>
                <w:szCs w:val="21"/>
              </w:rPr>
            </w:pPr>
            <w:r>
              <w:rPr>
                <w:rFonts w:hint="eastAsia" w:ascii="宋体" w:hAnsi="宋体"/>
                <w:szCs w:val="21"/>
              </w:rPr>
              <w:t>第1.2（7）项</w:t>
            </w:r>
          </w:p>
        </w:tc>
        <w:tc>
          <w:tcPr>
            <w:tcW w:w="1742" w:type="dxa"/>
            <w:vAlign w:val="center"/>
          </w:tcPr>
          <w:p w14:paraId="1C420B03">
            <w:pPr>
              <w:adjustRightInd w:val="0"/>
              <w:snapToGrid w:val="0"/>
              <w:jc w:val="left"/>
              <w:rPr>
                <w:rFonts w:ascii="宋体" w:hAnsi="宋体"/>
                <w:szCs w:val="21"/>
              </w:rPr>
            </w:pPr>
            <w:r>
              <w:rPr>
                <w:rFonts w:hint="eastAsia" w:ascii="宋体" w:hAnsi="宋体"/>
                <w:szCs w:val="21"/>
              </w:rPr>
              <w:t>其他术语解释</w:t>
            </w:r>
          </w:p>
        </w:tc>
        <w:tc>
          <w:tcPr>
            <w:tcW w:w="5170" w:type="dxa"/>
            <w:vAlign w:val="center"/>
          </w:tcPr>
          <w:p w14:paraId="4D464B18">
            <w:pPr>
              <w:adjustRightInd w:val="0"/>
              <w:snapToGrid w:val="0"/>
              <w:jc w:val="left"/>
              <w:rPr>
                <w:rFonts w:ascii="宋体" w:hAnsi="宋体"/>
                <w:szCs w:val="21"/>
              </w:rPr>
            </w:pPr>
          </w:p>
        </w:tc>
      </w:tr>
      <w:tr w14:paraId="34A6120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6038A8CF">
            <w:pPr>
              <w:adjustRightInd w:val="0"/>
              <w:snapToGrid w:val="0"/>
              <w:jc w:val="center"/>
              <w:rPr>
                <w:rFonts w:ascii="宋体" w:hAnsi="宋体"/>
                <w:szCs w:val="21"/>
              </w:rPr>
            </w:pPr>
            <w:r>
              <w:rPr>
                <w:rFonts w:hint="eastAsia" w:ascii="宋体" w:hAnsi="宋体"/>
                <w:szCs w:val="21"/>
              </w:rPr>
              <w:t>第二节</w:t>
            </w:r>
          </w:p>
          <w:p w14:paraId="0776F163">
            <w:pPr>
              <w:adjustRightInd w:val="0"/>
              <w:snapToGrid w:val="0"/>
              <w:jc w:val="center"/>
              <w:rPr>
                <w:rFonts w:ascii="宋体" w:hAnsi="宋体"/>
                <w:szCs w:val="21"/>
              </w:rPr>
            </w:pPr>
            <w:r>
              <w:rPr>
                <w:rFonts w:hint="eastAsia" w:ascii="宋体" w:hAnsi="宋体"/>
                <w:szCs w:val="21"/>
              </w:rPr>
              <w:t>第4.4款</w:t>
            </w:r>
          </w:p>
        </w:tc>
        <w:tc>
          <w:tcPr>
            <w:tcW w:w="1742" w:type="dxa"/>
            <w:vAlign w:val="center"/>
          </w:tcPr>
          <w:p w14:paraId="10745F05">
            <w:pPr>
              <w:adjustRightInd w:val="0"/>
              <w:snapToGrid w:val="0"/>
              <w:jc w:val="left"/>
              <w:rPr>
                <w:rFonts w:ascii="宋体" w:hAnsi="宋体"/>
                <w:szCs w:val="21"/>
              </w:rPr>
            </w:pPr>
            <w:r>
              <w:rPr>
                <w:rFonts w:hint="eastAsia" w:ascii="宋体" w:hAnsi="宋体"/>
                <w:szCs w:val="21"/>
              </w:rPr>
              <w:t>履约验收中甲方提出异议或作出说明的期限</w:t>
            </w:r>
          </w:p>
        </w:tc>
        <w:tc>
          <w:tcPr>
            <w:tcW w:w="5170" w:type="dxa"/>
            <w:vAlign w:val="center"/>
          </w:tcPr>
          <w:p w14:paraId="042EC6A4">
            <w:pPr>
              <w:adjustRightInd w:val="0"/>
              <w:snapToGrid w:val="0"/>
              <w:jc w:val="left"/>
              <w:rPr>
                <w:rFonts w:ascii="宋体" w:hAnsi="宋体"/>
                <w:szCs w:val="21"/>
              </w:rPr>
            </w:pPr>
          </w:p>
        </w:tc>
      </w:tr>
      <w:tr w14:paraId="2E8334B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2FD0A074">
            <w:pPr>
              <w:adjustRightInd w:val="0"/>
              <w:snapToGrid w:val="0"/>
              <w:jc w:val="center"/>
              <w:rPr>
                <w:rFonts w:ascii="宋体" w:hAnsi="宋体"/>
                <w:szCs w:val="21"/>
              </w:rPr>
            </w:pPr>
            <w:r>
              <w:rPr>
                <w:rFonts w:hint="eastAsia" w:ascii="宋体" w:hAnsi="宋体"/>
                <w:szCs w:val="21"/>
              </w:rPr>
              <w:t>第二节</w:t>
            </w:r>
          </w:p>
          <w:p w14:paraId="491D7B3E">
            <w:pPr>
              <w:adjustRightInd w:val="0"/>
              <w:snapToGrid w:val="0"/>
              <w:jc w:val="center"/>
              <w:rPr>
                <w:rFonts w:ascii="宋体" w:hAnsi="宋体"/>
                <w:szCs w:val="21"/>
              </w:rPr>
            </w:pPr>
            <w:r>
              <w:rPr>
                <w:rFonts w:hint="eastAsia" w:ascii="宋体" w:hAnsi="宋体"/>
                <w:szCs w:val="21"/>
              </w:rPr>
              <w:t>第4.6款</w:t>
            </w:r>
          </w:p>
        </w:tc>
        <w:tc>
          <w:tcPr>
            <w:tcW w:w="1742" w:type="dxa"/>
            <w:vAlign w:val="center"/>
          </w:tcPr>
          <w:p w14:paraId="7987D152">
            <w:pPr>
              <w:adjustRightInd w:val="0"/>
              <w:snapToGrid w:val="0"/>
              <w:jc w:val="left"/>
              <w:rPr>
                <w:rFonts w:ascii="宋体" w:hAnsi="宋体"/>
                <w:szCs w:val="21"/>
              </w:rPr>
            </w:pPr>
            <w:r>
              <w:rPr>
                <w:rFonts w:hint="eastAsia" w:ascii="宋体" w:hAnsi="宋体"/>
                <w:szCs w:val="21"/>
              </w:rPr>
              <w:t>约定甲方承担的其他义务和责任</w:t>
            </w:r>
          </w:p>
        </w:tc>
        <w:tc>
          <w:tcPr>
            <w:tcW w:w="5170" w:type="dxa"/>
            <w:vAlign w:val="center"/>
          </w:tcPr>
          <w:p w14:paraId="48991C87">
            <w:pPr>
              <w:adjustRightInd w:val="0"/>
              <w:snapToGrid w:val="0"/>
              <w:jc w:val="left"/>
              <w:rPr>
                <w:rFonts w:ascii="宋体" w:hAnsi="宋体"/>
                <w:szCs w:val="21"/>
              </w:rPr>
            </w:pPr>
          </w:p>
        </w:tc>
      </w:tr>
      <w:tr w14:paraId="215654B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37EF2DE3">
            <w:pPr>
              <w:adjustRightInd w:val="0"/>
              <w:snapToGrid w:val="0"/>
              <w:jc w:val="center"/>
              <w:rPr>
                <w:rFonts w:ascii="宋体" w:hAnsi="宋体"/>
                <w:szCs w:val="21"/>
              </w:rPr>
            </w:pPr>
            <w:r>
              <w:rPr>
                <w:rFonts w:hint="eastAsia" w:ascii="宋体" w:hAnsi="宋体"/>
                <w:szCs w:val="21"/>
              </w:rPr>
              <w:t>第二节</w:t>
            </w:r>
          </w:p>
          <w:p w14:paraId="43DC9CB6">
            <w:pPr>
              <w:snapToGrid w:val="0"/>
              <w:jc w:val="center"/>
            </w:pPr>
            <w:r>
              <w:rPr>
                <w:rFonts w:hint="eastAsia" w:ascii="宋体" w:hAnsi="宋体"/>
                <w:szCs w:val="21"/>
              </w:rPr>
              <w:t>第5.4款</w:t>
            </w:r>
          </w:p>
        </w:tc>
        <w:tc>
          <w:tcPr>
            <w:tcW w:w="1742" w:type="dxa"/>
            <w:vAlign w:val="center"/>
          </w:tcPr>
          <w:p w14:paraId="4C8AA4C3">
            <w:pPr>
              <w:adjustRightInd w:val="0"/>
              <w:snapToGrid w:val="0"/>
              <w:jc w:val="left"/>
              <w:rPr>
                <w:rFonts w:ascii="宋体" w:hAnsi="宋体"/>
                <w:szCs w:val="21"/>
              </w:rPr>
            </w:pPr>
            <w:r>
              <w:rPr>
                <w:rFonts w:hint="eastAsia" w:ascii="宋体" w:hAnsi="宋体"/>
                <w:szCs w:val="21"/>
              </w:rPr>
              <w:t>约定乙方承担的其他义务和责任</w:t>
            </w:r>
          </w:p>
        </w:tc>
        <w:tc>
          <w:tcPr>
            <w:tcW w:w="5170" w:type="dxa"/>
            <w:vAlign w:val="center"/>
          </w:tcPr>
          <w:p w14:paraId="6FAA519F">
            <w:pPr>
              <w:adjustRightInd w:val="0"/>
              <w:snapToGrid w:val="0"/>
              <w:jc w:val="left"/>
              <w:rPr>
                <w:rFonts w:ascii="宋体" w:hAnsi="宋体"/>
                <w:szCs w:val="21"/>
              </w:rPr>
            </w:pPr>
          </w:p>
        </w:tc>
      </w:tr>
      <w:tr w14:paraId="25B1098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11FABFDB">
            <w:pPr>
              <w:adjustRightInd w:val="0"/>
              <w:snapToGrid w:val="0"/>
              <w:jc w:val="center"/>
              <w:rPr>
                <w:rFonts w:ascii="宋体" w:hAnsi="宋体"/>
                <w:szCs w:val="21"/>
              </w:rPr>
            </w:pPr>
            <w:r>
              <w:rPr>
                <w:rFonts w:hint="eastAsia" w:ascii="宋体" w:hAnsi="宋体"/>
                <w:szCs w:val="21"/>
              </w:rPr>
              <w:t>第二节</w:t>
            </w:r>
          </w:p>
          <w:p w14:paraId="7E5CF1F5">
            <w:pPr>
              <w:snapToGrid w:val="0"/>
              <w:jc w:val="center"/>
              <w:rPr>
                <w:rFonts w:ascii="宋体" w:hAnsi="宋体"/>
                <w:szCs w:val="21"/>
              </w:rPr>
            </w:pPr>
            <w:r>
              <w:rPr>
                <w:rFonts w:hint="eastAsia" w:ascii="宋体" w:hAnsi="宋体"/>
                <w:szCs w:val="21"/>
              </w:rPr>
              <w:t>第6.1款</w:t>
            </w:r>
          </w:p>
        </w:tc>
        <w:tc>
          <w:tcPr>
            <w:tcW w:w="1742" w:type="dxa"/>
            <w:vAlign w:val="center"/>
          </w:tcPr>
          <w:p w14:paraId="1F9E6B62">
            <w:pPr>
              <w:adjustRightInd w:val="0"/>
              <w:snapToGrid w:val="0"/>
              <w:jc w:val="left"/>
              <w:rPr>
                <w:rFonts w:ascii="宋体" w:hAnsi="宋体"/>
                <w:szCs w:val="21"/>
              </w:rPr>
            </w:pPr>
            <w:r>
              <w:rPr>
                <w:rFonts w:hint="eastAsia" w:ascii="宋体" w:hAnsi="宋体"/>
                <w:szCs w:val="21"/>
              </w:rPr>
              <w:t>履行合同义务的顺序</w:t>
            </w:r>
          </w:p>
        </w:tc>
        <w:tc>
          <w:tcPr>
            <w:tcW w:w="5170" w:type="dxa"/>
            <w:vAlign w:val="center"/>
          </w:tcPr>
          <w:p w14:paraId="27833CFB">
            <w:pPr>
              <w:adjustRightInd w:val="0"/>
              <w:snapToGrid w:val="0"/>
              <w:jc w:val="left"/>
              <w:rPr>
                <w:rFonts w:ascii="宋体" w:hAnsi="宋体"/>
                <w:szCs w:val="21"/>
              </w:rPr>
            </w:pPr>
          </w:p>
        </w:tc>
      </w:tr>
      <w:tr w14:paraId="13CA246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restart"/>
            <w:vAlign w:val="center"/>
          </w:tcPr>
          <w:p w14:paraId="20D9C8AB">
            <w:pPr>
              <w:adjustRightInd w:val="0"/>
              <w:snapToGrid w:val="0"/>
              <w:jc w:val="center"/>
              <w:rPr>
                <w:rFonts w:ascii="宋体" w:hAnsi="宋体"/>
                <w:szCs w:val="21"/>
              </w:rPr>
            </w:pPr>
            <w:r>
              <w:rPr>
                <w:rFonts w:hint="eastAsia" w:ascii="宋体" w:hAnsi="宋体"/>
                <w:szCs w:val="21"/>
              </w:rPr>
              <w:t>第二节</w:t>
            </w:r>
          </w:p>
          <w:p w14:paraId="15EA7694">
            <w:pPr>
              <w:adjustRightInd w:val="0"/>
              <w:snapToGrid w:val="0"/>
              <w:jc w:val="center"/>
              <w:rPr>
                <w:rFonts w:ascii="宋体" w:hAnsi="宋体"/>
                <w:szCs w:val="21"/>
              </w:rPr>
            </w:pPr>
            <w:r>
              <w:rPr>
                <w:rFonts w:hint="eastAsia" w:ascii="宋体" w:hAnsi="宋体"/>
                <w:szCs w:val="21"/>
              </w:rPr>
              <w:t>第7.1款</w:t>
            </w:r>
          </w:p>
        </w:tc>
        <w:tc>
          <w:tcPr>
            <w:tcW w:w="1742" w:type="dxa"/>
            <w:vAlign w:val="center"/>
          </w:tcPr>
          <w:p w14:paraId="49A80997">
            <w:pPr>
              <w:adjustRightInd w:val="0"/>
              <w:snapToGrid w:val="0"/>
              <w:jc w:val="left"/>
              <w:rPr>
                <w:rFonts w:ascii="宋体" w:hAnsi="宋体"/>
                <w:szCs w:val="21"/>
              </w:rPr>
            </w:pPr>
            <w:r>
              <w:rPr>
                <w:rFonts w:hint="eastAsia" w:ascii="宋体" w:hAnsi="宋体"/>
                <w:szCs w:val="21"/>
              </w:rPr>
              <w:t>包装特殊要求</w:t>
            </w:r>
          </w:p>
        </w:tc>
        <w:tc>
          <w:tcPr>
            <w:tcW w:w="5170" w:type="dxa"/>
            <w:vAlign w:val="center"/>
          </w:tcPr>
          <w:p w14:paraId="28B33308"/>
        </w:tc>
      </w:tr>
      <w:tr w14:paraId="5B62038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continue"/>
            <w:vAlign w:val="center"/>
          </w:tcPr>
          <w:p w14:paraId="6D770469">
            <w:pPr>
              <w:adjustRightInd w:val="0"/>
              <w:snapToGrid w:val="0"/>
              <w:jc w:val="center"/>
              <w:rPr>
                <w:rFonts w:ascii="宋体" w:hAnsi="宋体"/>
                <w:szCs w:val="21"/>
              </w:rPr>
            </w:pPr>
          </w:p>
        </w:tc>
        <w:tc>
          <w:tcPr>
            <w:tcW w:w="1742" w:type="dxa"/>
            <w:vAlign w:val="center"/>
          </w:tcPr>
          <w:p w14:paraId="479B21B7">
            <w:pPr>
              <w:adjustRightInd w:val="0"/>
              <w:snapToGrid w:val="0"/>
              <w:jc w:val="left"/>
              <w:rPr>
                <w:rFonts w:ascii="宋体" w:hAnsi="宋体"/>
                <w:szCs w:val="21"/>
              </w:rPr>
            </w:pPr>
            <w:r>
              <w:rPr>
                <w:rFonts w:hint="eastAsia" w:ascii="宋体" w:hAnsi="宋体"/>
                <w:szCs w:val="21"/>
              </w:rPr>
              <w:t>指定现场</w:t>
            </w:r>
          </w:p>
        </w:tc>
        <w:tc>
          <w:tcPr>
            <w:tcW w:w="5170" w:type="dxa"/>
            <w:vAlign w:val="center"/>
          </w:tcPr>
          <w:p w14:paraId="4EC3C202"/>
        </w:tc>
      </w:tr>
      <w:tr w14:paraId="35A3BB4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607" w:type="dxa"/>
            <w:vAlign w:val="center"/>
          </w:tcPr>
          <w:p w14:paraId="50BD48AB">
            <w:pPr>
              <w:adjustRightInd w:val="0"/>
              <w:snapToGrid w:val="0"/>
              <w:jc w:val="center"/>
              <w:rPr>
                <w:rFonts w:ascii="宋体" w:hAnsi="宋体"/>
                <w:szCs w:val="21"/>
              </w:rPr>
            </w:pPr>
            <w:r>
              <w:rPr>
                <w:rFonts w:hint="eastAsia" w:ascii="宋体" w:hAnsi="宋体"/>
                <w:szCs w:val="21"/>
              </w:rPr>
              <w:t>第二节</w:t>
            </w:r>
          </w:p>
          <w:p w14:paraId="120E1B36">
            <w:pPr>
              <w:adjustRightInd w:val="0"/>
              <w:snapToGrid w:val="0"/>
              <w:jc w:val="center"/>
              <w:rPr>
                <w:rFonts w:ascii="宋体" w:hAnsi="宋体"/>
                <w:szCs w:val="21"/>
              </w:rPr>
            </w:pPr>
            <w:r>
              <w:rPr>
                <w:rFonts w:hint="eastAsia" w:ascii="宋体" w:hAnsi="宋体"/>
                <w:szCs w:val="21"/>
              </w:rPr>
              <w:t>第7.2款</w:t>
            </w:r>
          </w:p>
        </w:tc>
        <w:tc>
          <w:tcPr>
            <w:tcW w:w="1742" w:type="dxa"/>
            <w:vAlign w:val="center"/>
          </w:tcPr>
          <w:p w14:paraId="16970940">
            <w:pPr>
              <w:adjustRightInd w:val="0"/>
              <w:snapToGrid w:val="0"/>
              <w:jc w:val="left"/>
              <w:rPr>
                <w:rFonts w:ascii="宋体" w:hAnsi="宋体"/>
                <w:szCs w:val="21"/>
              </w:rPr>
            </w:pPr>
            <w:r>
              <w:rPr>
                <w:rFonts w:hint="eastAsia" w:ascii="宋体" w:hAnsi="宋体"/>
                <w:szCs w:val="21"/>
              </w:rPr>
              <w:t>运输特殊要求</w:t>
            </w:r>
          </w:p>
        </w:tc>
        <w:tc>
          <w:tcPr>
            <w:tcW w:w="5170" w:type="dxa"/>
            <w:vAlign w:val="center"/>
          </w:tcPr>
          <w:p w14:paraId="355D7558"/>
        </w:tc>
      </w:tr>
      <w:tr w14:paraId="7A034D6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Align w:val="center"/>
          </w:tcPr>
          <w:p w14:paraId="50B4FC6F">
            <w:pPr>
              <w:adjustRightInd w:val="0"/>
              <w:snapToGrid w:val="0"/>
              <w:jc w:val="center"/>
              <w:rPr>
                <w:rFonts w:ascii="宋体" w:hAnsi="宋体"/>
                <w:szCs w:val="21"/>
              </w:rPr>
            </w:pPr>
            <w:r>
              <w:rPr>
                <w:rFonts w:hint="eastAsia" w:ascii="宋体" w:hAnsi="宋体"/>
                <w:szCs w:val="21"/>
              </w:rPr>
              <w:t>第二节</w:t>
            </w:r>
          </w:p>
          <w:p w14:paraId="3DBD107F">
            <w:pPr>
              <w:adjustRightInd w:val="0"/>
              <w:snapToGrid w:val="0"/>
              <w:jc w:val="center"/>
              <w:rPr>
                <w:rFonts w:ascii="宋体" w:hAnsi="宋体"/>
                <w:szCs w:val="21"/>
              </w:rPr>
            </w:pPr>
            <w:r>
              <w:rPr>
                <w:rFonts w:hint="eastAsia" w:ascii="宋体" w:hAnsi="宋体"/>
                <w:szCs w:val="21"/>
              </w:rPr>
              <w:t>第7.3款</w:t>
            </w:r>
          </w:p>
        </w:tc>
        <w:tc>
          <w:tcPr>
            <w:tcW w:w="1742" w:type="dxa"/>
            <w:vAlign w:val="center"/>
          </w:tcPr>
          <w:p w14:paraId="2E753FD8">
            <w:pPr>
              <w:adjustRightInd w:val="0"/>
              <w:snapToGrid w:val="0"/>
              <w:jc w:val="left"/>
              <w:rPr>
                <w:rFonts w:ascii="宋体" w:hAnsi="宋体"/>
                <w:szCs w:val="21"/>
              </w:rPr>
            </w:pPr>
            <w:r>
              <w:rPr>
                <w:rFonts w:hint="eastAsia" w:ascii="宋体" w:hAnsi="宋体"/>
                <w:szCs w:val="21"/>
              </w:rPr>
              <w:t>保险要求</w:t>
            </w:r>
          </w:p>
        </w:tc>
        <w:tc>
          <w:tcPr>
            <w:tcW w:w="5170" w:type="dxa"/>
            <w:vAlign w:val="center"/>
          </w:tcPr>
          <w:p w14:paraId="6499D880"/>
        </w:tc>
      </w:tr>
      <w:tr w14:paraId="62B35F0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11CD9F8A">
            <w:pPr>
              <w:adjustRightInd w:val="0"/>
              <w:snapToGrid w:val="0"/>
              <w:jc w:val="center"/>
              <w:rPr>
                <w:rFonts w:ascii="宋体" w:hAnsi="宋体"/>
                <w:szCs w:val="21"/>
              </w:rPr>
            </w:pPr>
            <w:r>
              <w:rPr>
                <w:rFonts w:hint="eastAsia" w:ascii="宋体" w:hAnsi="宋体"/>
                <w:szCs w:val="21"/>
              </w:rPr>
              <w:t>第二节</w:t>
            </w:r>
          </w:p>
          <w:p w14:paraId="220DCFE1">
            <w:pPr>
              <w:adjustRightInd w:val="0"/>
              <w:snapToGrid w:val="0"/>
              <w:jc w:val="center"/>
              <w:rPr>
                <w:rFonts w:ascii="宋体" w:hAnsi="宋体"/>
                <w:szCs w:val="21"/>
              </w:rPr>
            </w:pPr>
            <w:r>
              <w:rPr>
                <w:rFonts w:hint="eastAsia" w:ascii="宋体" w:hAnsi="宋体"/>
                <w:szCs w:val="21"/>
              </w:rPr>
              <w:t>第8.2（1）项</w:t>
            </w:r>
          </w:p>
        </w:tc>
        <w:tc>
          <w:tcPr>
            <w:tcW w:w="1742" w:type="dxa"/>
            <w:vAlign w:val="center"/>
          </w:tcPr>
          <w:p w14:paraId="7F30F9A5">
            <w:pPr>
              <w:adjustRightInd w:val="0"/>
              <w:snapToGrid w:val="0"/>
              <w:jc w:val="left"/>
              <w:rPr>
                <w:rFonts w:ascii="宋体" w:hAnsi="宋体"/>
                <w:szCs w:val="21"/>
              </w:rPr>
            </w:pPr>
            <w:r>
              <w:rPr>
                <w:rFonts w:hint="eastAsia" w:ascii="宋体" w:hAnsi="宋体"/>
                <w:szCs w:val="21"/>
              </w:rPr>
              <w:t>质量保证期</w:t>
            </w:r>
          </w:p>
        </w:tc>
        <w:tc>
          <w:tcPr>
            <w:tcW w:w="5170" w:type="dxa"/>
            <w:vAlign w:val="center"/>
          </w:tcPr>
          <w:p w14:paraId="4D7F5F3F">
            <w:pPr>
              <w:autoSpaceDE w:val="0"/>
              <w:autoSpaceDN w:val="0"/>
              <w:adjustRightInd w:val="0"/>
              <w:snapToGrid w:val="0"/>
              <w:ind w:firstLine="420" w:firstLineChars="200"/>
              <w:jc w:val="left"/>
              <w:rPr>
                <w:rFonts w:ascii="宋体" w:hAnsi="宋体"/>
                <w:szCs w:val="21"/>
              </w:rPr>
            </w:pPr>
          </w:p>
        </w:tc>
      </w:tr>
      <w:tr w14:paraId="38DF1A8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3D50B0F1">
            <w:pPr>
              <w:adjustRightInd w:val="0"/>
              <w:snapToGrid w:val="0"/>
              <w:jc w:val="center"/>
              <w:rPr>
                <w:rFonts w:ascii="宋体" w:hAnsi="宋体"/>
                <w:szCs w:val="21"/>
              </w:rPr>
            </w:pPr>
            <w:r>
              <w:rPr>
                <w:rFonts w:hint="eastAsia" w:ascii="宋体" w:hAnsi="宋体"/>
                <w:szCs w:val="21"/>
              </w:rPr>
              <w:t>第二节</w:t>
            </w:r>
          </w:p>
          <w:p w14:paraId="6D0DADFB">
            <w:pPr>
              <w:adjustRightInd w:val="0"/>
              <w:snapToGrid w:val="0"/>
              <w:jc w:val="center"/>
              <w:rPr>
                <w:rFonts w:ascii="宋体" w:hAnsi="宋体"/>
                <w:szCs w:val="21"/>
              </w:rPr>
            </w:pPr>
            <w:r>
              <w:rPr>
                <w:rFonts w:hint="eastAsia" w:ascii="宋体" w:hAnsi="宋体"/>
                <w:szCs w:val="21"/>
              </w:rPr>
              <w:t>第8.2（3）项</w:t>
            </w:r>
          </w:p>
        </w:tc>
        <w:tc>
          <w:tcPr>
            <w:tcW w:w="1742" w:type="dxa"/>
            <w:vAlign w:val="center"/>
          </w:tcPr>
          <w:p w14:paraId="0B5DFB5C">
            <w:pPr>
              <w:adjustRightInd w:val="0"/>
              <w:snapToGrid w:val="0"/>
              <w:jc w:val="left"/>
              <w:rPr>
                <w:rFonts w:ascii="宋体" w:hAnsi="宋体"/>
                <w:szCs w:val="21"/>
              </w:rPr>
            </w:pPr>
            <w:r>
              <w:rPr>
                <w:rFonts w:hint="eastAsia" w:ascii="宋体" w:hAnsi="宋体"/>
                <w:szCs w:val="21"/>
              </w:rPr>
              <w:t>货物质量缺陷</w:t>
            </w:r>
          </w:p>
          <w:p w14:paraId="536FFBBB">
            <w:pPr>
              <w:adjustRightInd w:val="0"/>
              <w:snapToGrid w:val="0"/>
              <w:jc w:val="left"/>
              <w:rPr>
                <w:rFonts w:ascii="宋体" w:hAnsi="宋体"/>
                <w:szCs w:val="21"/>
              </w:rPr>
            </w:pPr>
            <w:r>
              <w:rPr>
                <w:rFonts w:hint="eastAsia" w:ascii="宋体" w:hAnsi="宋体"/>
                <w:szCs w:val="21"/>
              </w:rPr>
              <w:t>响应时间</w:t>
            </w:r>
          </w:p>
        </w:tc>
        <w:tc>
          <w:tcPr>
            <w:tcW w:w="5170" w:type="dxa"/>
            <w:vAlign w:val="center"/>
          </w:tcPr>
          <w:p w14:paraId="44258627">
            <w:pPr>
              <w:adjustRightInd w:val="0"/>
              <w:snapToGrid w:val="0"/>
              <w:jc w:val="left"/>
              <w:rPr>
                <w:rFonts w:ascii="宋体" w:hAnsi="宋体"/>
                <w:szCs w:val="21"/>
              </w:rPr>
            </w:pPr>
          </w:p>
        </w:tc>
      </w:tr>
      <w:tr w14:paraId="4719976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1CCBF4F9">
            <w:pPr>
              <w:snapToGrid w:val="0"/>
              <w:jc w:val="center"/>
              <w:rPr>
                <w:rFonts w:ascii="宋体" w:hAnsi="宋体" w:cs="宋体"/>
                <w:szCs w:val="21"/>
              </w:rPr>
            </w:pPr>
            <w:r>
              <w:rPr>
                <w:rFonts w:hint="eastAsia" w:ascii="宋体" w:hAnsi="宋体" w:cs="宋体"/>
                <w:szCs w:val="21"/>
              </w:rPr>
              <w:t>第二节</w:t>
            </w:r>
          </w:p>
          <w:p w14:paraId="7E0913A5">
            <w:pPr>
              <w:autoSpaceDE w:val="0"/>
              <w:autoSpaceDN w:val="0"/>
              <w:adjustRightInd w:val="0"/>
              <w:spacing w:line="400" w:lineRule="exact"/>
              <w:jc w:val="center"/>
              <w:rPr>
                <w:rFonts w:ascii="华文楷体" w:hAnsi="华文楷体" w:eastAsia="华文楷体" w:cs="华文楷体"/>
                <w:sz w:val="22"/>
                <w:szCs w:val="21"/>
              </w:rPr>
            </w:pPr>
            <w:r>
              <w:rPr>
                <w:rFonts w:hint="eastAsia" w:ascii="宋体" w:hAnsi="宋体" w:cs="宋体"/>
                <w:sz w:val="22"/>
                <w:szCs w:val="21"/>
              </w:rPr>
              <w:t>第11.1款</w:t>
            </w:r>
          </w:p>
        </w:tc>
        <w:tc>
          <w:tcPr>
            <w:tcW w:w="1742" w:type="dxa"/>
            <w:vAlign w:val="center"/>
          </w:tcPr>
          <w:p w14:paraId="0DA8688C">
            <w:pPr>
              <w:adjustRightInd w:val="0"/>
              <w:snapToGrid w:val="0"/>
              <w:rPr>
                <w:rFonts w:ascii="宋体" w:hAnsi="宋体"/>
                <w:szCs w:val="21"/>
              </w:rPr>
            </w:pPr>
            <w:r>
              <w:rPr>
                <w:rFonts w:hint="eastAsia" w:ascii="宋体" w:hAnsi="宋体"/>
                <w:szCs w:val="21"/>
              </w:rPr>
              <w:t>其他应当保密的信息</w:t>
            </w:r>
          </w:p>
        </w:tc>
        <w:tc>
          <w:tcPr>
            <w:tcW w:w="5170" w:type="dxa"/>
            <w:vAlign w:val="center"/>
          </w:tcPr>
          <w:p w14:paraId="77D941E3">
            <w:pPr>
              <w:adjustRightInd w:val="0"/>
              <w:snapToGrid w:val="0"/>
              <w:jc w:val="left"/>
              <w:rPr>
                <w:rFonts w:ascii="宋体" w:hAnsi="宋体"/>
                <w:szCs w:val="21"/>
              </w:rPr>
            </w:pPr>
          </w:p>
        </w:tc>
      </w:tr>
      <w:tr w14:paraId="1B3C3AE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14:paraId="202792A4">
            <w:pPr>
              <w:adjustRightInd w:val="0"/>
              <w:snapToGrid w:val="0"/>
              <w:jc w:val="center"/>
              <w:rPr>
                <w:rFonts w:ascii="宋体" w:hAnsi="宋体"/>
                <w:szCs w:val="21"/>
              </w:rPr>
            </w:pPr>
            <w:r>
              <w:rPr>
                <w:rFonts w:hint="eastAsia" w:ascii="宋体" w:hAnsi="宋体"/>
                <w:szCs w:val="21"/>
              </w:rPr>
              <w:t>第二节</w:t>
            </w:r>
          </w:p>
          <w:p w14:paraId="3FC3898D">
            <w:pPr>
              <w:adjustRightInd w:val="0"/>
              <w:snapToGrid w:val="0"/>
              <w:jc w:val="center"/>
              <w:rPr>
                <w:rFonts w:ascii="宋体" w:hAnsi="宋体"/>
                <w:szCs w:val="21"/>
              </w:rPr>
            </w:pPr>
            <w:r>
              <w:rPr>
                <w:rFonts w:hint="eastAsia" w:ascii="宋体" w:hAnsi="宋体"/>
                <w:szCs w:val="21"/>
              </w:rPr>
              <w:t>第12.2款</w:t>
            </w:r>
          </w:p>
        </w:tc>
        <w:tc>
          <w:tcPr>
            <w:tcW w:w="1742" w:type="dxa"/>
            <w:vAlign w:val="center"/>
          </w:tcPr>
          <w:p w14:paraId="0CA283BE">
            <w:pPr>
              <w:adjustRightInd w:val="0"/>
              <w:snapToGrid w:val="0"/>
              <w:jc w:val="left"/>
              <w:rPr>
                <w:rFonts w:ascii="宋体" w:hAnsi="宋体"/>
                <w:szCs w:val="21"/>
              </w:rPr>
            </w:pPr>
            <w:r>
              <w:rPr>
                <w:rFonts w:hint="eastAsia" w:ascii="宋体" w:hAnsi="宋体"/>
                <w:szCs w:val="21"/>
              </w:rPr>
              <w:t>合同价款支付时间</w:t>
            </w:r>
          </w:p>
        </w:tc>
        <w:tc>
          <w:tcPr>
            <w:tcW w:w="5170" w:type="dxa"/>
            <w:vAlign w:val="center"/>
          </w:tcPr>
          <w:p w14:paraId="03CEF3CA">
            <w:pPr>
              <w:adjustRightInd w:val="0"/>
              <w:snapToGrid w:val="0"/>
              <w:jc w:val="left"/>
              <w:rPr>
                <w:rFonts w:ascii="宋体" w:hAnsi="宋体"/>
                <w:szCs w:val="21"/>
              </w:rPr>
            </w:pPr>
          </w:p>
        </w:tc>
      </w:tr>
      <w:tr w14:paraId="406250B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14:paraId="5783124E">
            <w:pPr>
              <w:adjustRightInd w:val="0"/>
              <w:snapToGrid w:val="0"/>
              <w:jc w:val="center"/>
              <w:rPr>
                <w:rFonts w:ascii="宋体" w:hAnsi="宋体"/>
                <w:szCs w:val="21"/>
              </w:rPr>
            </w:pPr>
            <w:r>
              <w:rPr>
                <w:rFonts w:hint="eastAsia" w:ascii="宋体" w:hAnsi="宋体"/>
                <w:szCs w:val="21"/>
              </w:rPr>
              <w:t>第二节</w:t>
            </w:r>
          </w:p>
          <w:p w14:paraId="4E842133">
            <w:pPr>
              <w:adjustRightInd w:val="0"/>
              <w:snapToGrid w:val="0"/>
              <w:jc w:val="center"/>
              <w:rPr>
                <w:rFonts w:ascii="宋体" w:hAnsi="宋体"/>
                <w:szCs w:val="21"/>
              </w:rPr>
            </w:pPr>
            <w:r>
              <w:rPr>
                <w:rFonts w:hint="eastAsia" w:ascii="宋体" w:hAnsi="宋体"/>
                <w:szCs w:val="21"/>
              </w:rPr>
              <w:t>第13.2款</w:t>
            </w:r>
          </w:p>
        </w:tc>
        <w:tc>
          <w:tcPr>
            <w:tcW w:w="1742" w:type="dxa"/>
            <w:vAlign w:val="center"/>
          </w:tcPr>
          <w:p w14:paraId="67D967BC">
            <w:pPr>
              <w:adjustRightInd w:val="0"/>
              <w:snapToGrid w:val="0"/>
              <w:jc w:val="left"/>
              <w:rPr>
                <w:rFonts w:ascii="宋体" w:hAnsi="宋体"/>
                <w:szCs w:val="21"/>
              </w:rPr>
            </w:pPr>
            <w:r>
              <w:rPr>
                <w:rFonts w:hint="eastAsia" w:ascii="宋体" w:hAnsi="宋体"/>
                <w:szCs w:val="21"/>
              </w:rPr>
              <w:t>履约保证金不予退还的情形</w:t>
            </w:r>
          </w:p>
        </w:tc>
        <w:tc>
          <w:tcPr>
            <w:tcW w:w="5170" w:type="dxa"/>
            <w:vAlign w:val="center"/>
          </w:tcPr>
          <w:p w14:paraId="78D7C2F3">
            <w:pPr>
              <w:adjustRightInd w:val="0"/>
              <w:snapToGrid w:val="0"/>
              <w:jc w:val="left"/>
              <w:rPr>
                <w:rFonts w:ascii="宋体" w:hAnsi="宋体"/>
                <w:szCs w:val="21"/>
              </w:rPr>
            </w:pPr>
          </w:p>
        </w:tc>
      </w:tr>
      <w:tr w14:paraId="7B51A81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067AC03B">
            <w:pPr>
              <w:adjustRightInd w:val="0"/>
              <w:snapToGrid w:val="0"/>
              <w:jc w:val="center"/>
              <w:rPr>
                <w:rFonts w:ascii="宋体" w:hAnsi="宋体"/>
                <w:szCs w:val="21"/>
              </w:rPr>
            </w:pPr>
            <w:r>
              <w:rPr>
                <w:rFonts w:hint="eastAsia" w:ascii="宋体" w:hAnsi="宋体"/>
                <w:szCs w:val="21"/>
              </w:rPr>
              <w:t>第二节</w:t>
            </w:r>
          </w:p>
          <w:p w14:paraId="15708341">
            <w:pPr>
              <w:adjustRightInd w:val="0"/>
              <w:snapToGrid w:val="0"/>
              <w:jc w:val="center"/>
              <w:rPr>
                <w:rFonts w:ascii="宋体" w:hAnsi="宋体"/>
                <w:szCs w:val="21"/>
              </w:rPr>
            </w:pPr>
            <w:r>
              <w:rPr>
                <w:rFonts w:hint="eastAsia" w:ascii="宋体" w:hAnsi="宋体"/>
                <w:szCs w:val="21"/>
              </w:rPr>
              <w:t>第13.3款</w:t>
            </w:r>
          </w:p>
        </w:tc>
        <w:tc>
          <w:tcPr>
            <w:tcW w:w="1742" w:type="dxa"/>
            <w:vAlign w:val="center"/>
          </w:tcPr>
          <w:p w14:paraId="39E40AF7">
            <w:pPr>
              <w:adjustRightInd w:val="0"/>
              <w:snapToGrid w:val="0"/>
              <w:jc w:val="left"/>
              <w:rPr>
                <w:rFonts w:ascii="宋体" w:hAnsi="宋体"/>
                <w:szCs w:val="21"/>
              </w:rPr>
            </w:pPr>
            <w:r>
              <w:rPr>
                <w:rFonts w:hint="eastAsia" w:ascii="宋体" w:hAnsi="宋体"/>
                <w:szCs w:val="21"/>
              </w:rPr>
              <w:t>履约保证金退还时间及逾期退还的违约金</w:t>
            </w:r>
          </w:p>
        </w:tc>
        <w:tc>
          <w:tcPr>
            <w:tcW w:w="5170" w:type="dxa"/>
            <w:vAlign w:val="center"/>
          </w:tcPr>
          <w:p w14:paraId="1220E039">
            <w:pPr>
              <w:adjustRightInd w:val="0"/>
              <w:snapToGrid w:val="0"/>
              <w:jc w:val="left"/>
              <w:rPr>
                <w:rFonts w:ascii="宋体" w:hAnsi="宋体"/>
                <w:szCs w:val="21"/>
              </w:rPr>
            </w:pPr>
          </w:p>
        </w:tc>
      </w:tr>
      <w:tr w14:paraId="26F5D87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14:paraId="7269C205">
            <w:pPr>
              <w:adjustRightInd w:val="0"/>
              <w:snapToGrid w:val="0"/>
              <w:jc w:val="center"/>
              <w:rPr>
                <w:rFonts w:ascii="宋体" w:hAnsi="宋体"/>
                <w:szCs w:val="21"/>
              </w:rPr>
            </w:pPr>
            <w:r>
              <w:rPr>
                <w:rFonts w:hint="eastAsia" w:ascii="宋体" w:hAnsi="宋体"/>
                <w:szCs w:val="21"/>
              </w:rPr>
              <w:t>第二节</w:t>
            </w:r>
          </w:p>
          <w:p w14:paraId="5E3B69E5">
            <w:pPr>
              <w:adjustRightInd w:val="0"/>
              <w:snapToGrid w:val="0"/>
              <w:jc w:val="center"/>
              <w:rPr>
                <w:rFonts w:ascii="宋体" w:hAnsi="宋体"/>
                <w:szCs w:val="21"/>
              </w:rPr>
            </w:pPr>
            <w:r>
              <w:rPr>
                <w:rFonts w:hint="eastAsia" w:ascii="宋体" w:hAnsi="宋体"/>
                <w:szCs w:val="21"/>
              </w:rPr>
              <w:t>第14.1（3）项</w:t>
            </w:r>
          </w:p>
        </w:tc>
        <w:tc>
          <w:tcPr>
            <w:tcW w:w="1742" w:type="dxa"/>
            <w:vAlign w:val="center"/>
          </w:tcPr>
          <w:p w14:paraId="6C8BDA9C">
            <w:pPr>
              <w:adjustRightInd w:val="0"/>
              <w:snapToGrid w:val="0"/>
              <w:jc w:val="left"/>
              <w:rPr>
                <w:rFonts w:ascii="宋体" w:hAnsi="宋体"/>
                <w:szCs w:val="21"/>
              </w:rPr>
            </w:pPr>
            <w:r>
              <w:rPr>
                <w:rFonts w:hint="eastAsia" w:ascii="宋体" w:hAnsi="宋体"/>
                <w:szCs w:val="21"/>
              </w:rPr>
              <w:t>运行监督、维修期限</w:t>
            </w:r>
          </w:p>
        </w:tc>
        <w:tc>
          <w:tcPr>
            <w:tcW w:w="5170" w:type="dxa"/>
            <w:vAlign w:val="center"/>
          </w:tcPr>
          <w:p w14:paraId="7A9E38E2">
            <w:pPr>
              <w:adjustRightInd w:val="0"/>
              <w:snapToGrid w:val="0"/>
              <w:jc w:val="left"/>
              <w:rPr>
                <w:rFonts w:ascii="宋体" w:hAnsi="宋体"/>
                <w:szCs w:val="21"/>
              </w:rPr>
            </w:pPr>
          </w:p>
        </w:tc>
      </w:tr>
      <w:tr w14:paraId="4B39999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14:paraId="4E2986F9">
            <w:pPr>
              <w:adjustRightInd w:val="0"/>
              <w:snapToGrid w:val="0"/>
              <w:jc w:val="center"/>
              <w:rPr>
                <w:rFonts w:ascii="宋体" w:hAnsi="宋体"/>
                <w:szCs w:val="21"/>
              </w:rPr>
            </w:pPr>
            <w:r>
              <w:rPr>
                <w:rFonts w:hint="eastAsia" w:ascii="宋体" w:hAnsi="宋体"/>
                <w:szCs w:val="21"/>
              </w:rPr>
              <w:t>第二节</w:t>
            </w:r>
          </w:p>
          <w:p w14:paraId="13055A12">
            <w:pPr>
              <w:adjustRightInd w:val="0"/>
              <w:snapToGrid w:val="0"/>
              <w:jc w:val="center"/>
              <w:rPr>
                <w:rFonts w:ascii="宋体" w:hAnsi="宋体"/>
                <w:szCs w:val="21"/>
              </w:rPr>
            </w:pPr>
            <w:r>
              <w:rPr>
                <w:rFonts w:hint="eastAsia" w:ascii="宋体" w:hAnsi="宋体"/>
                <w:szCs w:val="21"/>
              </w:rPr>
              <w:t>第14.1（5）项</w:t>
            </w:r>
          </w:p>
        </w:tc>
        <w:tc>
          <w:tcPr>
            <w:tcW w:w="1742" w:type="dxa"/>
            <w:vAlign w:val="center"/>
          </w:tcPr>
          <w:p w14:paraId="01D2C49A">
            <w:pPr>
              <w:adjustRightInd w:val="0"/>
              <w:snapToGrid w:val="0"/>
              <w:jc w:val="left"/>
              <w:rPr>
                <w:rFonts w:ascii="宋体" w:hAnsi="宋体"/>
                <w:szCs w:val="21"/>
              </w:rPr>
            </w:pPr>
            <w:r>
              <w:rPr>
                <w:rFonts w:hint="eastAsia" w:ascii="宋体" w:hAnsi="宋体"/>
                <w:szCs w:val="21"/>
              </w:rPr>
              <w:t>货物回收的约定</w:t>
            </w:r>
          </w:p>
        </w:tc>
        <w:tc>
          <w:tcPr>
            <w:tcW w:w="5170" w:type="dxa"/>
            <w:vAlign w:val="center"/>
          </w:tcPr>
          <w:p w14:paraId="1A671FE3">
            <w:pPr>
              <w:adjustRightInd w:val="0"/>
              <w:snapToGrid w:val="0"/>
              <w:jc w:val="left"/>
              <w:rPr>
                <w:rFonts w:ascii="宋体" w:hAnsi="宋体"/>
                <w:szCs w:val="21"/>
              </w:rPr>
            </w:pPr>
          </w:p>
        </w:tc>
      </w:tr>
      <w:tr w14:paraId="050D9ED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197A1BA9">
            <w:pPr>
              <w:adjustRightInd w:val="0"/>
              <w:snapToGrid w:val="0"/>
              <w:jc w:val="center"/>
              <w:rPr>
                <w:rFonts w:ascii="宋体" w:hAnsi="宋体"/>
                <w:szCs w:val="21"/>
              </w:rPr>
            </w:pPr>
            <w:r>
              <w:rPr>
                <w:rFonts w:hint="eastAsia" w:ascii="宋体" w:hAnsi="宋体"/>
                <w:szCs w:val="21"/>
              </w:rPr>
              <w:t>第二节</w:t>
            </w:r>
          </w:p>
          <w:p w14:paraId="225BF796">
            <w:pPr>
              <w:adjustRightInd w:val="0"/>
              <w:snapToGrid w:val="0"/>
              <w:jc w:val="center"/>
              <w:rPr>
                <w:rFonts w:ascii="宋体" w:hAnsi="宋体"/>
                <w:szCs w:val="21"/>
              </w:rPr>
            </w:pPr>
            <w:r>
              <w:rPr>
                <w:rFonts w:hint="eastAsia" w:ascii="宋体" w:hAnsi="宋体"/>
                <w:szCs w:val="21"/>
              </w:rPr>
              <w:t>第14.1（6）项</w:t>
            </w:r>
          </w:p>
        </w:tc>
        <w:tc>
          <w:tcPr>
            <w:tcW w:w="1742" w:type="dxa"/>
            <w:vAlign w:val="center"/>
          </w:tcPr>
          <w:p w14:paraId="1CDD7F7C">
            <w:pPr>
              <w:adjustRightInd w:val="0"/>
              <w:snapToGrid w:val="0"/>
              <w:jc w:val="left"/>
              <w:rPr>
                <w:rFonts w:ascii="宋体" w:hAnsi="宋体"/>
                <w:szCs w:val="21"/>
              </w:rPr>
            </w:pPr>
            <w:r>
              <w:rPr>
                <w:rFonts w:hint="eastAsia" w:ascii="宋体" w:hAnsi="宋体"/>
                <w:szCs w:val="21"/>
              </w:rPr>
              <w:t>乙方提供的其他服务</w:t>
            </w:r>
          </w:p>
        </w:tc>
        <w:tc>
          <w:tcPr>
            <w:tcW w:w="5170" w:type="dxa"/>
            <w:vAlign w:val="center"/>
          </w:tcPr>
          <w:p w14:paraId="4BF5C58F">
            <w:pPr>
              <w:adjustRightInd w:val="0"/>
              <w:snapToGrid w:val="0"/>
              <w:jc w:val="left"/>
              <w:rPr>
                <w:rFonts w:ascii="宋体" w:hAnsi="宋体"/>
                <w:szCs w:val="21"/>
              </w:rPr>
            </w:pPr>
          </w:p>
        </w:tc>
      </w:tr>
      <w:tr w14:paraId="7B9C978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65C31E0C">
            <w:pPr>
              <w:adjustRightInd w:val="0"/>
              <w:snapToGrid w:val="0"/>
              <w:jc w:val="center"/>
              <w:rPr>
                <w:rFonts w:ascii="宋体" w:hAnsi="宋体"/>
                <w:szCs w:val="21"/>
              </w:rPr>
            </w:pPr>
            <w:r>
              <w:rPr>
                <w:rFonts w:hint="eastAsia" w:ascii="宋体" w:hAnsi="宋体"/>
                <w:szCs w:val="21"/>
              </w:rPr>
              <w:t>第二节</w:t>
            </w:r>
          </w:p>
          <w:p w14:paraId="28904E9A">
            <w:pPr>
              <w:adjustRightInd w:val="0"/>
              <w:snapToGrid w:val="0"/>
              <w:jc w:val="center"/>
              <w:rPr>
                <w:rFonts w:ascii="宋体" w:hAnsi="宋体"/>
                <w:szCs w:val="21"/>
              </w:rPr>
            </w:pPr>
            <w:r>
              <w:rPr>
                <w:rFonts w:hint="eastAsia" w:ascii="宋体" w:hAnsi="宋体"/>
                <w:szCs w:val="21"/>
              </w:rPr>
              <w:t>第15.1款</w:t>
            </w:r>
          </w:p>
        </w:tc>
        <w:tc>
          <w:tcPr>
            <w:tcW w:w="1742" w:type="dxa"/>
            <w:vAlign w:val="center"/>
          </w:tcPr>
          <w:p w14:paraId="109F8D9D">
            <w:pPr>
              <w:adjustRightInd w:val="0"/>
              <w:snapToGrid w:val="0"/>
              <w:jc w:val="left"/>
              <w:rPr>
                <w:rFonts w:ascii="宋体" w:hAnsi="宋体"/>
                <w:szCs w:val="21"/>
              </w:rPr>
            </w:pPr>
            <w:r>
              <w:rPr>
                <w:rFonts w:hint="eastAsia" w:ascii="宋体" w:hAnsi="宋体"/>
                <w:szCs w:val="21"/>
              </w:rPr>
              <w:t>修理、重作、更换相关具体规定</w:t>
            </w:r>
          </w:p>
        </w:tc>
        <w:tc>
          <w:tcPr>
            <w:tcW w:w="5170" w:type="dxa"/>
            <w:vAlign w:val="center"/>
          </w:tcPr>
          <w:p w14:paraId="4959E6ED">
            <w:pPr>
              <w:adjustRightInd w:val="0"/>
              <w:snapToGrid w:val="0"/>
              <w:jc w:val="left"/>
              <w:rPr>
                <w:rFonts w:ascii="宋体" w:hAnsi="宋体"/>
                <w:szCs w:val="21"/>
              </w:rPr>
            </w:pPr>
          </w:p>
        </w:tc>
      </w:tr>
      <w:tr w14:paraId="427379F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7FEEC223">
            <w:pPr>
              <w:adjustRightInd w:val="0"/>
              <w:snapToGrid w:val="0"/>
              <w:jc w:val="center"/>
              <w:rPr>
                <w:rFonts w:ascii="宋体" w:hAnsi="宋体"/>
                <w:szCs w:val="21"/>
              </w:rPr>
            </w:pPr>
            <w:r>
              <w:rPr>
                <w:rFonts w:hint="eastAsia" w:ascii="宋体" w:hAnsi="宋体"/>
                <w:szCs w:val="21"/>
              </w:rPr>
              <w:t>第二节</w:t>
            </w:r>
          </w:p>
          <w:p w14:paraId="056E5FF7">
            <w:pPr>
              <w:adjustRightInd w:val="0"/>
              <w:snapToGrid w:val="0"/>
              <w:jc w:val="center"/>
              <w:rPr>
                <w:rFonts w:ascii="宋体" w:hAnsi="宋体"/>
                <w:szCs w:val="21"/>
              </w:rPr>
            </w:pPr>
            <w:r>
              <w:rPr>
                <w:rFonts w:hint="eastAsia" w:ascii="宋体" w:hAnsi="宋体"/>
                <w:szCs w:val="21"/>
              </w:rPr>
              <w:t>第15.2（2）项</w:t>
            </w:r>
          </w:p>
        </w:tc>
        <w:tc>
          <w:tcPr>
            <w:tcW w:w="1742" w:type="dxa"/>
            <w:vAlign w:val="center"/>
          </w:tcPr>
          <w:p w14:paraId="14F9AF21">
            <w:pPr>
              <w:adjustRightInd w:val="0"/>
              <w:snapToGrid w:val="0"/>
              <w:jc w:val="left"/>
              <w:rPr>
                <w:rFonts w:ascii="宋体" w:hAnsi="宋体"/>
                <w:szCs w:val="21"/>
              </w:rPr>
            </w:pPr>
            <w:r>
              <w:rPr>
                <w:rFonts w:hint="eastAsia" w:ascii="宋体" w:hAnsi="宋体"/>
                <w:szCs w:val="21"/>
              </w:rPr>
              <w:t>迟延交货赔偿费</w:t>
            </w:r>
          </w:p>
        </w:tc>
        <w:tc>
          <w:tcPr>
            <w:tcW w:w="5170" w:type="dxa"/>
            <w:vAlign w:val="center"/>
          </w:tcPr>
          <w:p w14:paraId="3104A45C">
            <w:pPr>
              <w:adjustRightInd w:val="0"/>
              <w:snapToGrid w:val="0"/>
              <w:jc w:val="left"/>
              <w:rPr>
                <w:rFonts w:ascii="宋体" w:hAnsi="宋体"/>
                <w:szCs w:val="21"/>
                <w:u w:val="single"/>
              </w:rPr>
            </w:pPr>
          </w:p>
        </w:tc>
      </w:tr>
      <w:tr w14:paraId="6B3DBBF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36BEA26D">
            <w:pPr>
              <w:adjustRightInd w:val="0"/>
              <w:snapToGrid w:val="0"/>
              <w:jc w:val="center"/>
              <w:rPr>
                <w:rFonts w:ascii="宋体" w:hAnsi="宋体"/>
                <w:szCs w:val="21"/>
              </w:rPr>
            </w:pPr>
            <w:r>
              <w:rPr>
                <w:rFonts w:hint="eastAsia" w:ascii="宋体" w:hAnsi="宋体"/>
                <w:szCs w:val="21"/>
              </w:rPr>
              <w:t>第二节</w:t>
            </w:r>
          </w:p>
          <w:p w14:paraId="164F0C39">
            <w:pPr>
              <w:adjustRightInd w:val="0"/>
              <w:snapToGrid w:val="0"/>
              <w:jc w:val="center"/>
              <w:rPr>
                <w:rFonts w:ascii="宋体" w:hAnsi="宋体"/>
                <w:szCs w:val="21"/>
              </w:rPr>
            </w:pPr>
            <w:r>
              <w:rPr>
                <w:rFonts w:hint="eastAsia" w:ascii="宋体" w:hAnsi="宋体"/>
                <w:szCs w:val="21"/>
              </w:rPr>
              <w:t>第15.3款</w:t>
            </w:r>
          </w:p>
        </w:tc>
        <w:tc>
          <w:tcPr>
            <w:tcW w:w="1742" w:type="dxa"/>
            <w:vAlign w:val="center"/>
          </w:tcPr>
          <w:p w14:paraId="2E7B5539">
            <w:pPr>
              <w:adjustRightInd w:val="0"/>
              <w:snapToGrid w:val="0"/>
              <w:jc w:val="left"/>
              <w:rPr>
                <w:rFonts w:ascii="宋体" w:hAnsi="宋体"/>
                <w:szCs w:val="21"/>
              </w:rPr>
            </w:pPr>
            <w:r>
              <w:rPr>
                <w:rFonts w:hint="eastAsia" w:ascii="宋体" w:hAnsi="宋体"/>
                <w:szCs w:val="21"/>
              </w:rPr>
              <w:t>逾期付款利息</w:t>
            </w:r>
          </w:p>
        </w:tc>
        <w:tc>
          <w:tcPr>
            <w:tcW w:w="5170" w:type="dxa"/>
            <w:vAlign w:val="center"/>
          </w:tcPr>
          <w:p w14:paraId="37EF199A">
            <w:pPr>
              <w:adjustRightInd w:val="0"/>
              <w:snapToGrid w:val="0"/>
              <w:jc w:val="left"/>
              <w:rPr>
                <w:rFonts w:ascii="宋体" w:hAnsi="宋体"/>
                <w:szCs w:val="21"/>
                <w:u w:val="single"/>
              </w:rPr>
            </w:pPr>
          </w:p>
        </w:tc>
      </w:tr>
      <w:tr w14:paraId="20E3161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607" w:type="dxa"/>
            <w:tcBorders>
              <w:bottom w:val="single" w:color="auto" w:sz="2" w:space="0"/>
              <w:right w:val="single" w:color="auto" w:sz="2" w:space="0"/>
            </w:tcBorders>
            <w:vAlign w:val="center"/>
          </w:tcPr>
          <w:p w14:paraId="7B55F4F5">
            <w:pPr>
              <w:adjustRightInd w:val="0"/>
              <w:snapToGrid w:val="0"/>
              <w:jc w:val="center"/>
              <w:rPr>
                <w:rFonts w:ascii="宋体" w:hAnsi="宋体"/>
                <w:szCs w:val="21"/>
              </w:rPr>
            </w:pPr>
            <w:r>
              <w:rPr>
                <w:rFonts w:hint="eastAsia" w:ascii="宋体" w:hAnsi="宋体"/>
                <w:szCs w:val="21"/>
              </w:rPr>
              <w:t>第二节</w:t>
            </w:r>
          </w:p>
          <w:p w14:paraId="4A1CFF1F">
            <w:pPr>
              <w:adjustRightInd w:val="0"/>
              <w:snapToGrid w:val="0"/>
              <w:jc w:val="center"/>
              <w:rPr>
                <w:rFonts w:ascii="宋体" w:hAnsi="宋体"/>
                <w:szCs w:val="21"/>
              </w:rPr>
            </w:pPr>
            <w:r>
              <w:rPr>
                <w:rFonts w:hint="eastAsia" w:ascii="宋体" w:hAnsi="宋体"/>
                <w:szCs w:val="21"/>
              </w:rPr>
              <w:t>第15.4款</w:t>
            </w:r>
          </w:p>
        </w:tc>
        <w:tc>
          <w:tcPr>
            <w:tcW w:w="1742" w:type="dxa"/>
            <w:tcBorders>
              <w:left w:val="single" w:color="auto" w:sz="2" w:space="0"/>
              <w:bottom w:val="single" w:color="auto" w:sz="2" w:space="0"/>
              <w:right w:val="single" w:color="auto" w:sz="2" w:space="0"/>
            </w:tcBorders>
            <w:vAlign w:val="center"/>
          </w:tcPr>
          <w:p w14:paraId="2C02FC6D">
            <w:pPr>
              <w:adjustRightInd w:val="0"/>
              <w:snapToGrid w:val="0"/>
              <w:jc w:val="left"/>
              <w:rPr>
                <w:rFonts w:ascii="宋体" w:hAnsi="宋体"/>
                <w:szCs w:val="21"/>
              </w:rPr>
            </w:pPr>
            <w:r>
              <w:rPr>
                <w:rFonts w:hint="eastAsia" w:ascii="宋体" w:hAnsi="宋体"/>
                <w:szCs w:val="21"/>
              </w:rPr>
              <w:t>其他违约责任</w:t>
            </w:r>
          </w:p>
        </w:tc>
        <w:tc>
          <w:tcPr>
            <w:tcW w:w="5170" w:type="dxa"/>
            <w:tcBorders>
              <w:left w:val="single" w:color="auto" w:sz="2" w:space="0"/>
              <w:bottom w:val="single" w:color="auto" w:sz="2" w:space="0"/>
            </w:tcBorders>
            <w:vAlign w:val="center"/>
          </w:tcPr>
          <w:p w14:paraId="57A54A33">
            <w:pPr>
              <w:adjustRightInd w:val="0"/>
              <w:snapToGrid w:val="0"/>
              <w:jc w:val="left"/>
              <w:rPr>
                <w:rFonts w:ascii="宋体" w:hAnsi="宋体"/>
                <w:szCs w:val="21"/>
                <w:u w:val="single"/>
              </w:rPr>
            </w:pPr>
          </w:p>
        </w:tc>
      </w:tr>
      <w:tr w14:paraId="5B4EF45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607" w:type="dxa"/>
            <w:tcBorders>
              <w:top w:val="single" w:color="auto" w:sz="2" w:space="0"/>
              <w:right w:val="single" w:color="auto" w:sz="2" w:space="0"/>
            </w:tcBorders>
            <w:vAlign w:val="center"/>
          </w:tcPr>
          <w:p w14:paraId="348C5AE5">
            <w:pPr>
              <w:adjustRightInd w:val="0"/>
              <w:snapToGrid w:val="0"/>
              <w:jc w:val="center"/>
              <w:rPr>
                <w:rFonts w:ascii="宋体" w:hAnsi="宋体"/>
                <w:szCs w:val="21"/>
              </w:rPr>
            </w:pPr>
            <w:r>
              <w:rPr>
                <w:rFonts w:hint="eastAsia" w:ascii="宋体" w:hAnsi="宋体"/>
                <w:szCs w:val="21"/>
              </w:rPr>
              <w:t>第二节</w:t>
            </w:r>
          </w:p>
          <w:p w14:paraId="2DEA0D60">
            <w:pPr>
              <w:adjustRightInd w:val="0"/>
              <w:snapToGrid w:val="0"/>
              <w:jc w:val="center"/>
              <w:rPr>
                <w:rFonts w:ascii="宋体" w:hAnsi="宋体"/>
                <w:szCs w:val="21"/>
              </w:rPr>
            </w:pPr>
            <w:r>
              <w:rPr>
                <w:rFonts w:hint="eastAsia" w:ascii="宋体" w:hAnsi="宋体"/>
                <w:szCs w:val="21"/>
              </w:rPr>
              <w:t>第19.2款</w:t>
            </w:r>
          </w:p>
        </w:tc>
        <w:tc>
          <w:tcPr>
            <w:tcW w:w="1742" w:type="dxa"/>
            <w:tcBorders>
              <w:top w:val="single" w:color="auto" w:sz="2" w:space="0"/>
              <w:left w:val="single" w:color="auto" w:sz="2" w:space="0"/>
              <w:right w:val="single" w:color="auto" w:sz="2" w:space="0"/>
            </w:tcBorders>
            <w:vAlign w:val="center"/>
          </w:tcPr>
          <w:p w14:paraId="5C53A20B">
            <w:pPr>
              <w:adjustRightInd w:val="0"/>
              <w:snapToGrid w:val="0"/>
              <w:jc w:val="left"/>
              <w:rPr>
                <w:rFonts w:ascii="宋体" w:hAnsi="宋体"/>
                <w:szCs w:val="21"/>
              </w:rPr>
            </w:pPr>
            <w:r>
              <w:rPr>
                <w:rFonts w:hint="eastAsia" w:ascii="宋体" w:hAnsi="宋体"/>
                <w:szCs w:val="21"/>
              </w:rPr>
              <w:t>解决争议的方法</w:t>
            </w:r>
          </w:p>
        </w:tc>
        <w:tc>
          <w:tcPr>
            <w:tcW w:w="5170" w:type="dxa"/>
            <w:tcBorders>
              <w:top w:val="single" w:color="auto" w:sz="2" w:space="0"/>
              <w:left w:val="single" w:color="auto" w:sz="2" w:space="0"/>
            </w:tcBorders>
            <w:vAlign w:val="center"/>
          </w:tcPr>
          <w:p w14:paraId="4C127DD8">
            <w:pPr>
              <w:autoSpaceDE w:val="0"/>
              <w:autoSpaceDN w:val="0"/>
              <w:adjustRightInd w:val="0"/>
              <w:snapToGrid w:val="0"/>
              <w:spacing w:line="400" w:lineRule="exact"/>
              <w:jc w:val="left"/>
              <w:rPr>
                <w:rFonts w:ascii="宋体" w:hAnsi="宋体" w:cs="宋体"/>
                <w:iCs/>
                <w:szCs w:val="21"/>
              </w:rPr>
            </w:pPr>
            <w:r>
              <w:rPr>
                <w:rFonts w:hint="eastAsia" w:ascii="宋体" w:hAnsi="宋体" w:cs="宋体"/>
                <w:iCs/>
                <w:szCs w:val="21"/>
              </w:rPr>
              <w:t>因本合同及合同有关事项发生的争议，按下列第</w:t>
            </w:r>
            <w:r>
              <w:rPr>
                <w:rFonts w:hint="eastAsia" w:ascii="宋体" w:hAnsi="宋体" w:cs="宋体"/>
                <w:iCs/>
                <w:szCs w:val="21"/>
                <w:u w:val="single"/>
              </w:rPr>
              <w:t xml:space="preserve">   </w:t>
            </w:r>
            <w:r>
              <w:rPr>
                <w:rFonts w:hint="eastAsia" w:ascii="宋体" w:hAnsi="宋体" w:cs="宋体"/>
                <w:iCs/>
                <w:szCs w:val="21"/>
              </w:rPr>
              <w:t>种方式解决：</w:t>
            </w:r>
          </w:p>
          <w:p w14:paraId="1A5E4551">
            <w:pPr>
              <w:autoSpaceDE w:val="0"/>
              <w:autoSpaceDN w:val="0"/>
              <w:adjustRightInd w:val="0"/>
              <w:snapToGrid w:val="0"/>
              <w:spacing w:line="400" w:lineRule="exact"/>
              <w:jc w:val="left"/>
              <w:rPr>
                <w:rFonts w:ascii="宋体" w:hAnsi="宋体" w:cs="宋体"/>
                <w:iCs/>
                <w:szCs w:val="21"/>
              </w:rPr>
            </w:pPr>
            <w:r>
              <w:rPr>
                <w:rFonts w:hint="eastAsia" w:ascii="宋体" w:hAnsi="宋体" w:cs="宋体"/>
                <w:iCs/>
                <w:szCs w:val="21"/>
              </w:rPr>
              <w:t>（1）向</w:t>
            </w:r>
            <w:r>
              <w:rPr>
                <w:rFonts w:hint="eastAsia" w:ascii="宋体" w:hAnsi="宋体" w:cs="宋体"/>
                <w:iCs/>
                <w:szCs w:val="21"/>
                <w:u w:val="single"/>
              </w:rPr>
              <w:t xml:space="preserve">                    </w:t>
            </w:r>
            <w:r>
              <w:rPr>
                <w:rFonts w:hint="eastAsia" w:ascii="宋体" w:hAnsi="宋体" w:cs="宋体"/>
                <w:iCs/>
                <w:szCs w:val="21"/>
              </w:rPr>
              <w:t>仲裁委员会申请仲裁，仲裁地点为</w:t>
            </w:r>
            <w:r>
              <w:rPr>
                <w:rFonts w:hint="eastAsia" w:ascii="宋体" w:hAnsi="宋体" w:cs="宋体"/>
                <w:iCs/>
                <w:szCs w:val="21"/>
                <w:u w:val="single"/>
              </w:rPr>
              <w:t xml:space="preserve">           </w:t>
            </w:r>
            <w:r>
              <w:rPr>
                <w:rFonts w:hint="eastAsia" w:ascii="宋体" w:hAnsi="宋体" w:cs="宋体"/>
                <w:iCs/>
                <w:szCs w:val="21"/>
              </w:rPr>
              <w:t>；</w:t>
            </w:r>
          </w:p>
          <w:p w14:paraId="0EE4483C">
            <w:pPr>
              <w:adjustRightInd w:val="0"/>
              <w:snapToGrid w:val="0"/>
              <w:jc w:val="left"/>
              <w:rPr>
                <w:rFonts w:ascii="宋体" w:hAnsi="宋体"/>
                <w:szCs w:val="21"/>
                <w:u w:val="single"/>
              </w:rPr>
            </w:pPr>
            <w:r>
              <w:rPr>
                <w:rFonts w:hint="eastAsia" w:ascii="宋体" w:hAnsi="宋体" w:cs="宋体"/>
                <w:iCs/>
                <w:szCs w:val="21"/>
              </w:rPr>
              <w:t>（2）向</w:t>
            </w:r>
            <w:r>
              <w:rPr>
                <w:rFonts w:hint="eastAsia" w:ascii="宋体" w:hAnsi="宋体" w:cs="宋体"/>
                <w:iCs/>
                <w:szCs w:val="21"/>
                <w:u w:val="single"/>
              </w:rPr>
              <w:t xml:space="preserve">                    </w:t>
            </w:r>
            <w:r>
              <w:rPr>
                <w:rFonts w:hint="eastAsia" w:ascii="宋体" w:hAnsi="宋体" w:cs="宋体"/>
                <w:iCs/>
                <w:szCs w:val="21"/>
              </w:rPr>
              <w:t>人民法院起诉。</w:t>
            </w:r>
          </w:p>
        </w:tc>
      </w:tr>
      <w:tr w14:paraId="58E5756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607" w:type="dxa"/>
            <w:vAlign w:val="center"/>
          </w:tcPr>
          <w:p w14:paraId="5EFC27E6">
            <w:pPr>
              <w:adjustRightInd w:val="0"/>
              <w:snapToGrid w:val="0"/>
              <w:jc w:val="center"/>
              <w:rPr>
                <w:rFonts w:ascii="宋体" w:hAnsi="宋体"/>
                <w:szCs w:val="21"/>
              </w:rPr>
            </w:pPr>
            <w:r>
              <w:rPr>
                <w:rFonts w:hint="eastAsia" w:ascii="宋体" w:hAnsi="宋体"/>
                <w:szCs w:val="21"/>
              </w:rPr>
              <w:t>第二节</w:t>
            </w:r>
          </w:p>
          <w:p w14:paraId="36CFFCD3">
            <w:pPr>
              <w:adjustRightInd w:val="0"/>
              <w:snapToGrid w:val="0"/>
              <w:jc w:val="center"/>
              <w:rPr>
                <w:rFonts w:ascii="宋体" w:hAnsi="宋体"/>
                <w:szCs w:val="21"/>
              </w:rPr>
            </w:pPr>
            <w:r>
              <w:rPr>
                <w:rFonts w:hint="eastAsia" w:ascii="宋体" w:hAnsi="宋体"/>
                <w:szCs w:val="21"/>
              </w:rPr>
              <w:t>第23.1款</w:t>
            </w:r>
          </w:p>
        </w:tc>
        <w:tc>
          <w:tcPr>
            <w:tcW w:w="1742" w:type="dxa"/>
            <w:vAlign w:val="center"/>
          </w:tcPr>
          <w:p w14:paraId="612F4335">
            <w:pPr>
              <w:adjustRightInd w:val="0"/>
              <w:snapToGrid w:val="0"/>
              <w:jc w:val="left"/>
              <w:rPr>
                <w:rFonts w:ascii="宋体" w:hAnsi="宋体"/>
                <w:szCs w:val="21"/>
              </w:rPr>
            </w:pPr>
            <w:r>
              <w:rPr>
                <w:rFonts w:hint="eastAsia" w:ascii="宋体" w:hAnsi="宋体"/>
                <w:bCs/>
                <w:szCs w:val="21"/>
              </w:rPr>
              <w:t>其他专用条款</w:t>
            </w:r>
          </w:p>
        </w:tc>
        <w:tc>
          <w:tcPr>
            <w:tcW w:w="5170" w:type="dxa"/>
            <w:vAlign w:val="center"/>
          </w:tcPr>
          <w:p w14:paraId="4DFFAE56">
            <w:pPr>
              <w:adjustRightInd w:val="0"/>
              <w:snapToGrid w:val="0"/>
              <w:jc w:val="left"/>
              <w:rPr>
                <w:rFonts w:ascii="宋体" w:hAnsi="宋体"/>
                <w:szCs w:val="21"/>
              </w:rPr>
            </w:pPr>
          </w:p>
        </w:tc>
      </w:tr>
    </w:tbl>
    <w:p w14:paraId="6B861197"/>
    <w:p w14:paraId="7E454614"/>
    <w:p w14:paraId="3504F724">
      <w:pPr>
        <w:widowControl/>
        <w:jc w:val="left"/>
        <w:rPr>
          <w:rFonts w:ascii="宋体" w:hAnsi="宋体"/>
          <w:szCs w:val="21"/>
        </w:rPr>
      </w:pPr>
      <w:r>
        <w:rPr>
          <w:rFonts w:ascii="宋体" w:hAnsi="宋体"/>
          <w:szCs w:val="21"/>
        </w:rPr>
        <w:br w:type="page"/>
      </w:r>
    </w:p>
    <w:p w14:paraId="395B0BB0">
      <w:pPr>
        <w:widowControl/>
        <w:jc w:val="left"/>
        <w:rPr>
          <w:rFonts w:ascii="宋体" w:hAnsi="宋体"/>
          <w:szCs w:val="21"/>
        </w:rPr>
      </w:pPr>
    </w:p>
    <w:p w14:paraId="6F7DDC6D">
      <w:pPr>
        <w:keepNext/>
        <w:keepLines/>
        <w:adjustRightInd w:val="0"/>
        <w:spacing w:before="120" w:beforeLines="50" w:after="120" w:afterLines="50"/>
        <w:ind w:left="562"/>
        <w:jc w:val="center"/>
        <w:textAlignment w:val="baseline"/>
        <w:outlineLvl w:val="1"/>
        <w:rPr>
          <w:rFonts w:ascii="宋体" w:hAnsi="宋体"/>
          <w:b/>
          <w:bCs/>
          <w:kern w:val="0"/>
          <w:sz w:val="28"/>
          <w:szCs w:val="28"/>
        </w:rPr>
      </w:pPr>
      <w:r>
        <w:rPr>
          <w:rFonts w:hint="eastAsia" w:ascii="宋体" w:hAnsi="宋体"/>
          <w:b/>
          <w:bCs/>
          <w:kern w:val="0"/>
          <w:sz w:val="28"/>
          <w:szCs w:val="28"/>
        </w:rPr>
        <w:t>第二册  通用条款（公开招标）</w:t>
      </w:r>
    </w:p>
    <w:p w14:paraId="6E4DBAE7">
      <w:pPr>
        <w:keepNext/>
        <w:keepLines/>
        <w:numPr>
          <w:ilvl w:val="0"/>
          <w:numId w:val="17"/>
        </w:numPr>
        <w:adjustRightInd w:val="0"/>
        <w:spacing w:before="120" w:beforeLines="50" w:after="120" w:afterLines="50"/>
        <w:ind w:left="562" w:hanging="562"/>
        <w:jc w:val="center"/>
        <w:textAlignment w:val="baseline"/>
        <w:outlineLvl w:val="1"/>
        <w:rPr>
          <w:rFonts w:ascii="宋体" w:hAnsi="宋体"/>
          <w:b/>
          <w:bCs/>
          <w:kern w:val="0"/>
          <w:sz w:val="28"/>
          <w:szCs w:val="28"/>
        </w:rPr>
      </w:pPr>
      <w:bookmarkStart w:id="89" w:name="_Hlk72399513"/>
      <w:r>
        <w:rPr>
          <w:rFonts w:hint="eastAsia" w:ascii="宋体" w:hAnsi="宋体"/>
          <w:b/>
          <w:bCs/>
          <w:kern w:val="0"/>
          <w:sz w:val="28"/>
          <w:szCs w:val="28"/>
        </w:rPr>
        <w:t>总则</w:t>
      </w:r>
    </w:p>
    <w:bookmarkEnd w:id="89"/>
    <w:p w14:paraId="76B86F9B">
      <w:pPr>
        <w:rPr>
          <w:rFonts w:ascii="黑体" w:hAnsi="宋体" w:eastAsia="黑体"/>
          <w:sz w:val="24"/>
        </w:rPr>
      </w:pPr>
      <w:r>
        <w:rPr>
          <w:rFonts w:hint="eastAsia" w:ascii="黑体" w:hAnsi="宋体" w:eastAsia="黑体"/>
          <w:sz w:val="24"/>
        </w:rPr>
        <w:t>1. 通用条款说明</w:t>
      </w:r>
    </w:p>
    <w:p w14:paraId="786CEDC6">
      <w:pPr>
        <w:ind w:firstLine="420" w:firstLineChars="200"/>
        <w:rPr>
          <w:rFonts w:ascii="宋体" w:hAnsi="宋体"/>
          <w:szCs w:val="21"/>
        </w:rPr>
      </w:pPr>
      <w:r>
        <w:rPr>
          <w:rFonts w:hint="eastAsia" w:ascii="宋体" w:hAnsi="宋体"/>
          <w:szCs w:val="21"/>
        </w:rPr>
        <w:t>1.1政府集中采购机构发出招标文件通用条款版本，列出深圳市自行采购项目进行招标采购所适用的通用条款内容。</w:t>
      </w:r>
      <w:bookmarkStart w:id="90" w:name="_Hlk72399729"/>
      <w:r>
        <w:rPr>
          <w:rFonts w:hint="eastAsia" w:ascii="宋体" w:hAnsi="宋体"/>
          <w:szCs w:val="21"/>
        </w:rPr>
        <w:t>如有需要，政府集中采购机构可以对通用条款的内容进行补充。</w:t>
      </w:r>
      <w:bookmarkEnd w:id="90"/>
    </w:p>
    <w:p w14:paraId="514293B7">
      <w:pPr>
        <w:ind w:firstLine="411" w:firstLineChars="196"/>
        <w:rPr>
          <w:rFonts w:ascii="宋体" w:hAnsi="宋体"/>
          <w:szCs w:val="21"/>
        </w:rPr>
      </w:pPr>
      <w:r>
        <w:rPr>
          <w:rFonts w:hint="eastAsia" w:ascii="宋体" w:hAnsi="宋体"/>
          <w:szCs w:val="21"/>
        </w:rPr>
        <w:t>1.2招标文件分为第一册“专用条款”和第二册“通用条款”。</w:t>
      </w:r>
    </w:p>
    <w:p w14:paraId="7EC68C16">
      <w:pPr>
        <w:ind w:firstLine="411" w:firstLineChars="196"/>
        <w:rPr>
          <w:rFonts w:ascii="宋体" w:hAnsi="宋体"/>
          <w:szCs w:val="21"/>
        </w:rPr>
      </w:pPr>
      <w:r>
        <w:rPr>
          <w:rFonts w:hint="eastAsia" w:ascii="宋体" w:hAnsi="宋体"/>
          <w:szCs w:val="21"/>
        </w:rPr>
        <w:t>1.3“专用条款”是对本次采购项目的具体要求，包含招标公告、对通用条款的补充内容及其他关键信息、用户需求书、投标文件格式及附件、合同条款及格式等内容。</w:t>
      </w:r>
    </w:p>
    <w:p w14:paraId="1F1F8620">
      <w:pPr>
        <w:ind w:firstLine="411" w:firstLineChars="196"/>
        <w:rPr>
          <w:rFonts w:ascii="宋体" w:hAnsi="宋体"/>
          <w:szCs w:val="21"/>
        </w:rPr>
      </w:pPr>
      <w:r>
        <w:rPr>
          <w:rFonts w:hint="eastAsia" w:ascii="宋体" w:hAnsi="宋体"/>
          <w:szCs w:val="21"/>
        </w:rPr>
        <w:t>1.4“通用条款”是适用于自行采购公开招标项目的基础性条款，具有普遍性和通用性。</w:t>
      </w:r>
    </w:p>
    <w:p w14:paraId="13FD8535">
      <w:pPr>
        <w:ind w:firstLine="411" w:firstLineChars="196"/>
        <w:rPr>
          <w:rFonts w:ascii="宋体" w:hAnsi="宋体"/>
          <w:szCs w:val="21"/>
        </w:rPr>
      </w:pPr>
      <w:r>
        <w:rPr>
          <w:rFonts w:hint="eastAsia" w:ascii="宋体" w:hAnsi="宋体"/>
          <w:szCs w:val="21"/>
        </w:rPr>
        <w:t>1.5 “专用条款”和“通用条款”表述不一致或有冲突时，以“专用条款”为准。</w:t>
      </w:r>
    </w:p>
    <w:p w14:paraId="05D253AA">
      <w:pPr>
        <w:rPr>
          <w:rFonts w:ascii="黑体" w:hAnsi="宋体" w:eastAsia="黑体"/>
          <w:sz w:val="24"/>
        </w:rPr>
      </w:pPr>
      <w:r>
        <w:rPr>
          <w:rFonts w:hint="eastAsia" w:ascii="黑体" w:hAnsi="宋体" w:eastAsia="黑体"/>
          <w:sz w:val="24"/>
        </w:rPr>
        <w:t>2</w:t>
      </w:r>
      <w:r>
        <w:rPr>
          <w:rFonts w:ascii="黑体" w:hAnsi="宋体" w:eastAsia="黑体"/>
          <w:sz w:val="24"/>
        </w:rPr>
        <w:t>．</w:t>
      </w:r>
      <w:r>
        <w:rPr>
          <w:rFonts w:hint="eastAsia" w:ascii="黑体" w:hAnsi="宋体" w:eastAsia="黑体"/>
          <w:sz w:val="24"/>
        </w:rPr>
        <w:t>招标说明</w:t>
      </w:r>
    </w:p>
    <w:p w14:paraId="77170353">
      <w:pPr>
        <w:ind w:firstLine="422" w:firstLineChars="200"/>
        <w:rPr>
          <w:rFonts w:ascii="宋体" w:hAnsi="宋体"/>
          <w:b/>
          <w:bCs/>
          <w:color w:val="FF0000"/>
          <w:szCs w:val="21"/>
        </w:rPr>
      </w:pPr>
      <w:r>
        <w:rPr>
          <w:rFonts w:hint="eastAsia" w:ascii="宋体" w:hAnsi="宋体"/>
          <w:b/>
          <w:bCs/>
          <w:color w:val="FF0000"/>
          <w:szCs w:val="21"/>
        </w:rPr>
        <w:t>本项目为自行采购项目，参照《深圳经济特区政府采购条例》、《深圳经济特区政府采购条例实施细则》及政府采购其他法律法规，通过公开招标方式确定中标供应商。</w:t>
      </w:r>
    </w:p>
    <w:p w14:paraId="352C184B">
      <w:pPr>
        <w:rPr>
          <w:rFonts w:ascii="黑体" w:hAnsi="宋体" w:eastAsia="黑体"/>
          <w:sz w:val="24"/>
        </w:rPr>
      </w:pPr>
      <w:r>
        <w:rPr>
          <w:rFonts w:hint="eastAsia" w:ascii="黑体" w:hAnsi="宋体" w:eastAsia="黑体"/>
          <w:sz w:val="24"/>
        </w:rPr>
        <w:t>3．定义</w:t>
      </w:r>
    </w:p>
    <w:p w14:paraId="79F32F5D">
      <w:pPr>
        <w:ind w:firstLine="420" w:firstLineChars="200"/>
        <w:rPr>
          <w:rFonts w:ascii="宋体" w:hAnsi="宋体"/>
          <w:szCs w:val="21"/>
        </w:rPr>
      </w:pPr>
      <w:r>
        <w:rPr>
          <w:rFonts w:ascii="宋体" w:hAnsi="宋体"/>
          <w:szCs w:val="21"/>
        </w:rPr>
        <w:t>招标文件中下列术语应解释为：</w:t>
      </w:r>
    </w:p>
    <w:p w14:paraId="74CABBB4">
      <w:pPr>
        <w:ind w:firstLine="411" w:firstLineChars="196"/>
        <w:rPr>
          <w:rFonts w:ascii="宋体" w:hAnsi="宋体"/>
          <w:szCs w:val="21"/>
        </w:rPr>
      </w:pPr>
      <w:r>
        <w:rPr>
          <w:rFonts w:hint="eastAsia" w:ascii="宋体" w:hAnsi="宋体"/>
          <w:szCs w:val="21"/>
        </w:rPr>
        <w:t>3.</w:t>
      </w:r>
      <w:r>
        <w:rPr>
          <w:rFonts w:ascii="宋体" w:hAnsi="宋体"/>
          <w:szCs w:val="21"/>
        </w:rPr>
        <w:t>1</w:t>
      </w:r>
      <w:r>
        <w:rPr>
          <w:rFonts w:hint="eastAsia" w:ascii="宋体" w:hAnsi="宋体"/>
          <w:szCs w:val="21"/>
        </w:rPr>
        <w:t>“采购人”：指利用财政性资金依法进行</w:t>
      </w:r>
      <w:r>
        <w:rPr>
          <w:rFonts w:hint="eastAsia" w:ascii="宋体" w:hAnsi="宋体"/>
          <w:b/>
          <w:bCs/>
          <w:color w:val="FF0000"/>
          <w:szCs w:val="21"/>
        </w:rPr>
        <w:t>自行采购</w:t>
      </w:r>
      <w:r>
        <w:rPr>
          <w:rFonts w:hint="eastAsia" w:ascii="宋体" w:hAnsi="宋体"/>
          <w:szCs w:val="21"/>
        </w:rPr>
        <w:t>的国家机关、事业单位、团体组织；</w:t>
      </w:r>
      <w:r>
        <w:rPr>
          <w:rFonts w:ascii="宋体" w:hAnsi="宋体"/>
          <w:szCs w:val="21"/>
        </w:rPr>
        <w:t xml:space="preserve"> </w:t>
      </w:r>
    </w:p>
    <w:p w14:paraId="28F90B64">
      <w:pPr>
        <w:ind w:firstLine="411" w:firstLineChars="196"/>
        <w:rPr>
          <w:rFonts w:ascii="宋体" w:hAnsi="宋体"/>
          <w:szCs w:val="21"/>
        </w:rPr>
      </w:pPr>
      <w:r>
        <w:rPr>
          <w:rFonts w:hint="eastAsia" w:ascii="宋体" w:hAnsi="宋体"/>
          <w:szCs w:val="21"/>
        </w:rPr>
        <w:t>3.2 “政府集中采购机构”</w:t>
      </w:r>
      <w:r>
        <w:rPr>
          <w:rFonts w:hint="eastAsia" w:ascii="Arial" w:hAnsi="Arial" w:cs="Arial"/>
          <w:szCs w:val="21"/>
          <w:shd w:val="clear" w:color="auto" w:fill="FFFFFF"/>
        </w:rPr>
        <w:t>是指市政府设立的，组织实施采购项目，并对采购活动提供服务的专门机构；</w:t>
      </w:r>
      <w:r>
        <w:rPr>
          <w:rFonts w:hint="eastAsia" w:ascii="宋体" w:hAnsi="宋体"/>
          <w:szCs w:val="21"/>
        </w:rPr>
        <w:t>本文件所述的“政府集中采购机构”</w:t>
      </w:r>
      <w:r>
        <w:rPr>
          <w:rFonts w:ascii="宋体" w:hAnsi="宋体"/>
          <w:szCs w:val="21"/>
        </w:rPr>
        <w:t>指</w:t>
      </w:r>
      <w:r>
        <w:rPr>
          <w:rFonts w:hint="eastAsia" w:ascii="宋体" w:hAnsi="宋体"/>
          <w:b/>
          <w:bCs/>
          <w:szCs w:val="21"/>
        </w:rPr>
        <w:t>深圳公共资源交易中心</w:t>
      </w:r>
      <w:r>
        <w:rPr>
          <w:rFonts w:hint="eastAsia" w:ascii="宋体" w:hAnsi="宋体"/>
          <w:szCs w:val="21"/>
        </w:rPr>
        <w:t>；</w:t>
      </w:r>
    </w:p>
    <w:p w14:paraId="57FD06D6">
      <w:pPr>
        <w:ind w:firstLine="411" w:firstLineChars="196"/>
        <w:rPr>
          <w:rFonts w:ascii="宋体" w:hAnsi="宋体"/>
          <w:szCs w:val="21"/>
        </w:rPr>
      </w:pPr>
      <w:r>
        <w:rPr>
          <w:rFonts w:hint="eastAsia" w:ascii="宋体" w:hAnsi="宋体"/>
          <w:szCs w:val="21"/>
        </w:rPr>
        <w:t>3.3“投标人”，即供应商，指参加投标竞争并愿意按照招标文件要求向采购人提供货物、工程或者服务的依法成立的法人、其他组织或者自然人；</w:t>
      </w:r>
    </w:p>
    <w:p w14:paraId="4FB9239F">
      <w:pPr>
        <w:ind w:firstLine="411" w:firstLineChars="196"/>
        <w:rPr>
          <w:rFonts w:ascii="宋体" w:hAnsi="宋体"/>
          <w:szCs w:val="21"/>
        </w:rPr>
      </w:pPr>
      <w:r>
        <w:rPr>
          <w:rFonts w:hint="eastAsia" w:ascii="宋体" w:hAnsi="宋体"/>
          <w:szCs w:val="21"/>
        </w:rPr>
        <w:t>3.4“评审委员会”是参照《深圳经济特区政府采购条例》、《深圳经济特区政府采购条例实施细则》等有关规定组建的专门负责本次招标其评审工作的临时性机构；</w:t>
      </w:r>
    </w:p>
    <w:p w14:paraId="7CE38D3B">
      <w:pPr>
        <w:ind w:firstLine="411" w:firstLineChars="196"/>
        <w:rPr>
          <w:rFonts w:ascii="宋体" w:hAnsi="宋体"/>
          <w:szCs w:val="21"/>
        </w:rPr>
      </w:pPr>
      <w:r>
        <w:rPr>
          <w:rFonts w:hint="eastAsia" w:ascii="宋体" w:hAnsi="宋体"/>
          <w:szCs w:val="21"/>
        </w:rPr>
        <w:t>3.5“日期”</w:t>
      </w:r>
      <w:r>
        <w:rPr>
          <w:rFonts w:ascii="宋体" w:hAnsi="宋体"/>
          <w:szCs w:val="21"/>
        </w:rPr>
        <w:t>指</w:t>
      </w:r>
      <w:r>
        <w:rPr>
          <w:rFonts w:hint="eastAsia" w:ascii="宋体" w:hAnsi="宋体"/>
          <w:szCs w:val="21"/>
        </w:rPr>
        <w:t>公历日；</w:t>
      </w:r>
    </w:p>
    <w:p w14:paraId="4737D581">
      <w:pPr>
        <w:ind w:firstLine="411" w:firstLineChars="196"/>
        <w:rPr>
          <w:rFonts w:ascii="宋体" w:hAnsi="宋体"/>
          <w:szCs w:val="21"/>
        </w:rPr>
      </w:pPr>
      <w:r>
        <w:rPr>
          <w:rFonts w:hint="eastAsia" w:ascii="宋体" w:hAnsi="宋体"/>
          <w:szCs w:val="21"/>
        </w:rPr>
        <w:t>3.6“合同”指由本次招标所产生的合同或合约文件；</w:t>
      </w:r>
    </w:p>
    <w:p w14:paraId="2D9057D7">
      <w:pPr>
        <w:ind w:firstLine="411" w:firstLineChars="196"/>
        <w:rPr>
          <w:rFonts w:ascii="宋体" w:hAnsi="宋体"/>
          <w:szCs w:val="21"/>
        </w:rPr>
      </w:pPr>
      <w:r>
        <w:rPr>
          <w:rFonts w:hint="eastAsia" w:ascii="宋体" w:hAnsi="宋体"/>
          <w:szCs w:val="21"/>
        </w:rPr>
        <w:t>3.7“电子投标文件”指利用</w:t>
      </w:r>
      <w:r>
        <w:rPr>
          <w:rFonts w:hint="eastAsia" w:ascii="宋体" w:hAnsi="宋体"/>
          <w:b/>
          <w:bCs/>
          <w:color w:val="FF0000"/>
          <w:szCs w:val="21"/>
        </w:rPr>
        <w:t>深圳公共资源交易中心（深圳交易集团有限公司坪山分公司）</w:t>
      </w:r>
      <w:r>
        <w:rPr>
          <w:rFonts w:hint="eastAsia" w:ascii="宋体" w:hAnsi="宋体"/>
          <w:szCs w:val="21"/>
        </w:rPr>
        <w:t>网站提供的深圳市自行采购系统投标文件编制工具（以下简称：投标文件制作软件）制作并加密的投标文件,适用于网上投标；（投标文件制作软件可从“下载地址：https://www.szggzy.com/jyfw/details.html?contentId=2053275”下载）</w:t>
      </w:r>
    </w:p>
    <w:p w14:paraId="0AF82F42">
      <w:pPr>
        <w:ind w:firstLine="411" w:firstLineChars="196"/>
        <w:rPr>
          <w:rFonts w:ascii="宋体" w:hAnsi="宋体"/>
          <w:szCs w:val="21"/>
        </w:rPr>
      </w:pPr>
      <w:r>
        <w:rPr>
          <w:rFonts w:hint="eastAsia" w:ascii="宋体" w:hAnsi="宋体"/>
          <w:szCs w:val="21"/>
        </w:rPr>
        <w:t>3.8“网上投标”指通过</w:t>
      </w:r>
      <w:r>
        <w:rPr>
          <w:rFonts w:hint="eastAsia" w:ascii="宋体" w:hAnsi="宋体"/>
          <w:b/>
          <w:bCs/>
          <w:color w:val="FF0000"/>
          <w:szCs w:val="21"/>
        </w:rPr>
        <w:t>深圳政府采购自行采购系统</w:t>
      </w:r>
      <w:r>
        <w:rPr>
          <w:rFonts w:hint="eastAsia" w:ascii="宋体" w:hAnsi="宋体"/>
          <w:szCs w:val="21"/>
        </w:rPr>
        <w:t>网站上传电子投标文件；</w:t>
      </w:r>
    </w:p>
    <w:p w14:paraId="4CBAE784">
      <w:pPr>
        <w:ind w:firstLine="411" w:firstLineChars="196"/>
        <w:rPr>
          <w:rFonts w:ascii="宋体" w:hAnsi="宋体"/>
          <w:szCs w:val="21"/>
        </w:rPr>
      </w:pPr>
      <w:r>
        <w:rPr>
          <w:rFonts w:hint="eastAsia" w:ascii="宋体" w:hAnsi="宋体"/>
          <w:szCs w:val="21"/>
        </w:rPr>
        <w:t>3.9招标文件中的标题或题名仅起引导作用，而不应视为对招标文件内容的理解和解释。</w:t>
      </w:r>
    </w:p>
    <w:p w14:paraId="3E1E5956">
      <w:pPr>
        <w:rPr>
          <w:rFonts w:ascii="黑体" w:hAnsi="宋体" w:eastAsia="黑体"/>
          <w:sz w:val="24"/>
        </w:rPr>
      </w:pPr>
      <w:r>
        <w:rPr>
          <w:rFonts w:hint="eastAsia" w:ascii="黑体" w:hAnsi="宋体" w:eastAsia="黑体"/>
          <w:sz w:val="24"/>
        </w:rPr>
        <w:t xml:space="preserve">4. </w:t>
      </w:r>
      <w:bookmarkStart w:id="91" w:name="_Hlk72398643"/>
      <w:r>
        <w:rPr>
          <w:rFonts w:hint="eastAsia" w:ascii="黑体" w:hAnsi="宋体" w:eastAsia="黑体"/>
          <w:sz w:val="24"/>
        </w:rPr>
        <w:t>采购供应商责任</w:t>
      </w:r>
    </w:p>
    <w:p w14:paraId="443919DA">
      <w:pPr>
        <w:ind w:firstLine="411" w:firstLineChars="196"/>
        <w:rPr>
          <w:rFonts w:ascii="宋体" w:hAnsi="宋体"/>
          <w:szCs w:val="21"/>
        </w:rPr>
      </w:pPr>
      <w:r>
        <w:rPr>
          <w:rFonts w:hint="eastAsia" w:ascii="宋体" w:hAnsi="宋体"/>
          <w:szCs w:val="21"/>
        </w:rPr>
        <w:t>4.1欢迎诚信、有实力和有社会责任心的供应商参与自行采购事业。</w:t>
      </w:r>
    </w:p>
    <w:p w14:paraId="6447348F">
      <w:pPr>
        <w:ind w:firstLine="411" w:firstLineChars="196"/>
        <w:rPr>
          <w:rFonts w:ascii="宋体" w:hAnsi="宋体"/>
          <w:szCs w:val="21"/>
        </w:rPr>
      </w:pPr>
      <w:r>
        <w:rPr>
          <w:rFonts w:hint="eastAsia" w:ascii="宋体" w:hAnsi="宋体"/>
          <w:szCs w:val="21"/>
        </w:rPr>
        <w:t>4.2投标人应当遵循公平竞争的原则，不得恶意串通，不得妨碍其他投标人的竞争行为，不得损害采购人或者其他投标人的合法权益。如违反上述要求，经核实后，供应商的投标无效。</w:t>
      </w:r>
    </w:p>
    <w:p w14:paraId="5E9E7C89">
      <w:pPr>
        <w:rPr>
          <w:rFonts w:ascii="黑体" w:hAnsi="宋体" w:eastAsia="黑体"/>
          <w:sz w:val="24"/>
        </w:rPr>
      </w:pPr>
      <w:r>
        <w:rPr>
          <w:rFonts w:hint="eastAsia" w:ascii="黑体" w:hAnsi="宋体" w:eastAsia="黑体"/>
          <w:sz w:val="24"/>
        </w:rPr>
        <w:t>5．投标人参加自行采购的条件</w:t>
      </w:r>
    </w:p>
    <w:p w14:paraId="521093D2">
      <w:pPr>
        <w:ind w:firstLine="411" w:firstLineChars="196"/>
        <w:jc w:val="left"/>
        <w:rPr>
          <w:rFonts w:ascii="宋体" w:hAnsi="宋体"/>
          <w:szCs w:val="21"/>
        </w:rPr>
      </w:pPr>
      <w:r>
        <w:rPr>
          <w:rFonts w:hint="eastAsia" w:ascii="宋体" w:hAnsi="宋体"/>
          <w:szCs w:val="21"/>
        </w:rPr>
        <w:t>5.1投标人应在投标前到</w:t>
      </w:r>
      <w:r>
        <w:rPr>
          <w:rFonts w:hint="eastAsia" w:ascii="宋体" w:hAnsi="宋体"/>
          <w:b/>
          <w:bCs/>
          <w:szCs w:val="21"/>
        </w:rPr>
        <w:t>深圳公共资源交易中心（具体在深圳交易集团有限公司政府采购业务分公司进行办理）</w:t>
      </w:r>
      <w:r>
        <w:rPr>
          <w:rFonts w:hint="eastAsia" w:ascii="宋体" w:hAnsi="宋体"/>
          <w:szCs w:val="21"/>
        </w:rPr>
        <w:t>进行注册并办理电子密钥。《深圳政府采购自行采购系统用户操作指引（供应商）》详见www.szggzy.com网站“交易服务指南-政府采购-资料下载”。</w:t>
      </w:r>
    </w:p>
    <w:p w14:paraId="3BE6E51C">
      <w:pPr>
        <w:ind w:firstLine="411" w:firstLineChars="196"/>
        <w:jc w:val="left"/>
        <w:rPr>
          <w:rFonts w:ascii="宋体" w:hAnsi="宋体"/>
          <w:szCs w:val="21"/>
        </w:rPr>
      </w:pPr>
      <w:r>
        <w:rPr>
          <w:rFonts w:hint="eastAsia" w:ascii="宋体" w:hAnsi="宋体"/>
          <w:szCs w:val="21"/>
        </w:rPr>
        <w:t>5.2投标人资格要求</w:t>
      </w:r>
    </w:p>
    <w:p w14:paraId="1F247E95">
      <w:pPr>
        <w:ind w:firstLine="411" w:firstLineChars="196"/>
        <w:rPr>
          <w:rFonts w:ascii="宋体" w:hAnsi="宋体"/>
          <w:szCs w:val="21"/>
        </w:rPr>
      </w:pPr>
      <w:r>
        <w:rPr>
          <w:rFonts w:hint="eastAsia" w:ascii="宋体" w:hAnsi="宋体"/>
          <w:szCs w:val="21"/>
        </w:rPr>
        <w:t>参加本项目的投标人应具备的资格条件详见本项目招标公告中“投标人资格要求”（即申请人的资格要求）的内容。</w:t>
      </w:r>
    </w:p>
    <w:p w14:paraId="5D517818">
      <w:pPr>
        <w:ind w:firstLine="411" w:firstLineChars="196"/>
        <w:rPr>
          <w:rFonts w:ascii="宋体" w:hAnsi="宋体"/>
          <w:szCs w:val="21"/>
        </w:rPr>
      </w:pPr>
      <w:r>
        <w:rPr>
          <w:rFonts w:hint="eastAsia" w:ascii="宋体" w:hAnsi="宋体"/>
          <w:szCs w:val="21"/>
        </w:rPr>
        <w:t>5.3联合体投标</w:t>
      </w:r>
    </w:p>
    <w:p w14:paraId="2326D7E0">
      <w:pPr>
        <w:ind w:firstLine="411" w:firstLineChars="196"/>
        <w:rPr>
          <w:rFonts w:ascii="宋体" w:hAnsi="宋体"/>
          <w:szCs w:val="21"/>
        </w:rPr>
      </w:pPr>
      <w:r>
        <w:rPr>
          <w:rFonts w:hint="eastAsia" w:ascii="宋体" w:hAnsi="宋体"/>
          <w:szCs w:val="21"/>
        </w:rPr>
        <w:t>5.3.1 以下有关联合体投标的条款仅适用于允许投标人组成联合体投标的项目。</w:t>
      </w:r>
    </w:p>
    <w:p w14:paraId="1A32BC3B">
      <w:pPr>
        <w:ind w:firstLine="411" w:firstLineChars="196"/>
        <w:rPr>
          <w:rFonts w:ascii="宋体" w:hAnsi="宋体"/>
          <w:szCs w:val="21"/>
        </w:rPr>
      </w:pPr>
      <w:r>
        <w:rPr>
          <w:rFonts w:hint="eastAsia" w:ascii="宋体" w:hAnsi="宋体"/>
          <w:szCs w:val="21"/>
        </w:rPr>
        <w:t>5.3.2 由两个或两个以上的自然人、法人或者其他组织可以组成一个联合体，以一个供应商的身份共同投标时，应符合以下原则：</w:t>
      </w:r>
    </w:p>
    <w:p w14:paraId="7D3C3B24">
      <w:pPr>
        <w:ind w:firstLine="411" w:firstLineChars="196"/>
        <w:rPr>
          <w:rFonts w:ascii="宋体" w:hAnsi="宋体"/>
        </w:rPr>
      </w:pPr>
      <w:r>
        <w:rPr>
          <w:rFonts w:hint="eastAsia" w:ascii="宋体" w:hAnsi="宋体"/>
        </w:rPr>
        <w:t>（1）投标联合体各方参加采购活动应当具备下列条件：</w:t>
      </w:r>
      <w:r>
        <w:rPr>
          <w:rFonts w:ascii="宋体" w:hAnsi="宋体"/>
        </w:rPr>
        <w:t xml:space="preserve"> </w:t>
      </w:r>
    </w:p>
    <w:p w14:paraId="022417AE">
      <w:pPr>
        <w:ind w:left="420" w:leftChars="200" w:firstLine="411" w:firstLineChars="196"/>
        <w:rPr>
          <w:rFonts w:ascii="宋体" w:hAnsi="宋体"/>
        </w:rPr>
      </w:pPr>
      <w:r>
        <w:rPr>
          <w:rFonts w:hint="eastAsia" w:ascii="宋体" w:hAnsi="宋体"/>
        </w:rPr>
        <w:t>1、具有独立承担民事责任的能力；</w:t>
      </w:r>
      <w:r>
        <w:rPr>
          <w:rFonts w:ascii="宋体" w:hAnsi="宋体"/>
        </w:rPr>
        <w:t xml:space="preserve"> </w:t>
      </w:r>
    </w:p>
    <w:p w14:paraId="2057D258">
      <w:pPr>
        <w:ind w:left="420" w:firstLine="411" w:firstLineChars="196"/>
        <w:rPr>
          <w:rFonts w:ascii="宋体" w:hAnsi="宋体"/>
        </w:rPr>
      </w:pPr>
      <w:r>
        <w:rPr>
          <w:rFonts w:hint="eastAsia" w:ascii="宋体" w:hAnsi="宋体"/>
        </w:rPr>
        <w:t>2、有良好的商业信誉和健全的财务会计制度；</w:t>
      </w:r>
      <w:r>
        <w:rPr>
          <w:rFonts w:ascii="宋体" w:hAnsi="宋体"/>
        </w:rPr>
        <w:t xml:space="preserve"> </w:t>
      </w:r>
    </w:p>
    <w:p w14:paraId="5678C4FE">
      <w:pPr>
        <w:ind w:left="420" w:leftChars="200" w:firstLine="411" w:firstLineChars="196"/>
        <w:rPr>
          <w:rFonts w:ascii="宋体" w:hAnsi="宋体"/>
        </w:rPr>
      </w:pPr>
      <w:r>
        <w:rPr>
          <w:rFonts w:hint="eastAsia" w:ascii="宋体" w:hAnsi="宋体"/>
        </w:rPr>
        <w:t>3、具有履行合同所必需的设备和专业技术能力；</w:t>
      </w:r>
      <w:r>
        <w:rPr>
          <w:rFonts w:ascii="宋体" w:hAnsi="宋体"/>
        </w:rPr>
        <w:t xml:space="preserve"> </w:t>
      </w:r>
    </w:p>
    <w:p w14:paraId="20BA42D7">
      <w:pPr>
        <w:ind w:left="420" w:leftChars="200" w:firstLine="411" w:firstLineChars="196"/>
        <w:rPr>
          <w:rFonts w:ascii="宋体" w:hAnsi="宋体"/>
        </w:rPr>
      </w:pPr>
      <w:r>
        <w:rPr>
          <w:rFonts w:hint="eastAsia" w:ascii="宋体" w:hAnsi="宋体"/>
        </w:rPr>
        <w:t>4、有依法缴纳税收和社会保障资金的良好记录；</w:t>
      </w:r>
      <w:r>
        <w:rPr>
          <w:rFonts w:ascii="宋体" w:hAnsi="宋体"/>
        </w:rPr>
        <w:t xml:space="preserve"> </w:t>
      </w:r>
    </w:p>
    <w:p w14:paraId="6E067F6C">
      <w:pPr>
        <w:ind w:left="420" w:leftChars="200" w:firstLine="411" w:firstLineChars="196"/>
        <w:rPr>
          <w:rFonts w:ascii="宋体" w:hAnsi="宋体"/>
        </w:rPr>
      </w:pPr>
      <w:r>
        <w:rPr>
          <w:rFonts w:hint="eastAsia" w:ascii="宋体" w:hAnsi="宋体"/>
        </w:rPr>
        <w:t>5、参加采购活动前三年内，在经营活动中没有重大违法记录；</w:t>
      </w:r>
      <w:r>
        <w:rPr>
          <w:rFonts w:ascii="宋体" w:hAnsi="宋体"/>
        </w:rPr>
        <w:t xml:space="preserve"> </w:t>
      </w:r>
    </w:p>
    <w:p w14:paraId="185B1B93">
      <w:pPr>
        <w:ind w:left="420" w:leftChars="200" w:firstLine="411" w:firstLineChars="196"/>
        <w:rPr>
          <w:rFonts w:ascii="宋体" w:hAnsi="宋体"/>
        </w:rPr>
      </w:pPr>
      <w:r>
        <w:rPr>
          <w:rFonts w:hint="eastAsia" w:ascii="宋体" w:hAnsi="宋体"/>
        </w:rPr>
        <w:t>6、法律、行政法规规定的其他条件。</w:t>
      </w:r>
      <w:r>
        <w:rPr>
          <w:rFonts w:ascii="宋体" w:hAnsi="宋体"/>
        </w:rPr>
        <w:t xml:space="preserve"> </w:t>
      </w:r>
    </w:p>
    <w:p w14:paraId="78DABB34">
      <w:pPr>
        <w:ind w:firstLine="411" w:firstLineChars="196"/>
        <w:rPr>
          <w:rFonts w:ascii="宋体" w:hAnsi="宋体"/>
        </w:rPr>
      </w:pPr>
      <w:r>
        <w:rPr>
          <w:rFonts w:hint="eastAsia" w:ascii="宋体" w:hAnsi="宋体"/>
        </w:rPr>
        <w:t>（2）在投标截止前，</w:t>
      </w:r>
      <w:r>
        <w:rPr>
          <w:rFonts w:hint="eastAsia" w:ascii="宋体" w:hAnsi="宋体"/>
          <w:szCs w:val="21"/>
        </w:rPr>
        <w:t>投标联合体各方均应注册成</w:t>
      </w:r>
      <w:r>
        <w:rPr>
          <w:rFonts w:hint="eastAsia" w:ascii="宋体" w:hAnsi="宋体"/>
          <w:b/>
          <w:bCs/>
          <w:color w:val="FF0000"/>
          <w:szCs w:val="21"/>
        </w:rPr>
        <w:t>深圳政府采购自行采购系统</w:t>
      </w:r>
      <w:r>
        <w:rPr>
          <w:rFonts w:hint="eastAsia" w:ascii="宋体" w:hAnsi="宋体"/>
          <w:szCs w:val="21"/>
        </w:rPr>
        <w:t>供应商</w:t>
      </w:r>
      <w:r>
        <w:rPr>
          <w:rFonts w:hint="eastAsia" w:ascii="宋体" w:hAnsi="宋体"/>
        </w:rPr>
        <w:t>；</w:t>
      </w:r>
    </w:p>
    <w:p w14:paraId="433EAE53">
      <w:pPr>
        <w:ind w:firstLine="411" w:firstLineChars="196"/>
        <w:rPr>
          <w:rFonts w:ascii="宋体" w:hAnsi="宋体"/>
        </w:rPr>
      </w:pPr>
      <w:r>
        <w:rPr>
          <w:rFonts w:hint="eastAsia" w:ascii="宋体" w:hAnsi="宋体"/>
        </w:rPr>
        <w:t>（3）联合体中有同类资质的供应商按照联合体分工承担相同工作的，应当按照资质等级较低的供应商确定资质等级；</w:t>
      </w:r>
    </w:p>
    <w:p w14:paraId="77A6090F">
      <w:pPr>
        <w:ind w:firstLine="411" w:firstLineChars="196"/>
      </w:pPr>
      <w:r>
        <w:rPr>
          <w:rFonts w:hint="eastAsia"/>
        </w:rPr>
        <w:t>（4）是否允许联合体参加投标，应当由采购人和采购代理机构根据项目的实际情况和潜在供应商的数量自主决定，如果决定接受联合体投标则应当在招标公告中明示；</w:t>
      </w:r>
    </w:p>
    <w:p w14:paraId="366E1854">
      <w:pPr>
        <w:ind w:firstLine="411" w:firstLineChars="196"/>
        <w:rPr>
          <w:rFonts w:ascii="宋体" w:hAnsi="宋体"/>
        </w:rPr>
      </w:pPr>
      <w:r>
        <w:rPr>
          <w:rFonts w:hint="eastAsia" w:ascii="宋体" w:hAnsi="宋体"/>
        </w:rPr>
        <w:t>（5）投标人的投标文件及中标后签署的合同协议对联合体各方均具法律约束力；</w:t>
      </w:r>
    </w:p>
    <w:p w14:paraId="5B03CF3F">
      <w:pPr>
        <w:ind w:firstLine="411" w:firstLineChars="196"/>
        <w:rPr>
          <w:rFonts w:ascii="宋体" w:hAnsi="宋体"/>
        </w:rPr>
      </w:pPr>
      <w:r>
        <w:rPr>
          <w:rFonts w:hint="eastAsia" w:ascii="宋体" w:hAnsi="宋体"/>
        </w:rPr>
        <w:t>（6）联合体各方应当签订联合体投标协议，明确约定各方拟承担的工作和责任，并将该协议随投标文件一并递交给政府集中采购机构；</w:t>
      </w:r>
    </w:p>
    <w:p w14:paraId="36BBB968">
      <w:pPr>
        <w:ind w:firstLine="411" w:firstLineChars="196"/>
        <w:rPr>
          <w:rFonts w:ascii="宋体" w:hAnsi="宋体"/>
        </w:rPr>
      </w:pPr>
      <w:r>
        <w:rPr>
          <w:rFonts w:hint="eastAsia" w:ascii="宋体" w:hAnsi="宋体"/>
        </w:rPr>
        <w:t>（7）联合体中标后，联合体各方应当共同与采购人签订合同，就中标项目向采购人承担连带责任；</w:t>
      </w:r>
    </w:p>
    <w:p w14:paraId="00D83F01">
      <w:pPr>
        <w:ind w:firstLine="411" w:firstLineChars="196"/>
        <w:rPr>
          <w:rFonts w:ascii="宋体" w:hAnsi="宋体"/>
        </w:rPr>
      </w:pPr>
      <w:r>
        <w:rPr>
          <w:rFonts w:hint="eastAsia" w:ascii="宋体" w:hAnsi="宋体"/>
        </w:rPr>
        <w:t>（8）以联合体形式参加采购活动的，联合体各方不得再单独参加或者与其他供应商另外组成联合体参加同一合同项下的采购活动，出现上述情况者，其投标和与此有关联合体、总包单位的投标将被拒绝；</w:t>
      </w:r>
    </w:p>
    <w:p w14:paraId="7A8C05DE">
      <w:pPr>
        <w:ind w:firstLine="411" w:firstLineChars="196"/>
        <w:rPr>
          <w:rFonts w:ascii="宋体" w:hAnsi="宋体"/>
          <w:szCs w:val="21"/>
        </w:rPr>
      </w:pPr>
      <w:r>
        <w:rPr>
          <w:rFonts w:hint="eastAsia" w:ascii="宋体" w:hAnsi="宋体"/>
        </w:rPr>
        <w:t>（9）本通用条款中“投标人”一词亦指联合体各方，专用条款另有规定或说明的除外。</w:t>
      </w:r>
    </w:p>
    <w:p w14:paraId="308B32BD">
      <w:pPr>
        <w:rPr>
          <w:rFonts w:ascii="黑体" w:hAnsi="宋体" w:eastAsia="黑体"/>
          <w:sz w:val="24"/>
        </w:rPr>
      </w:pPr>
      <w:r>
        <w:rPr>
          <w:rFonts w:hint="eastAsia" w:ascii="黑体" w:hAnsi="宋体" w:eastAsia="黑体"/>
          <w:sz w:val="24"/>
        </w:rPr>
        <w:t>6．政策导向</w:t>
      </w:r>
    </w:p>
    <w:p w14:paraId="47C19CC7">
      <w:pPr>
        <w:ind w:firstLine="411" w:firstLineChars="196"/>
        <w:rPr>
          <w:rFonts w:ascii="宋体" w:hAnsi="宋体"/>
        </w:rPr>
      </w:pPr>
      <w:r>
        <w:rPr>
          <w:rFonts w:hint="eastAsia" w:ascii="宋体" w:hAnsi="宋体"/>
        </w:rPr>
        <w:t>6.1</w:t>
      </w:r>
      <w:r>
        <w:rPr>
          <w:rFonts w:ascii="宋体" w:hAnsi="宋体"/>
        </w:rPr>
        <w:t xml:space="preserve">  </w:t>
      </w:r>
      <w:r>
        <w:rPr>
          <w:rFonts w:hint="eastAsia" w:ascii="宋体" w:hAnsi="宋体"/>
        </w:rPr>
        <w:t>采购支持本国产品、支持中小企业、监狱企业和残疾人福利性单位发展，支持乡村产业振兴，支持创新、节能减排、绿色环保等。</w:t>
      </w:r>
    </w:p>
    <w:p w14:paraId="6B541CB3">
      <w:pPr>
        <w:ind w:firstLine="405"/>
        <w:rPr>
          <w:rFonts w:ascii="宋体" w:hAnsi="宋体"/>
        </w:rPr>
      </w:pPr>
      <w:r>
        <w:rPr>
          <w:rFonts w:hint="eastAsia" w:ascii="宋体" w:hAnsi="宋体"/>
        </w:rPr>
        <w:t>6.2</w:t>
      </w:r>
      <w:r>
        <w:rPr>
          <w:rFonts w:ascii="宋体" w:hAnsi="宋体"/>
        </w:rPr>
        <w:t xml:space="preserve">  </w:t>
      </w:r>
      <w:r>
        <w:rPr>
          <w:rFonts w:hint="eastAsia" w:ascii="宋体" w:hAnsi="宋体"/>
        </w:rPr>
        <w:t>本项目落实深圳市政府采购供应商诚信管理政策要求。</w:t>
      </w:r>
    </w:p>
    <w:p w14:paraId="1D0C18D8">
      <w:pPr>
        <w:ind w:firstLine="405"/>
      </w:pPr>
      <w:r>
        <w:rPr>
          <w:rFonts w:hint="eastAsia" w:ascii="宋体" w:hAnsi="宋体"/>
        </w:rPr>
        <w:t>6.3  本项目支持投标人性别平等的相关政策。</w:t>
      </w:r>
    </w:p>
    <w:p w14:paraId="68850998">
      <w:pPr>
        <w:rPr>
          <w:rFonts w:ascii="黑体" w:hAnsi="宋体" w:eastAsia="黑体"/>
          <w:sz w:val="24"/>
        </w:rPr>
      </w:pPr>
      <w:r>
        <w:rPr>
          <w:rFonts w:hint="eastAsia" w:ascii="黑体" w:hAnsi="宋体" w:eastAsia="黑体"/>
          <w:sz w:val="24"/>
        </w:rPr>
        <w:t>7. 本项目若涉及采购货物，则合格的货物及相应服务应满足以下要求：</w:t>
      </w:r>
    </w:p>
    <w:p w14:paraId="2AD87438">
      <w:pPr>
        <w:ind w:firstLine="411" w:firstLineChars="196"/>
        <w:rPr>
          <w:rFonts w:ascii="宋体" w:hAnsi="宋体"/>
        </w:rPr>
      </w:pPr>
      <w:r>
        <w:rPr>
          <w:rFonts w:hint="eastAsia" w:ascii="宋体" w:hAnsi="宋体"/>
        </w:rPr>
        <w:t>7</w:t>
      </w:r>
      <w:r>
        <w:rPr>
          <w:rFonts w:ascii="宋体" w:hAnsi="宋体"/>
        </w:rPr>
        <w:t xml:space="preserve">.1  </w:t>
      </w:r>
      <w:r>
        <w:rPr>
          <w:rFonts w:hint="eastAsia" w:ascii="宋体" w:hAnsi="宋体"/>
        </w:rPr>
        <w:t>必须是全新、未使用过的原装合格正品（包括零部件），如安装或配置了软件的，须为正版软件。</w:t>
      </w:r>
    </w:p>
    <w:p w14:paraId="4DECA2FA">
      <w:pPr>
        <w:ind w:firstLine="411" w:firstLineChars="196"/>
        <w:rPr>
          <w:rFonts w:ascii="宋体" w:hAnsi="宋体"/>
        </w:rPr>
      </w:pPr>
      <w:r>
        <w:rPr>
          <w:rFonts w:hint="eastAsia" w:ascii="宋体" w:hAnsi="宋体"/>
        </w:rPr>
        <w:t>7.2  国产的货物及其有关服务必须符合中华人民共和国的设计、制造生产标准及行业标准。招标公告有其他要求的，亦应符合其要求。</w:t>
      </w:r>
    </w:p>
    <w:p w14:paraId="79854CF1">
      <w:pPr>
        <w:ind w:firstLine="411" w:firstLineChars="196"/>
        <w:rPr>
          <w:rFonts w:ascii="宋体" w:hAnsi="宋体"/>
        </w:rPr>
      </w:pPr>
      <w:r>
        <w:rPr>
          <w:rFonts w:hint="eastAsia" w:ascii="宋体" w:hAnsi="宋体"/>
        </w:rPr>
        <w:t>7</w:t>
      </w:r>
      <w:r>
        <w:rPr>
          <w:rFonts w:ascii="宋体" w:hAnsi="宋体"/>
        </w:rPr>
        <w:t>.</w:t>
      </w:r>
      <w:r>
        <w:rPr>
          <w:rFonts w:hint="eastAsia" w:ascii="宋体" w:hAnsi="宋体"/>
        </w:rPr>
        <w:t>3</w:t>
      </w:r>
      <w:r>
        <w:rPr>
          <w:rFonts w:ascii="宋体" w:hAnsi="宋体"/>
        </w:rPr>
        <w:t xml:space="preserve">  </w:t>
      </w:r>
      <w:r>
        <w:rPr>
          <w:rFonts w:hint="eastAsia" w:ascii="宋体" w:hAnsi="宋体"/>
        </w:rPr>
        <w:t>进口货物及其有关服务必须符合原产地和中华人民共和国的设计、制造生产标准及行业标准。进口的货物必须具有合法的进口手续和途径，并通过中华人民共和国商检部门检验。招标公告有其他要求的，亦应符合其要求。</w:t>
      </w:r>
    </w:p>
    <w:p w14:paraId="3DB3B1F8">
      <w:pPr>
        <w:ind w:firstLine="411" w:firstLineChars="196"/>
        <w:rPr>
          <w:rFonts w:ascii="宋体" w:hAnsi="宋体"/>
        </w:rPr>
      </w:pPr>
      <w:r>
        <w:rPr>
          <w:rFonts w:hint="eastAsia" w:ascii="宋体" w:hAnsi="宋体"/>
        </w:rPr>
        <w:t>7</w:t>
      </w:r>
      <w:r>
        <w:rPr>
          <w:rFonts w:ascii="宋体" w:hAnsi="宋体"/>
        </w:rPr>
        <w:t>.</w:t>
      </w:r>
      <w:r>
        <w:rPr>
          <w:rFonts w:hint="eastAsia" w:ascii="宋体" w:hAnsi="宋体"/>
        </w:rPr>
        <w:t>4</w:t>
      </w:r>
      <w:r>
        <w:rPr>
          <w:rFonts w:ascii="宋体" w:hAnsi="宋体"/>
        </w:rPr>
        <w:t xml:space="preserve">  </w:t>
      </w:r>
      <w:r>
        <w:rPr>
          <w:rFonts w:hint="eastAsia" w:ascii="宋体" w:hAnsi="宋体"/>
        </w:rPr>
        <w:t>投标人</w:t>
      </w:r>
      <w:bookmarkStart w:id="92" w:name="_Hlk72152753"/>
      <w:r>
        <w:rPr>
          <w:rFonts w:hint="eastAsia" w:ascii="宋体" w:hAnsi="宋体"/>
        </w:rPr>
        <w:t>应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投标人应承担全部责任。</w:t>
      </w:r>
      <w:bookmarkEnd w:id="92"/>
    </w:p>
    <w:p w14:paraId="71EF650A">
      <w:pPr>
        <w:ind w:firstLine="411" w:firstLineChars="196"/>
        <w:rPr>
          <w:rFonts w:ascii="宋体" w:hAnsi="宋体"/>
        </w:rPr>
      </w:pPr>
      <w:r>
        <w:rPr>
          <w:rFonts w:hint="eastAsia" w:ascii="宋体" w:hAnsi="宋体"/>
        </w:rPr>
        <w:t>7.5  投标人应保证，其所提供的货物符合国家强制性标准要求；符合相关行业标准（如具备行政主管部门颁发的资质证书或国家质量监督部门的产品《检验报告》等）。设备到货验收时，还必须提供设备的产品合格证、质量保证文件。若中标后，除非另有约定，投标人必须按合同规定完成设备的安装，并达到验收标准。</w:t>
      </w:r>
    </w:p>
    <w:p w14:paraId="7B035FCE">
      <w:pPr>
        <w:ind w:firstLine="411" w:firstLineChars="196"/>
        <w:rPr>
          <w:rFonts w:ascii="宋体" w:hAnsi="宋体"/>
        </w:rPr>
      </w:pPr>
      <w:r>
        <w:rPr>
          <w:rFonts w:hint="eastAsia" w:ascii="宋体" w:hAnsi="宋体"/>
        </w:rPr>
        <w:t>7.6  工期要求：投标人在投标时对其所投项目应提交交货进度、交货计划等，在合同规定的时间内完成项目实施工作。</w:t>
      </w:r>
    </w:p>
    <w:p w14:paraId="42A6EE09">
      <w:pPr>
        <w:ind w:firstLine="411" w:firstLineChars="196"/>
        <w:rPr>
          <w:rFonts w:ascii="宋体" w:hAnsi="宋体"/>
        </w:rPr>
      </w:pPr>
      <w:r>
        <w:rPr>
          <w:rFonts w:hint="eastAsia" w:ascii="宋体" w:hAnsi="宋体"/>
        </w:rPr>
        <w:t>7.7  投标人必须承担的设备运输、安装调试、验收检测和提供设备操作说明书、图纸等其他相关及类似的义务。</w:t>
      </w:r>
    </w:p>
    <w:p w14:paraId="53471D76">
      <w:pPr>
        <w:rPr>
          <w:rFonts w:ascii="黑体" w:hAnsi="宋体" w:eastAsia="黑体"/>
          <w:sz w:val="24"/>
        </w:rPr>
      </w:pPr>
      <w:r>
        <w:rPr>
          <w:rFonts w:hint="eastAsia" w:ascii="黑体" w:hAnsi="宋体" w:eastAsia="黑体"/>
          <w:sz w:val="24"/>
        </w:rPr>
        <w:t>8．投标费用</w:t>
      </w:r>
    </w:p>
    <w:p w14:paraId="37B28C02">
      <w:pPr>
        <w:ind w:firstLine="411" w:firstLineChars="196"/>
        <w:rPr>
          <w:rFonts w:ascii="宋体" w:hAnsi="宋体"/>
          <w:szCs w:val="21"/>
        </w:rPr>
      </w:pPr>
      <w:r>
        <w:rPr>
          <w:rFonts w:hint="eastAsia" w:ascii="宋体" w:hAnsi="宋体"/>
          <w:szCs w:val="21"/>
        </w:rPr>
        <w:t>不论投标结果如何，投标人应承担其编制投标文件与递交投标文件所涉及的一切费用。</w:t>
      </w:r>
    </w:p>
    <w:p w14:paraId="5E171D18">
      <w:pPr>
        <w:rPr>
          <w:rFonts w:ascii="黑体" w:hAnsi="宋体" w:eastAsia="黑体"/>
          <w:sz w:val="24"/>
        </w:rPr>
      </w:pPr>
      <w:r>
        <w:rPr>
          <w:rFonts w:hint="eastAsia" w:ascii="黑体" w:hAnsi="宋体" w:eastAsia="黑体"/>
          <w:sz w:val="24"/>
        </w:rPr>
        <w:t>9．踏勘现场</w:t>
      </w:r>
    </w:p>
    <w:p w14:paraId="39CB32B6">
      <w:pPr>
        <w:ind w:firstLine="411" w:firstLineChars="196"/>
        <w:rPr>
          <w:rFonts w:ascii="宋体" w:hAnsi="宋体"/>
          <w:szCs w:val="21"/>
        </w:rPr>
      </w:pPr>
      <w:r>
        <w:rPr>
          <w:rFonts w:hint="eastAsia" w:ascii="宋体" w:hAnsi="宋体"/>
          <w:szCs w:val="21"/>
        </w:rPr>
        <w:t>9.1如有需要（详见专用条款），采购人或政府集中采购机构将组织投标人对项目现场及周围环境进行踏勘，以便投标人获取有关编制投标文件和签署合同所需的资料。踏勘现场所发生的费用由投标人自行承担。投标人应按招标文件所约定的时间、地点踏勘现场。</w:t>
      </w:r>
    </w:p>
    <w:p w14:paraId="12F25054">
      <w:pPr>
        <w:ind w:firstLine="411" w:firstLineChars="196"/>
        <w:rPr>
          <w:rFonts w:ascii="宋体" w:hAnsi="宋体"/>
        </w:rPr>
      </w:pPr>
      <w:r>
        <w:rPr>
          <w:rFonts w:hint="eastAsia" w:ascii="宋体" w:hAnsi="宋体"/>
        </w:rPr>
        <w:t>9.2投标人及其人员经过采购人的允许，可以进入采购人的项目现场踏勘。若招标文件要求投标人于统一时间地点踏勘现场的，投标人应当按时前往。</w:t>
      </w:r>
    </w:p>
    <w:p w14:paraId="5D39340B">
      <w:pPr>
        <w:ind w:firstLine="411" w:firstLineChars="196"/>
        <w:rPr>
          <w:rFonts w:ascii="宋体" w:hAnsi="宋体"/>
        </w:rPr>
      </w:pPr>
      <w:r>
        <w:rPr>
          <w:rFonts w:hint="eastAsia" w:ascii="宋体" w:hAnsi="宋体"/>
        </w:rPr>
        <w:t>9.3采购人应当通过政府集中采购机构向投标人提供有关现场的书面资料和数据。</w:t>
      </w:r>
    </w:p>
    <w:p w14:paraId="29E68E5D">
      <w:pPr>
        <w:ind w:firstLine="411" w:firstLineChars="196"/>
        <w:rPr>
          <w:rFonts w:ascii="宋体" w:hAnsi="宋体"/>
        </w:rPr>
      </w:pPr>
      <w:r>
        <w:rPr>
          <w:rFonts w:hint="eastAsia" w:ascii="宋体" w:hAnsi="宋体"/>
        </w:rPr>
        <w:t>9.4任何人或任何组织在踏勘现场时向投标人提供的任何书面资料或口头承诺，未经政府集中采购机构在网上发布或书面通知，均作无效处理。</w:t>
      </w:r>
    </w:p>
    <w:p w14:paraId="2F4F8A61">
      <w:pPr>
        <w:ind w:firstLine="411" w:firstLineChars="196"/>
        <w:rPr>
          <w:rFonts w:ascii="宋体" w:hAnsi="宋体"/>
        </w:rPr>
      </w:pPr>
      <w:r>
        <w:rPr>
          <w:rFonts w:ascii="宋体" w:hAnsi="宋体"/>
          <w:szCs w:val="21"/>
        </w:rPr>
        <w:t>9</w:t>
      </w:r>
      <w:r>
        <w:rPr>
          <w:rFonts w:hint="eastAsia" w:ascii="宋体" w:hAnsi="宋体"/>
          <w:szCs w:val="21"/>
        </w:rPr>
        <w:t>.</w:t>
      </w:r>
      <w:r>
        <w:rPr>
          <w:rFonts w:ascii="宋体" w:hAnsi="宋体"/>
          <w:szCs w:val="21"/>
        </w:rPr>
        <w:t>5</w:t>
      </w:r>
      <w:r>
        <w:rPr>
          <w:rFonts w:hint="eastAsia" w:ascii="宋体" w:hAnsi="宋体"/>
          <w:szCs w:val="21"/>
        </w:rPr>
        <w:t>未参与踏勘现场不作为否定投标人资格的理由。</w:t>
      </w:r>
    </w:p>
    <w:p w14:paraId="15B2A46B">
      <w:pPr>
        <w:rPr>
          <w:rFonts w:ascii="宋体" w:hAnsi="宋体"/>
          <w:szCs w:val="21"/>
        </w:rPr>
      </w:pPr>
      <w:r>
        <w:rPr>
          <w:rFonts w:hint="eastAsia" w:ascii="黑体" w:hAnsi="宋体" w:eastAsia="黑体"/>
          <w:sz w:val="24"/>
        </w:rPr>
        <w:t>1</w:t>
      </w:r>
      <w:r>
        <w:rPr>
          <w:rFonts w:ascii="黑体" w:hAnsi="宋体" w:eastAsia="黑体"/>
          <w:sz w:val="24"/>
        </w:rPr>
        <w:t>0</w:t>
      </w:r>
      <w:r>
        <w:rPr>
          <w:rFonts w:hint="eastAsia" w:ascii="黑体" w:hAnsi="宋体" w:eastAsia="黑体"/>
          <w:sz w:val="24"/>
        </w:rPr>
        <w:t>．标前会议</w:t>
      </w:r>
    </w:p>
    <w:p w14:paraId="3C9D4485">
      <w:pPr>
        <w:ind w:firstLine="411" w:firstLineChars="196"/>
        <w:rPr>
          <w:rFonts w:ascii="宋体" w:hAnsi="宋体"/>
          <w:szCs w:val="21"/>
        </w:rPr>
      </w:pPr>
      <w:r>
        <w:rPr>
          <w:rFonts w:hint="eastAsia" w:ascii="宋体" w:hAnsi="宋体"/>
          <w:szCs w:val="21"/>
        </w:rPr>
        <w:t>1</w:t>
      </w:r>
      <w:r>
        <w:rPr>
          <w:rFonts w:ascii="宋体" w:hAnsi="宋体"/>
          <w:szCs w:val="21"/>
        </w:rPr>
        <w:t>0</w:t>
      </w:r>
      <w:r>
        <w:rPr>
          <w:rFonts w:hint="eastAsia" w:ascii="宋体" w:hAnsi="宋体"/>
          <w:szCs w:val="21"/>
        </w:rPr>
        <w:t>.</w:t>
      </w:r>
      <w:r>
        <w:rPr>
          <w:rFonts w:ascii="宋体" w:hAnsi="宋体"/>
          <w:szCs w:val="21"/>
        </w:rPr>
        <w:t>1</w:t>
      </w:r>
      <w:r>
        <w:rPr>
          <w:rFonts w:hint="eastAsia" w:ascii="宋体" w:hAnsi="宋体"/>
          <w:szCs w:val="21"/>
        </w:rPr>
        <w:t>如采购人或政府集中采购机构认为有必要组织标前会议，投标人应按照招标文件规定的时间或政府集中采购机构另行书面通知（包括网站发布方式，如更正公告等）的时间和地点，参与标前会议。</w:t>
      </w:r>
    </w:p>
    <w:p w14:paraId="336A6665">
      <w:pPr>
        <w:ind w:firstLine="411" w:firstLineChars="196"/>
        <w:rPr>
          <w:rFonts w:ascii="宋体" w:hAnsi="宋体"/>
          <w:szCs w:val="21"/>
        </w:rPr>
      </w:pPr>
      <w:r>
        <w:rPr>
          <w:rFonts w:ascii="宋体" w:hAnsi="宋体"/>
        </w:rPr>
        <w:t>10</w:t>
      </w:r>
      <w:r>
        <w:rPr>
          <w:rFonts w:hint="eastAsia" w:ascii="宋体" w:hAnsi="宋体"/>
        </w:rPr>
        <w:t>.</w:t>
      </w:r>
      <w:r>
        <w:rPr>
          <w:rFonts w:ascii="宋体" w:hAnsi="宋体"/>
        </w:rPr>
        <w:t>2</w:t>
      </w:r>
      <w:r>
        <w:rPr>
          <w:rFonts w:hint="eastAsia" w:ascii="宋体" w:hAnsi="宋体"/>
        </w:rPr>
        <w:t>任何人或任何组织在标前会议时向投标人提供的任何书面资料或口头承诺，未经政府集中采购机构在网上发布或书面通知，均作无效处理。</w:t>
      </w:r>
    </w:p>
    <w:p w14:paraId="05349C21">
      <w:pPr>
        <w:ind w:firstLine="411" w:firstLineChars="196"/>
        <w:rPr>
          <w:rFonts w:ascii="宋体" w:hAnsi="宋体"/>
          <w:szCs w:val="21"/>
        </w:rPr>
      </w:pPr>
      <w:r>
        <w:rPr>
          <w:rFonts w:hint="eastAsia" w:ascii="宋体" w:hAnsi="宋体"/>
          <w:szCs w:val="21"/>
        </w:rPr>
        <w:t>1</w:t>
      </w:r>
      <w:r>
        <w:rPr>
          <w:rFonts w:ascii="宋体" w:hAnsi="宋体"/>
          <w:szCs w:val="21"/>
        </w:rPr>
        <w:t>0</w:t>
      </w:r>
      <w:r>
        <w:rPr>
          <w:rFonts w:hint="eastAsia" w:ascii="宋体" w:hAnsi="宋体"/>
          <w:szCs w:val="21"/>
        </w:rPr>
        <w:t>.</w:t>
      </w:r>
      <w:r>
        <w:rPr>
          <w:rFonts w:ascii="宋体" w:hAnsi="宋体"/>
          <w:szCs w:val="21"/>
        </w:rPr>
        <w:t>3</w:t>
      </w:r>
      <w:r>
        <w:rPr>
          <w:rFonts w:hint="eastAsia" w:ascii="宋体" w:hAnsi="宋体"/>
          <w:szCs w:val="21"/>
        </w:rPr>
        <w:t>未参与标前会议不作为否定投标人资格的理由。</w:t>
      </w:r>
    </w:p>
    <w:bookmarkEnd w:id="91"/>
    <w:p w14:paraId="6DC240B0">
      <w:pPr>
        <w:ind w:firstLine="411" w:firstLineChars="196"/>
        <w:rPr>
          <w:rFonts w:ascii="宋体" w:hAnsi="宋体"/>
        </w:rPr>
      </w:pPr>
    </w:p>
    <w:p w14:paraId="2A21EBC5">
      <w:pPr>
        <w:keepNext/>
        <w:keepLines/>
        <w:numPr>
          <w:ilvl w:val="0"/>
          <w:numId w:val="17"/>
        </w:numPr>
        <w:adjustRightInd w:val="0"/>
        <w:spacing w:before="120" w:beforeLines="50" w:after="120" w:afterLines="50"/>
        <w:ind w:left="562" w:hanging="562"/>
        <w:jc w:val="center"/>
        <w:textAlignment w:val="baseline"/>
        <w:outlineLvl w:val="1"/>
        <w:rPr>
          <w:rFonts w:ascii="宋体" w:hAnsi="宋体"/>
          <w:b/>
          <w:bCs/>
          <w:kern w:val="0"/>
          <w:sz w:val="28"/>
          <w:szCs w:val="28"/>
        </w:rPr>
      </w:pPr>
      <w:r>
        <w:rPr>
          <w:rFonts w:hint="eastAsia" w:ascii="宋体" w:hAnsi="宋体"/>
          <w:b/>
          <w:bCs/>
          <w:kern w:val="0"/>
          <w:sz w:val="28"/>
          <w:szCs w:val="28"/>
        </w:rPr>
        <w:t>招标文件</w:t>
      </w:r>
    </w:p>
    <w:p w14:paraId="7D5717A5">
      <w:pPr>
        <w:rPr>
          <w:rFonts w:ascii="黑体" w:hAnsi="宋体" w:eastAsia="黑体"/>
          <w:sz w:val="24"/>
        </w:rPr>
      </w:pPr>
      <w:r>
        <w:rPr>
          <w:rFonts w:hint="eastAsia" w:ascii="黑体" w:hAnsi="宋体" w:eastAsia="黑体"/>
          <w:sz w:val="24"/>
        </w:rPr>
        <w:t>1</w:t>
      </w:r>
      <w:r>
        <w:rPr>
          <w:rFonts w:ascii="黑体" w:hAnsi="宋体" w:eastAsia="黑体"/>
          <w:sz w:val="24"/>
        </w:rPr>
        <w:t>1</w:t>
      </w:r>
      <w:r>
        <w:rPr>
          <w:rFonts w:hint="eastAsia" w:ascii="黑体" w:hAnsi="宋体" w:eastAsia="黑体"/>
          <w:sz w:val="24"/>
        </w:rPr>
        <w:t>．</w:t>
      </w:r>
      <w:bookmarkStart w:id="93" w:name="_Hlk72399819"/>
      <w:r>
        <w:rPr>
          <w:rFonts w:hint="eastAsia" w:ascii="黑体" w:hAnsi="宋体" w:eastAsia="黑体"/>
          <w:sz w:val="24"/>
        </w:rPr>
        <w:t>招标文件的编制与组成</w:t>
      </w:r>
    </w:p>
    <w:p w14:paraId="1E2157DC">
      <w:pPr>
        <w:snapToGrid w:val="0"/>
        <w:ind w:firstLine="420" w:firstLineChars="200"/>
        <w:rPr>
          <w:rFonts w:ascii="宋体" w:hAnsi="宋体"/>
          <w:szCs w:val="21"/>
        </w:rPr>
      </w:pPr>
      <w:r>
        <w:rPr>
          <w:rFonts w:hint="eastAsia" w:ascii="宋体" w:hAnsi="宋体"/>
          <w:szCs w:val="21"/>
        </w:rPr>
        <w:t>1</w:t>
      </w:r>
      <w:r>
        <w:rPr>
          <w:rFonts w:ascii="宋体" w:hAnsi="宋体"/>
          <w:szCs w:val="21"/>
        </w:rPr>
        <w:t>1</w:t>
      </w:r>
      <w:r>
        <w:rPr>
          <w:rFonts w:hint="eastAsia" w:ascii="宋体" w:hAnsi="宋体"/>
          <w:szCs w:val="21"/>
        </w:rPr>
        <w:t>.1招标文件除以下内容外，政府集中采购机构在招标期间发出的澄清或修改等相关公告或通知内容，均是招标文件的组成部分，对投标人起约束作用；</w:t>
      </w:r>
    </w:p>
    <w:p w14:paraId="3B1419B9">
      <w:pPr>
        <w:ind w:firstLine="411" w:firstLineChars="196"/>
        <w:rPr>
          <w:rFonts w:ascii="宋体" w:hAnsi="宋体"/>
          <w:szCs w:val="21"/>
        </w:rPr>
      </w:pPr>
      <w:r>
        <w:rPr>
          <w:rFonts w:hint="eastAsia" w:ascii="宋体" w:hAnsi="宋体"/>
          <w:szCs w:val="21"/>
        </w:rPr>
        <w:t>招标文件包括下列内容：</w:t>
      </w:r>
    </w:p>
    <w:p w14:paraId="24A85F05">
      <w:pPr>
        <w:ind w:left="420" w:leftChars="200" w:firstLine="413" w:firstLineChars="196"/>
        <w:rPr>
          <w:rFonts w:ascii="宋体" w:hAnsi="宋体"/>
          <w:b/>
          <w:szCs w:val="21"/>
        </w:rPr>
      </w:pPr>
      <w:r>
        <w:rPr>
          <w:rFonts w:hint="eastAsia" w:ascii="宋体" w:hAnsi="宋体"/>
          <w:b/>
          <w:szCs w:val="21"/>
        </w:rPr>
        <w:t>第一册  专用条款</w:t>
      </w:r>
    </w:p>
    <w:p w14:paraId="20C26BFF">
      <w:pPr>
        <w:ind w:left="1079" w:leftChars="514"/>
        <w:rPr>
          <w:rFonts w:ascii="宋体" w:hAnsi="宋体"/>
          <w:b/>
          <w:szCs w:val="21"/>
        </w:rPr>
      </w:pPr>
      <w:r>
        <w:rPr>
          <w:rFonts w:hint="eastAsia" w:ascii="宋体" w:hAnsi="宋体"/>
          <w:b/>
          <w:szCs w:val="21"/>
        </w:rPr>
        <w:t>关键信息</w:t>
      </w:r>
    </w:p>
    <w:p w14:paraId="2EEF796A">
      <w:pPr>
        <w:ind w:left="630" w:leftChars="300" w:firstLine="411" w:firstLineChars="196"/>
        <w:rPr>
          <w:rFonts w:ascii="宋体" w:hAnsi="宋体"/>
          <w:szCs w:val="21"/>
        </w:rPr>
      </w:pPr>
      <w:r>
        <w:rPr>
          <w:rFonts w:hint="eastAsia" w:ascii="宋体" w:hAnsi="宋体"/>
          <w:szCs w:val="21"/>
        </w:rPr>
        <w:t>第一章  招标公告</w:t>
      </w:r>
    </w:p>
    <w:p w14:paraId="424BF8C6">
      <w:pPr>
        <w:ind w:left="630" w:leftChars="300" w:firstLine="411" w:firstLineChars="196"/>
        <w:rPr>
          <w:rFonts w:ascii="宋体" w:hAnsi="宋体"/>
          <w:szCs w:val="21"/>
        </w:rPr>
      </w:pPr>
      <w:r>
        <w:rPr>
          <w:rFonts w:hint="eastAsia" w:ascii="宋体" w:hAnsi="宋体"/>
          <w:szCs w:val="21"/>
        </w:rPr>
        <w:t>第二章  对通用条款的补充内容及其他关键信息</w:t>
      </w:r>
    </w:p>
    <w:p w14:paraId="2649D153">
      <w:pPr>
        <w:ind w:left="630" w:leftChars="300" w:firstLine="411" w:firstLineChars="196"/>
        <w:rPr>
          <w:rFonts w:ascii="宋体" w:hAnsi="宋体"/>
          <w:szCs w:val="21"/>
        </w:rPr>
      </w:pPr>
      <w:r>
        <w:rPr>
          <w:rFonts w:hint="eastAsia" w:ascii="宋体" w:hAnsi="宋体"/>
          <w:szCs w:val="21"/>
        </w:rPr>
        <w:t>第三章  用户需求书</w:t>
      </w:r>
    </w:p>
    <w:p w14:paraId="291BBF92">
      <w:pPr>
        <w:ind w:left="630" w:leftChars="300" w:firstLine="411" w:firstLineChars="196"/>
        <w:rPr>
          <w:rFonts w:ascii="宋体" w:hAnsi="宋体"/>
          <w:szCs w:val="21"/>
        </w:rPr>
      </w:pPr>
      <w:r>
        <w:rPr>
          <w:rFonts w:hint="eastAsia"/>
        </w:rPr>
        <w:t xml:space="preserve">第四章 </w:t>
      </w:r>
      <w:r>
        <w:t xml:space="preserve"> </w:t>
      </w:r>
      <w:r>
        <w:rPr>
          <w:rFonts w:hint="eastAsia"/>
        </w:rPr>
        <w:t>投标文件格式及附件</w:t>
      </w:r>
    </w:p>
    <w:p w14:paraId="6BAC70B9">
      <w:pPr>
        <w:ind w:left="630" w:leftChars="300" w:firstLine="411" w:firstLineChars="196"/>
        <w:rPr>
          <w:rFonts w:ascii="宋体" w:hAnsi="宋体"/>
          <w:szCs w:val="21"/>
        </w:rPr>
      </w:pPr>
      <w:r>
        <w:rPr>
          <w:rFonts w:hint="eastAsia" w:ascii="宋体" w:hAnsi="宋体"/>
          <w:szCs w:val="21"/>
        </w:rPr>
        <w:t>第五章  合同条款及格式</w:t>
      </w:r>
    </w:p>
    <w:p w14:paraId="1D26B2FA">
      <w:pPr>
        <w:ind w:left="420" w:leftChars="200" w:firstLine="413" w:firstLineChars="196"/>
        <w:rPr>
          <w:rFonts w:ascii="宋体" w:hAnsi="宋体"/>
          <w:b/>
          <w:szCs w:val="21"/>
        </w:rPr>
      </w:pPr>
      <w:r>
        <w:rPr>
          <w:rFonts w:hint="eastAsia" w:ascii="宋体" w:hAnsi="宋体"/>
          <w:b/>
          <w:szCs w:val="21"/>
        </w:rPr>
        <w:t>第二册  通用条款</w:t>
      </w:r>
    </w:p>
    <w:p w14:paraId="5672E1C6">
      <w:pPr>
        <w:ind w:left="630" w:leftChars="300" w:firstLine="411" w:firstLineChars="196"/>
        <w:rPr>
          <w:rFonts w:ascii="宋体" w:hAnsi="宋体"/>
          <w:szCs w:val="21"/>
        </w:rPr>
      </w:pPr>
      <w:r>
        <w:rPr>
          <w:rFonts w:hint="eastAsia" w:ascii="宋体" w:hAnsi="宋体"/>
          <w:szCs w:val="21"/>
        </w:rPr>
        <w:t>第一章  总则</w:t>
      </w:r>
    </w:p>
    <w:p w14:paraId="0EFD7C22">
      <w:pPr>
        <w:ind w:left="630" w:leftChars="300" w:firstLine="411" w:firstLineChars="196"/>
        <w:rPr>
          <w:rFonts w:ascii="宋体" w:hAnsi="宋体"/>
          <w:szCs w:val="21"/>
        </w:rPr>
      </w:pPr>
      <w:r>
        <w:rPr>
          <w:rFonts w:hint="eastAsia" w:ascii="宋体" w:hAnsi="宋体"/>
          <w:szCs w:val="21"/>
        </w:rPr>
        <w:t>第二章  招标文件</w:t>
      </w:r>
    </w:p>
    <w:p w14:paraId="5BCF4FF2">
      <w:pPr>
        <w:ind w:left="630" w:leftChars="300" w:firstLine="411" w:firstLineChars="196"/>
        <w:rPr>
          <w:rFonts w:ascii="宋体" w:hAnsi="宋体"/>
          <w:szCs w:val="21"/>
        </w:rPr>
      </w:pPr>
      <w:r>
        <w:rPr>
          <w:rFonts w:hint="eastAsia" w:ascii="宋体" w:hAnsi="宋体"/>
          <w:szCs w:val="21"/>
        </w:rPr>
        <w:t>第三章  投标文件的编制</w:t>
      </w:r>
    </w:p>
    <w:p w14:paraId="57E936EA">
      <w:pPr>
        <w:ind w:left="630" w:leftChars="300" w:firstLine="411" w:firstLineChars="196"/>
        <w:rPr>
          <w:rFonts w:ascii="宋体" w:hAnsi="宋体"/>
          <w:szCs w:val="21"/>
        </w:rPr>
      </w:pPr>
      <w:r>
        <w:rPr>
          <w:rFonts w:hint="eastAsia" w:ascii="宋体" w:hAnsi="宋体"/>
          <w:szCs w:val="21"/>
        </w:rPr>
        <w:t>第四章  投标文件的递交</w:t>
      </w:r>
    </w:p>
    <w:p w14:paraId="6E704C97">
      <w:pPr>
        <w:ind w:left="630" w:leftChars="300" w:firstLine="411" w:firstLineChars="196"/>
        <w:rPr>
          <w:rFonts w:ascii="宋体" w:hAnsi="宋体"/>
          <w:szCs w:val="21"/>
        </w:rPr>
      </w:pPr>
      <w:r>
        <w:rPr>
          <w:rFonts w:hint="eastAsia" w:ascii="宋体" w:hAnsi="宋体"/>
          <w:szCs w:val="21"/>
        </w:rPr>
        <w:t>第五章  开标</w:t>
      </w:r>
    </w:p>
    <w:p w14:paraId="3EF0BAFA">
      <w:pPr>
        <w:ind w:left="630" w:leftChars="300" w:firstLine="411" w:firstLineChars="196"/>
        <w:rPr>
          <w:rFonts w:ascii="宋体" w:hAnsi="宋体"/>
          <w:szCs w:val="21"/>
        </w:rPr>
      </w:pPr>
      <w:r>
        <w:rPr>
          <w:rFonts w:hint="eastAsia" w:ascii="宋体" w:hAnsi="宋体"/>
          <w:szCs w:val="21"/>
        </w:rPr>
        <w:t>第六章  评审要求</w:t>
      </w:r>
    </w:p>
    <w:p w14:paraId="43626163">
      <w:pPr>
        <w:ind w:left="630" w:leftChars="300" w:firstLine="411" w:firstLineChars="196"/>
        <w:rPr>
          <w:rFonts w:ascii="宋体" w:hAnsi="宋体"/>
          <w:szCs w:val="21"/>
        </w:rPr>
      </w:pPr>
      <w:r>
        <w:rPr>
          <w:rFonts w:hint="eastAsia" w:ascii="宋体" w:hAnsi="宋体"/>
          <w:szCs w:val="21"/>
        </w:rPr>
        <w:t>第七章  评审程序及评审方法</w:t>
      </w:r>
    </w:p>
    <w:p w14:paraId="361EE88F">
      <w:pPr>
        <w:ind w:left="630" w:leftChars="300" w:firstLine="411" w:firstLineChars="196"/>
        <w:rPr>
          <w:rFonts w:ascii="宋体" w:hAnsi="宋体"/>
          <w:szCs w:val="21"/>
        </w:rPr>
      </w:pPr>
      <w:r>
        <w:rPr>
          <w:rFonts w:hint="eastAsia" w:ascii="宋体" w:hAnsi="宋体"/>
          <w:szCs w:val="21"/>
        </w:rPr>
        <w:t>第八章  定标及公示</w:t>
      </w:r>
    </w:p>
    <w:p w14:paraId="0D32FBD4">
      <w:pPr>
        <w:ind w:left="630" w:leftChars="300" w:firstLine="411" w:firstLineChars="196"/>
        <w:rPr>
          <w:rFonts w:ascii="宋体" w:hAnsi="宋体"/>
          <w:szCs w:val="21"/>
        </w:rPr>
      </w:pPr>
      <w:r>
        <w:rPr>
          <w:rFonts w:hint="eastAsia" w:ascii="宋体" w:hAnsi="宋体"/>
          <w:szCs w:val="21"/>
        </w:rPr>
        <w:t>第九章  公开招标失败的后续处理</w:t>
      </w:r>
    </w:p>
    <w:p w14:paraId="40C3140F">
      <w:pPr>
        <w:ind w:left="630" w:leftChars="300" w:firstLine="411" w:firstLineChars="196"/>
        <w:rPr>
          <w:rFonts w:ascii="宋体" w:hAnsi="宋体"/>
          <w:szCs w:val="21"/>
        </w:rPr>
      </w:pPr>
      <w:r>
        <w:rPr>
          <w:rFonts w:hint="eastAsia" w:ascii="宋体" w:hAnsi="宋体"/>
          <w:szCs w:val="21"/>
        </w:rPr>
        <w:t>第十章  合同的授予与备案</w:t>
      </w:r>
    </w:p>
    <w:p w14:paraId="172B3480">
      <w:pPr>
        <w:ind w:left="630" w:leftChars="300" w:firstLine="411" w:firstLineChars="196"/>
        <w:rPr>
          <w:rFonts w:ascii="宋体" w:hAnsi="宋体"/>
          <w:szCs w:val="21"/>
        </w:rPr>
      </w:pPr>
      <w:r>
        <w:rPr>
          <w:rFonts w:hint="eastAsia" w:ascii="宋体" w:hAnsi="宋体"/>
          <w:szCs w:val="21"/>
        </w:rPr>
        <w:t>第十一章  质疑处理</w:t>
      </w:r>
    </w:p>
    <w:p w14:paraId="791A0322">
      <w:pPr>
        <w:ind w:firstLine="411" w:firstLineChars="196"/>
        <w:rPr>
          <w:rFonts w:ascii="宋体" w:hAnsi="宋体"/>
          <w:szCs w:val="21"/>
        </w:rPr>
      </w:pPr>
      <w:r>
        <w:rPr>
          <w:rFonts w:hint="eastAsia" w:ascii="宋体" w:hAnsi="宋体"/>
          <w:szCs w:val="21"/>
        </w:rPr>
        <w:t>1</w:t>
      </w:r>
      <w:r>
        <w:rPr>
          <w:rFonts w:ascii="宋体" w:hAnsi="宋体"/>
          <w:szCs w:val="21"/>
        </w:rPr>
        <w:t>1</w:t>
      </w:r>
      <w:r>
        <w:rPr>
          <w:rFonts w:hint="eastAsia" w:ascii="宋体" w:hAnsi="宋体"/>
          <w:szCs w:val="21"/>
        </w:rPr>
        <w:t>.2 投标人下载招标文件后，应仔细检查招标文件的所有内容，如有疑问应在答疑截止时间之前向政府集中采购机构提出，否则，由此引起的投标损失自负；投标人同时应认真审阅招标文件所有的事项、格式、条款和规范要求等，如果投标人的投标文件未按招标文件要求提交全部资料或者投标文件未对招标文件做出实质性响应，其风险由投标人自行承担。</w:t>
      </w:r>
    </w:p>
    <w:p w14:paraId="02D25D2C">
      <w:pPr>
        <w:ind w:firstLine="411" w:firstLineChars="196"/>
        <w:rPr>
          <w:rFonts w:ascii="宋体" w:hAnsi="宋体"/>
        </w:rPr>
      </w:pPr>
      <w:r>
        <w:rPr>
          <w:rFonts w:hint="eastAsia" w:ascii="宋体" w:hAnsi="宋体"/>
          <w:szCs w:val="21"/>
        </w:rPr>
        <w:t>1</w:t>
      </w:r>
      <w:r>
        <w:rPr>
          <w:rFonts w:ascii="宋体" w:hAnsi="宋体"/>
          <w:szCs w:val="21"/>
        </w:rPr>
        <w:t>1</w:t>
      </w:r>
      <w:r>
        <w:rPr>
          <w:rFonts w:hint="eastAsia" w:ascii="宋体" w:hAnsi="宋体"/>
          <w:szCs w:val="21"/>
        </w:rPr>
        <w:t>.3</w:t>
      </w:r>
      <w:r>
        <w:rPr>
          <w:rFonts w:hint="eastAsia" w:ascii="宋体" w:hAnsi="宋体"/>
        </w:rPr>
        <w:t>任何人或任何组织向投标人提交的任何书面或口头资料，未经政府集中采购机构在网上发布或书面通知，均作无效处理，不得作为招标文件的组成部分。政府集中采购机构对投标人由此而做出的推论、理解和结论概不负责。</w:t>
      </w:r>
    </w:p>
    <w:p w14:paraId="42072611">
      <w:pPr>
        <w:ind w:firstLine="411" w:firstLineChars="196"/>
        <w:rPr>
          <w:rFonts w:ascii="宋体" w:hAnsi="宋体"/>
        </w:rPr>
      </w:pPr>
      <w:r>
        <w:rPr>
          <w:rFonts w:hint="eastAsia" w:ascii="宋体" w:hAnsi="宋体"/>
        </w:rPr>
        <w:t>11.4招标文件所称“原件备查”，是指在项目产生质疑、投诉等阶段，主管部门、采购人、代理机构、评审委员会等可以要求供应商提供原件进行核查。</w:t>
      </w:r>
    </w:p>
    <w:p w14:paraId="6CABEAC7">
      <w:pPr>
        <w:rPr>
          <w:rFonts w:ascii="黑体" w:hAnsi="宋体" w:eastAsia="黑体"/>
          <w:sz w:val="24"/>
        </w:rPr>
      </w:pPr>
      <w:r>
        <w:rPr>
          <w:rFonts w:hint="eastAsia" w:ascii="黑体" w:hAnsi="宋体" w:eastAsia="黑体"/>
          <w:sz w:val="24"/>
        </w:rPr>
        <w:t>1</w:t>
      </w:r>
      <w:r>
        <w:rPr>
          <w:rFonts w:ascii="黑体" w:hAnsi="宋体" w:eastAsia="黑体"/>
          <w:sz w:val="24"/>
        </w:rPr>
        <w:t>2</w:t>
      </w:r>
      <w:r>
        <w:rPr>
          <w:rFonts w:hint="eastAsia" w:ascii="黑体" w:hAnsi="宋体" w:eastAsia="黑体"/>
          <w:sz w:val="24"/>
        </w:rPr>
        <w:t>．招标文件的澄清</w:t>
      </w:r>
    </w:p>
    <w:p w14:paraId="0E62B6A7">
      <w:pPr>
        <w:ind w:firstLine="411" w:firstLineChars="196"/>
        <w:rPr>
          <w:rFonts w:ascii="宋体" w:hAnsi="宋体"/>
          <w:szCs w:val="21"/>
        </w:rPr>
      </w:pPr>
      <w:r>
        <w:rPr>
          <w:rFonts w:hint="eastAsia" w:ascii="宋体" w:hAnsi="宋体"/>
          <w:szCs w:val="21"/>
        </w:rPr>
        <w:t>1</w:t>
      </w:r>
      <w:r>
        <w:rPr>
          <w:rFonts w:ascii="宋体" w:hAnsi="宋体"/>
          <w:szCs w:val="21"/>
        </w:rPr>
        <w:t>2</w:t>
      </w:r>
      <w:r>
        <w:rPr>
          <w:rFonts w:hint="eastAsia" w:ascii="宋体" w:hAnsi="宋体"/>
          <w:szCs w:val="21"/>
        </w:rPr>
        <w:t>.1招标文件澄清的目的是澄清、解答投标人在查阅招标文件后或现场踏勘中可能提出的与投标有关的疑问或询问。</w:t>
      </w:r>
    </w:p>
    <w:p w14:paraId="41B1930F">
      <w:pPr>
        <w:ind w:firstLine="411" w:firstLineChars="196"/>
        <w:rPr>
          <w:rFonts w:ascii="宋体" w:hAnsi="宋体"/>
          <w:szCs w:val="21"/>
        </w:rPr>
      </w:pPr>
      <w:r>
        <w:rPr>
          <w:rFonts w:hint="eastAsia" w:ascii="宋体" w:hAnsi="宋体"/>
          <w:szCs w:val="21"/>
        </w:rPr>
        <w:t>1</w:t>
      </w:r>
      <w:r>
        <w:rPr>
          <w:rFonts w:ascii="宋体" w:hAnsi="宋体"/>
          <w:szCs w:val="21"/>
        </w:rPr>
        <w:t>2</w:t>
      </w:r>
      <w:r>
        <w:rPr>
          <w:rFonts w:hint="eastAsia" w:ascii="宋体" w:hAnsi="宋体"/>
          <w:szCs w:val="21"/>
        </w:rPr>
        <w:t>.2投标人如对招标文件内容有疑问，应当在招标公告规定的澄清（提问）截止时间前以网上提问的形式通过网上自行采购系统提交政府集中采购机构。</w:t>
      </w:r>
    </w:p>
    <w:p w14:paraId="3458E78B">
      <w:pPr>
        <w:ind w:firstLine="411" w:firstLineChars="196"/>
        <w:rPr>
          <w:rFonts w:ascii="宋体" w:hAnsi="宋体"/>
          <w:szCs w:val="21"/>
        </w:rPr>
      </w:pPr>
      <w:r>
        <w:rPr>
          <w:rFonts w:hint="eastAsia" w:ascii="宋体" w:hAnsi="宋体"/>
          <w:szCs w:val="21"/>
        </w:rPr>
        <w:t>1</w:t>
      </w:r>
      <w:r>
        <w:rPr>
          <w:rFonts w:ascii="宋体" w:hAnsi="宋体"/>
          <w:szCs w:val="21"/>
        </w:rPr>
        <w:t>2</w:t>
      </w:r>
      <w:r>
        <w:rPr>
          <w:rFonts w:hint="eastAsia" w:ascii="宋体" w:hAnsi="宋体"/>
          <w:szCs w:val="21"/>
        </w:rPr>
        <w:t>.3不论是政府集中采购机构根据需要主动对招标文件进行必要的澄清或是根据投标人的要求对招标文件做出澄清，政府集中采购机构都将在投标截止日期前以书面形式（包括网站发布方式）答复或发送给所有投标人。答复内容是招标文件的组成部分，对投标人起约束作用，其有效性按照本通用条款第1</w:t>
      </w:r>
      <w:r>
        <w:rPr>
          <w:rFonts w:ascii="宋体" w:hAnsi="宋体"/>
          <w:szCs w:val="21"/>
        </w:rPr>
        <w:t>3.3</w:t>
      </w:r>
      <w:r>
        <w:rPr>
          <w:rFonts w:hint="eastAsia" w:ascii="宋体" w:hAnsi="宋体"/>
          <w:szCs w:val="21"/>
        </w:rPr>
        <w:t>、1</w:t>
      </w:r>
      <w:r>
        <w:rPr>
          <w:rFonts w:ascii="宋体" w:hAnsi="宋体"/>
          <w:szCs w:val="21"/>
        </w:rPr>
        <w:t>3.4</w:t>
      </w:r>
      <w:r>
        <w:rPr>
          <w:rFonts w:hint="eastAsia" w:ascii="宋体" w:hAnsi="宋体"/>
          <w:szCs w:val="21"/>
        </w:rPr>
        <w:t>款规定执行。</w:t>
      </w:r>
    </w:p>
    <w:p w14:paraId="4DB98B1B">
      <w:pPr>
        <w:rPr>
          <w:rFonts w:ascii="黑体" w:hAnsi="宋体" w:eastAsia="黑体"/>
          <w:sz w:val="24"/>
        </w:rPr>
      </w:pPr>
      <w:r>
        <w:rPr>
          <w:rFonts w:ascii="黑体" w:hAnsi="宋体" w:eastAsia="黑体"/>
          <w:sz w:val="24"/>
        </w:rPr>
        <w:t>1</w:t>
      </w:r>
      <w:r>
        <w:rPr>
          <w:rFonts w:hint="eastAsia" w:ascii="黑体" w:hAnsi="宋体" w:eastAsia="黑体"/>
          <w:sz w:val="24"/>
        </w:rPr>
        <w:t>3．招标文件的修改</w:t>
      </w:r>
    </w:p>
    <w:p w14:paraId="2F86055C">
      <w:pPr>
        <w:ind w:firstLine="411" w:firstLineChars="196"/>
        <w:rPr>
          <w:rFonts w:ascii="宋体" w:hAnsi="宋体"/>
          <w:szCs w:val="21"/>
        </w:rPr>
      </w:pPr>
      <w:r>
        <w:rPr>
          <w:rFonts w:ascii="宋体" w:hAnsi="宋体"/>
          <w:szCs w:val="21"/>
        </w:rPr>
        <w:t>1</w:t>
      </w:r>
      <w:r>
        <w:rPr>
          <w:rFonts w:hint="eastAsia" w:ascii="宋体" w:hAnsi="宋体"/>
          <w:szCs w:val="21"/>
        </w:rPr>
        <w:t>3.1招标文件发出后，在投标截止日期前任何时候，确需要变更招标文件内容的，政府集中采购机构可主动或在解答投标人提出的澄清问题时对招标文件进行修改。</w:t>
      </w:r>
    </w:p>
    <w:p w14:paraId="4E325A4D">
      <w:pPr>
        <w:ind w:firstLine="411" w:firstLineChars="196"/>
        <w:rPr>
          <w:rFonts w:ascii="宋体" w:hAnsi="宋体"/>
          <w:szCs w:val="21"/>
        </w:rPr>
      </w:pPr>
      <w:r>
        <w:rPr>
          <w:rFonts w:ascii="宋体" w:hAnsi="宋体"/>
          <w:szCs w:val="21"/>
        </w:rPr>
        <w:t>1</w:t>
      </w:r>
      <w:r>
        <w:rPr>
          <w:rFonts w:hint="eastAsia" w:ascii="宋体" w:hAnsi="宋体"/>
          <w:szCs w:val="21"/>
        </w:rPr>
        <w:t>3.2招标文件的修改以书面形式（包括网站发布方式，如更正公告等）发送给所有投标人，招标文件的修改内容作为招标文件的组成部分，并具有约束力。</w:t>
      </w:r>
    </w:p>
    <w:p w14:paraId="364D1582">
      <w:pPr>
        <w:ind w:firstLine="411" w:firstLineChars="196"/>
        <w:rPr>
          <w:rFonts w:ascii="宋体" w:hAnsi="宋体"/>
          <w:szCs w:val="21"/>
        </w:rPr>
      </w:pPr>
      <w:r>
        <w:rPr>
          <w:rFonts w:ascii="宋体" w:hAnsi="宋体"/>
          <w:szCs w:val="21"/>
        </w:rPr>
        <w:t>1</w:t>
      </w:r>
      <w:r>
        <w:rPr>
          <w:rFonts w:hint="eastAsia" w:ascii="宋体" w:hAnsi="宋体"/>
          <w:szCs w:val="21"/>
        </w:rPr>
        <w:t>3.3招标文件、招标文件澄清答复内容、招标文件修改补充内容均以书面形式（包括网站公开发布方式，如更正公告等）明确的内容为准。当招标文件、修改补充通知、招标文件澄清答复内容相互矛盾时，以最后发出的内容为准。</w:t>
      </w:r>
    </w:p>
    <w:p w14:paraId="375AD8A0">
      <w:pPr>
        <w:ind w:firstLine="411" w:firstLineChars="196"/>
        <w:rPr>
          <w:rFonts w:ascii="宋体" w:hAnsi="宋体"/>
          <w:szCs w:val="21"/>
        </w:rPr>
      </w:pPr>
      <w:r>
        <w:rPr>
          <w:rFonts w:ascii="宋体" w:hAnsi="宋体"/>
          <w:szCs w:val="21"/>
        </w:rPr>
        <w:t>1</w:t>
      </w:r>
      <w:r>
        <w:rPr>
          <w:rFonts w:hint="eastAsia" w:ascii="宋体" w:hAnsi="宋体"/>
          <w:szCs w:val="21"/>
        </w:rPr>
        <w:t>3.4政府集中采购机构保证招标文件澄清答复内容和招标文件修改补充内容在投标截止时间前以书面形式（包括网站发布方式，如更正公告等）发送给所有投标人。为使投标人在编制投标文件时有充分时间对招标文件的修改部分进行研究，政府集中采购机构可以酌情延长递交投标文件的截止日期。</w:t>
      </w:r>
      <w:bookmarkEnd w:id="93"/>
    </w:p>
    <w:p w14:paraId="55548D46">
      <w:pPr>
        <w:rPr>
          <w:rFonts w:ascii="宋体" w:hAnsi="宋体"/>
          <w:szCs w:val="21"/>
        </w:rPr>
      </w:pPr>
    </w:p>
    <w:p w14:paraId="57D26876">
      <w:pPr>
        <w:keepNext/>
        <w:keepLines/>
        <w:numPr>
          <w:ilvl w:val="0"/>
          <w:numId w:val="17"/>
        </w:numPr>
        <w:adjustRightInd w:val="0"/>
        <w:spacing w:before="120" w:beforeLines="50" w:after="120" w:afterLines="50"/>
        <w:ind w:left="562" w:hanging="562"/>
        <w:jc w:val="center"/>
        <w:textAlignment w:val="baseline"/>
        <w:outlineLvl w:val="1"/>
        <w:rPr>
          <w:rFonts w:ascii="宋体" w:hAnsi="宋体"/>
          <w:b/>
          <w:bCs/>
          <w:kern w:val="0"/>
          <w:sz w:val="28"/>
          <w:szCs w:val="28"/>
        </w:rPr>
      </w:pPr>
      <w:r>
        <w:rPr>
          <w:rFonts w:hint="eastAsia" w:ascii="宋体" w:hAnsi="宋体"/>
          <w:b/>
          <w:bCs/>
          <w:kern w:val="0"/>
          <w:sz w:val="28"/>
          <w:szCs w:val="28"/>
        </w:rPr>
        <w:t>投标文件的编制</w:t>
      </w:r>
    </w:p>
    <w:p w14:paraId="2F87CD0B">
      <w:pPr>
        <w:rPr>
          <w:rFonts w:ascii="黑体" w:hAnsi="宋体" w:eastAsia="黑体"/>
          <w:sz w:val="24"/>
        </w:rPr>
      </w:pPr>
      <w:r>
        <w:rPr>
          <w:rFonts w:hint="eastAsia" w:ascii="黑体" w:hAnsi="宋体" w:eastAsia="黑体"/>
          <w:sz w:val="24"/>
        </w:rPr>
        <w:t>14．</w:t>
      </w:r>
      <w:bookmarkStart w:id="94" w:name="_Hlk72400236"/>
      <w:r>
        <w:rPr>
          <w:rFonts w:hint="eastAsia" w:ascii="黑体" w:hAnsi="宋体" w:eastAsia="黑体"/>
          <w:sz w:val="24"/>
        </w:rPr>
        <w:t>投标文件的语言及度量单位</w:t>
      </w:r>
    </w:p>
    <w:p w14:paraId="16B67BDB">
      <w:pPr>
        <w:ind w:firstLine="411" w:firstLineChars="196"/>
        <w:rPr>
          <w:rFonts w:ascii="宋体" w:hAnsi="宋体"/>
          <w:szCs w:val="21"/>
        </w:rPr>
      </w:pPr>
      <w:r>
        <w:rPr>
          <w:rFonts w:hint="eastAsia" w:ascii="宋体" w:hAnsi="宋体"/>
          <w:szCs w:val="21"/>
        </w:rPr>
        <w:t>14.1 投标人与政府集中采购机构之间与投标有关的所有往来通知、函件和投标文件均用中文表述。投标人随投标文件提供的证明文件和资料可以为其它语言，但必须附中文译文。翻译的中文资料与外文资料如果出现差异时，以中文为准。</w:t>
      </w:r>
    </w:p>
    <w:p w14:paraId="7E3979B5">
      <w:pPr>
        <w:ind w:firstLine="411" w:firstLineChars="196"/>
        <w:rPr>
          <w:rFonts w:ascii="宋体" w:hAnsi="宋体"/>
          <w:szCs w:val="21"/>
        </w:rPr>
      </w:pPr>
      <w:r>
        <w:rPr>
          <w:rFonts w:hint="eastAsia" w:ascii="宋体" w:hAnsi="宋体"/>
          <w:szCs w:val="21"/>
        </w:rPr>
        <w:t>14.2 除技术规范另有规定外，投标文件使用的度量单位，均采用中华人民共和国法定计量单位。</w:t>
      </w:r>
    </w:p>
    <w:bookmarkEnd w:id="94"/>
    <w:p w14:paraId="5B9DC156">
      <w:pPr>
        <w:rPr>
          <w:rFonts w:ascii="黑体" w:hAnsi="宋体" w:eastAsia="黑体"/>
          <w:sz w:val="24"/>
        </w:rPr>
      </w:pPr>
      <w:r>
        <w:rPr>
          <w:rFonts w:hint="eastAsia" w:ascii="黑体" w:hAnsi="宋体" w:eastAsia="黑体"/>
          <w:sz w:val="24"/>
        </w:rPr>
        <w:t>15．</w:t>
      </w:r>
      <w:bookmarkStart w:id="95" w:name="_Hlk72401567"/>
      <w:r>
        <w:rPr>
          <w:rFonts w:hint="eastAsia" w:ascii="黑体" w:hAnsi="宋体" w:eastAsia="黑体"/>
          <w:sz w:val="24"/>
        </w:rPr>
        <w:t>投标文件的组成</w:t>
      </w:r>
    </w:p>
    <w:p w14:paraId="7A252D03">
      <w:pPr>
        <w:ind w:firstLine="411" w:firstLineChars="196"/>
        <w:rPr>
          <w:rFonts w:ascii="宋体" w:hAnsi="宋体"/>
          <w:szCs w:val="21"/>
        </w:rPr>
      </w:pPr>
      <w:r>
        <w:rPr>
          <w:rFonts w:hint="eastAsia" w:ascii="宋体" w:hAnsi="宋体"/>
          <w:szCs w:val="21"/>
        </w:rPr>
        <w:t>具体内容在招标文件专用条款中进行规定。</w:t>
      </w:r>
    </w:p>
    <w:p w14:paraId="1D5768D6">
      <w:pPr>
        <w:rPr>
          <w:rFonts w:ascii="黑体" w:hAnsi="宋体" w:eastAsia="黑体"/>
          <w:sz w:val="24"/>
        </w:rPr>
      </w:pPr>
      <w:r>
        <w:rPr>
          <w:rFonts w:ascii="黑体" w:hAnsi="宋体" w:eastAsia="黑体"/>
          <w:sz w:val="24"/>
        </w:rPr>
        <w:t>16．投标文件格式</w:t>
      </w:r>
    </w:p>
    <w:p w14:paraId="42ADB7A7">
      <w:pPr>
        <w:ind w:firstLine="411" w:firstLineChars="196"/>
        <w:rPr>
          <w:rFonts w:ascii="宋体" w:hAnsi="宋体"/>
          <w:szCs w:val="21"/>
        </w:rPr>
      </w:pPr>
      <w:r>
        <w:rPr>
          <w:rFonts w:hint="eastAsia" w:ascii="宋体" w:hAnsi="宋体"/>
          <w:szCs w:val="21"/>
        </w:rPr>
        <w:t>投标文件包括本通用条款第</w:t>
      </w:r>
      <w:r>
        <w:rPr>
          <w:rFonts w:ascii="宋体" w:hAnsi="宋体"/>
          <w:szCs w:val="21"/>
        </w:rPr>
        <w:t>15条中规定的内容。如招标文件提供了投标文件格式，则</w:t>
      </w:r>
      <w:r>
        <w:rPr>
          <w:rFonts w:hint="eastAsia" w:ascii="宋体" w:hAnsi="宋体"/>
          <w:b/>
          <w:bCs/>
          <w:szCs w:val="21"/>
        </w:rPr>
        <w:t>投标人提交的投标文件应毫无例外地使用招标文件所提供的相应格式</w:t>
      </w:r>
      <w:r>
        <w:rPr>
          <w:rFonts w:hint="eastAsia" w:ascii="宋体" w:hAnsi="宋体"/>
          <w:szCs w:val="21"/>
        </w:rPr>
        <w:t>（表格均可按同样格式扩展）。</w:t>
      </w:r>
    </w:p>
    <w:p w14:paraId="291196C0">
      <w:pPr>
        <w:rPr>
          <w:rFonts w:ascii="黑体" w:hAnsi="宋体" w:eastAsia="黑体"/>
          <w:sz w:val="24"/>
        </w:rPr>
      </w:pPr>
      <w:r>
        <w:rPr>
          <w:rFonts w:hint="eastAsia" w:ascii="黑体" w:hAnsi="宋体" w:eastAsia="黑体"/>
          <w:sz w:val="24"/>
        </w:rPr>
        <w:t>17．投标货币</w:t>
      </w:r>
    </w:p>
    <w:p w14:paraId="3F89E7DE">
      <w:pPr>
        <w:ind w:firstLine="411" w:firstLineChars="196"/>
        <w:rPr>
          <w:rFonts w:ascii="宋体" w:hAnsi="宋体"/>
          <w:szCs w:val="21"/>
        </w:rPr>
      </w:pPr>
      <w:r>
        <w:rPr>
          <w:rFonts w:hint="eastAsia" w:ascii="宋体" w:hAnsi="宋体"/>
          <w:szCs w:val="21"/>
        </w:rPr>
        <w:t>本项目的投标报价应以人民币计。</w:t>
      </w:r>
    </w:p>
    <w:bookmarkEnd w:id="95"/>
    <w:p w14:paraId="3CBE3595">
      <w:pPr>
        <w:rPr>
          <w:rFonts w:ascii="黑体" w:hAnsi="宋体" w:eastAsia="黑体"/>
          <w:sz w:val="24"/>
        </w:rPr>
      </w:pPr>
      <w:r>
        <w:rPr>
          <w:rFonts w:hint="eastAsia" w:ascii="黑体" w:hAnsi="宋体" w:eastAsia="黑体"/>
          <w:sz w:val="24"/>
        </w:rPr>
        <w:t>18．</w:t>
      </w:r>
      <w:bookmarkStart w:id="96" w:name="_Hlk72401735"/>
      <w:r>
        <w:rPr>
          <w:rFonts w:hint="eastAsia" w:ascii="黑体" w:hAnsi="宋体" w:eastAsia="黑体"/>
          <w:sz w:val="24"/>
        </w:rPr>
        <w:t>证明投标文件投标技术方案的合格性和符合招标文件规定的文件要求</w:t>
      </w:r>
    </w:p>
    <w:p w14:paraId="330DB332">
      <w:pPr>
        <w:ind w:firstLine="411" w:firstLineChars="196"/>
        <w:rPr>
          <w:rFonts w:ascii="宋体" w:hAnsi="宋体"/>
          <w:szCs w:val="21"/>
        </w:rPr>
      </w:pPr>
      <w:r>
        <w:rPr>
          <w:rFonts w:hint="eastAsia" w:ascii="宋体" w:hAnsi="宋体"/>
          <w:szCs w:val="21"/>
        </w:rPr>
        <w:t>18</w:t>
      </w:r>
      <w:r>
        <w:rPr>
          <w:rFonts w:ascii="宋体" w:hAnsi="宋体"/>
          <w:szCs w:val="21"/>
        </w:rPr>
        <w:t xml:space="preserve">.1 </w:t>
      </w:r>
      <w:r>
        <w:rPr>
          <w:rFonts w:hint="eastAsia" w:ascii="宋体" w:hAnsi="宋体"/>
          <w:szCs w:val="21"/>
        </w:rPr>
        <w:t>投标人应提交证明文件，证明其投标技术方案项下的货物和服务的合格性符合招标文件规定。该投标技术方案及其证明文件均作为投标文件组成部分。</w:t>
      </w:r>
    </w:p>
    <w:p w14:paraId="633DA0EE">
      <w:pPr>
        <w:ind w:firstLine="411" w:firstLineChars="196"/>
        <w:rPr>
          <w:rFonts w:ascii="宋体" w:hAnsi="宋体"/>
          <w:szCs w:val="21"/>
        </w:rPr>
      </w:pPr>
      <w:r>
        <w:rPr>
          <w:rFonts w:ascii="宋体" w:hAnsi="宋体"/>
          <w:szCs w:val="21"/>
        </w:rPr>
        <w:t>1</w:t>
      </w:r>
      <w:r>
        <w:rPr>
          <w:rFonts w:hint="eastAsia" w:ascii="宋体" w:hAnsi="宋体"/>
          <w:szCs w:val="21"/>
        </w:rPr>
        <w:t>8</w:t>
      </w:r>
      <w:r>
        <w:rPr>
          <w:rFonts w:ascii="宋体" w:hAnsi="宋体"/>
          <w:szCs w:val="21"/>
        </w:rPr>
        <w:t xml:space="preserve">.2 </w:t>
      </w:r>
      <w:r>
        <w:rPr>
          <w:rFonts w:hint="eastAsia" w:ascii="宋体" w:hAnsi="宋体"/>
          <w:szCs w:val="21"/>
        </w:rPr>
        <w:t>投标人提供证明投标技术方案与招标文件的要求相一致的文件，可以是文字资料、图纸、数据或数码照片、制造商公布的产品说明书、产品彩页和我国政府机构出具的产品检验和核准证件等，提供的文件应符合以下要求：</w:t>
      </w:r>
    </w:p>
    <w:p w14:paraId="565431AB">
      <w:pPr>
        <w:ind w:firstLine="411" w:firstLineChars="196"/>
        <w:rPr>
          <w:rFonts w:ascii="宋体" w:hAnsi="宋体"/>
          <w:szCs w:val="21"/>
        </w:rPr>
      </w:pPr>
      <w:r>
        <w:rPr>
          <w:rFonts w:hint="eastAsia" w:ascii="宋体" w:hAnsi="宋体"/>
          <w:szCs w:val="21"/>
        </w:rPr>
        <w:t>18.2.1主要技术指标和性能的详细说明。</w:t>
      </w:r>
    </w:p>
    <w:p w14:paraId="623C24D0">
      <w:pPr>
        <w:ind w:firstLine="411" w:firstLineChars="196"/>
        <w:rPr>
          <w:rFonts w:ascii="宋体" w:hAnsi="宋体"/>
          <w:szCs w:val="21"/>
        </w:rPr>
      </w:pPr>
      <w:r>
        <w:rPr>
          <w:rFonts w:hint="eastAsia" w:ascii="宋体" w:hAnsi="宋体"/>
          <w:szCs w:val="21"/>
        </w:rPr>
        <w:t>18.2.</w:t>
      </w:r>
      <w:r>
        <w:rPr>
          <w:rFonts w:ascii="宋体" w:hAnsi="宋体"/>
          <w:szCs w:val="21"/>
        </w:rPr>
        <w:t>2</w:t>
      </w:r>
      <w:r>
        <w:rPr>
          <w:rFonts w:hint="eastAsia" w:ascii="宋体" w:hAnsi="宋体"/>
          <w:szCs w:val="21"/>
        </w:rPr>
        <w:t>投标产品从采购人开始使用至招标文件中规定的周期内正常、连续地使用所必须的备件和专用工具清单，包括备件和专用工具的货源及现行价格。</w:t>
      </w:r>
    </w:p>
    <w:p w14:paraId="6B65C76C">
      <w:pPr>
        <w:ind w:firstLine="411" w:firstLineChars="196"/>
        <w:rPr>
          <w:rFonts w:ascii="宋体" w:hAnsi="宋体"/>
          <w:szCs w:val="21"/>
        </w:rPr>
      </w:pPr>
      <w:r>
        <w:rPr>
          <w:rFonts w:hint="eastAsia" w:ascii="宋体" w:hAnsi="宋体"/>
          <w:szCs w:val="21"/>
        </w:rPr>
        <w:t>18.2.</w:t>
      </w:r>
      <w:r>
        <w:rPr>
          <w:rFonts w:ascii="宋体" w:hAnsi="宋体"/>
          <w:szCs w:val="21"/>
        </w:rPr>
        <w:t>3</w:t>
      </w:r>
      <w:r>
        <w:rPr>
          <w:rFonts w:hint="eastAsia" w:ascii="宋体" w:hAnsi="宋体"/>
          <w:szCs w:val="21"/>
        </w:rPr>
        <w:t>对照招标文件技术规格，逐条说明投标技术方案已对采购人的技术规格做出了实质性的响应，或申明与技术规格条文的偏差和例外。投标人应详细说明投标技术方案中产品的具体参数，不得不合理照搬照抄招标文件的技术要求。</w:t>
      </w:r>
    </w:p>
    <w:p w14:paraId="092A57F5">
      <w:pPr>
        <w:ind w:firstLine="411" w:firstLineChars="196"/>
        <w:rPr>
          <w:rFonts w:ascii="宋体" w:hAnsi="宋体"/>
          <w:szCs w:val="21"/>
        </w:rPr>
      </w:pPr>
      <w:r>
        <w:rPr>
          <w:rFonts w:hint="eastAsia" w:ascii="宋体" w:hAnsi="宋体"/>
          <w:szCs w:val="21"/>
        </w:rPr>
        <w:t>18.2.4产品说明书或彩页应为制造商公布或出具的中文产品说明书或彩页；提供外文说明书或彩页的，必须同时提供加盖制造商公章的对应中文翻译说明，评标依据以中文翻译内容为准，外文说明书或彩页仅供参考；产品说明书或彩页的尺寸和</w:t>
      </w:r>
      <w:r>
        <w:rPr>
          <w:rFonts w:hint="eastAsia"/>
        </w:rPr>
        <w:t>清晰度要求能够使用电脑阅读、识别和判断</w:t>
      </w:r>
      <w:r>
        <w:rPr>
          <w:rFonts w:hint="eastAsia" w:ascii="宋体" w:hAnsi="宋体"/>
          <w:szCs w:val="21"/>
        </w:rPr>
        <w:t>；</w:t>
      </w:r>
    </w:p>
    <w:p w14:paraId="141A4DC0">
      <w:pPr>
        <w:ind w:firstLine="411" w:firstLineChars="196"/>
        <w:rPr>
          <w:rFonts w:ascii="宋体" w:hAnsi="宋体"/>
          <w:szCs w:val="21"/>
        </w:rPr>
      </w:pPr>
      <w:r>
        <w:rPr>
          <w:rFonts w:hint="eastAsia" w:ascii="宋体" w:hAnsi="宋体"/>
          <w:szCs w:val="21"/>
        </w:rPr>
        <w:t>18.2.5我国政府机构出具的产品检验和核准证件应为证件正面、背面和附件标注的全部具体内容；产品检验和核准证件的尺寸和清晰度应该能够在电脑上被阅读、识别和判断，提供原件扫描件。</w:t>
      </w:r>
    </w:p>
    <w:p w14:paraId="12BF9843">
      <w:pPr>
        <w:ind w:firstLine="411" w:firstLineChars="196"/>
        <w:rPr>
          <w:rFonts w:ascii="宋体" w:hAnsi="宋体"/>
          <w:szCs w:val="21"/>
        </w:rPr>
      </w:pPr>
      <w:r>
        <w:rPr>
          <w:rFonts w:hint="eastAsia" w:ascii="宋体" w:hAnsi="宋体"/>
          <w:szCs w:val="21"/>
        </w:rPr>
        <w:t>18.3相关资料不符合18.2款要求的，评审委员会有权认定为投标技术方案不合格响应，其相关分数予以扣减或作投标无效处理。</w:t>
      </w:r>
    </w:p>
    <w:p w14:paraId="78F40AA1">
      <w:pPr>
        <w:ind w:firstLine="411" w:firstLineChars="196"/>
        <w:rPr>
          <w:rFonts w:ascii="宋体" w:hAnsi="宋体"/>
          <w:szCs w:val="21"/>
        </w:rPr>
      </w:pPr>
      <w:r>
        <w:rPr>
          <w:rFonts w:ascii="宋体" w:hAnsi="宋体"/>
          <w:szCs w:val="21"/>
        </w:rPr>
        <w:t>1</w:t>
      </w:r>
      <w:r>
        <w:rPr>
          <w:rFonts w:hint="eastAsia" w:ascii="宋体" w:hAnsi="宋体"/>
          <w:szCs w:val="21"/>
        </w:rPr>
        <w:t>8</w:t>
      </w:r>
      <w:r>
        <w:rPr>
          <w:rFonts w:ascii="宋体" w:hAnsi="宋体"/>
          <w:szCs w:val="21"/>
        </w:rPr>
        <w:t>.</w:t>
      </w:r>
      <w:r>
        <w:rPr>
          <w:rFonts w:hint="eastAsia" w:ascii="宋体" w:hAnsi="宋体"/>
          <w:szCs w:val="21"/>
        </w:rPr>
        <w:t>4投标人在阐述上述第18.2时应注意采购人在技术规格中指出的工艺、材料和设备的标准以及参照的牌号或分类号仅起说明作用，并没有任何限制性。投标人在投标中可以选用替代标准、牌号或分类号，但这些替代要实质上满足招标文件中技术规格的要求，是否</w:t>
      </w:r>
      <w:r>
        <w:rPr>
          <w:rFonts w:hint="eastAsia"/>
        </w:rPr>
        <w:t>满足要求</w:t>
      </w:r>
      <w:r>
        <w:rPr>
          <w:rFonts w:hint="eastAsia" w:ascii="宋体" w:hAnsi="宋体"/>
          <w:szCs w:val="21"/>
        </w:rPr>
        <w:t>，由评审委员会来评判。</w:t>
      </w:r>
    </w:p>
    <w:p w14:paraId="1E3E46AC">
      <w:pPr>
        <w:ind w:firstLine="411" w:firstLineChars="196"/>
        <w:rPr>
          <w:rFonts w:ascii="宋体" w:hAnsi="宋体"/>
          <w:szCs w:val="21"/>
        </w:rPr>
      </w:pPr>
      <w:r>
        <w:rPr>
          <w:rFonts w:hint="eastAsia" w:ascii="宋体" w:hAnsi="宋体"/>
          <w:szCs w:val="21"/>
        </w:rPr>
        <w:t>18.5除非另有规定或说明，投标人对同一项目投标时，不得同时提供两套或两套以上的投标方案。</w:t>
      </w:r>
    </w:p>
    <w:bookmarkEnd w:id="96"/>
    <w:p w14:paraId="65D86A2F">
      <w:pPr>
        <w:rPr>
          <w:rFonts w:ascii="黑体" w:hAnsi="宋体" w:eastAsia="黑体"/>
          <w:sz w:val="24"/>
        </w:rPr>
      </w:pPr>
      <w:r>
        <w:rPr>
          <w:rFonts w:hint="eastAsia" w:ascii="黑体" w:hAnsi="宋体" w:eastAsia="黑体"/>
          <w:sz w:val="24"/>
        </w:rPr>
        <w:t>19．</w:t>
      </w:r>
      <w:bookmarkStart w:id="97" w:name="_Hlk72402034"/>
      <w:r>
        <w:rPr>
          <w:rFonts w:hint="eastAsia" w:ascii="黑体" w:hAnsi="宋体" w:eastAsia="黑体"/>
          <w:sz w:val="24"/>
        </w:rPr>
        <w:t>投标文件其他证明文件的要求</w:t>
      </w:r>
    </w:p>
    <w:p w14:paraId="01607A1F">
      <w:pPr>
        <w:rPr>
          <w:rFonts w:ascii="宋体" w:hAnsi="宋体"/>
          <w:color w:val="FF0000"/>
          <w:szCs w:val="21"/>
        </w:rPr>
      </w:pPr>
      <w:r>
        <w:rPr>
          <w:rFonts w:hint="eastAsia" w:ascii="黑体" w:hAnsi="宋体" w:eastAsia="黑体"/>
          <w:sz w:val="24"/>
        </w:rPr>
        <w:t xml:space="preserve">    </w:t>
      </w:r>
      <w:r>
        <w:rPr>
          <w:rFonts w:hint="eastAsia" w:ascii="宋体" w:hAnsi="宋体"/>
          <w:szCs w:val="21"/>
        </w:rPr>
        <w:t>19.1采用综合评分法的项目，对项目招标文件《评标信息》评分项中涉及的相关业绩、社保情况等内容以及《资格性审查表》和《符合性审查表》中涉及的证明材料，投标人应提供相关部门出具的证明材料扫描件或照片，原件备查。有关扫描件（或照片）的尺寸和清晰度要求能够使用电脑阅读、识别和判断。</w:t>
      </w:r>
      <w:bookmarkStart w:id="98" w:name="_Hlk71407299"/>
      <w:r>
        <w:rPr>
          <w:rFonts w:hint="eastAsia" w:ascii="宋体" w:hAnsi="宋体"/>
          <w:szCs w:val="21"/>
        </w:rPr>
        <w:t>若投标人未按要求提供证明材料或提供的是部分证明材料或提供不清晰的扫描件（或照片）的，采购人、代理机构及评审委员会依据各自审查范围，有权认定其投标文件未对招标文件有关需求进行响应，涉及资格性审查或符合性审查的予以投标无效处理，涉及《评标信息》打分项的则该项评分予以0分处理。对供应商投标资料是否异常、是否有效问题进行核查和判定，如认为供应商投标资料有异常或无效的，若涉及资格性审查或符合性审查条款的，则应作投标无效处理；若涉及评分的，则作不得分处理。</w:t>
      </w:r>
    </w:p>
    <w:bookmarkEnd w:id="98"/>
    <w:p w14:paraId="731DEDBB">
      <w:pPr>
        <w:ind w:firstLine="411" w:firstLineChars="196"/>
        <w:rPr>
          <w:rFonts w:ascii="宋体" w:hAnsi="宋体"/>
          <w:szCs w:val="21"/>
        </w:rPr>
      </w:pPr>
      <w:r>
        <w:rPr>
          <w:rFonts w:hint="eastAsia" w:ascii="宋体" w:hAnsi="宋体"/>
          <w:szCs w:val="21"/>
        </w:rPr>
        <w:t>19.2本项目涉及提供的有关资质（资格）证书，若原有资质（资格）证书处于年审期间，须提供证书颁发部门提供的回执，并且回执须证明该证书依然有效（若在法规范围不需提供的，供应商应做书面说明并提供证明文件，否则该证书无效），则该投标人提供年审证明的可按原资质（资格）投标；若投标人正在申报上一级别资质（资格），在未获批准之前，仍按原级别资质（资格）投标。</w:t>
      </w:r>
    </w:p>
    <w:p w14:paraId="4B884BB1">
      <w:pPr>
        <w:rPr>
          <w:rFonts w:ascii="黑体" w:hAnsi="宋体" w:eastAsia="黑体"/>
          <w:sz w:val="24"/>
        </w:rPr>
      </w:pPr>
      <w:r>
        <w:rPr>
          <w:rFonts w:hint="eastAsia" w:ascii="黑体" w:hAnsi="宋体" w:eastAsia="黑体"/>
          <w:sz w:val="24"/>
        </w:rPr>
        <w:t>20．投标有效期</w:t>
      </w:r>
    </w:p>
    <w:bookmarkEnd w:id="97"/>
    <w:p w14:paraId="30216AA2">
      <w:pPr>
        <w:ind w:firstLine="411" w:firstLineChars="196"/>
        <w:rPr>
          <w:rFonts w:ascii="宋体" w:hAnsi="宋体"/>
          <w:szCs w:val="21"/>
        </w:rPr>
      </w:pPr>
      <w:bookmarkStart w:id="99" w:name="_Hlk72402214"/>
      <w:r>
        <w:rPr>
          <w:rFonts w:hint="eastAsia" w:ascii="宋体" w:hAnsi="宋体"/>
          <w:szCs w:val="21"/>
        </w:rPr>
        <w:t>20.1 投标有效期为</w:t>
      </w:r>
      <w:r>
        <w:rPr>
          <w:rFonts w:hint="eastAsia" w:ascii="Arial" w:hAnsi="Arial" w:cs="Arial"/>
          <w:szCs w:val="21"/>
        </w:rPr>
        <w:t>从投标截止之日算起的日历天数。</w:t>
      </w:r>
      <w:r>
        <w:rPr>
          <w:rFonts w:hint="eastAsia" w:ascii="宋体" w:hAnsi="宋体"/>
          <w:szCs w:val="21"/>
        </w:rPr>
        <w:t>在此期限内，所有投标文件均保持有效。</w:t>
      </w:r>
    </w:p>
    <w:p w14:paraId="5204F54D">
      <w:pPr>
        <w:ind w:firstLine="411" w:firstLineChars="196"/>
        <w:rPr>
          <w:rFonts w:ascii="宋体" w:hAnsi="宋体"/>
          <w:szCs w:val="21"/>
        </w:rPr>
      </w:pPr>
      <w:r>
        <w:rPr>
          <w:rFonts w:hint="eastAsia" w:ascii="宋体" w:hAnsi="宋体"/>
          <w:szCs w:val="21"/>
        </w:rPr>
        <w:t>20.2 在特殊情况下，政府集中采购机构在原定的投标有效期满之前，政府集中采购机构可以根据需要以书面形式（包括网站公开发布方式）向投标人提出延长投标有效期的要求，对此要求投标人须以书面形式予以答复，投标人可以拒绝政府集中采购机构此项要求，其投标在原投标有效期满后不再有效。同意延长投标有效期的投标人不能要求也不允许修改其投标文件。</w:t>
      </w:r>
    </w:p>
    <w:p w14:paraId="5C751F3A">
      <w:pPr>
        <w:ind w:firstLine="411" w:firstLineChars="196"/>
        <w:rPr>
          <w:rFonts w:ascii="宋体" w:hAnsi="宋体"/>
          <w:szCs w:val="21"/>
        </w:rPr>
      </w:pPr>
      <w:r>
        <w:rPr>
          <w:rFonts w:hint="eastAsia" w:ascii="宋体" w:hAnsi="宋体"/>
          <w:szCs w:val="21"/>
        </w:rPr>
        <w:t>20</w:t>
      </w:r>
      <w:r>
        <w:rPr>
          <w:rFonts w:ascii="宋体" w:hAnsi="宋体"/>
          <w:szCs w:val="21"/>
        </w:rPr>
        <w:t>.3</w:t>
      </w:r>
      <w:r>
        <w:rPr>
          <w:rFonts w:hint="eastAsia" w:ascii="宋体" w:hAnsi="宋体"/>
          <w:szCs w:val="21"/>
        </w:rPr>
        <w:t xml:space="preserve"> 中标供应商的投标文件有效期，截止于完成本招标文件规定的全部项目内容，并通过竣工验收及保修期结束。</w:t>
      </w:r>
    </w:p>
    <w:bookmarkEnd w:id="99"/>
    <w:p w14:paraId="2B7FF46D">
      <w:pPr>
        <w:rPr>
          <w:rFonts w:ascii="黑体" w:hAnsi="宋体" w:eastAsia="黑体"/>
          <w:sz w:val="24"/>
        </w:rPr>
      </w:pPr>
      <w:r>
        <w:rPr>
          <w:rFonts w:hint="eastAsia" w:ascii="黑体" w:hAnsi="宋体" w:eastAsia="黑体"/>
          <w:sz w:val="24"/>
        </w:rPr>
        <w:t>21．</w:t>
      </w:r>
      <w:bookmarkStart w:id="100" w:name="_Hlk72402325"/>
      <w:r>
        <w:rPr>
          <w:rFonts w:hint="eastAsia" w:ascii="黑体" w:hAnsi="宋体" w:eastAsia="黑体"/>
          <w:sz w:val="24"/>
        </w:rPr>
        <w:t xml:space="preserve">关于投标保证金 </w:t>
      </w:r>
    </w:p>
    <w:p w14:paraId="6F17AD17">
      <w:pPr>
        <w:rPr>
          <w:rFonts w:ascii="宋体" w:hAnsi="宋体"/>
          <w:szCs w:val="21"/>
        </w:rPr>
      </w:pPr>
      <w:r>
        <w:rPr>
          <w:rFonts w:hint="eastAsia" w:ascii="宋体" w:hAnsi="宋体"/>
          <w:szCs w:val="21"/>
        </w:rPr>
        <w:t xml:space="preserve">    21.1</w:t>
      </w:r>
      <w:r>
        <w:rPr>
          <w:rFonts w:hint="eastAsia"/>
        </w:rPr>
        <w:t>参照《深圳市财政局关于调整政府采购投标（响应）保证金管理政策的通知》（深财购〔2021〕51号）文的规定，本项目不收取投标保证金。</w:t>
      </w:r>
    </w:p>
    <w:p w14:paraId="4A1F8584">
      <w:pPr>
        <w:rPr>
          <w:rFonts w:ascii="黑体" w:hAnsi="宋体" w:eastAsia="黑体"/>
          <w:sz w:val="24"/>
        </w:rPr>
      </w:pPr>
      <w:r>
        <w:rPr>
          <w:rFonts w:hint="eastAsia" w:ascii="黑体" w:hAnsi="宋体" w:eastAsia="黑体"/>
          <w:sz w:val="24"/>
        </w:rPr>
        <w:t>22．投标人的替代方案</w:t>
      </w:r>
    </w:p>
    <w:p w14:paraId="09C1B88C">
      <w:pPr>
        <w:ind w:firstLine="411" w:firstLineChars="196"/>
        <w:rPr>
          <w:rFonts w:ascii="宋体" w:hAnsi="宋体"/>
          <w:szCs w:val="21"/>
        </w:rPr>
      </w:pPr>
      <w:r>
        <w:rPr>
          <w:rFonts w:hint="eastAsia" w:ascii="宋体" w:hAnsi="宋体"/>
          <w:szCs w:val="21"/>
        </w:rPr>
        <w:t>22.1投标人所提交的投标文件应完全满足招标文件（包括图纸和技术规范所示的基本技术设计）的要求。除非项目明确允许投标人提交替代方案，否则投标人有关替代方案的条款将初审不通过，作投标无效处理。</w:t>
      </w:r>
    </w:p>
    <w:p w14:paraId="5580346F">
      <w:pPr>
        <w:ind w:firstLine="411" w:firstLineChars="196"/>
        <w:rPr>
          <w:rFonts w:ascii="宋体" w:hAnsi="宋体"/>
          <w:szCs w:val="21"/>
        </w:rPr>
      </w:pPr>
      <w:r>
        <w:rPr>
          <w:rFonts w:hint="eastAsia" w:ascii="宋体" w:hAnsi="宋体"/>
          <w:szCs w:val="21"/>
        </w:rPr>
        <w:t>22.2 如果允许投标人提交替代方案，则准备提交替代方案的投标人除应提交一份满足招标文件（包括图纸和技术规范所示的基本技术设计）要求的投标文件外，还应提交需评审其替代方案所需的全部资料，包括项目方案书、技术规范、替代方案报价书、所建议的项目方案及有关的其它详细资料。</w:t>
      </w:r>
    </w:p>
    <w:bookmarkEnd w:id="100"/>
    <w:p w14:paraId="6D1C0426">
      <w:pPr>
        <w:rPr>
          <w:rFonts w:ascii="黑体" w:hAnsi="宋体" w:eastAsia="黑体"/>
          <w:sz w:val="24"/>
        </w:rPr>
      </w:pPr>
      <w:r>
        <w:rPr>
          <w:rFonts w:hint="eastAsia" w:ascii="黑体" w:hAnsi="宋体" w:eastAsia="黑体"/>
          <w:sz w:val="24"/>
        </w:rPr>
        <w:t>23．</w:t>
      </w:r>
      <w:bookmarkStart w:id="101" w:name="_Hlk72402860"/>
      <w:r>
        <w:rPr>
          <w:rFonts w:ascii="黑体" w:hAnsi="宋体" w:eastAsia="黑体"/>
          <w:sz w:val="24"/>
        </w:rPr>
        <w:t>投标文件的</w:t>
      </w:r>
      <w:r>
        <w:rPr>
          <w:rFonts w:hint="eastAsia" w:ascii="黑体" w:hAnsi="宋体" w:eastAsia="黑体"/>
          <w:sz w:val="24"/>
        </w:rPr>
        <w:t>制作</w:t>
      </w:r>
      <w:r>
        <w:rPr>
          <w:rFonts w:ascii="黑体" w:hAnsi="宋体" w:eastAsia="黑体"/>
          <w:sz w:val="24"/>
        </w:rPr>
        <w:t>要求</w:t>
      </w:r>
    </w:p>
    <w:p w14:paraId="5C2BCB6E">
      <w:pPr>
        <w:ind w:firstLine="411" w:firstLineChars="196"/>
        <w:rPr>
          <w:rFonts w:ascii="宋体" w:hAnsi="宋体"/>
        </w:rPr>
      </w:pPr>
      <w:r>
        <w:rPr>
          <w:rFonts w:hint="eastAsia" w:ascii="宋体" w:hAnsi="宋体"/>
        </w:rPr>
        <w:t>23.1投标人应准备所投项目的电子投标文件一份。此电子投标文件须由投标人根据政府集中采购机构提供的后缀名为.TYZB的电子招标文件，下载并使用相应的</w:t>
      </w:r>
      <w:r>
        <w:rPr>
          <w:rFonts w:hint="eastAsia" w:ascii="宋体" w:hAnsi="宋体"/>
          <w:szCs w:val="21"/>
        </w:rPr>
        <w:t>深圳市自行采购系统</w:t>
      </w:r>
      <w:r>
        <w:rPr>
          <w:rFonts w:hint="eastAsia" w:ascii="宋体" w:hAnsi="宋体"/>
        </w:rPr>
        <w:t>投标文件制作专用软件打开招标文件（.TYZB格式）【下载地址：https://www.szggzy.com/jyfw/list.html?id=jyfwzfcg】。</w:t>
      </w:r>
    </w:p>
    <w:p w14:paraId="70C343B7">
      <w:pPr>
        <w:ind w:firstLine="411" w:firstLineChars="196"/>
        <w:rPr>
          <w:rFonts w:ascii="宋体" w:hAnsi="宋体"/>
        </w:rPr>
      </w:pPr>
      <w:r>
        <w:rPr>
          <w:rFonts w:hint="eastAsia" w:ascii="宋体" w:hAnsi="宋体"/>
        </w:rPr>
        <w:t>23.2投标人在使用《投标书编制软件》编制投标书时须注意：</w:t>
      </w:r>
    </w:p>
    <w:p w14:paraId="18BB69B7">
      <w:pPr>
        <w:ind w:firstLine="411" w:firstLineChars="196"/>
        <w:rPr>
          <w:rFonts w:ascii="宋体" w:hAnsi="宋体"/>
        </w:rPr>
      </w:pPr>
      <w:r>
        <w:rPr>
          <w:rFonts w:hint="eastAsia" w:ascii="宋体" w:hAnsi="宋体"/>
        </w:rPr>
        <w:t>23.2.1导入《投标书编制软件》的招标文件项目编号、包号应与以此制作的投标文件项目编号、包号一致。例如，不能将甲项目A包的招标书导入《投标书编制软件》，制作乙项目B包的投标书。</w:t>
      </w:r>
    </w:p>
    <w:p w14:paraId="3CB44948">
      <w:pPr>
        <w:ind w:firstLine="411" w:firstLineChars="196"/>
        <w:rPr>
          <w:rFonts w:ascii="宋体" w:hAnsi="宋体"/>
        </w:rPr>
      </w:pPr>
      <w:r>
        <w:rPr>
          <w:rFonts w:hint="eastAsia" w:ascii="宋体" w:hAnsi="宋体"/>
        </w:rPr>
        <w:t>23.2.2不能用非本公司的电子密钥加密本公司的投标文件，或者用其它公司的登录用户上传本公司的投标文件。</w:t>
      </w:r>
    </w:p>
    <w:p w14:paraId="555C5EF1">
      <w:pPr>
        <w:ind w:firstLine="411" w:firstLineChars="196"/>
        <w:rPr>
          <w:rFonts w:ascii="宋体" w:hAnsi="宋体"/>
        </w:rPr>
      </w:pPr>
      <w:r>
        <w:rPr>
          <w:rFonts w:hint="eastAsia" w:ascii="宋体" w:hAnsi="宋体"/>
        </w:rPr>
        <w:t>23.2.3要求用《投标书编制软件》编制投标书的包，不能用其它方式编制投标书。编制投标文件时，电脑须连通互联网。</w:t>
      </w:r>
    </w:p>
    <w:p w14:paraId="6657C102">
      <w:pPr>
        <w:ind w:firstLine="411" w:firstLineChars="196"/>
        <w:rPr>
          <w:rFonts w:ascii="宋体" w:hAnsi="宋体"/>
        </w:rPr>
      </w:pPr>
      <w:r>
        <w:rPr>
          <w:rFonts w:hint="eastAsia" w:ascii="宋体" w:hAnsi="宋体"/>
        </w:rPr>
        <w:t>23.2.4投标文件不能带病毒。政府集中采购机构将用专业杀毒软件对投标文件进行病毒检测，如果这两种软件均报告发现病毒，则政府集中采购机构认为该投标文件带病毒。</w:t>
      </w:r>
    </w:p>
    <w:p w14:paraId="0D0E16DC">
      <w:pPr>
        <w:ind w:firstLine="411" w:firstLineChars="196"/>
        <w:rPr>
          <w:rFonts w:ascii="宋体" w:hAnsi="宋体"/>
          <w:b/>
        </w:rPr>
      </w:pPr>
      <w:r>
        <w:rPr>
          <w:rFonts w:hint="eastAsia" w:ascii="宋体" w:hAnsi="宋体"/>
        </w:rPr>
        <w:t>23.2.5</w:t>
      </w:r>
      <w:r>
        <w:rPr>
          <w:rFonts w:hint="eastAsia" w:ascii="宋体" w:hAnsi="宋体"/>
          <w:b/>
        </w:rPr>
        <w:t>“投标信息”中的“投标报价”将作为价格分计算依据；其它信息仅是对投标文件相关内容的概括性表述，不作为评审依据。</w:t>
      </w:r>
    </w:p>
    <w:p w14:paraId="27F1AABA">
      <w:pPr>
        <w:ind w:firstLine="411" w:firstLineChars="196"/>
        <w:rPr>
          <w:rFonts w:ascii="宋体" w:hAnsi="宋体"/>
        </w:rPr>
      </w:pPr>
      <w:r>
        <w:rPr>
          <w:rFonts w:hint="eastAsia" w:ascii="宋体" w:hAnsi="宋体"/>
        </w:rPr>
        <w:t>23.2.6投标人在编辑投标文件时，</w:t>
      </w:r>
      <w:r>
        <w:rPr>
          <w:rFonts w:hint="eastAsia" w:ascii="宋体" w:hAnsi="宋体"/>
          <w:b/>
        </w:rPr>
        <w:t>在投标文件目录中属于本节点内容的必须在本节点中填写，填写到其他节点或附件，</w:t>
      </w:r>
      <w:r>
        <w:rPr>
          <w:rFonts w:hint="eastAsia" w:ascii="宋体" w:hAnsi="宋体"/>
        </w:rPr>
        <w:t>一切后果由供应商自行承担。</w:t>
      </w:r>
    </w:p>
    <w:p w14:paraId="28E9FFBF">
      <w:pPr>
        <w:ind w:firstLine="411" w:firstLineChars="196"/>
        <w:rPr>
          <w:rFonts w:ascii="宋体" w:hAnsi="宋体"/>
        </w:rPr>
      </w:pPr>
      <w:r>
        <w:rPr>
          <w:rFonts w:hint="eastAsia" w:ascii="宋体" w:hAnsi="宋体"/>
        </w:rPr>
        <w:t>23.2.7投标文件编写完成后，</w:t>
      </w:r>
      <w:r>
        <w:rPr>
          <w:rFonts w:hint="eastAsia" w:ascii="宋体" w:hAnsi="宋体"/>
          <w:b/>
        </w:rPr>
        <w:t>可选择用属于投标人的电子密钥或电子营业执照进行加密。</w:t>
      </w:r>
    </w:p>
    <w:p w14:paraId="4742C65B">
      <w:pPr>
        <w:ind w:firstLine="411" w:firstLineChars="196"/>
        <w:rPr>
          <w:rFonts w:ascii="宋体" w:hAnsi="宋体"/>
        </w:rPr>
      </w:pPr>
      <w:r>
        <w:rPr>
          <w:rFonts w:hint="eastAsia" w:ascii="宋体" w:hAnsi="宋体"/>
        </w:rPr>
        <w:t>23.2.8政府集中采购机构不接受投标截止时间后递交的纸质、电子、传真等所有形式的投标文件。由于对网上自行采购系统操作不熟悉或自身电脑、网络等原因导致不能在投标截止时间之前上传投标文件，政府集中采购机构概不负责。建议于开标前一个工作日完成投标文件的制作与上传，如上传确有困难，请及时咨询。</w:t>
      </w:r>
    </w:p>
    <w:p w14:paraId="357319DC">
      <w:pPr>
        <w:ind w:firstLine="411" w:firstLineChars="196"/>
        <w:rPr>
          <w:rFonts w:ascii="宋体" w:hAnsi="宋体"/>
        </w:rPr>
      </w:pPr>
      <w:r>
        <w:rPr>
          <w:rFonts w:hint="eastAsia" w:ascii="宋体" w:hAnsi="宋体"/>
        </w:rPr>
        <w:t>23.2.9如果开标时出现网络故障、技术故障，影响了采购活动，政府集中采购机构有权采取措施如延期、接受无法从网上上传的投标书等，以保障采购活动的公开、公平和公正。</w:t>
      </w:r>
    </w:p>
    <w:p w14:paraId="74D171B6">
      <w:pPr>
        <w:ind w:firstLine="411" w:firstLineChars="196"/>
        <w:rPr>
          <w:rFonts w:ascii="宋体" w:hAnsi="宋体"/>
        </w:rPr>
      </w:pPr>
      <w:r>
        <w:rPr>
          <w:rFonts w:hint="eastAsia" w:ascii="宋体" w:hAnsi="宋体"/>
        </w:rPr>
        <w:t>23.3电报、电话、传真形式的投标概不接受。</w:t>
      </w:r>
    </w:p>
    <w:p w14:paraId="77D421FD">
      <w:pPr>
        <w:ind w:firstLine="413" w:firstLineChars="196"/>
        <w:rPr>
          <w:rFonts w:ascii="宋体" w:hAnsi="宋体"/>
          <w:b/>
        </w:rPr>
      </w:pPr>
      <w:r>
        <w:rPr>
          <w:rFonts w:hint="eastAsia" w:ascii="宋体" w:hAnsi="宋体"/>
          <w:b/>
        </w:rPr>
        <w:t>23.4经投标人电子密钥或电子营业执照加密的投标文件无须盖章或签字，</w:t>
      </w:r>
      <w:r>
        <w:rPr>
          <w:rFonts w:hint="eastAsia" w:ascii="宋体" w:hAnsi="宋体"/>
        </w:rPr>
        <w:t>专用条款另有要求的除外。</w:t>
      </w:r>
    </w:p>
    <w:p w14:paraId="2A295684">
      <w:pPr>
        <w:ind w:firstLine="413" w:firstLineChars="196"/>
        <w:rPr>
          <w:rFonts w:ascii="宋体" w:hAnsi="宋体"/>
        </w:rPr>
      </w:pPr>
      <w:r>
        <w:rPr>
          <w:rFonts w:hint="eastAsia" w:ascii="宋体" w:hAnsi="宋体"/>
          <w:b/>
        </w:rPr>
        <w:t>23.5</w:t>
      </w:r>
      <w:r>
        <w:rPr>
          <w:rFonts w:hint="eastAsia" w:ascii="宋体" w:hAnsi="宋体"/>
        </w:rPr>
        <w:t xml:space="preserve"> 各类资格（资质）文件提供扫描件，专用条款另有要求的除外。</w:t>
      </w:r>
      <w:bookmarkEnd w:id="101"/>
    </w:p>
    <w:p w14:paraId="3C922922">
      <w:pPr>
        <w:ind w:firstLine="411" w:firstLineChars="196"/>
        <w:rPr>
          <w:rFonts w:ascii="宋体" w:hAnsi="宋体"/>
          <w:szCs w:val="21"/>
        </w:rPr>
      </w:pPr>
    </w:p>
    <w:p w14:paraId="14EDE670">
      <w:pPr>
        <w:keepNext/>
        <w:keepLines/>
        <w:numPr>
          <w:ilvl w:val="0"/>
          <w:numId w:val="17"/>
        </w:numPr>
        <w:adjustRightInd w:val="0"/>
        <w:spacing w:before="120" w:beforeLines="50" w:after="120" w:afterLines="50"/>
        <w:ind w:left="562" w:hanging="562"/>
        <w:jc w:val="center"/>
        <w:textAlignment w:val="baseline"/>
        <w:outlineLvl w:val="1"/>
        <w:rPr>
          <w:rFonts w:ascii="宋体" w:hAnsi="宋体"/>
          <w:b/>
          <w:bCs/>
          <w:kern w:val="0"/>
          <w:sz w:val="28"/>
          <w:szCs w:val="28"/>
        </w:rPr>
      </w:pPr>
      <w:r>
        <w:rPr>
          <w:rFonts w:hint="eastAsia" w:ascii="宋体" w:hAnsi="宋体"/>
          <w:b/>
          <w:bCs/>
          <w:kern w:val="0"/>
          <w:sz w:val="28"/>
          <w:szCs w:val="28"/>
        </w:rPr>
        <w:t>投标文件的递交</w:t>
      </w:r>
    </w:p>
    <w:p w14:paraId="6449480F">
      <w:pPr>
        <w:rPr>
          <w:rFonts w:ascii="黑体" w:hAnsi="宋体" w:eastAsia="黑体"/>
          <w:sz w:val="24"/>
        </w:rPr>
      </w:pPr>
      <w:bookmarkStart w:id="102" w:name="_Hlk72405459"/>
      <w:r>
        <w:rPr>
          <w:rFonts w:hint="eastAsia" w:ascii="黑体" w:hAnsi="宋体" w:eastAsia="黑体"/>
          <w:sz w:val="24"/>
        </w:rPr>
        <w:t>24．投标文件的保密</w:t>
      </w:r>
    </w:p>
    <w:p w14:paraId="60633DF7">
      <w:pPr>
        <w:widowControl/>
        <w:ind w:firstLine="411" w:firstLineChars="196"/>
        <w:jc w:val="left"/>
        <w:rPr>
          <w:color w:val="FF0000"/>
        </w:rPr>
      </w:pPr>
      <w:r>
        <w:rPr>
          <w:rFonts w:hint="eastAsia" w:ascii="宋体" w:hAnsi="宋体"/>
        </w:rPr>
        <w:t>24.1</w:t>
      </w:r>
      <w:r>
        <w:rPr>
          <w:rFonts w:hint="eastAsia"/>
          <w:color w:val="FF0000"/>
        </w:rPr>
        <w:t>投标文件生成后会选择是否加密投标文件，如不加密则直接点击生成文件即可，如需加密请插入CA锁，点击加密后生成文件，需输入CA锁密码即可加密成功。</w:t>
      </w:r>
    </w:p>
    <w:p w14:paraId="04A6B22C">
      <w:pPr>
        <w:spacing w:line="360" w:lineRule="auto"/>
      </w:pPr>
      <w:r>
        <w:rPr>
          <w:rFonts w:hint="eastAsia"/>
        </w:rPr>
        <w:drawing>
          <wp:inline distT="0" distB="0" distL="114300" distR="114300">
            <wp:extent cx="5266690" cy="2126615"/>
            <wp:effectExtent l="0" t="0" r="10160" b="6985"/>
            <wp:docPr id="14" name="图片 14" descr="企业微信截图_16992617251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企业微信截图_16992617251837"/>
                    <pic:cNvPicPr>
                      <a:picLocks noChangeAspect="1"/>
                    </pic:cNvPicPr>
                  </pic:nvPicPr>
                  <pic:blipFill>
                    <a:blip r:embed="rId8"/>
                    <a:stretch>
                      <a:fillRect/>
                    </a:stretch>
                  </pic:blipFill>
                  <pic:spPr>
                    <a:xfrm>
                      <a:off x="0" y="0"/>
                      <a:ext cx="5266690" cy="2126615"/>
                    </a:xfrm>
                    <a:prstGeom prst="rect">
                      <a:avLst/>
                    </a:prstGeom>
                  </pic:spPr>
                </pic:pic>
              </a:graphicData>
            </a:graphic>
          </wp:inline>
        </w:drawing>
      </w:r>
    </w:p>
    <w:p w14:paraId="07512923">
      <w:pPr>
        <w:jc w:val="left"/>
      </w:pPr>
      <w:r>
        <w:rPr>
          <w:rFonts w:hint="eastAsia"/>
        </w:rPr>
        <w:t>加密后会提示文件生成成功！</w:t>
      </w:r>
    </w:p>
    <w:p w14:paraId="418B4AAD">
      <w:pPr>
        <w:jc w:val="left"/>
        <w:rPr>
          <w:sz w:val="24"/>
        </w:rPr>
      </w:pPr>
      <w:r>
        <w:rPr>
          <w:rFonts w:hint="eastAsia"/>
          <w:color w:val="FF0000"/>
        </w:rPr>
        <w:t>(注意：</w:t>
      </w:r>
      <w:r>
        <w:rPr>
          <w:rFonts w:hint="eastAsia"/>
        </w:rPr>
        <w:t>加密的投标文件</w:t>
      </w:r>
      <w:r>
        <w:rPr>
          <w:rFonts w:hint="eastAsia"/>
          <w:color w:val="FF0000"/>
        </w:rPr>
        <w:t>开标时须使用加密文件时使用的锁在项目规定时间内解密！)</w:t>
      </w:r>
    </w:p>
    <w:p w14:paraId="36E97A7A">
      <w:pPr>
        <w:rPr>
          <w:rFonts w:ascii="宋体" w:hAnsi="宋体"/>
        </w:rPr>
      </w:pPr>
      <w:r>
        <w:drawing>
          <wp:inline distT="0" distB="0" distL="114300" distR="114300">
            <wp:extent cx="5266690" cy="2185035"/>
            <wp:effectExtent l="0" t="0" r="10160" b="5715"/>
            <wp:docPr id="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
                    <pic:cNvPicPr>
                      <a:picLocks noChangeAspect="1"/>
                    </pic:cNvPicPr>
                  </pic:nvPicPr>
                  <pic:blipFill>
                    <a:blip r:embed="rId9"/>
                    <a:stretch>
                      <a:fillRect/>
                    </a:stretch>
                  </pic:blipFill>
                  <pic:spPr>
                    <a:xfrm>
                      <a:off x="0" y="0"/>
                      <a:ext cx="5266690" cy="2185035"/>
                    </a:xfrm>
                    <a:prstGeom prst="rect">
                      <a:avLst/>
                    </a:prstGeom>
                    <a:noFill/>
                    <a:ln>
                      <a:noFill/>
                    </a:ln>
                  </pic:spPr>
                </pic:pic>
              </a:graphicData>
            </a:graphic>
          </wp:inline>
        </w:drawing>
      </w:r>
    </w:p>
    <w:p w14:paraId="0CB0C50C">
      <w:pPr>
        <w:rPr>
          <w:rFonts w:ascii="黑体" w:hAnsi="宋体" w:eastAsia="黑体"/>
          <w:sz w:val="24"/>
        </w:rPr>
      </w:pPr>
      <w:r>
        <w:rPr>
          <w:rFonts w:hint="eastAsia" w:ascii="黑体" w:hAnsi="宋体" w:eastAsia="黑体"/>
          <w:sz w:val="24"/>
        </w:rPr>
        <w:t>24.2若采购项目出现延期情况</w:t>
      </w:r>
    </w:p>
    <w:p w14:paraId="629A1A7E">
      <w:pPr>
        <w:ind w:firstLine="422" w:firstLineChars="200"/>
        <w:rPr>
          <w:rFonts w:ascii="黑体" w:hAnsi="宋体" w:eastAsia="黑体"/>
          <w:b/>
          <w:sz w:val="24"/>
        </w:rPr>
      </w:pPr>
      <w:r>
        <w:rPr>
          <w:rFonts w:hint="eastAsia" w:ascii="宋体" w:hAnsi="宋体"/>
          <w:b/>
        </w:rPr>
        <w:t>如果供下载的招标文件有更新，投标人必须重新下载招标文件、重新制作投标文件、重新加密投标文件、重新上传投标文件；如果供下载的招标文件没有更新，投标人必须重新加密投标文件、重新上传投标文件（是否重新制作投标文件根据项目实际情况定）。否则，投标人自行承担投标文件无法解密导致投标无效的后果。</w:t>
      </w:r>
    </w:p>
    <w:p w14:paraId="404526C0">
      <w:pPr>
        <w:rPr>
          <w:rFonts w:ascii="黑体" w:hAnsi="宋体" w:eastAsia="黑体"/>
          <w:sz w:val="24"/>
        </w:rPr>
      </w:pPr>
      <w:r>
        <w:rPr>
          <w:rFonts w:hint="eastAsia" w:ascii="黑体" w:hAnsi="宋体" w:eastAsia="黑体"/>
          <w:sz w:val="24"/>
        </w:rPr>
        <w:t>25．上传投标文件及投标截止日期</w:t>
      </w:r>
    </w:p>
    <w:p w14:paraId="5EB5C9A6">
      <w:pPr>
        <w:wordWrap w:val="0"/>
        <w:ind w:firstLine="411" w:firstLineChars="196"/>
        <w:rPr>
          <w:rFonts w:ascii="宋体" w:hAnsi="宋体"/>
        </w:rPr>
      </w:pPr>
      <w:r>
        <w:rPr>
          <w:rFonts w:hint="eastAsia" w:ascii="宋体" w:hAnsi="宋体"/>
        </w:rPr>
        <w:t>25</w:t>
      </w:r>
      <w:r>
        <w:rPr>
          <w:rFonts w:ascii="宋体" w:hAnsi="宋体"/>
        </w:rPr>
        <w:t>.</w:t>
      </w:r>
      <w:r>
        <w:rPr>
          <w:rFonts w:hint="eastAsia" w:ascii="宋体" w:hAnsi="宋体"/>
        </w:rPr>
        <w:t>1实行网上投标，</w:t>
      </w:r>
      <w:r>
        <w:rPr>
          <w:rFonts w:hint="eastAsia"/>
        </w:rPr>
        <w:t>生成投标文件后供应商需要在投标文件递交截止时间之前递交投标文件，超过规定时间则无法递交</w:t>
      </w:r>
      <w:r>
        <w:rPr>
          <w:rFonts w:hint="eastAsia" w:ascii="宋体" w:hAnsi="宋体"/>
        </w:rPr>
        <w:t>。</w:t>
      </w:r>
    </w:p>
    <w:p w14:paraId="43060FA4">
      <w:pPr>
        <w:ind w:firstLine="411" w:firstLineChars="196"/>
        <w:rPr>
          <w:rFonts w:ascii="宋体" w:hAnsi="宋体"/>
        </w:rPr>
      </w:pPr>
      <w:r>
        <w:rPr>
          <w:rFonts w:hint="eastAsia" w:ascii="宋体" w:hAnsi="宋体"/>
        </w:rPr>
        <w:t>25.2政府集中采购机构可以按本通用条款第13条规定，通过修改招标文件自行决定酌情延长投标截止期。在此情况下，政府集中采购机构、采购人和投标人受投标截止期制约的所有权利和义务均应延长至新的截止期。</w:t>
      </w:r>
    </w:p>
    <w:p w14:paraId="14EE0B51">
      <w:pPr>
        <w:ind w:firstLine="411" w:firstLineChars="196"/>
        <w:rPr>
          <w:rFonts w:ascii="宋体" w:hAnsi="宋体"/>
        </w:rPr>
      </w:pPr>
      <w:r>
        <w:rPr>
          <w:rFonts w:hint="eastAsia" w:ascii="宋体" w:hAnsi="宋体"/>
        </w:rPr>
        <w:t>25</w:t>
      </w:r>
      <w:r>
        <w:rPr>
          <w:rFonts w:ascii="宋体" w:hAnsi="宋体"/>
        </w:rPr>
        <w:t>.</w:t>
      </w:r>
      <w:r>
        <w:rPr>
          <w:rFonts w:hint="eastAsia" w:ascii="宋体" w:hAnsi="宋体"/>
        </w:rPr>
        <w:t>3投标截止时间以后不得上传投标文件。</w:t>
      </w:r>
    </w:p>
    <w:p w14:paraId="1EB268F9">
      <w:pPr>
        <w:ind w:firstLine="411" w:firstLineChars="196"/>
        <w:rPr>
          <w:rFonts w:ascii="宋体" w:hAnsi="宋体"/>
        </w:rPr>
      </w:pPr>
    </w:p>
    <w:bookmarkEnd w:id="102"/>
    <w:p w14:paraId="5621FADE">
      <w:pPr>
        <w:rPr>
          <w:rFonts w:ascii="黑体" w:hAnsi="宋体" w:eastAsia="黑体"/>
          <w:sz w:val="24"/>
        </w:rPr>
      </w:pPr>
      <w:r>
        <w:rPr>
          <w:rFonts w:hint="eastAsia" w:ascii="黑体" w:hAnsi="宋体" w:eastAsia="黑体"/>
          <w:sz w:val="24"/>
        </w:rPr>
        <w:t>26. 样品、现场演示、方案讲解</w:t>
      </w:r>
    </w:p>
    <w:p w14:paraId="5CCD72B6">
      <w:pPr>
        <w:ind w:firstLine="411" w:firstLineChars="196"/>
        <w:rPr>
          <w:rFonts w:ascii="宋体" w:hAnsi="宋体"/>
          <w:szCs w:val="21"/>
        </w:rPr>
      </w:pPr>
      <w:r>
        <w:rPr>
          <w:rFonts w:hint="eastAsia" w:ascii="宋体" w:hAnsi="宋体"/>
          <w:szCs w:val="21"/>
        </w:rPr>
        <w:t>26.1 样品、现场演示、方案讲解等事项在招标文件专用条款中进行规定。</w:t>
      </w:r>
    </w:p>
    <w:p w14:paraId="018AAD5A">
      <w:pPr>
        <w:rPr>
          <w:rFonts w:ascii="黑体" w:hAnsi="宋体" w:eastAsia="黑体"/>
          <w:sz w:val="24"/>
        </w:rPr>
      </w:pPr>
      <w:bookmarkStart w:id="103" w:name="_Hlk72428346"/>
      <w:r>
        <w:rPr>
          <w:rFonts w:ascii="黑体" w:hAnsi="宋体" w:eastAsia="黑体"/>
          <w:sz w:val="24"/>
        </w:rPr>
        <w:t>2</w:t>
      </w:r>
      <w:r>
        <w:rPr>
          <w:rFonts w:hint="eastAsia" w:ascii="黑体" w:hAnsi="宋体" w:eastAsia="黑体"/>
          <w:sz w:val="24"/>
        </w:rPr>
        <w:t>7．</w:t>
      </w:r>
      <w:r>
        <w:rPr>
          <w:rFonts w:ascii="黑体" w:hAnsi="宋体" w:eastAsia="黑体"/>
          <w:sz w:val="24"/>
        </w:rPr>
        <w:t>投标文件的修改和撤销</w:t>
      </w:r>
    </w:p>
    <w:p w14:paraId="60967077">
      <w:pPr>
        <w:ind w:firstLine="411" w:firstLineChars="196"/>
        <w:rPr>
          <w:rFonts w:ascii="宋体" w:hAnsi="宋体"/>
        </w:rPr>
      </w:pPr>
      <w:r>
        <w:rPr>
          <w:rFonts w:ascii="宋体" w:hAnsi="宋体"/>
        </w:rPr>
        <w:t>2</w:t>
      </w:r>
      <w:r>
        <w:rPr>
          <w:rFonts w:hint="eastAsia" w:ascii="宋体" w:hAnsi="宋体"/>
        </w:rPr>
        <w:t>7</w:t>
      </w:r>
      <w:r>
        <w:rPr>
          <w:rFonts w:ascii="宋体" w:hAnsi="宋体"/>
        </w:rPr>
        <w:t>.</w:t>
      </w:r>
      <w:r>
        <w:rPr>
          <w:rFonts w:hint="eastAsia" w:ascii="宋体" w:hAnsi="宋体"/>
        </w:rPr>
        <w:t>1</w:t>
      </w:r>
      <w:r>
        <w:rPr>
          <w:rFonts w:ascii="宋体" w:hAnsi="宋体"/>
        </w:rPr>
        <w:t>投标方在提交投标文件后可对其投标文件进行修改</w:t>
      </w:r>
      <w:r>
        <w:rPr>
          <w:rFonts w:hint="eastAsia" w:ascii="宋体" w:hAnsi="宋体"/>
        </w:rPr>
        <w:t>并重新上传投标文件</w:t>
      </w:r>
      <w:r>
        <w:rPr>
          <w:rFonts w:ascii="宋体" w:hAnsi="宋体"/>
        </w:rPr>
        <w:t>或</w:t>
      </w:r>
      <w:r>
        <w:rPr>
          <w:rFonts w:hint="eastAsia" w:ascii="宋体" w:hAnsi="宋体"/>
        </w:rPr>
        <w:t>在网上进行</w:t>
      </w:r>
      <w:r>
        <w:rPr>
          <w:rFonts w:ascii="宋体" w:hAnsi="宋体"/>
        </w:rPr>
        <w:t>撤销</w:t>
      </w:r>
      <w:r>
        <w:rPr>
          <w:rFonts w:hint="eastAsia" w:ascii="宋体" w:hAnsi="宋体"/>
        </w:rPr>
        <w:t>投标的操作</w:t>
      </w:r>
      <w:r>
        <w:rPr>
          <w:rFonts w:ascii="宋体" w:hAnsi="宋体"/>
        </w:rPr>
        <w:t>。</w:t>
      </w:r>
    </w:p>
    <w:p w14:paraId="6642CFD6">
      <w:pPr>
        <w:ind w:firstLine="411" w:firstLineChars="196"/>
        <w:rPr>
          <w:rFonts w:ascii="宋体" w:hAnsi="宋体"/>
        </w:rPr>
      </w:pPr>
      <w:r>
        <w:rPr>
          <w:rFonts w:ascii="宋体" w:hAnsi="宋体"/>
        </w:rPr>
        <w:t>2</w:t>
      </w:r>
      <w:r>
        <w:rPr>
          <w:rFonts w:hint="eastAsia" w:ascii="宋体" w:hAnsi="宋体"/>
        </w:rPr>
        <w:t>7</w:t>
      </w:r>
      <w:r>
        <w:rPr>
          <w:rFonts w:ascii="宋体" w:hAnsi="宋体"/>
        </w:rPr>
        <w:t>.</w:t>
      </w:r>
      <w:r>
        <w:rPr>
          <w:rFonts w:hint="eastAsia" w:ascii="宋体" w:hAnsi="宋体"/>
        </w:rPr>
        <w:t>2</w:t>
      </w:r>
      <w:r>
        <w:rPr>
          <w:rFonts w:ascii="宋体" w:hAnsi="宋体"/>
        </w:rPr>
        <w:t>投标截止时间以后不得修改投标文件。</w:t>
      </w:r>
    </w:p>
    <w:p w14:paraId="56115DD0">
      <w:pPr>
        <w:ind w:firstLine="411" w:firstLineChars="196"/>
        <w:rPr>
          <w:rFonts w:ascii="宋体" w:hAnsi="宋体"/>
        </w:rPr>
      </w:pPr>
      <w:r>
        <w:rPr>
          <w:rFonts w:ascii="宋体" w:hAnsi="宋体"/>
        </w:rPr>
        <w:t>2</w:t>
      </w:r>
      <w:r>
        <w:rPr>
          <w:rFonts w:hint="eastAsia" w:ascii="宋体" w:hAnsi="宋体"/>
        </w:rPr>
        <w:t>7</w:t>
      </w:r>
      <w:r>
        <w:rPr>
          <w:rFonts w:ascii="宋体" w:hAnsi="宋体"/>
        </w:rPr>
        <w:t>.</w:t>
      </w:r>
      <w:r>
        <w:rPr>
          <w:rFonts w:hint="eastAsia" w:ascii="宋体" w:hAnsi="宋体"/>
        </w:rPr>
        <w:t>3从投标截止期至投标人在投标文件中确定的投标有效期之间的这段时间内，投标人不得撤回其投标。</w:t>
      </w:r>
    </w:p>
    <w:p w14:paraId="09A726F3">
      <w:pPr>
        <w:ind w:firstLine="411" w:firstLineChars="196"/>
        <w:rPr>
          <w:rFonts w:ascii="宋体" w:hAnsi="宋体"/>
          <w:szCs w:val="21"/>
        </w:rPr>
      </w:pPr>
      <w:r>
        <w:rPr>
          <w:rFonts w:hint="eastAsia" w:ascii="宋体" w:hAnsi="宋体"/>
          <w:szCs w:val="21"/>
        </w:rPr>
        <w:t>27.4政府集中采购机构不退还投标文件，专用条款另有规定的除外。</w:t>
      </w:r>
    </w:p>
    <w:bookmarkEnd w:id="103"/>
    <w:p w14:paraId="65CE0A02">
      <w:pPr>
        <w:keepNext/>
        <w:keepLines/>
        <w:numPr>
          <w:ilvl w:val="0"/>
          <w:numId w:val="17"/>
        </w:numPr>
        <w:adjustRightInd w:val="0"/>
        <w:spacing w:before="120" w:beforeLines="50" w:after="120" w:afterLines="50"/>
        <w:ind w:left="562" w:hanging="562"/>
        <w:jc w:val="center"/>
        <w:textAlignment w:val="baseline"/>
        <w:outlineLvl w:val="1"/>
        <w:rPr>
          <w:rFonts w:ascii="宋体" w:hAnsi="宋体"/>
          <w:b/>
          <w:bCs/>
          <w:kern w:val="0"/>
          <w:sz w:val="28"/>
          <w:szCs w:val="28"/>
        </w:rPr>
      </w:pPr>
      <w:r>
        <w:rPr>
          <w:rFonts w:hint="eastAsia" w:ascii="宋体" w:hAnsi="宋体"/>
          <w:b/>
          <w:bCs/>
          <w:kern w:val="0"/>
          <w:sz w:val="28"/>
          <w:szCs w:val="28"/>
        </w:rPr>
        <w:t>开标</w:t>
      </w:r>
    </w:p>
    <w:p w14:paraId="59CD8917">
      <w:pPr>
        <w:rPr>
          <w:rFonts w:ascii="黑体" w:hAnsi="宋体" w:eastAsia="黑体"/>
          <w:sz w:val="24"/>
        </w:rPr>
      </w:pPr>
      <w:r>
        <w:rPr>
          <w:rFonts w:hint="eastAsia" w:ascii="黑体" w:hAnsi="宋体" w:eastAsia="黑体"/>
          <w:sz w:val="24"/>
        </w:rPr>
        <w:t>28．开标</w:t>
      </w:r>
    </w:p>
    <w:p w14:paraId="2ED9344A">
      <w:pPr>
        <w:ind w:firstLine="359" w:firstLineChars="171"/>
        <w:rPr>
          <w:rFonts w:ascii="宋体" w:hAnsi="宋体"/>
          <w:szCs w:val="21"/>
        </w:rPr>
      </w:pPr>
      <w:r>
        <w:rPr>
          <w:rFonts w:ascii="宋体" w:hAnsi="宋体"/>
          <w:szCs w:val="21"/>
        </w:rPr>
        <w:t>2</w:t>
      </w:r>
      <w:r>
        <w:rPr>
          <w:rFonts w:hint="eastAsia" w:ascii="宋体" w:hAnsi="宋体"/>
          <w:szCs w:val="21"/>
        </w:rPr>
        <w:t>8</w:t>
      </w:r>
      <w:r>
        <w:rPr>
          <w:rFonts w:ascii="宋体" w:hAnsi="宋体"/>
          <w:szCs w:val="21"/>
        </w:rPr>
        <w:t>.</w:t>
      </w:r>
      <w:r>
        <w:rPr>
          <w:rFonts w:hint="eastAsia" w:ascii="宋体" w:hAnsi="宋体"/>
          <w:szCs w:val="21"/>
        </w:rPr>
        <w:t>1</w:t>
      </w:r>
      <w:r>
        <w:rPr>
          <w:rFonts w:hint="eastAsia"/>
        </w:rPr>
        <w:t>如投标文件为加密，则需插入CA锁点击解密，</w:t>
      </w:r>
      <w:r>
        <w:rPr>
          <w:rFonts w:hint="eastAsia" w:ascii="宋体" w:hAnsi="宋体"/>
          <w:szCs w:val="21"/>
        </w:rPr>
        <w:t>逾期未解密的作无效处理，</w:t>
      </w:r>
      <w:r>
        <w:rPr>
          <w:rFonts w:hint="eastAsia"/>
        </w:rPr>
        <w:t>否则无需解密。</w:t>
      </w:r>
    </w:p>
    <w:p w14:paraId="0AC6D4AD">
      <w:pPr>
        <w:rPr>
          <w:rFonts w:ascii="宋体" w:hAnsi="宋体"/>
          <w:szCs w:val="21"/>
        </w:rPr>
      </w:pPr>
      <w:r>
        <w:drawing>
          <wp:inline distT="0" distB="0" distL="114300" distR="114300">
            <wp:extent cx="5269230" cy="2591435"/>
            <wp:effectExtent l="0" t="0" r="7620" b="18415"/>
            <wp:docPr id="2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3"/>
                    <pic:cNvPicPr>
                      <a:picLocks noChangeAspect="1"/>
                    </pic:cNvPicPr>
                  </pic:nvPicPr>
                  <pic:blipFill>
                    <a:blip r:embed="rId10"/>
                    <a:stretch>
                      <a:fillRect/>
                    </a:stretch>
                  </pic:blipFill>
                  <pic:spPr>
                    <a:xfrm>
                      <a:off x="0" y="0"/>
                      <a:ext cx="5269230" cy="2591435"/>
                    </a:xfrm>
                    <a:prstGeom prst="rect">
                      <a:avLst/>
                    </a:prstGeom>
                    <a:noFill/>
                    <a:ln>
                      <a:noFill/>
                    </a:ln>
                  </pic:spPr>
                </pic:pic>
              </a:graphicData>
            </a:graphic>
          </wp:inline>
        </w:drawing>
      </w:r>
    </w:p>
    <w:p w14:paraId="3365DB96">
      <w:pPr>
        <w:ind w:firstLine="315" w:firstLineChars="150"/>
        <w:rPr>
          <w:rFonts w:ascii="宋体" w:hAnsi="宋体"/>
          <w:szCs w:val="21"/>
        </w:rPr>
      </w:pPr>
      <w:r>
        <w:rPr>
          <w:rFonts w:hint="eastAsia" w:ascii="宋体" w:hAnsi="宋体"/>
          <w:szCs w:val="21"/>
        </w:rPr>
        <w:t>28.2政府集中采购机构将在满足开标条件后，对投标文件进行开标。</w:t>
      </w:r>
    </w:p>
    <w:p w14:paraId="5AB692AC">
      <w:pPr>
        <w:ind w:firstLine="315" w:firstLineChars="150"/>
        <w:rPr>
          <w:rFonts w:ascii="宋体" w:hAnsi="宋体"/>
          <w:szCs w:val="21"/>
        </w:rPr>
      </w:pPr>
    </w:p>
    <w:p w14:paraId="0749DD65">
      <w:pPr>
        <w:keepNext/>
        <w:keepLines/>
        <w:numPr>
          <w:ilvl w:val="0"/>
          <w:numId w:val="17"/>
        </w:numPr>
        <w:adjustRightInd w:val="0"/>
        <w:spacing w:before="120" w:beforeLines="50" w:after="120" w:afterLines="50"/>
        <w:ind w:left="562" w:hanging="562"/>
        <w:jc w:val="center"/>
        <w:textAlignment w:val="baseline"/>
        <w:outlineLvl w:val="1"/>
        <w:rPr>
          <w:rFonts w:ascii="宋体" w:hAnsi="宋体"/>
          <w:b/>
          <w:bCs/>
          <w:kern w:val="0"/>
          <w:sz w:val="28"/>
          <w:szCs w:val="28"/>
        </w:rPr>
      </w:pPr>
      <w:r>
        <w:rPr>
          <w:rFonts w:hint="eastAsia" w:ascii="宋体" w:hAnsi="宋体"/>
          <w:b/>
          <w:bCs/>
          <w:kern w:val="0"/>
          <w:sz w:val="28"/>
          <w:szCs w:val="28"/>
        </w:rPr>
        <w:t>评审要求</w:t>
      </w:r>
    </w:p>
    <w:p w14:paraId="3E465901">
      <w:pPr>
        <w:rPr>
          <w:rFonts w:ascii="黑体" w:hAnsi="宋体" w:eastAsia="黑体"/>
          <w:sz w:val="24"/>
        </w:rPr>
      </w:pPr>
      <w:r>
        <w:rPr>
          <w:rFonts w:hint="eastAsia" w:ascii="黑体" w:hAnsi="宋体" w:eastAsia="黑体"/>
          <w:sz w:val="24"/>
        </w:rPr>
        <w:t>29．评审委员会组成</w:t>
      </w:r>
    </w:p>
    <w:p w14:paraId="0CE8CFC4">
      <w:pPr>
        <w:ind w:firstLine="411" w:firstLineChars="196"/>
        <w:rPr>
          <w:rFonts w:ascii="宋体" w:hAnsi="宋体"/>
        </w:rPr>
      </w:pPr>
      <w:r>
        <w:rPr>
          <w:rFonts w:hint="eastAsia" w:ascii="宋体" w:hAnsi="宋体"/>
        </w:rPr>
        <w:t>29.1网上开标结束后召开评审会议，</w:t>
      </w:r>
      <w:r>
        <w:rPr>
          <w:rFonts w:hint="eastAsia" w:ascii="宋体" w:hAnsi="宋体"/>
          <w:szCs w:val="21"/>
        </w:rPr>
        <w:t>评审委员会</w:t>
      </w:r>
      <w:r>
        <w:rPr>
          <w:rFonts w:hint="eastAsia" w:ascii="宋体" w:hAnsi="宋体"/>
        </w:rPr>
        <w:t>由政府集中采购机构依法组建，负责评审活动。</w:t>
      </w:r>
    </w:p>
    <w:p w14:paraId="645F52E2">
      <w:pPr>
        <w:ind w:firstLine="411" w:firstLineChars="196"/>
        <w:rPr>
          <w:rFonts w:ascii="宋体" w:hAnsi="宋体"/>
        </w:rPr>
      </w:pPr>
      <w:bookmarkStart w:id="104" w:name="_Hlk72436580"/>
      <w:r>
        <w:rPr>
          <w:rFonts w:hint="eastAsia" w:ascii="宋体" w:hAnsi="宋体"/>
        </w:rPr>
        <w:t>评审委员会由采购人代表和评审专家组成。</w:t>
      </w:r>
      <w:bookmarkEnd w:id="104"/>
      <w:r>
        <w:rPr>
          <w:rFonts w:hint="eastAsia" w:ascii="宋体" w:hAnsi="宋体"/>
        </w:rPr>
        <w:t>评定</w:t>
      </w:r>
      <w:r>
        <w:rPr>
          <w:rFonts w:hint="eastAsia"/>
        </w:rPr>
        <w:t>分离项目</w:t>
      </w:r>
      <w:r>
        <w:t>评审专家</w:t>
      </w:r>
      <w:r>
        <w:rPr>
          <w:rFonts w:hint="eastAsia"/>
        </w:rPr>
        <w:t>均</w:t>
      </w:r>
      <w:r>
        <w:t>由</w:t>
      </w:r>
      <w:r>
        <w:rPr>
          <w:rFonts w:hint="eastAsia"/>
        </w:rPr>
        <w:t>评审专家组成。</w:t>
      </w:r>
      <w:r>
        <w:rPr>
          <w:rFonts w:hint="eastAsia" w:ascii="宋体" w:hAnsi="宋体"/>
          <w:szCs w:val="21"/>
        </w:rPr>
        <w:t>评审专家一般是</w:t>
      </w:r>
      <w:r>
        <w:rPr>
          <w:rFonts w:hint="eastAsia" w:ascii="宋体" w:hAnsi="宋体"/>
        </w:rPr>
        <w:t>从深圳市政府采购评审专家库中随机抽取。采购人代表须持本单位签发的《评审授权书》参加评审。</w:t>
      </w:r>
    </w:p>
    <w:p w14:paraId="09715D6C">
      <w:pPr>
        <w:ind w:firstLine="411" w:firstLineChars="196"/>
        <w:rPr>
          <w:rFonts w:ascii="宋体" w:hAnsi="宋体"/>
        </w:rPr>
      </w:pPr>
      <w:r>
        <w:rPr>
          <w:rFonts w:hint="eastAsia" w:ascii="宋体" w:hAnsi="宋体"/>
        </w:rPr>
        <w:t>29.2评审定标应当遵循公平、公正、科学、择优的原则。</w:t>
      </w:r>
    </w:p>
    <w:p w14:paraId="7464FD46">
      <w:pPr>
        <w:ind w:firstLine="411" w:firstLineChars="196"/>
        <w:rPr>
          <w:rFonts w:ascii="宋体" w:hAnsi="宋体"/>
        </w:rPr>
      </w:pPr>
      <w:r>
        <w:rPr>
          <w:rFonts w:hint="eastAsia" w:ascii="宋体" w:hAnsi="宋体"/>
        </w:rPr>
        <w:t>29.3评审活动依法进行，任何单位和个人不得非法干预评标过程和结果。</w:t>
      </w:r>
    </w:p>
    <w:p w14:paraId="544E28CC">
      <w:pPr>
        <w:ind w:firstLine="411" w:firstLineChars="196"/>
        <w:rPr>
          <w:rFonts w:ascii="宋体" w:hAnsi="宋体"/>
        </w:rPr>
      </w:pPr>
      <w:r>
        <w:rPr>
          <w:rFonts w:hint="eastAsia" w:ascii="宋体" w:hAnsi="宋体"/>
        </w:rPr>
        <w:t>29.4评审过程中不允许违背评标程序或采用招标文件未载明的评标方法或评标因素进行评标。</w:t>
      </w:r>
    </w:p>
    <w:p w14:paraId="5D8C5826">
      <w:pPr>
        <w:ind w:firstLine="411" w:firstLineChars="196"/>
        <w:rPr>
          <w:rFonts w:ascii="宋体" w:hAnsi="宋体"/>
          <w:bCs/>
        </w:rPr>
      </w:pPr>
      <w:r>
        <w:rPr>
          <w:rFonts w:hint="eastAsia" w:ascii="宋体" w:hAnsi="宋体"/>
          <w:bCs/>
        </w:rPr>
        <w:t>29.5 开标后，直到签订合同为止，凡属于对投标文件的审查、澄清、评价和比较的有关资料以及中标候选人的推荐情况、与评审有关的其他任何情况均严格保密（</w:t>
      </w:r>
      <w:r>
        <w:rPr>
          <w:rFonts w:hint="eastAsia"/>
        </w:rPr>
        <w:t>信息公开的内容除外</w:t>
      </w:r>
      <w:r>
        <w:rPr>
          <w:rFonts w:hint="eastAsia" w:ascii="宋体" w:hAnsi="宋体"/>
          <w:bCs/>
        </w:rPr>
        <w:t>）。</w:t>
      </w:r>
    </w:p>
    <w:p w14:paraId="59050105">
      <w:pPr>
        <w:rPr>
          <w:rFonts w:ascii="黑体" w:hAnsi="宋体" w:eastAsia="黑体"/>
          <w:sz w:val="24"/>
        </w:rPr>
      </w:pPr>
      <w:r>
        <w:rPr>
          <w:rFonts w:hint="eastAsia" w:ascii="黑体" w:hAnsi="宋体" w:eastAsia="黑体"/>
          <w:sz w:val="24"/>
        </w:rPr>
        <w:t>30．向评审委员会提供的资料</w:t>
      </w:r>
    </w:p>
    <w:p w14:paraId="5E893277">
      <w:pPr>
        <w:ind w:firstLine="411" w:firstLineChars="196"/>
        <w:rPr>
          <w:rFonts w:ascii="宋体" w:hAnsi="宋体"/>
        </w:rPr>
      </w:pPr>
      <w:r>
        <w:rPr>
          <w:rFonts w:hint="eastAsia" w:ascii="宋体" w:hAnsi="宋体"/>
        </w:rPr>
        <w:t>30.1公开发布的招标文件，包括图纸、服务清单、答疑文件等；</w:t>
      </w:r>
    </w:p>
    <w:p w14:paraId="0EC79059">
      <w:pPr>
        <w:ind w:firstLine="411" w:firstLineChars="196"/>
        <w:rPr>
          <w:rFonts w:ascii="宋体" w:hAnsi="宋体"/>
        </w:rPr>
      </w:pPr>
      <w:r>
        <w:rPr>
          <w:rFonts w:hint="eastAsia" w:ascii="宋体" w:hAnsi="宋体"/>
        </w:rPr>
        <w:t>30.2其他评标必须的资料。</w:t>
      </w:r>
    </w:p>
    <w:p w14:paraId="3DFBC7CD">
      <w:pPr>
        <w:ind w:firstLine="411" w:firstLineChars="196"/>
        <w:rPr>
          <w:rFonts w:ascii="宋体" w:hAnsi="宋体"/>
        </w:rPr>
      </w:pPr>
      <w:r>
        <w:rPr>
          <w:rFonts w:hint="eastAsia" w:ascii="宋体" w:hAnsi="宋体"/>
        </w:rPr>
        <w:t>30.3</w:t>
      </w:r>
      <w:r>
        <w:rPr>
          <w:rFonts w:hint="eastAsia" w:ascii="宋体" w:hAnsi="宋体"/>
          <w:szCs w:val="21"/>
        </w:rPr>
        <w:t>评审委员会</w:t>
      </w:r>
      <w:r>
        <w:rPr>
          <w:rFonts w:hint="eastAsia" w:ascii="宋体" w:hAnsi="宋体"/>
        </w:rPr>
        <w:t>应当认真研究招标文件，至少应了解熟悉以下内容：</w:t>
      </w:r>
    </w:p>
    <w:p w14:paraId="618FE6AA">
      <w:pPr>
        <w:ind w:firstLine="411" w:firstLineChars="196"/>
        <w:rPr>
          <w:rFonts w:ascii="宋体" w:hAnsi="宋体"/>
        </w:rPr>
      </w:pPr>
      <w:r>
        <w:rPr>
          <w:rFonts w:hint="eastAsia" w:ascii="宋体" w:hAnsi="宋体"/>
        </w:rPr>
        <w:t>（1）招标的目的；</w:t>
      </w:r>
    </w:p>
    <w:p w14:paraId="705066DE">
      <w:pPr>
        <w:ind w:firstLine="411" w:firstLineChars="196"/>
        <w:rPr>
          <w:rFonts w:ascii="宋体" w:hAnsi="宋体"/>
        </w:rPr>
      </w:pPr>
      <w:r>
        <w:rPr>
          <w:rFonts w:hint="eastAsia" w:ascii="宋体" w:hAnsi="宋体"/>
        </w:rPr>
        <w:t>（2）招标项目需求的范围和性质；</w:t>
      </w:r>
    </w:p>
    <w:p w14:paraId="7FAAAD1E">
      <w:pPr>
        <w:ind w:firstLine="411" w:firstLineChars="196"/>
        <w:rPr>
          <w:rFonts w:ascii="宋体" w:hAnsi="宋体"/>
        </w:rPr>
      </w:pPr>
      <w:r>
        <w:rPr>
          <w:rFonts w:hint="eastAsia" w:ascii="宋体" w:hAnsi="宋体"/>
        </w:rPr>
        <w:t>（3）招标文件规定的投标人的资格、财政预算限额、商务条款；</w:t>
      </w:r>
    </w:p>
    <w:p w14:paraId="3A6F2AD7">
      <w:pPr>
        <w:ind w:firstLine="411" w:firstLineChars="196"/>
        <w:rPr>
          <w:rFonts w:ascii="宋体" w:hAnsi="宋体"/>
        </w:rPr>
      </w:pPr>
      <w:r>
        <w:rPr>
          <w:rFonts w:hint="eastAsia" w:ascii="宋体" w:hAnsi="宋体"/>
        </w:rPr>
        <w:t>（4）招标文件规定的评标程序、评标方法和评标因素；</w:t>
      </w:r>
    </w:p>
    <w:p w14:paraId="0C0A6C1A">
      <w:pPr>
        <w:ind w:firstLine="411" w:firstLineChars="196"/>
        <w:rPr>
          <w:rFonts w:ascii="宋体" w:hAnsi="宋体"/>
        </w:rPr>
      </w:pPr>
      <w:r>
        <w:rPr>
          <w:rFonts w:hint="eastAsia" w:ascii="宋体" w:hAnsi="宋体"/>
        </w:rPr>
        <w:t>（5）招标文件所列示的资格性审查表及符合性审查表。</w:t>
      </w:r>
    </w:p>
    <w:p w14:paraId="614036A6">
      <w:pPr>
        <w:rPr>
          <w:rFonts w:ascii="黑体" w:hAnsi="宋体" w:eastAsia="黑体"/>
          <w:sz w:val="24"/>
        </w:rPr>
      </w:pPr>
      <w:r>
        <w:rPr>
          <w:rFonts w:hint="eastAsia" w:ascii="黑体" w:hAnsi="宋体" w:eastAsia="黑体"/>
          <w:sz w:val="24"/>
        </w:rPr>
        <w:t>31．独立评审</w:t>
      </w:r>
    </w:p>
    <w:p w14:paraId="31B5A6A0">
      <w:pPr>
        <w:ind w:firstLine="411" w:firstLineChars="196"/>
        <w:rPr>
          <w:rFonts w:ascii="宋体" w:hAnsi="宋体"/>
          <w:bCs/>
        </w:rPr>
      </w:pPr>
      <w:r>
        <w:rPr>
          <w:rFonts w:hint="eastAsia" w:ascii="宋体" w:hAnsi="宋体"/>
          <w:bCs/>
        </w:rPr>
        <w:t>3</w:t>
      </w:r>
      <w:r>
        <w:rPr>
          <w:rFonts w:ascii="宋体" w:hAnsi="宋体"/>
          <w:bCs/>
        </w:rPr>
        <w:t>1</w:t>
      </w:r>
      <w:r>
        <w:rPr>
          <w:rFonts w:hint="eastAsia" w:ascii="宋体" w:hAnsi="宋体"/>
          <w:bCs/>
        </w:rPr>
        <w:t>.1</w:t>
      </w:r>
      <w:r>
        <w:rPr>
          <w:rFonts w:hint="eastAsia" w:ascii="宋体" w:hAnsi="宋体"/>
          <w:szCs w:val="21"/>
        </w:rPr>
        <w:t>评审委员会</w:t>
      </w:r>
      <w:r>
        <w:rPr>
          <w:rFonts w:hint="eastAsia" w:ascii="宋体" w:hAnsi="宋体"/>
          <w:bCs/>
        </w:rPr>
        <w:t>成员的评标活动应当独立进行，并应遵循投标文件初审、澄清有关问题、比较与评价、确定中标供应商、编写评审报告的工作程序。</w:t>
      </w:r>
    </w:p>
    <w:p w14:paraId="6127759C">
      <w:pPr>
        <w:ind w:firstLine="411" w:firstLineChars="196"/>
        <w:rPr>
          <w:rFonts w:ascii="宋体" w:hAnsi="宋体"/>
          <w:bCs/>
          <w:szCs w:val="21"/>
        </w:rPr>
      </w:pPr>
    </w:p>
    <w:p w14:paraId="0C9DAC4C">
      <w:pPr>
        <w:keepNext/>
        <w:keepLines/>
        <w:numPr>
          <w:ilvl w:val="0"/>
          <w:numId w:val="17"/>
        </w:numPr>
        <w:adjustRightInd w:val="0"/>
        <w:spacing w:before="120" w:beforeLines="50" w:after="120" w:afterLines="50"/>
        <w:ind w:left="562" w:hanging="562"/>
        <w:jc w:val="center"/>
        <w:textAlignment w:val="baseline"/>
        <w:outlineLvl w:val="1"/>
        <w:rPr>
          <w:rFonts w:ascii="宋体" w:hAnsi="宋体"/>
          <w:b/>
          <w:bCs/>
          <w:kern w:val="0"/>
          <w:sz w:val="28"/>
          <w:szCs w:val="28"/>
        </w:rPr>
      </w:pPr>
      <w:r>
        <w:rPr>
          <w:rFonts w:hint="eastAsia" w:ascii="宋体" w:hAnsi="宋体"/>
          <w:b/>
          <w:bCs/>
          <w:kern w:val="0"/>
          <w:sz w:val="28"/>
          <w:szCs w:val="28"/>
        </w:rPr>
        <w:t>评审程序及评审方法</w:t>
      </w:r>
    </w:p>
    <w:p w14:paraId="2811FF74">
      <w:pPr>
        <w:rPr>
          <w:rFonts w:ascii="黑体" w:hAnsi="宋体" w:eastAsia="黑体"/>
          <w:sz w:val="24"/>
        </w:rPr>
      </w:pPr>
      <w:r>
        <w:rPr>
          <w:rFonts w:hint="eastAsia" w:ascii="黑体" w:hAnsi="宋体" w:eastAsia="黑体"/>
          <w:sz w:val="24"/>
        </w:rPr>
        <w:t>32．投标文件初审</w:t>
      </w:r>
    </w:p>
    <w:p w14:paraId="52112CDE">
      <w:pPr>
        <w:ind w:firstLine="411" w:firstLineChars="196"/>
        <w:rPr>
          <w:rFonts w:ascii="宋体" w:hAnsi="宋体"/>
        </w:rPr>
      </w:pPr>
      <w:r>
        <w:rPr>
          <w:rFonts w:hint="eastAsia" w:ascii="宋体" w:hAnsi="宋体"/>
        </w:rPr>
        <w:t>32.1投标文件初审包括资格性审查和符合性审查。</w:t>
      </w:r>
    </w:p>
    <w:p w14:paraId="17E4186B">
      <w:pPr>
        <w:ind w:firstLine="411" w:firstLineChars="196"/>
        <w:rPr>
          <w:rFonts w:ascii="宋体" w:hAnsi="宋体"/>
        </w:rPr>
      </w:pPr>
      <w:r>
        <w:rPr>
          <w:rFonts w:hint="eastAsia" w:ascii="宋体" w:hAnsi="宋体"/>
        </w:rPr>
        <w:t>资格性审查：依据法律法规和招标文件的规定，对投标文件中的资格证明等进行审查，以确定投标供应商是否具备投标资格。</w:t>
      </w:r>
    </w:p>
    <w:p w14:paraId="2D30A9EA">
      <w:pPr>
        <w:ind w:firstLine="411" w:firstLineChars="196"/>
        <w:rPr>
          <w:rFonts w:ascii="宋体" w:hAnsi="宋体"/>
        </w:rPr>
      </w:pPr>
      <w:r>
        <w:rPr>
          <w:rFonts w:hint="eastAsia" w:ascii="宋体" w:hAnsi="宋体"/>
        </w:rPr>
        <w:t>符合性审查：依据招标文件的规定，对投标文件的有效性、完整性和对招标文件的响应程度进行审查，以确定是否满足符合性审查的要求。</w:t>
      </w:r>
    </w:p>
    <w:p w14:paraId="343B36A5">
      <w:pPr>
        <w:ind w:firstLine="411" w:firstLineChars="196"/>
        <w:rPr>
          <w:rFonts w:ascii="宋体" w:hAnsi="宋体"/>
        </w:rPr>
      </w:pPr>
      <w:r>
        <w:rPr>
          <w:rFonts w:hint="eastAsia" w:ascii="宋体" w:hAnsi="宋体"/>
        </w:rPr>
        <w:t>32.2 投标文件初审内容请详见《资格性审查表》和《符合性审查表》部分。投标人若有一条审查不通过则按投标无效处理。</w:t>
      </w:r>
    </w:p>
    <w:p w14:paraId="52B29EC9">
      <w:pPr>
        <w:ind w:firstLine="411" w:firstLineChars="196"/>
        <w:rPr>
          <w:rFonts w:ascii="宋体" w:hAnsi="宋体"/>
          <w:bCs/>
        </w:rPr>
      </w:pPr>
      <w:r>
        <w:rPr>
          <w:rFonts w:hint="eastAsia" w:ascii="宋体" w:hAnsi="宋体"/>
          <w:bCs/>
        </w:rPr>
        <w:t>32.3 投标文件初审中关于供应商家数的计算:</w:t>
      </w:r>
    </w:p>
    <w:p w14:paraId="1F209DA1">
      <w:pPr>
        <w:ind w:firstLine="411" w:firstLineChars="196"/>
        <w:rPr>
          <w:rFonts w:ascii="宋体" w:hAnsi="宋体"/>
          <w:bCs/>
        </w:rPr>
      </w:pPr>
      <w:r>
        <w:rPr>
          <w:rFonts w:hint="eastAsia" w:ascii="宋体" w:hAnsi="宋体"/>
          <w:bCs/>
        </w:rPr>
        <w:t>32.3.1采用最低价法的采购项目，提供相同品牌产品的不同投标人参加同一合同项下投标的，以其中通过资格审查、符合性审查且报价最低的参加评标；报价相同的，由采购人或者采购人委托评审委员会按照招标文件规定的方式确定一个参加评审的投标人，招标文件未规定的采取随机抽取方式确定，其他投标无效。</w:t>
      </w:r>
    </w:p>
    <w:p w14:paraId="2DDA7EA0">
      <w:pPr>
        <w:ind w:firstLine="411" w:firstLineChars="196"/>
        <w:rPr>
          <w:rFonts w:ascii="宋体" w:hAnsi="宋体"/>
          <w:bCs/>
        </w:rPr>
      </w:pPr>
      <w:r>
        <w:rPr>
          <w:rFonts w:hint="eastAsia" w:ascii="宋体" w:hAnsi="宋体"/>
          <w:bCs/>
        </w:rPr>
        <w:t>32.3.2采用综合评分法的采购项目，提供相同品牌产品且通过资格审查、符合性审查的不同投标人参加同一合同项下投标的，按一家投标人计算，评审后得分最高的同品牌投标人获得中标人推荐资格；评审得分相同的，由采购人或者采购人委托</w:t>
      </w:r>
      <w:r>
        <w:rPr>
          <w:rFonts w:hint="eastAsia" w:ascii="宋体" w:hAnsi="宋体"/>
          <w:bCs/>
          <w:szCs w:val="21"/>
        </w:rPr>
        <w:t>评审委员会</w:t>
      </w:r>
      <w:r>
        <w:rPr>
          <w:rFonts w:hint="eastAsia" w:ascii="宋体" w:hAnsi="宋体"/>
          <w:bCs/>
        </w:rPr>
        <w:t>按照招标文件规定的方式确定一个投标人获得中标人推荐资格，招标文件未规定的采取随机抽取方式确定，其他同品牌投标人不作为中标候选人。</w:t>
      </w:r>
    </w:p>
    <w:p w14:paraId="77FF5B1C">
      <w:pPr>
        <w:ind w:firstLine="411" w:firstLineChars="196"/>
        <w:rPr>
          <w:rFonts w:ascii="宋体" w:hAnsi="宋体"/>
          <w:bCs/>
        </w:rPr>
      </w:pPr>
      <w:r>
        <w:rPr>
          <w:rFonts w:hint="eastAsia" w:ascii="宋体" w:hAnsi="宋体"/>
          <w:bCs/>
        </w:rPr>
        <w:t>32.3.3非单一产品采购项目，采购人应当根据采购项目技术构成、产品价格比重等合理确定核心产品，并在招标文件中载明。多家投标人提供的核心产品品牌相同的，按前两款规定处理。</w:t>
      </w:r>
    </w:p>
    <w:p w14:paraId="2F4DB80C">
      <w:pPr>
        <w:ind w:firstLine="411" w:firstLineChars="196"/>
        <w:rPr>
          <w:rFonts w:ascii="宋体" w:hAnsi="宋体"/>
        </w:rPr>
      </w:pPr>
      <w:r>
        <w:rPr>
          <w:rFonts w:hint="eastAsia" w:ascii="宋体" w:hAnsi="宋体"/>
        </w:rPr>
        <w:t>32.4投标人投标文件作无效处理的情形，具体包括但不限于以下：</w:t>
      </w:r>
    </w:p>
    <w:p w14:paraId="66F30004">
      <w:pPr>
        <w:ind w:firstLine="411" w:firstLineChars="196"/>
      </w:pPr>
      <w:r>
        <w:rPr>
          <w:rFonts w:hint="eastAsia" w:ascii="宋体" w:hAnsi="宋体"/>
        </w:rPr>
        <w:t>32.4.1</w:t>
      </w:r>
      <w:r>
        <w:rPr>
          <w:rFonts w:hint="eastAsia"/>
        </w:rPr>
        <w:t>不同投标人的投标文件由同一单位或者同一个人编制，或者由同一个人分阶段参与编制；</w:t>
      </w:r>
    </w:p>
    <w:p w14:paraId="75C34C0E">
      <w:pPr>
        <w:ind w:firstLine="411" w:firstLineChars="196"/>
      </w:pPr>
      <w:r>
        <w:rPr>
          <w:rFonts w:ascii="宋体" w:hAnsi="宋体"/>
        </w:rPr>
        <w:t>32.4.</w:t>
      </w:r>
      <w:r>
        <w:rPr>
          <w:rFonts w:hint="eastAsia" w:ascii="宋体" w:hAnsi="宋体"/>
        </w:rPr>
        <w:t>2</w:t>
      </w:r>
      <w:r>
        <w:rPr>
          <w:rFonts w:hint="eastAsia"/>
        </w:rPr>
        <w:t>不同投标人委托同一单位或者个人办理投标事宜；</w:t>
      </w:r>
    </w:p>
    <w:p w14:paraId="56890057">
      <w:pPr>
        <w:ind w:firstLine="411" w:firstLineChars="196"/>
        <w:rPr>
          <w:rFonts w:ascii="宋体" w:hAnsi="宋体"/>
        </w:rPr>
      </w:pPr>
      <w:r>
        <w:rPr>
          <w:rFonts w:hint="eastAsia" w:ascii="宋体" w:hAnsi="宋体"/>
        </w:rPr>
        <w:t>32.4.3不同投标人的投标文件载明的项目管理成员或者联系人员为同一人；</w:t>
      </w:r>
    </w:p>
    <w:p w14:paraId="240AC438">
      <w:pPr>
        <w:ind w:firstLine="411" w:firstLineChars="196"/>
        <w:rPr>
          <w:rFonts w:ascii="宋体" w:hAnsi="宋体"/>
        </w:rPr>
      </w:pPr>
      <w:r>
        <w:rPr>
          <w:rFonts w:hint="eastAsia" w:ascii="宋体" w:hAnsi="宋体"/>
        </w:rPr>
        <w:t>32.4.4不同投标人的投标文件异常一致或者投标报价呈规律性差异；</w:t>
      </w:r>
    </w:p>
    <w:p w14:paraId="5DCD9B30">
      <w:pPr>
        <w:ind w:firstLine="411" w:firstLineChars="196"/>
        <w:rPr>
          <w:rFonts w:ascii="宋体" w:hAnsi="宋体"/>
        </w:rPr>
      </w:pPr>
      <w:r>
        <w:rPr>
          <w:rFonts w:hint="eastAsia" w:ascii="宋体" w:hAnsi="宋体"/>
        </w:rPr>
        <w:t>32.4.5</w:t>
      </w:r>
      <w:r>
        <w:rPr>
          <w:rFonts w:ascii="宋体" w:hAnsi="宋体"/>
        </w:rPr>
        <w:t>不同投标供应商的投标文件或部分投标文件相互混装</w:t>
      </w:r>
      <w:r>
        <w:rPr>
          <w:rFonts w:hint="eastAsia" w:ascii="宋体" w:hAnsi="宋体"/>
        </w:rPr>
        <w:t>；</w:t>
      </w:r>
    </w:p>
    <w:p w14:paraId="6512A9AD">
      <w:pPr>
        <w:ind w:firstLine="411" w:firstLineChars="196"/>
        <w:rPr>
          <w:rFonts w:ascii="宋体" w:hAnsi="宋体"/>
        </w:rPr>
      </w:pPr>
      <w:r>
        <w:rPr>
          <w:rFonts w:hint="eastAsia" w:ascii="宋体" w:hAnsi="宋体"/>
        </w:rPr>
        <w:t>32.4.6投标供应商之间相互约定给予未中标的供应商利益补偿；</w:t>
      </w:r>
    </w:p>
    <w:p w14:paraId="40719576">
      <w:pPr>
        <w:ind w:firstLine="411" w:firstLineChars="196"/>
        <w:rPr>
          <w:rFonts w:ascii="宋体" w:hAnsi="宋体"/>
        </w:rPr>
      </w:pPr>
      <w:r>
        <w:rPr>
          <w:rFonts w:hint="eastAsia" w:ascii="宋体" w:hAnsi="宋体"/>
        </w:rPr>
        <w:t>32.4.7不同投标供应商的法定代表人、主要经营负责人、项目投标授权代表人、项目负责人、主要技术人员为同一人、属同一单位或者同一单位缴纳社会保险；</w:t>
      </w:r>
    </w:p>
    <w:p w14:paraId="30ECDABF">
      <w:pPr>
        <w:ind w:firstLine="411" w:firstLineChars="196"/>
        <w:rPr>
          <w:rFonts w:ascii="宋体" w:hAnsi="宋体"/>
        </w:rPr>
      </w:pPr>
      <w:r>
        <w:rPr>
          <w:rFonts w:hint="eastAsia" w:ascii="宋体" w:hAnsi="宋体"/>
        </w:rPr>
        <w:t>32.4.8不同投标供应商的投标文件内容存在非正常一致；</w:t>
      </w:r>
    </w:p>
    <w:p w14:paraId="1B88FD62">
      <w:pPr>
        <w:ind w:firstLine="411" w:firstLineChars="196"/>
        <w:rPr>
          <w:rFonts w:ascii="宋体" w:hAnsi="宋体"/>
        </w:rPr>
      </w:pPr>
      <w:r>
        <w:rPr>
          <w:rFonts w:hint="eastAsia" w:ascii="宋体" w:hAnsi="宋体"/>
        </w:rPr>
        <w:t>32.4.9在同一单位工作人员为两家以上（含两家）供应商进行同一项投标活动；</w:t>
      </w:r>
    </w:p>
    <w:p w14:paraId="301006E0">
      <w:pPr>
        <w:ind w:firstLine="411" w:firstLineChars="196"/>
        <w:rPr>
          <w:rFonts w:ascii="宋体" w:hAnsi="宋体"/>
        </w:rPr>
      </w:pPr>
      <w:r>
        <w:rPr>
          <w:rFonts w:hint="eastAsia" w:ascii="宋体" w:hAnsi="宋体"/>
        </w:rPr>
        <w:t>32.4.10主管部门依照法律、法规认定的其他情形。</w:t>
      </w:r>
    </w:p>
    <w:p w14:paraId="7EBF40AF">
      <w:pPr>
        <w:rPr>
          <w:rFonts w:ascii="宋体" w:hAnsi="宋体"/>
        </w:rPr>
      </w:pPr>
      <w:r>
        <w:rPr>
          <w:rFonts w:hint="eastAsia" w:ascii="宋体" w:hAnsi="宋体"/>
        </w:rPr>
        <w:t>32.5对不属于《资格性审查表》和《符合性审查表》所列的其他情形，除专用条款另有规定和32.4条款所列情形外，不得作为投标无效的理由。</w:t>
      </w:r>
    </w:p>
    <w:p w14:paraId="2F45FE1C">
      <w:pPr>
        <w:rPr>
          <w:rFonts w:ascii="黑体" w:hAnsi="宋体" w:eastAsia="黑体"/>
          <w:sz w:val="24"/>
        </w:rPr>
      </w:pPr>
      <w:r>
        <w:rPr>
          <w:rFonts w:hint="eastAsia" w:ascii="黑体" w:hAnsi="宋体" w:eastAsia="黑体"/>
          <w:sz w:val="24"/>
        </w:rPr>
        <w:t>33．澄清有关问题</w:t>
      </w:r>
    </w:p>
    <w:p w14:paraId="06A3EE0F">
      <w:pPr>
        <w:ind w:firstLine="411" w:firstLineChars="196"/>
        <w:rPr>
          <w:rFonts w:ascii="宋体" w:hAnsi="宋体"/>
        </w:rPr>
      </w:pPr>
      <w:bookmarkStart w:id="105" w:name="_Hlk71407321"/>
      <w:r>
        <w:rPr>
          <w:rFonts w:hint="eastAsia" w:ascii="宋体" w:hAnsi="宋体"/>
        </w:rPr>
        <w:t>3</w:t>
      </w:r>
      <w:r>
        <w:rPr>
          <w:rFonts w:ascii="宋体" w:hAnsi="宋体"/>
        </w:rPr>
        <w:t>3.1</w:t>
      </w:r>
      <w:r>
        <w:rPr>
          <w:rFonts w:hint="eastAsia" w:ascii="宋体" w:hAnsi="宋体"/>
        </w:rPr>
        <w:t>对招标文件中描述有歧义或前后不一致的地方（不含</w:t>
      </w:r>
      <w:r>
        <w:rPr>
          <w:szCs w:val="21"/>
        </w:rPr>
        <w:t>招标文件存在歧义、重大缺陷导致评</w:t>
      </w:r>
      <w:r>
        <w:rPr>
          <w:rFonts w:hint="eastAsia"/>
          <w:szCs w:val="21"/>
        </w:rPr>
        <w:t>审</w:t>
      </w:r>
      <w:r>
        <w:rPr>
          <w:szCs w:val="21"/>
        </w:rPr>
        <w:t>工作无法进行</w:t>
      </w:r>
      <w:r>
        <w:rPr>
          <w:rFonts w:hint="eastAsia"/>
          <w:szCs w:val="21"/>
        </w:rPr>
        <w:t>的情况）</w:t>
      </w:r>
      <w:r>
        <w:rPr>
          <w:rFonts w:hint="eastAsia" w:ascii="宋体" w:hAnsi="宋体"/>
        </w:rPr>
        <w:t>，评审委员会有权进行评判，但对同一条款的评判应适用于每个投标人。</w:t>
      </w:r>
      <w:bookmarkEnd w:id="105"/>
    </w:p>
    <w:p w14:paraId="7DCA1913">
      <w:pPr>
        <w:ind w:firstLine="411" w:firstLineChars="196"/>
        <w:rPr>
          <w:rFonts w:ascii="宋体" w:hAnsi="宋体"/>
        </w:rPr>
      </w:pPr>
      <w:r>
        <w:rPr>
          <w:rFonts w:hint="eastAsia" w:ascii="宋体" w:hAnsi="宋体"/>
        </w:rPr>
        <w:t>3</w:t>
      </w:r>
      <w:r>
        <w:rPr>
          <w:rFonts w:ascii="宋体" w:hAnsi="宋体"/>
        </w:rPr>
        <w:t>3.2</w:t>
      </w:r>
      <w:r>
        <w:rPr>
          <w:szCs w:val="21"/>
        </w:rPr>
        <w:t>评</w:t>
      </w:r>
      <w:r>
        <w:rPr>
          <w:rFonts w:hint="eastAsia"/>
          <w:szCs w:val="21"/>
        </w:rPr>
        <w:t>审</w:t>
      </w:r>
      <w:r>
        <w:rPr>
          <w:szCs w:val="21"/>
        </w:rPr>
        <w:t>委员会发现招标文件存在歧义、重大缺陷导致评</w:t>
      </w:r>
      <w:r>
        <w:rPr>
          <w:rFonts w:hint="eastAsia"/>
          <w:szCs w:val="21"/>
        </w:rPr>
        <w:t>审</w:t>
      </w:r>
      <w:r>
        <w:rPr>
          <w:szCs w:val="21"/>
        </w:rPr>
        <w:t>工作无法进行，或者招标文件内容违反国家有关强制性规定的，应当停止评</w:t>
      </w:r>
      <w:r>
        <w:rPr>
          <w:rFonts w:hint="eastAsia"/>
          <w:szCs w:val="21"/>
        </w:rPr>
        <w:t>审</w:t>
      </w:r>
      <w:r>
        <w:rPr>
          <w:szCs w:val="21"/>
        </w:rPr>
        <w:t>工作，与</w:t>
      </w:r>
      <w:r>
        <w:rPr>
          <w:rFonts w:hint="eastAsia"/>
          <w:szCs w:val="21"/>
        </w:rPr>
        <w:t>政府集中采购机构</w:t>
      </w:r>
      <w:r>
        <w:rPr>
          <w:szCs w:val="21"/>
        </w:rPr>
        <w:t>沟通并作书面记录。</w:t>
      </w:r>
      <w:r>
        <w:rPr>
          <w:rFonts w:hint="eastAsia"/>
          <w:szCs w:val="21"/>
        </w:rPr>
        <w:t>经</w:t>
      </w:r>
      <w:r>
        <w:rPr>
          <w:szCs w:val="21"/>
        </w:rPr>
        <w:t>确认后，</w:t>
      </w:r>
      <w:r>
        <w:rPr>
          <w:rFonts w:hint="eastAsia"/>
          <w:szCs w:val="21"/>
        </w:rPr>
        <w:t>项目</w:t>
      </w:r>
      <w:r>
        <w:rPr>
          <w:szCs w:val="21"/>
        </w:rPr>
        <w:t>应当修改招标文件，重新组织采购活动。</w:t>
      </w:r>
    </w:p>
    <w:p w14:paraId="578648A3">
      <w:pPr>
        <w:ind w:firstLine="411" w:firstLineChars="196"/>
        <w:rPr>
          <w:rFonts w:ascii="宋体" w:hAnsi="宋体"/>
        </w:rPr>
      </w:pPr>
      <w:r>
        <w:rPr>
          <w:rFonts w:ascii="宋体" w:hAnsi="宋体"/>
        </w:rPr>
        <w:t>33.3</w:t>
      </w:r>
      <w:r>
        <w:rPr>
          <w:rFonts w:hint="eastAsia" w:ascii="宋体" w:hAnsi="宋体"/>
        </w:rPr>
        <w:t>对于投标文件中含义不明确、同类问题表述不一致或者有明显文字和计算错误的内容，评审委员会应当以书面形式要求投标人作出必要的澄清、说明或者补正。</w:t>
      </w:r>
    </w:p>
    <w:p w14:paraId="5E576F0D">
      <w:pPr>
        <w:ind w:firstLine="411" w:firstLineChars="196"/>
        <w:rPr>
          <w:rFonts w:ascii="宋体" w:hAnsi="宋体"/>
        </w:rPr>
      </w:pPr>
      <w:r>
        <w:rPr>
          <w:rFonts w:hint="eastAsia" w:ascii="宋体" w:hAnsi="宋体"/>
        </w:rPr>
        <w:t>投标人的澄清、说明或者补正应当采用书面形式【书面形式是指文书、信件（含电子邮件）、电报、电传、传真等形式】，并加盖公章（或者由法定代表人或其授权的代表签字）。投标人的澄清、说明或者补正不得超出投标文件的范围或者改变投标文件的实质性内容。</w:t>
      </w:r>
    </w:p>
    <w:p w14:paraId="25D24C7E">
      <w:pPr>
        <w:ind w:firstLine="411" w:firstLineChars="196"/>
        <w:rPr>
          <w:rFonts w:ascii="宋体" w:hAnsi="宋体"/>
          <w:szCs w:val="21"/>
        </w:rPr>
      </w:pPr>
      <w:r>
        <w:rPr>
          <w:rFonts w:hint="eastAsia" w:ascii="宋体" w:hAnsi="宋体"/>
          <w:szCs w:val="21"/>
        </w:rPr>
        <w:t>根据本通用条款第34条，凡属于评审委员会在评审中发现的算术错误进行核实的修改不在此列。</w:t>
      </w:r>
    </w:p>
    <w:p w14:paraId="0E490766">
      <w:pPr>
        <w:rPr>
          <w:rFonts w:ascii="黑体" w:hAnsi="宋体" w:eastAsia="黑体"/>
          <w:sz w:val="24"/>
        </w:rPr>
      </w:pPr>
      <w:bookmarkStart w:id="106" w:name="_Toc73518151"/>
      <w:bookmarkStart w:id="107" w:name="_Toc73517673"/>
      <w:bookmarkStart w:id="108" w:name="_Toc100052400"/>
      <w:bookmarkStart w:id="109" w:name="_Toc73521669"/>
      <w:bookmarkStart w:id="110" w:name="_Toc73521581"/>
      <w:r>
        <w:rPr>
          <w:rFonts w:hint="eastAsia" w:ascii="黑体" w:hAnsi="宋体" w:eastAsia="黑体"/>
          <w:sz w:val="24"/>
        </w:rPr>
        <w:t>34．错误的修正</w:t>
      </w:r>
      <w:bookmarkEnd w:id="106"/>
      <w:bookmarkEnd w:id="107"/>
      <w:bookmarkEnd w:id="108"/>
      <w:bookmarkEnd w:id="109"/>
      <w:bookmarkEnd w:id="110"/>
    </w:p>
    <w:p w14:paraId="43280103">
      <w:pPr>
        <w:ind w:firstLine="411" w:firstLineChars="196"/>
        <w:rPr>
          <w:rFonts w:ascii="宋体" w:hAnsi="宋体"/>
          <w:szCs w:val="21"/>
        </w:rPr>
      </w:pPr>
      <w:r>
        <w:rPr>
          <w:rFonts w:hint="eastAsia" w:ascii="宋体" w:hAnsi="宋体"/>
          <w:szCs w:val="21"/>
        </w:rPr>
        <w:t>投标文件报价出现前后不一致的，除专用条款另有规定外，按照下列规定修正：</w:t>
      </w:r>
    </w:p>
    <w:p w14:paraId="5560F882">
      <w:pPr>
        <w:ind w:firstLine="411" w:firstLineChars="196"/>
        <w:rPr>
          <w:rFonts w:ascii="宋体" w:hAnsi="宋体"/>
          <w:szCs w:val="21"/>
        </w:rPr>
      </w:pPr>
      <w:r>
        <w:rPr>
          <w:rFonts w:hint="eastAsia" w:ascii="宋体" w:hAnsi="宋体"/>
          <w:szCs w:val="21"/>
        </w:rPr>
        <w:t>34.1投标文件中开标一览表投标报价内容与投标文件中投标报价相应内容不一致的，以开标一览表为准；</w:t>
      </w:r>
    </w:p>
    <w:p w14:paraId="4F706547">
      <w:pPr>
        <w:ind w:firstLine="411" w:firstLineChars="196"/>
        <w:rPr>
          <w:rFonts w:ascii="宋体" w:hAnsi="宋体"/>
          <w:szCs w:val="21"/>
        </w:rPr>
      </w:pPr>
      <w:r>
        <w:rPr>
          <w:rFonts w:hint="eastAsia" w:ascii="宋体" w:hAnsi="宋体"/>
          <w:szCs w:val="21"/>
        </w:rPr>
        <w:t>34.2大写金额和小写金额不一致的，以大写金额为准；</w:t>
      </w:r>
    </w:p>
    <w:p w14:paraId="1A571A56">
      <w:pPr>
        <w:ind w:firstLine="411" w:firstLineChars="196"/>
        <w:rPr>
          <w:rFonts w:ascii="宋体" w:hAnsi="宋体"/>
          <w:szCs w:val="21"/>
        </w:rPr>
      </w:pPr>
      <w:r>
        <w:rPr>
          <w:rFonts w:hint="eastAsia" w:ascii="宋体" w:hAnsi="宋体"/>
          <w:szCs w:val="21"/>
        </w:rPr>
        <w:t>34.3单价金额小数点或者百分比有明显错位，以开标一览表的总价为准，并修改单价；</w:t>
      </w:r>
    </w:p>
    <w:p w14:paraId="679C88C2">
      <w:pPr>
        <w:ind w:firstLine="411" w:firstLineChars="196"/>
        <w:rPr>
          <w:rFonts w:ascii="宋体" w:hAnsi="宋体"/>
          <w:szCs w:val="21"/>
        </w:rPr>
      </w:pPr>
      <w:r>
        <w:rPr>
          <w:rFonts w:hint="eastAsia" w:ascii="宋体" w:hAnsi="宋体"/>
          <w:szCs w:val="21"/>
        </w:rPr>
        <w:t>34.4总价金额与按单价汇总金额不一致的，以单价金额计算结果为准。</w:t>
      </w:r>
    </w:p>
    <w:p w14:paraId="24D44C32">
      <w:pPr>
        <w:ind w:firstLine="411" w:firstLineChars="196"/>
        <w:rPr>
          <w:rFonts w:ascii="宋体" w:hAnsi="宋体"/>
          <w:szCs w:val="21"/>
        </w:rPr>
      </w:pPr>
      <w:r>
        <w:rPr>
          <w:rFonts w:hint="eastAsia" w:ascii="宋体" w:hAnsi="宋体"/>
          <w:szCs w:val="21"/>
        </w:rPr>
        <w:t>34.5同时出现两种以上不一致的，按照前款规定的顺序修正。修正后的报价按照本通用条款33条的规定，经投标人确认后产生约束力，投标人不确认的，其投标无效。</w:t>
      </w:r>
    </w:p>
    <w:p w14:paraId="0F490DE9">
      <w:pPr>
        <w:rPr>
          <w:rFonts w:ascii="黑体" w:hAnsi="宋体" w:eastAsia="黑体"/>
          <w:sz w:val="24"/>
        </w:rPr>
      </w:pPr>
      <w:r>
        <w:rPr>
          <w:rFonts w:hint="eastAsia" w:ascii="黑体" w:hAnsi="宋体" w:eastAsia="黑体"/>
          <w:sz w:val="24"/>
        </w:rPr>
        <w:t>35．投标文件的比较与评价</w:t>
      </w:r>
    </w:p>
    <w:p w14:paraId="1C787A25">
      <w:pPr>
        <w:ind w:firstLine="411" w:firstLineChars="196"/>
        <w:rPr>
          <w:rFonts w:ascii="宋体" w:hAnsi="宋体"/>
          <w:szCs w:val="21"/>
        </w:rPr>
      </w:pPr>
      <w:r>
        <w:rPr>
          <w:rFonts w:hint="eastAsia" w:ascii="宋体" w:hAnsi="宋体"/>
          <w:szCs w:val="21"/>
        </w:rPr>
        <w:t>评审委员会将参照《深圳经济特区政府采购条例》、《深圳经济特区政府采购条例实施细则》、《深圳市政府采购评标定标分离管理办法》及政府采购其他法律法规，仅对通过资格性审查和符合性审查的投标文件进行综合比较与评价。</w:t>
      </w:r>
    </w:p>
    <w:p w14:paraId="68F72768">
      <w:pPr>
        <w:ind w:firstLine="411" w:firstLineChars="196"/>
        <w:rPr>
          <w:rFonts w:ascii="宋体" w:hAnsi="宋体"/>
          <w:szCs w:val="21"/>
        </w:rPr>
      </w:pPr>
      <w:r>
        <w:rPr>
          <w:rFonts w:hint="eastAsia" w:ascii="宋体" w:hAnsi="宋体"/>
          <w:szCs w:val="21"/>
        </w:rPr>
        <w:t>评审委员会成员对需要共同认定的事项存在争议的，应当按照少数服从多数的原则作出结论。持不同意见的评审委员会成员应当书面作出说明，否则视为无异议。</w:t>
      </w:r>
    </w:p>
    <w:p w14:paraId="79223C78">
      <w:pPr>
        <w:rPr>
          <w:rFonts w:ascii="黑体" w:hAnsi="宋体" w:eastAsia="黑体"/>
          <w:sz w:val="24"/>
        </w:rPr>
      </w:pPr>
      <w:r>
        <w:rPr>
          <w:rFonts w:hint="eastAsia" w:ascii="黑体" w:hAnsi="宋体" w:eastAsia="黑体"/>
          <w:sz w:val="24"/>
        </w:rPr>
        <w:t>36. 实地考察或资料查验</w:t>
      </w:r>
    </w:p>
    <w:p w14:paraId="571B6DCF">
      <w:pPr>
        <w:ind w:firstLine="411" w:firstLineChars="196"/>
        <w:rPr>
          <w:rFonts w:ascii="宋体" w:hAnsi="宋体"/>
          <w:szCs w:val="21"/>
        </w:rPr>
      </w:pPr>
      <w:r>
        <w:rPr>
          <w:rFonts w:hint="eastAsia" w:ascii="宋体" w:hAnsi="宋体"/>
          <w:szCs w:val="21"/>
        </w:rPr>
        <w:t>36.1在评审过程中，评审委员会有权决定是否对本项目投标人进行实地考察或资料查验（原件）。投标人应随时做好接受实地考察或资料查验的准备。</w:t>
      </w:r>
    </w:p>
    <w:p w14:paraId="007D0EF4">
      <w:pPr>
        <w:rPr>
          <w:rFonts w:ascii="黑体" w:hAnsi="宋体" w:eastAsia="黑体"/>
          <w:sz w:val="24"/>
        </w:rPr>
      </w:pPr>
      <w:r>
        <w:rPr>
          <w:rFonts w:hint="eastAsia" w:ascii="黑体" w:hAnsi="宋体" w:eastAsia="黑体"/>
          <w:sz w:val="24"/>
        </w:rPr>
        <w:t>37．评审方法</w:t>
      </w:r>
    </w:p>
    <w:p w14:paraId="79817C07">
      <w:pPr>
        <w:ind w:firstLine="413" w:firstLineChars="196"/>
        <w:rPr>
          <w:rFonts w:ascii="宋体" w:hAnsi="宋体"/>
          <w:b/>
          <w:bCs/>
          <w:szCs w:val="21"/>
        </w:rPr>
      </w:pPr>
      <w:r>
        <w:rPr>
          <w:rFonts w:hint="eastAsia" w:ascii="宋体" w:hAnsi="宋体"/>
          <w:b/>
          <w:bCs/>
          <w:szCs w:val="21"/>
        </w:rPr>
        <w:t>37.1.1最低价法</w:t>
      </w:r>
    </w:p>
    <w:p w14:paraId="1AD3AE24">
      <w:pPr>
        <w:ind w:firstLine="411" w:firstLineChars="196"/>
        <w:rPr>
          <w:rFonts w:ascii="ˎ̥" w:hAnsi="ˎ̥"/>
        </w:rPr>
      </w:pPr>
      <w:bookmarkStart w:id="111" w:name="_Hlk72438142"/>
      <w:r>
        <w:rPr>
          <w:rFonts w:ascii="ˎ̥" w:hAnsi="ˎ̥"/>
        </w:rPr>
        <w:t>最低价法，</w:t>
      </w:r>
      <w:r>
        <w:rPr>
          <w:rFonts w:hint="eastAsia" w:ascii="ˎ̥" w:hAnsi="ˎ̥"/>
        </w:rPr>
        <w:t>是指投标文件满足招标文件全部实质性要求，且投标报价最低的投标人为中标候选人的评标方法。</w:t>
      </w:r>
    </w:p>
    <w:p w14:paraId="1678BF1F">
      <w:pPr>
        <w:ind w:firstLine="411" w:firstLineChars="196"/>
        <w:rPr>
          <w:rFonts w:ascii="ˎ̥" w:hAnsi="ˎ̥"/>
        </w:rPr>
      </w:pPr>
      <w:r>
        <w:rPr>
          <w:rFonts w:hint="eastAsia" w:ascii="ˎ̥" w:hAnsi="ˎ̥"/>
        </w:rPr>
        <w:t>采用最低价法的，评标结果按投标报价由低到高顺序排列。投标报价相同的并列。投标文件满足招标文件全部实质性要求且投标报价最低的投标人为排名第一的中标候选人。中标候选人并列的，由采购人或者采购人委托评标委员会按照招标文件规定的方式确定中标人；招标文件未规定的，采取随机抽取的方式确定。</w:t>
      </w:r>
    </w:p>
    <w:p w14:paraId="166762A0">
      <w:pPr>
        <w:ind w:firstLine="413" w:firstLineChars="196"/>
        <w:rPr>
          <w:rFonts w:ascii="宋体" w:hAnsi="宋体"/>
          <w:b/>
          <w:bCs/>
          <w:szCs w:val="21"/>
        </w:rPr>
      </w:pPr>
      <w:r>
        <w:rPr>
          <w:rFonts w:hint="eastAsia" w:ascii="宋体" w:hAnsi="宋体"/>
          <w:b/>
          <w:bCs/>
          <w:szCs w:val="21"/>
        </w:rPr>
        <w:t>37.1.2综合评分法</w:t>
      </w:r>
    </w:p>
    <w:p w14:paraId="0E7D1773">
      <w:pPr>
        <w:ind w:firstLine="411" w:firstLineChars="196"/>
        <w:rPr>
          <w:rFonts w:ascii="ˎ̥" w:hAnsi="ˎ̥"/>
        </w:rPr>
      </w:pPr>
      <w:r>
        <w:rPr>
          <w:rFonts w:ascii="ˎ̥" w:hAnsi="ˎ̥"/>
        </w:rPr>
        <w:t>综合评分法，是指</w:t>
      </w:r>
      <w:r>
        <w:rPr>
          <w:rFonts w:hint="eastAsia" w:ascii="ˎ̥" w:hAnsi="ˎ̥"/>
        </w:rPr>
        <w:t>在</w:t>
      </w:r>
      <w:r>
        <w:rPr>
          <w:rFonts w:ascii="ˎ̥" w:hAnsi="ˎ̥"/>
        </w:rPr>
        <w:t>满足招标文件全部实质性要求</w:t>
      </w:r>
      <w:r>
        <w:rPr>
          <w:rFonts w:hint="eastAsia" w:ascii="ˎ̥" w:hAnsi="ˎ̥"/>
        </w:rPr>
        <w:t>的前提下</w:t>
      </w:r>
      <w:r>
        <w:rPr>
          <w:rFonts w:ascii="ˎ̥" w:hAnsi="ˎ̥"/>
        </w:rPr>
        <w:t>，</w:t>
      </w:r>
      <w:r>
        <w:rPr>
          <w:rFonts w:hint="eastAsia" w:ascii="ˎ̥" w:hAnsi="ˎ̥"/>
        </w:rPr>
        <w:t>按照招标文件中规定的各项因素进行综合评审，评审总得分排名前列的投标人，作为推荐的候选中标供应商</w:t>
      </w:r>
      <w:bookmarkEnd w:id="111"/>
      <w:r>
        <w:rPr>
          <w:rFonts w:hint="eastAsia" w:ascii="ˎ̥" w:hAnsi="ˎ̥"/>
        </w:rPr>
        <w:t>。</w:t>
      </w:r>
    </w:p>
    <w:p w14:paraId="3045A056">
      <w:pPr>
        <w:ind w:firstLine="411" w:firstLineChars="196"/>
        <w:rPr>
          <w:rFonts w:ascii="ˎ̥" w:hAnsi="ˎ̥"/>
        </w:rPr>
      </w:pPr>
      <w:r>
        <w:rPr>
          <w:rFonts w:hint="eastAsia" w:ascii="ˎ̥" w:hAnsi="ˎ̥"/>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中标候选人并列的，由采购人或者采购人委托评标委员会按照招标文件规定的方式确定中标人；招标文件未规定的，采取随机抽取的方式确定。</w:t>
      </w:r>
    </w:p>
    <w:p w14:paraId="5B84B2EF">
      <w:pPr>
        <w:ind w:firstLine="413" w:firstLineChars="196"/>
        <w:rPr>
          <w:rFonts w:ascii="宋体" w:hAnsi="宋体"/>
          <w:b/>
          <w:bCs/>
          <w:szCs w:val="21"/>
        </w:rPr>
      </w:pPr>
      <w:r>
        <w:rPr>
          <w:rFonts w:hint="eastAsia" w:ascii="宋体" w:hAnsi="宋体"/>
          <w:b/>
          <w:bCs/>
          <w:szCs w:val="21"/>
        </w:rPr>
        <w:t>37.2本项目采用的评审方法见本项目招标文件第一册“专用条款”的相关内容。</w:t>
      </w:r>
    </w:p>
    <w:p w14:paraId="45F2F674">
      <w:pPr>
        <w:ind w:firstLine="413" w:firstLineChars="196"/>
        <w:rPr>
          <w:rFonts w:ascii="宋体" w:hAnsi="宋体"/>
          <w:b/>
          <w:bCs/>
          <w:szCs w:val="21"/>
        </w:rPr>
      </w:pPr>
      <w:r>
        <w:rPr>
          <w:rFonts w:hint="eastAsia" w:ascii="宋体" w:hAnsi="宋体"/>
          <w:b/>
          <w:bCs/>
          <w:szCs w:val="21"/>
        </w:rPr>
        <w:t>37.3重新评审的情形</w:t>
      </w:r>
    </w:p>
    <w:p w14:paraId="24513888">
      <w:pPr>
        <w:ind w:firstLine="411" w:firstLineChars="196"/>
        <w:rPr>
          <w:rFonts w:ascii="宋体" w:hAnsi="宋体"/>
          <w:b/>
          <w:bCs/>
          <w:szCs w:val="21"/>
        </w:rPr>
      </w:pPr>
      <w:r>
        <w:rPr>
          <w:rFonts w:hint="eastAsia" w:ascii="宋体" w:hAnsi="宋体" w:cs="宋体"/>
          <w:kern w:val="0"/>
          <w:szCs w:val="21"/>
        </w:rPr>
        <w:t>评审结果汇总完成后，除下列情形外，任何人不得修改评审结果：</w:t>
      </w:r>
    </w:p>
    <w:p w14:paraId="1BB8867C">
      <w:pPr>
        <w:ind w:firstLine="411" w:firstLineChars="196"/>
        <w:rPr>
          <w:rFonts w:ascii="宋体" w:hAnsi="宋体" w:cs="宋体"/>
          <w:kern w:val="0"/>
          <w:szCs w:val="21"/>
        </w:rPr>
      </w:pPr>
      <w:r>
        <w:rPr>
          <w:rFonts w:hint="eastAsia" w:ascii="宋体" w:hAnsi="宋体" w:cs="宋体"/>
          <w:kern w:val="0"/>
          <w:szCs w:val="21"/>
        </w:rPr>
        <w:t>37.3.1分值汇总计算错误的；</w:t>
      </w:r>
    </w:p>
    <w:p w14:paraId="12DADC30">
      <w:pPr>
        <w:ind w:firstLine="411" w:firstLineChars="196"/>
        <w:rPr>
          <w:rFonts w:ascii="宋体" w:hAnsi="宋体" w:cs="宋体"/>
          <w:kern w:val="0"/>
          <w:szCs w:val="21"/>
        </w:rPr>
      </w:pPr>
      <w:r>
        <w:rPr>
          <w:rFonts w:hint="eastAsia" w:ascii="宋体" w:hAnsi="宋体" w:cs="宋体"/>
          <w:kern w:val="0"/>
          <w:szCs w:val="21"/>
        </w:rPr>
        <w:t>37.3.2分项评分超出评分标准范围的；</w:t>
      </w:r>
    </w:p>
    <w:p w14:paraId="3CB3754E">
      <w:pPr>
        <w:ind w:firstLine="411" w:firstLineChars="196"/>
        <w:rPr>
          <w:rFonts w:ascii="宋体" w:hAnsi="宋体" w:cs="宋体"/>
          <w:kern w:val="0"/>
          <w:szCs w:val="21"/>
        </w:rPr>
      </w:pPr>
      <w:r>
        <w:rPr>
          <w:rFonts w:hint="eastAsia" w:ascii="宋体" w:hAnsi="宋体" w:cs="宋体"/>
          <w:kern w:val="0"/>
          <w:szCs w:val="21"/>
        </w:rPr>
        <w:t>37.3.3评审委员会成员对客观评审因素评分不一致的；</w:t>
      </w:r>
    </w:p>
    <w:p w14:paraId="66368754">
      <w:pPr>
        <w:ind w:firstLine="411" w:firstLineChars="196"/>
        <w:rPr>
          <w:rFonts w:ascii="宋体" w:hAnsi="宋体" w:cs="宋体"/>
          <w:kern w:val="0"/>
          <w:szCs w:val="21"/>
        </w:rPr>
      </w:pPr>
      <w:r>
        <w:rPr>
          <w:rFonts w:hint="eastAsia" w:ascii="宋体" w:hAnsi="宋体" w:cs="宋体"/>
          <w:kern w:val="0"/>
          <w:szCs w:val="21"/>
        </w:rPr>
        <w:t>37.3.4经评审委员会认定评分畸高、畸低的。</w:t>
      </w:r>
    </w:p>
    <w:p w14:paraId="030A2F52">
      <w:pPr>
        <w:ind w:firstLine="411" w:firstLineChars="196"/>
        <w:rPr>
          <w:rFonts w:ascii="宋体" w:hAnsi="宋体" w:cs="宋体"/>
          <w:kern w:val="0"/>
          <w:szCs w:val="21"/>
        </w:rPr>
      </w:pPr>
      <w:r>
        <w:rPr>
          <w:rFonts w:hint="eastAsia" w:ascii="宋体" w:hAnsi="宋体" w:cs="宋体"/>
          <w:kern w:val="0"/>
          <w:szCs w:val="21"/>
        </w:rPr>
        <w:t>评审报告签署前，经复核发现存在以上情形之一的，评审委员会应当当场修改评审结果，并进行书面记载；评审报告签署后，采购人或者采购代理机构发现存在以上情形之一的，应当组织原评审委员会进行重新评审。</w:t>
      </w:r>
    </w:p>
    <w:p w14:paraId="73C7922D">
      <w:pPr>
        <w:ind w:firstLine="411" w:firstLineChars="196"/>
        <w:rPr>
          <w:rFonts w:ascii="宋体" w:hAnsi="宋体" w:cs="宋体"/>
          <w:kern w:val="0"/>
          <w:szCs w:val="21"/>
        </w:rPr>
      </w:pPr>
      <w:r>
        <w:rPr>
          <w:rFonts w:hint="eastAsia" w:ascii="宋体" w:hAnsi="宋体" w:cs="宋体"/>
          <w:kern w:val="0"/>
          <w:szCs w:val="21"/>
        </w:rPr>
        <w:t>投标人对本条第一款情形提出质疑的，采购人或者采购代理机构可以组织原评审委员会进行重新评审。</w:t>
      </w:r>
    </w:p>
    <w:p w14:paraId="72904EEE">
      <w:pPr>
        <w:ind w:firstLine="413" w:firstLineChars="196"/>
        <w:rPr>
          <w:rFonts w:ascii="宋体" w:hAnsi="宋体"/>
          <w:b/>
          <w:bCs/>
          <w:szCs w:val="21"/>
        </w:rPr>
      </w:pPr>
      <w:r>
        <w:rPr>
          <w:rFonts w:hint="eastAsia" w:ascii="宋体" w:hAnsi="宋体"/>
          <w:b/>
          <w:bCs/>
          <w:szCs w:val="21"/>
        </w:rPr>
        <w:t>37.4重新组建评审委员会的情形</w:t>
      </w:r>
    </w:p>
    <w:p w14:paraId="1042697A">
      <w:pPr>
        <w:ind w:firstLine="411" w:firstLineChars="196"/>
        <w:rPr>
          <w:rFonts w:ascii="宋体" w:hAnsi="宋体" w:cs="宋体"/>
          <w:kern w:val="0"/>
          <w:szCs w:val="21"/>
        </w:rPr>
      </w:pPr>
      <w:r>
        <w:rPr>
          <w:rFonts w:hint="eastAsia" w:ascii="宋体" w:hAnsi="宋体" w:cs="宋体"/>
          <w:kern w:val="0"/>
          <w:szCs w:val="21"/>
        </w:rPr>
        <w:t>评审委员会或者其成员存在下列情形导致评审结果无效的，重新组建评审委员会进行评标：</w:t>
      </w:r>
    </w:p>
    <w:p w14:paraId="0F9ED3ED">
      <w:pPr>
        <w:ind w:firstLine="411" w:firstLineChars="196"/>
        <w:rPr>
          <w:rFonts w:ascii="宋体" w:hAnsi="宋体" w:cs="宋体"/>
          <w:kern w:val="0"/>
          <w:szCs w:val="21"/>
        </w:rPr>
      </w:pPr>
      <w:r>
        <w:rPr>
          <w:rFonts w:hint="eastAsia" w:ascii="宋体" w:hAnsi="宋体" w:cs="宋体"/>
          <w:kern w:val="0"/>
          <w:szCs w:val="21"/>
        </w:rPr>
        <w:t>37.4.1评审委员会组成不符合《政府采购货物和服务招标投标管理办法》规定的；</w:t>
      </w:r>
    </w:p>
    <w:p w14:paraId="170CD159">
      <w:pPr>
        <w:ind w:firstLine="411" w:firstLineChars="196"/>
        <w:rPr>
          <w:rFonts w:ascii="宋体" w:hAnsi="宋体" w:cs="宋体"/>
          <w:kern w:val="0"/>
          <w:szCs w:val="21"/>
        </w:rPr>
      </w:pPr>
      <w:r>
        <w:rPr>
          <w:rFonts w:hint="eastAsia" w:ascii="宋体" w:hAnsi="宋体" w:cs="宋体"/>
          <w:kern w:val="0"/>
          <w:szCs w:val="21"/>
        </w:rPr>
        <w:t>37.4.2有《政府采购货物和服务招标投标管理办法》第六十二条第一至五项情形的；</w:t>
      </w:r>
    </w:p>
    <w:p w14:paraId="3CA30B50">
      <w:pPr>
        <w:ind w:firstLine="411" w:firstLineChars="196"/>
        <w:rPr>
          <w:rFonts w:ascii="宋体" w:hAnsi="宋体" w:cs="宋体"/>
          <w:kern w:val="0"/>
          <w:szCs w:val="21"/>
        </w:rPr>
      </w:pPr>
      <w:r>
        <w:rPr>
          <w:rFonts w:hint="eastAsia" w:ascii="宋体" w:hAnsi="宋体" w:cs="宋体"/>
          <w:kern w:val="0"/>
          <w:szCs w:val="21"/>
        </w:rPr>
        <w:t>37.4.3评审委员会及其成员独立评标受到非法干预的；</w:t>
      </w:r>
    </w:p>
    <w:p w14:paraId="2A3DF812">
      <w:pPr>
        <w:ind w:firstLine="411" w:firstLineChars="196"/>
        <w:rPr>
          <w:rFonts w:ascii="宋体" w:hAnsi="宋体" w:cs="宋体"/>
          <w:kern w:val="0"/>
          <w:szCs w:val="21"/>
        </w:rPr>
      </w:pPr>
      <w:r>
        <w:rPr>
          <w:rFonts w:hint="eastAsia" w:ascii="宋体" w:hAnsi="宋体" w:cs="宋体"/>
          <w:kern w:val="0"/>
          <w:szCs w:val="21"/>
        </w:rPr>
        <w:t>37.4.4有政府采购法实施条例第七十五条规定的违法行为的。</w:t>
      </w:r>
    </w:p>
    <w:p w14:paraId="0A22C621">
      <w:pPr>
        <w:ind w:firstLine="411" w:firstLineChars="196"/>
        <w:rPr>
          <w:rFonts w:ascii="宋体" w:hAnsi="宋体" w:cs="宋体"/>
          <w:kern w:val="0"/>
          <w:szCs w:val="21"/>
        </w:rPr>
      </w:pPr>
      <w:r>
        <w:rPr>
          <w:rFonts w:hint="eastAsia" w:ascii="宋体" w:hAnsi="宋体" w:cs="宋体"/>
          <w:kern w:val="0"/>
          <w:szCs w:val="21"/>
        </w:rPr>
        <w:t>有违法违规行为的原评审委员会成员不得参加重新组建的评审委员会。</w:t>
      </w:r>
    </w:p>
    <w:p w14:paraId="4EEB6A1B">
      <w:pPr>
        <w:ind w:firstLine="411" w:firstLineChars="196"/>
        <w:rPr>
          <w:rFonts w:ascii="宋体" w:hAnsi="宋体"/>
          <w:szCs w:val="21"/>
        </w:rPr>
      </w:pPr>
    </w:p>
    <w:p w14:paraId="22F11882">
      <w:pPr>
        <w:keepNext/>
        <w:keepLines/>
        <w:numPr>
          <w:ilvl w:val="0"/>
          <w:numId w:val="17"/>
        </w:numPr>
        <w:adjustRightInd w:val="0"/>
        <w:spacing w:before="120" w:beforeLines="50" w:after="120" w:afterLines="50"/>
        <w:ind w:left="562" w:hanging="562"/>
        <w:jc w:val="center"/>
        <w:textAlignment w:val="baseline"/>
        <w:outlineLvl w:val="1"/>
        <w:rPr>
          <w:rFonts w:ascii="宋体" w:hAnsi="宋体"/>
          <w:b/>
          <w:bCs/>
          <w:kern w:val="0"/>
          <w:sz w:val="28"/>
          <w:szCs w:val="28"/>
        </w:rPr>
      </w:pPr>
      <w:r>
        <w:rPr>
          <w:rFonts w:hint="eastAsia" w:ascii="宋体" w:hAnsi="宋体"/>
          <w:b/>
          <w:bCs/>
          <w:kern w:val="0"/>
          <w:sz w:val="28"/>
          <w:szCs w:val="28"/>
        </w:rPr>
        <w:t>定标及公示</w:t>
      </w:r>
    </w:p>
    <w:p w14:paraId="34E9B732">
      <w:pPr>
        <w:rPr>
          <w:rFonts w:ascii="黑体" w:hAnsi="宋体" w:eastAsia="黑体"/>
          <w:sz w:val="24"/>
        </w:rPr>
      </w:pPr>
      <w:r>
        <w:rPr>
          <w:rFonts w:hint="eastAsia" w:ascii="黑体" w:hAnsi="宋体" w:eastAsia="黑体"/>
          <w:sz w:val="24"/>
        </w:rPr>
        <w:t>38．定标方法</w:t>
      </w:r>
    </w:p>
    <w:p w14:paraId="4C1647D0">
      <w:pPr>
        <w:ind w:firstLine="411" w:firstLineChars="196"/>
        <w:rPr>
          <w:rFonts w:ascii="宋体" w:hAnsi="宋体"/>
          <w:szCs w:val="21"/>
        </w:rPr>
      </w:pPr>
      <w:bookmarkStart w:id="112" w:name="_Hlk73782795"/>
      <w:r>
        <w:rPr>
          <w:rFonts w:hint="eastAsia" w:ascii="宋体" w:hAnsi="宋体"/>
          <w:szCs w:val="21"/>
        </w:rPr>
        <w:t>38.1非评定分离项目定标方法</w:t>
      </w:r>
    </w:p>
    <w:p w14:paraId="2F4E3B30">
      <w:pPr>
        <w:ind w:firstLine="411" w:firstLineChars="196"/>
        <w:rPr>
          <w:rFonts w:ascii="宋体" w:hAnsi="宋体"/>
          <w:szCs w:val="21"/>
        </w:rPr>
      </w:pPr>
      <w:r>
        <w:rPr>
          <w:rFonts w:hint="eastAsia" w:ascii="宋体" w:hAnsi="宋体"/>
          <w:szCs w:val="21"/>
        </w:rPr>
        <w:t>38</w:t>
      </w:r>
      <w:r>
        <w:rPr>
          <w:rFonts w:ascii="宋体" w:hAnsi="宋体"/>
          <w:szCs w:val="21"/>
        </w:rPr>
        <w:t>.</w:t>
      </w:r>
      <w:r>
        <w:rPr>
          <w:rFonts w:hint="eastAsia" w:ascii="宋体" w:hAnsi="宋体"/>
          <w:szCs w:val="21"/>
        </w:rPr>
        <w:t>1.1评审委员会依据本项目招标文件所约定的评审方法进行评审和比较，向政府集中采购机构提交书面评审报告，并根据评审方法比较评价结果从优到劣进行排序，确定候选中标供应商。</w:t>
      </w:r>
    </w:p>
    <w:p w14:paraId="2D8478BB">
      <w:pPr>
        <w:ind w:firstLine="411" w:firstLineChars="196"/>
        <w:rPr>
          <w:rFonts w:ascii="ˎ̥" w:hAnsi="ˎ̥"/>
        </w:rPr>
      </w:pPr>
      <w:r>
        <w:rPr>
          <w:rFonts w:hint="eastAsia" w:ascii="宋体" w:hAnsi="宋体"/>
          <w:szCs w:val="21"/>
        </w:rPr>
        <w:t>38</w:t>
      </w:r>
      <w:r>
        <w:rPr>
          <w:rFonts w:ascii="宋体" w:hAnsi="宋体"/>
          <w:szCs w:val="21"/>
        </w:rPr>
        <w:t>.</w:t>
      </w:r>
      <w:r>
        <w:rPr>
          <w:rFonts w:hint="eastAsia" w:ascii="宋体" w:hAnsi="宋体"/>
          <w:szCs w:val="21"/>
        </w:rPr>
        <w:t>1.2</w:t>
      </w:r>
      <w:r>
        <w:rPr>
          <w:rFonts w:ascii="ˎ̥" w:hAnsi="ˎ̥"/>
        </w:rPr>
        <w:t>采用最低价法的，评</w:t>
      </w:r>
      <w:r>
        <w:rPr>
          <w:rFonts w:hint="eastAsia" w:ascii="ˎ̥" w:hAnsi="ˎ̥"/>
        </w:rPr>
        <w:t>审</w:t>
      </w:r>
      <w:r>
        <w:rPr>
          <w:rFonts w:ascii="ˎ̥" w:hAnsi="ˎ̥"/>
        </w:rPr>
        <w:t>结果按投标报价由低到高顺序排列。投标报价相同的并列。投标文件满足招标文件全部实质性要求且投标报价最低的</w:t>
      </w:r>
      <w:r>
        <w:rPr>
          <w:rFonts w:hint="eastAsia" w:ascii="ˎ̥" w:hAnsi="ˎ̥"/>
        </w:rPr>
        <w:t>投标人为</w:t>
      </w:r>
      <w:bookmarkStart w:id="113" w:name="_Hlk73821177"/>
      <w:r>
        <w:rPr>
          <w:rFonts w:hint="eastAsia" w:ascii="ˎ̥" w:hAnsi="ˎ̥"/>
        </w:rPr>
        <w:t>中标供应商</w:t>
      </w:r>
      <w:r>
        <w:rPr>
          <w:rFonts w:ascii="ˎ̥" w:hAnsi="ˎ̥"/>
        </w:rPr>
        <w:t>（</w:t>
      </w:r>
      <w:r>
        <w:rPr>
          <w:rFonts w:hint="eastAsia" w:ascii="ˎ̥" w:hAnsi="ˎ̥"/>
        </w:rPr>
        <w:t>排名</w:t>
      </w:r>
      <w:r>
        <w:rPr>
          <w:rFonts w:ascii="ˎ̥" w:hAnsi="ˎ̥"/>
        </w:rPr>
        <w:t>第二</w:t>
      </w:r>
      <w:r>
        <w:rPr>
          <w:rFonts w:hint="eastAsia" w:ascii="ˎ̥" w:hAnsi="ˎ̥"/>
        </w:rPr>
        <w:t>的投标人为第一替补中标候选人、排名</w:t>
      </w:r>
      <w:r>
        <w:rPr>
          <w:rFonts w:ascii="ˎ̥" w:hAnsi="ˎ̥"/>
        </w:rPr>
        <w:t>第</w:t>
      </w:r>
      <w:r>
        <w:rPr>
          <w:rFonts w:hint="eastAsia" w:ascii="ˎ̥" w:hAnsi="ˎ̥"/>
        </w:rPr>
        <w:t>三的投标人为第二替补中标候选人</w:t>
      </w:r>
      <w:bookmarkEnd w:id="113"/>
      <w:r>
        <w:rPr>
          <w:rFonts w:ascii="ˎ̥" w:hAnsi="ˎ̥"/>
        </w:rPr>
        <w:t>）。</w:t>
      </w:r>
    </w:p>
    <w:p w14:paraId="29D797EF">
      <w:pPr>
        <w:ind w:firstLine="411" w:firstLineChars="196"/>
        <w:rPr>
          <w:rFonts w:ascii="ˎ̥" w:hAnsi="ˎ̥"/>
        </w:rPr>
      </w:pPr>
      <w:r>
        <w:rPr>
          <w:rFonts w:hint="eastAsia" w:ascii="宋体" w:hAnsi="宋体"/>
          <w:szCs w:val="21"/>
        </w:rPr>
        <w:t>38</w:t>
      </w:r>
      <w:r>
        <w:rPr>
          <w:rFonts w:ascii="宋体" w:hAnsi="宋体"/>
          <w:szCs w:val="21"/>
        </w:rPr>
        <w:t>.</w:t>
      </w:r>
      <w:r>
        <w:rPr>
          <w:rFonts w:hint="eastAsia" w:ascii="宋体" w:hAnsi="宋体"/>
          <w:szCs w:val="21"/>
        </w:rPr>
        <w:t>1.3</w:t>
      </w:r>
      <w:r>
        <w:rPr>
          <w:rFonts w:ascii="宋体" w:hAnsi="宋体"/>
          <w:szCs w:val="21"/>
        </w:rPr>
        <w:t>采</w:t>
      </w:r>
      <w:r>
        <w:rPr>
          <w:rFonts w:ascii="ˎ̥" w:hAnsi="ˎ̥"/>
        </w:rPr>
        <w:t>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w:t>
      </w:r>
      <w:r>
        <w:rPr>
          <w:rFonts w:hint="eastAsia" w:ascii="ˎ̥" w:hAnsi="ˎ̥"/>
        </w:rPr>
        <w:t>为中标供应商</w:t>
      </w:r>
      <w:r>
        <w:rPr>
          <w:rFonts w:ascii="ˎ̥" w:hAnsi="ˎ̥"/>
        </w:rPr>
        <w:t>（</w:t>
      </w:r>
      <w:r>
        <w:rPr>
          <w:rFonts w:hint="eastAsia" w:ascii="ˎ̥" w:hAnsi="ˎ̥"/>
        </w:rPr>
        <w:t>排名</w:t>
      </w:r>
      <w:r>
        <w:rPr>
          <w:rFonts w:ascii="ˎ̥" w:hAnsi="ˎ̥"/>
        </w:rPr>
        <w:t>第二</w:t>
      </w:r>
      <w:r>
        <w:rPr>
          <w:rFonts w:hint="eastAsia" w:ascii="ˎ̥" w:hAnsi="ˎ̥"/>
        </w:rPr>
        <w:t>的投标人为第一替补中标候选人、排名</w:t>
      </w:r>
      <w:r>
        <w:rPr>
          <w:rFonts w:ascii="ˎ̥" w:hAnsi="ˎ̥"/>
        </w:rPr>
        <w:t>第</w:t>
      </w:r>
      <w:r>
        <w:rPr>
          <w:rFonts w:hint="eastAsia" w:ascii="ˎ̥" w:hAnsi="ˎ̥"/>
        </w:rPr>
        <w:t>三的投标人为第二替补中标候选人</w:t>
      </w:r>
      <w:r>
        <w:rPr>
          <w:rFonts w:ascii="ˎ̥" w:hAnsi="ˎ̥"/>
        </w:rPr>
        <w:t>）。</w:t>
      </w:r>
      <w:r>
        <w:rPr>
          <w:rFonts w:hint="eastAsia" w:ascii="ˎ̥" w:hAnsi="ˎ̥"/>
        </w:rPr>
        <w:t>出现</w:t>
      </w:r>
      <w:r>
        <w:rPr>
          <w:rFonts w:ascii="ˎ̥" w:hAnsi="ˎ̥"/>
        </w:rPr>
        <w:t>得分且投标报价相同的并列</w:t>
      </w:r>
      <w:r>
        <w:rPr>
          <w:rFonts w:hint="eastAsia" w:ascii="ˎ̥" w:hAnsi="ˎ̥"/>
        </w:rPr>
        <w:t>情况时，采取随机抽取的方式确定，具体操作办法及流程由评审委员会确定。</w:t>
      </w:r>
    </w:p>
    <w:p w14:paraId="698AF024">
      <w:pPr>
        <w:ind w:firstLine="411" w:firstLineChars="196"/>
        <w:rPr>
          <w:rFonts w:ascii="宋体" w:hAnsi="宋体"/>
          <w:szCs w:val="21"/>
        </w:rPr>
      </w:pPr>
      <w:r>
        <w:rPr>
          <w:rFonts w:hint="eastAsia" w:ascii="宋体" w:hAnsi="宋体"/>
          <w:szCs w:val="21"/>
        </w:rPr>
        <w:t>38.2评定分离项目定标方法</w:t>
      </w:r>
    </w:p>
    <w:p w14:paraId="69EA1793">
      <w:pPr>
        <w:ind w:firstLine="411" w:firstLineChars="196"/>
        <w:rPr>
          <w:rFonts w:ascii="宋体" w:hAnsi="宋体"/>
          <w:szCs w:val="21"/>
        </w:rPr>
      </w:pPr>
      <w:r>
        <w:rPr>
          <w:rFonts w:hint="eastAsia" w:ascii="宋体" w:hAnsi="宋体"/>
          <w:szCs w:val="21"/>
        </w:rPr>
        <w:t>38.2.1评定分离是指在政府集中采购程序中，以公开招标方式执行采购，评审委员会负责对投标文件进行评审、推荐候选中标供应商并出具书面评审报告，由采购人根据评审委员会出具的评审报告从推荐的候选中标供应商中确定中标供应商。单个项目需要确定多家中标供应商的，不适用评定分离。</w:t>
      </w:r>
    </w:p>
    <w:p w14:paraId="2061E16B">
      <w:pPr>
        <w:ind w:firstLine="411" w:firstLineChars="196"/>
      </w:pPr>
      <w:r>
        <w:rPr>
          <w:rFonts w:ascii="宋体" w:hAnsi="宋体"/>
          <w:szCs w:val="21"/>
        </w:rPr>
        <w:t xml:space="preserve">38.2.2 </w:t>
      </w:r>
      <w:bookmarkStart w:id="114" w:name="_Hlk71469733"/>
      <w:r>
        <w:t>适用评定分离的采购项目，采用综合评分法评</w:t>
      </w:r>
      <w:r>
        <w:rPr>
          <w:rFonts w:hint="eastAsia"/>
        </w:rPr>
        <w:t>审。</w:t>
      </w:r>
      <w:r>
        <w:rPr>
          <w:rFonts w:hint="eastAsia" w:ascii="宋体" w:hAnsi="宋体"/>
          <w:szCs w:val="21"/>
        </w:rPr>
        <w:t>评审委员会按照评审结果，推荐</w:t>
      </w:r>
      <w:r>
        <w:t>三个合格的候选中标供应商。</w:t>
      </w:r>
    </w:p>
    <w:p w14:paraId="6DFA1F59">
      <w:pPr>
        <w:ind w:firstLine="411" w:firstLineChars="196"/>
        <w:rPr>
          <w:rFonts w:ascii="宋体" w:hAnsi="宋体"/>
          <w:szCs w:val="21"/>
        </w:rPr>
      </w:pPr>
      <w:r>
        <w:rPr>
          <w:rFonts w:hint="eastAsia" w:ascii="宋体" w:hAnsi="宋体"/>
          <w:szCs w:val="21"/>
        </w:rPr>
        <w:t>38.2.3</w:t>
      </w:r>
      <w:bookmarkStart w:id="115" w:name="_Hlk71469688"/>
      <w:r>
        <w:t>适用评定分离的采购项目，</w:t>
      </w:r>
      <w:r>
        <w:rPr>
          <w:rFonts w:hint="eastAsia" w:ascii="宋体" w:hAnsi="宋体"/>
          <w:szCs w:val="21"/>
        </w:rPr>
        <w:t>按照自定法确定中标供应商：自定法是指采购人组织定标委员会，由定标委员会在三家候选中标供应商中确定中标供应商。</w:t>
      </w:r>
      <w:bookmarkEnd w:id="114"/>
      <w:bookmarkEnd w:id="115"/>
    </w:p>
    <w:p w14:paraId="431A5AA4">
      <w:pPr>
        <w:ind w:firstLine="411" w:firstLineChars="196"/>
        <w:rPr>
          <w:rFonts w:ascii="宋体" w:hAnsi="宋体"/>
          <w:szCs w:val="21"/>
        </w:rPr>
      </w:pPr>
      <w:r>
        <w:rPr>
          <w:rFonts w:ascii="宋体" w:hAnsi="宋体"/>
          <w:szCs w:val="21"/>
        </w:rPr>
        <w:t>38.2.4</w:t>
      </w:r>
      <w:r>
        <w:rPr>
          <w:rFonts w:hint="eastAsia" w:ascii="宋体" w:hAnsi="宋体"/>
          <w:szCs w:val="21"/>
        </w:rPr>
        <w:t>政府集中采购机构</w:t>
      </w:r>
      <w:r>
        <w:t>应当自评审结束之日起两个工作日内将候选中标供应商名单及其投标文件、评审报告送交采购人</w:t>
      </w:r>
      <w:r>
        <w:rPr>
          <w:rFonts w:hint="eastAsia" w:ascii="宋体" w:hAnsi="宋体"/>
          <w:szCs w:val="21"/>
        </w:rPr>
        <w:t>。</w:t>
      </w:r>
      <w:r>
        <w:t>采购人应当安排专人对定标过程进行书面记录，形成定标报告，作为采购文件的组成部分存档，并及时将定标结果反馈</w:t>
      </w:r>
      <w:r>
        <w:rPr>
          <w:rFonts w:hint="eastAsia"/>
        </w:rPr>
        <w:t>政府集中采购机构。具体定标程序及相关要求以参照《深圳市财政局关于&lt;深圳市政府采购评标定标分离管理办法&gt;续期的通知》（深财规〔2023〕1号）执行。</w:t>
      </w:r>
    </w:p>
    <w:p w14:paraId="36BAF594">
      <w:pPr>
        <w:ind w:firstLine="411" w:firstLineChars="196"/>
        <w:rPr>
          <w:rFonts w:ascii="宋体" w:hAnsi="宋体"/>
          <w:szCs w:val="21"/>
        </w:rPr>
      </w:pPr>
      <w:r>
        <w:rPr>
          <w:rFonts w:hint="eastAsia" w:ascii="宋体" w:hAnsi="宋体"/>
          <w:szCs w:val="21"/>
        </w:rPr>
        <w:t>说明：采购人及投标供应商应按照上述方法提前做好相关准备。</w:t>
      </w:r>
    </w:p>
    <w:p w14:paraId="074DBFB4">
      <w:pPr>
        <w:ind w:firstLine="411" w:firstLineChars="196"/>
        <w:rPr>
          <w:rFonts w:ascii="宋体" w:hAnsi="宋体"/>
          <w:szCs w:val="21"/>
        </w:rPr>
      </w:pPr>
      <w:r>
        <w:rPr>
          <w:rFonts w:hint="eastAsia" w:ascii="宋体" w:hAnsi="宋体"/>
          <w:szCs w:val="21"/>
        </w:rPr>
        <w:t>38.3专用条款另有规定的，按专用条款相关要求定标。</w:t>
      </w:r>
      <w:bookmarkEnd w:id="112"/>
    </w:p>
    <w:p w14:paraId="697695B4">
      <w:pPr>
        <w:rPr>
          <w:rFonts w:ascii="黑体" w:hAnsi="宋体" w:eastAsia="黑体"/>
          <w:sz w:val="24"/>
        </w:rPr>
      </w:pPr>
      <w:r>
        <w:rPr>
          <w:rFonts w:hint="eastAsia" w:ascii="黑体" w:hAnsi="宋体" w:eastAsia="黑体"/>
          <w:sz w:val="24"/>
        </w:rPr>
        <w:t>39．编写评审报告</w:t>
      </w:r>
    </w:p>
    <w:p w14:paraId="2541ACCC">
      <w:pPr>
        <w:ind w:firstLine="411" w:firstLineChars="196"/>
        <w:rPr>
          <w:rFonts w:ascii="宋体" w:hAnsi="宋体"/>
          <w:szCs w:val="21"/>
        </w:rPr>
      </w:pPr>
      <w:r>
        <w:rPr>
          <w:rFonts w:hint="eastAsia" w:ascii="宋体" w:hAnsi="宋体"/>
          <w:szCs w:val="21"/>
        </w:rPr>
        <w:t>评审报告是评审委员会根据全体评标成员签字的原始评审记录和评审结果编写的报告，评审报告由评审委员会全体成员签字。对评审结论持有异议的评审委员会成员可以书面方式阐述其不同意见和理由。评审委员会成员拒绝在评审报告上签字且不陈述其不同意见和理由的，视为同意评审结论。评审委员会应当对此作出书面说明并记录存档。</w:t>
      </w:r>
    </w:p>
    <w:p w14:paraId="2EE59EEF">
      <w:pPr>
        <w:rPr>
          <w:rFonts w:ascii="黑体" w:hAnsi="宋体" w:eastAsia="黑体"/>
          <w:sz w:val="24"/>
        </w:rPr>
      </w:pPr>
      <w:r>
        <w:rPr>
          <w:rFonts w:hint="eastAsia" w:ascii="黑体" w:hAnsi="宋体" w:eastAsia="黑体"/>
          <w:sz w:val="24"/>
        </w:rPr>
        <w:t>40．中标公告</w:t>
      </w:r>
    </w:p>
    <w:p w14:paraId="39BD8A5F">
      <w:pPr>
        <w:ind w:firstLine="411" w:firstLineChars="196"/>
        <w:rPr>
          <w:rFonts w:ascii="宋体" w:hAnsi="宋体"/>
          <w:szCs w:val="21"/>
        </w:rPr>
      </w:pPr>
      <w:r>
        <w:rPr>
          <w:rFonts w:hint="eastAsia" w:ascii="宋体" w:hAnsi="宋体"/>
          <w:szCs w:val="21"/>
        </w:rPr>
        <w:t>40.1</w:t>
      </w:r>
      <w:bookmarkStart w:id="116" w:name="_Hlk72438709"/>
      <w:r>
        <w:rPr>
          <w:rFonts w:hint="eastAsia" w:ascii="宋体" w:hAnsi="宋体"/>
          <w:szCs w:val="21"/>
        </w:rPr>
        <w:t>为体现“公开、公平、公正”的原则，评审结束后经采购人确认（确定）评审结果，政府集中采购机构将在</w:t>
      </w:r>
      <w:r>
        <w:rPr>
          <w:rFonts w:hint="eastAsia" w:ascii="宋体" w:hAnsi="宋体"/>
          <w:b/>
          <w:bCs/>
          <w:szCs w:val="21"/>
        </w:rPr>
        <w:t>深圳交易集团官网</w:t>
      </w:r>
      <w:r>
        <w:rPr>
          <w:rFonts w:hint="eastAsia" w:ascii="宋体" w:hAnsi="宋体"/>
          <w:szCs w:val="21"/>
        </w:rPr>
        <w:t>（https://www.szexgrp.com/home/index.html）上发布中标（成交）结果公告。</w:t>
      </w:r>
      <w:bookmarkEnd w:id="116"/>
      <w:bookmarkStart w:id="117" w:name="_Hlk72438751"/>
      <w:r>
        <w:rPr>
          <w:rFonts w:hint="eastAsia" w:ascii="宋体" w:hAnsi="宋体"/>
          <w:szCs w:val="21"/>
        </w:rPr>
        <w:t>供应商如对评审结果有异议，</w:t>
      </w:r>
      <w:r>
        <w:rPr>
          <w:rFonts w:ascii="宋体" w:hAnsi="宋体"/>
          <w:szCs w:val="21"/>
        </w:rPr>
        <w:t>可在发布公示日期起</w:t>
      </w:r>
      <w:r>
        <w:rPr>
          <w:rFonts w:hint="eastAsia" w:ascii="宋体" w:hAnsi="宋体"/>
          <w:szCs w:val="21"/>
        </w:rPr>
        <w:t>七</w:t>
      </w:r>
      <w:r>
        <w:rPr>
          <w:rFonts w:ascii="宋体" w:hAnsi="宋体"/>
          <w:szCs w:val="21"/>
        </w:rPr>
        <w:t>个工作日内向</w:t>
      </w:r>
      <w:r>
        <w:rPr>
          <w:rFonts w:hint="eastAsia" w:ascii="宋体" w:hAnsi="宋体"/>
          <w:szCs w:val="21"/>
        </w:rPr>
        <w:t>政府集中采购机构</w:t>
      </w:r>
      <w:r>
        <w:rPr>
          <w:rFonts w:ascii="宋体" w:hAnsi="宋体"/>
          <w:szCs w:val="21"/>
        </w:rPr>
        <w:t>提出。</w:t>
      </w:r>
      <w:r>
        <w:rPr>
          <w:rFonts w:hint="eastAsia" w:ascii="宋体" w:hAnsi="宋体"/>
          <w:szCs w:val="21"/>
        </w:rPr>
        <w:t>若在公示期内未提出质疑，则视为认同该评审结果。</w:t>
      </w:r>
    </w:p>
    <w:bookmarkEnd w:id="117"/>
    <w:p w14:paraId="4540B10E">
      <w:pPr>
        <w:ind w:firstLine="411" w:firstLineChars="196"/>
        <w:rPr>
          <w:rFonts w:ascii="宋体" w:hAnsi="宋体"/>
          <w:szCs w:val="21"/>
        </w:rPr>
      </w:pPr>
      <w:r>
        <w:rPr>
          <w:rFonts w:hint="eastAsia" w:ascii="宋体" w:hAnsi="宋体"/>
          <w:szCs w:val="21"/>
        </w:rPr>
        <w:t>40.2质疑、投诉供应商应保证质疑、投诉内容的真实性和可靠性，并承担相应的法律责任。</w:t>
      </w:r>
    </w:p>
    <w:p w14:paraId="7F3114C3">
      <w:pPr>
        <w:rPr>
          <w:rFonts w:ascii="黑体" w:hAnsi="宋体" w:eastAsia="黑体"/>
          <w:sz w:val="24"/>
        </w:rPr>
      </w:pPr>
      <w:r>
        <w:rPr>
          <w:rFonts w:hint="eastAsia" w:ascii="黑体" w:hAnsi="宋体" w:eastAsia="黑体"/>
          <w:sz w:val="24"/>
        </w:rPr>
        <w:t>41．中标通知书</w:t>
      </w:r>
    </w:p>
    <w:p w14:paraId="6226B8FD">
      <w:pPr>
        <w:ind w:firstLine="411" w:firstLineChars="196"/>
        <w:rPr>
          <w:rFonts w:ascii="宋体" w:hAnsi="宋体"/>
          <w:szCs w:val="21"/>
        </w:rPr>
      </w:pPr>
      <w:r>
        <w:rPr>
          <w:rFonts w:hint="eastAsia" w:ascii="宋体" w:hAnsi="宋体"/>
          <w:szCs w:val="21"/>
        </w:rPr>
        <w:t>41</w:t>
      </w:r>
      <w:r>
        <w:rPr>
          <w:rFonts w:ascii="宋体" w:hAnsi="宋体"/>
          <w:szCs w:val="21"/>
        </w:rPr>
        <w:t>.</w:t>
      </w:r>
      <w:r>
        <w:rPr>
          <w:rFonts w:hint="eastAsia" w:ascii="宋体" w:hAnsi="宋体"/>
          <w:szCs w:val="21"/>
        </w:rPr>
        <w:t>1</w:t>
      </w:r>
      <w:bookmarkStart w:id="118" w:name="_Hlk72438863"/>
      <w:r>
        <w:rPr>
          <w:rFonts w:hint="eastAsia" w:ascii="宋体" w:hAnsi="宋体"/>
          <w:szCs w:val="21"/>
        </w:rPr>
        <w:t>中标公告公布以后无异常的情况下,中标供应商和采购人可自行在</w:t>
      </w:r>
      <w:r>
        <w:rPr>
          <w:rFonts w:hint="eastAsia" w:ascii="宋体" w:hAnsi="宋体"/>
          <w:b/>
          <w:bCs/>
          <w:szCs w:val="21"/>
        </w:rPr>
        <w:t>“深圳市自行采购系统”</w:t>
      </w:r>
      <w:r>
        <w:rPr>
          <w:rFonts w:hint="eastAsia" w:ascii="宋体" w:hAnsi="宋体"/>
          <w:szCs w:val="21"/>
        </w:rPr>
        <w:t>上打印</w:t>
      </w:r>
      <w:r>
        <w:rPr>
          <w:rFonts w:hint="eastAsia" w:ascii="宋体" w:hAnsi="宋体"/>
          <w:b/>
          <w:szCs w:val="21"/>
        </w:rPr>
        <w:t>《数字中标通知书》</w:t>
      </w:r>
      <w:r>
        <w:rPr>
          <w:rFonts w:hint="eastAsia" w:ascii="宋体" w:hAnsi="宋体"/>
          <w:szCs w:val="21"/>
        </w:rPr>
        <w:t>。</w:t>
      </w:r>
      <w:bookmarkEnd w:id="118"/>
    </w:p>
    <w:p w14:paraId="752CB4BB">
      <w:pPr>
        <w:ind w:firstLine="411" w:firstLineChars="196"/>
        <w:rPr>
          <w:rFonts w:ascii="宋体" w:hAnsi="宋体"/>
          <w:szCs w:val="21"/>
        </w:rPr>
      </w:pPr>
      <w:r>
        <w:rPr>
          <w:rFonts w:hint="eastAsia" w:ascii="宋体" w:hAnsi="宋体"/>
          <w:szCs w:val="21"/>
        </w:rPr>
        <w:t>41</w:t>
      </w:r>
      <w:r>
        <w:rPr>
          <w:rFonts w:ascii="宋体" w:hAnsi="宋体"/>
          <w:szCs w:val="21"/>
        </w:rPr>
        <w:t>.2</w:t>
      </w:r>
      <w:r>
        <w:rPr>
          <w:rFonts w:hint="eastAsia" w:ascii="宋体" w:hAnsi="宋体"/>
          <w:szCs w:val="21"/>
        </w:rPr>
        <w:t>中标通知书是合同的重要组成部分。</w:t>
      </w:r>
    </w:p>
    <w:p w14:paraId="1A04D22C">
      <w:pPr>
        <w:ind w:firstLine="411" w:firstLineChars="196"/>
        <w:rPr>
          <w:rFonts w:ascii="宋体" w:hAnsi="宋体"/>
          <w:szCs w:val="21"/>
        </w:rPr>
      </w:pPr>
      <w:bookmarkStart w:id="119" w:name="_Hlk71407340"/>
      <w:r>
        <w:rPr>
          <w:rFonts w:hint="eastAsia" w:ascii="宋体" w:hAnsi="宋体"/>
          <w:szCs w:val="21"/>
        </w:rPr>
        <w:t>41.3因质疑投诉或其它原因导致项目结果变更或采购终止的，政府集中采购机构有权吊销中标通知书。</w:t>
      </w:r>
    </w:p>
    <w:bookmarkEnd w:id="119"/>
    <w:p w14:paraId="49DC3A82">
      <w:pPr>
        <w:ind w:firstLine="411" w:firstLineChars="196"/>
        <w:rPr>
          <w:rFonts w:ascii="宋体" w:hAnsi="宋体"/>
          <w:szCs w:val="21"/>
        </w:rPr>
      </w:pPr>
    </w:p>
    <w:p w14:paraId="34DD12A4">
      <w:pPr>
        <w:keepNext/>
        <w:keepLines/>
        <w:numPr>
          <w:ilvl w:val="0"/>
          <w:numId w:val="17"/>
        </w:numPr>
        <w:adjustRightInd w:val="0"/>
        <w:spacing w:before="120" w:beforeLines="50" w:after="120" w:afterLines="50"/>
        <w:ind w:left="562" w:hanging="562"/>
        <w:jc w:val="center"/>
        <w:textAlignment w:val="baseline"/>
        <w:outlineLvl w:val="1"/>
        <w:rPr>
          <w:rFonts w:ascii="宋体" w:hAnsi="宋体"/>
          <w:b/>
          <w:bCs/>
          <w:kern w:val="0"/>
          <w:sz w:val="28"/>
          <w:szCs w:val="28"/>
        </w:rPr>
      </w:pPr>
      <w:r>
        <w:rPr>
          <w:rFonts w:hint="eastAsia" w:ascii="宋体" w:hAnsi="宋体"/>
          <w:b/>
          <w:bCs/>
          <w:kern w:val="0"/>
          <w:sz w:val="28"/>
          <w:szCs w:val="28"/>
        </w:rPr>
        <w:t>公开招标失败的后续处理</w:t>
      </w:r>
    </w:p>
    <w:p w14:paraId="229F4274">
      <w:pPr>
        <w:rPr>
          <w:rFonts w:ascii="黑体" w:hAnsi="宋体" w:eastAsia="黑体"/>
          <w:sz w:val="24"/>
        </w:rPr>
      </w:pPr>
      <w:r>
        <w:rPr>
          <w:rFonts w:hint="eastAsia" w:ascii="黑体" w:hAnsi="宋体" w:eastAsia="黑体"/>
          <w:sz w:val="24"/>
        </w:rPr>
        <w:t>42．公开招标失败的处理</w:t>
      </w:r>
    </w:p>
    <w:p w14:paraId="267BD76F">
      <w:pPr>
        <w:ind w:firstLine="411" w:firstLineChars="196"/>
        <w:rPr>
          <w:rFonts w:ascii="宋体" w:hAnsi="宋体"/>
        </w:rPr>
      </w:pPr>
      <w:r>
        <w:rPr>
          <w:rFonts w:hint="eastAsia" w:ascii="宋体" w:hAnsi="宋体"/>
          <w:szCs w:val="21"/>
        </w:rPr>
        <w:t>42.1本项目公开招标过程中若由于投标截止后</w:t>
      </w:r>
      <w:r>
        <w:rPr>
          <w:rFonts w:hint="eastAsia" w:ascii="宋体" w:hAnsi="宋体"/>
        </w:rPr>
        <w:t>实际递交</w:t>
      </w:r>
      <w:r>
        <w:rPr>
          <w:rFonts w:ascii="宋体" w:hAnsi="宋体"/>
        </w:rPr>
        <w:t>投标</w:t>
      </w:r>
      <w:r>
        <w:rPr>
          <w:rFonts w:hint="eastAsia" w:ascii="宋体" w:hAnsi="宋体"/>
        </w:rPr>
        <w:t>文件的供应商数量不足、经</w:t>
      </w:r>
      <w:r>
        <w:rPr>
          <w:rFonts w:hint="eastAsia" w:ascii="宋体" w:hAnsi="宋体"/>
          <w:szCs w:val="21"/>
        </w:rPr>
        <w:t>评审委员会</w:t>
      </w:r>
      <w:r>
        <w:rPr>
          <w:rFonts w:hint="eastAsia" w:ascii="宋体" w:hAnsi="宋体"/>
        </w:rPr>
        <w:t>评审对招标文件作实质响应的供应商不足等原因造成公开招标失败，可由</w:t>
      </w:r>
      <w:r>
        <w:rPr>
          <w:rFonts w:hint="eastAsia" w:ascii="宋体" w:hAnsi="宋体" w:cs="宋体"/>
        </w:rPr>
        <w:t>政府集中采购机构</w:t>
      </w:r>
      <w:r>
        <w:rPr>
          <w:rFonts w:hint="eastAsia" w:ascii="宋体" w:hAnsi="宋体"/>
        </w:rPr>
        <w:t>重新组织采购。</w:t>
      </w:r>
    </w:p>
    <w:p w14:paraId="14128B9E">
      <w:pPr>
        <w:ind w:firstLine="411" w:firstLineChars="196"/>
        <w:rPr>
          <w:rFonts w:ascii="宋体" w:hAnsi="宋体"/>
          <w:szCs w:val="21"/>
        </w:rPr>
      </w:pPr>
      <w:r>
        <w:rPr>
          <w:rFonts w:hint="eastAsia" w:ascii="宋体" w:hAnsi="宋体"/>
          <w:szCs w:val="21"/>
        </w:rPr>
        <w:t>42.2对公开招标失败的项目，评审委员会在出具该项目招标失败结论的同时，可以提出重新采购组织形式的建议，以及进一步完善招标文件的资格、技术、商务要求的修改建议。</w:t>
      </w:r>
    </w:p>
    <w:p w14:paraId="3111D914">
      <w:pPr>
        <w:ind w:firstLine="411" w:firstLineChars="196"/>
        <w:rPr>
          <w:rFonts w:ascii="宋体" w:hAnsi="宋体"/>
          <w:szCs w:val="21"/>
        </w:rPr>
      </w:pPr>
      <w:r>
        <w:rPr>
          <w:rFonts w:hint="eastAsia" w:ascii="宋体" w:hAnsi="宋体"/>
          <w:szCs w:val="21"/>
        </w:rPr>
        <w:t>42.3重新组织采购有以下两种组织形式：</w:t>
      </w:r>
    </w:p>
    <w:p w14:paraId="51AEA4F0">
      <w:pPr>
        <w:ind w:firstLine="411" w:firstLineChars="196"/>
        <w:rPr>
          <w:rFonts w:ascii="宋体" w:hAnsi="宋体"/>
        </w:rPr>
      </w:pPr>
      <w:r>
        <w:rPr>
          <w:rFonts w:hint="eastAsia" w:ascii="宋体" w:hAnsi="宋体"/>
        </w:rPr>
        <w:t>（1）由政府集中采购机构重新组织公开招标；</w:t>
      </w:r>
    </w:p>
    <w:p w14:paraId="04204F39">
      <w:pPr>
        <w:ind w:firstLine="411" w:firstLineChars="196"/>
        <w:rPr>
          <w:rFonts w:ascii="宋体" w:hAnsi="宋体"/>
        </w:rPr>
      </w:pPr>
      <w:r>
        <w:rPr>
          <w:rFonts w:hint="eastAsia" w:ascii="宋体" w:hAnsi="宋体"/>
        </w:rPr>
        <w:t>（2）根据实际情况需要，按</w:t>
      </w:r>
      <w:r>
        <w:rPr>
          <w:rFonts w:hint="eastAsia" w:ascii="宋体" w:hAnsi="宋体"/>
          <w:szCs w:val="21"/>
        </w:rPr>
        <w:t>采购单位内控规定，</w:t>
      </w:r>
      <w:r>
        <w:rPr>
          <w:rFonts w:hint="eastAsia" w:ascii="宋体" w:hAnsi="宋体"/>
        </w:rPr>
        <w:t>提出非公开招标方式申请，公开招标失败采购项目可转为竞争性谈判或单一来源谈判方式采购。</w:t>
      </w:r>
    </w:p>
    <w:p w14:paraId="1785379A">
      <w:pPr>
        <w:ind w:firstLine="411" w:firstLineChars="196"/>
        <w:rPr>
          <w:rFonts w:ascii="宋体" w:hAnsi="宋体"/>
        </w:rPr>
      </w:pPr>
      <w:r>
        <w:rPr>
          <w:rFonts w:hint="eastAsia" w:ascii="宋体" w:hAnsi="宋体"/>
        </w:rPr>
        <w:t>42.4公开招标失败的采购项目重新组织公开招标，由政府集中采购机构重新按公开招标流程组织采购活动。</w:t>
      </w:r>
    </w:p>
    <w:p w14:paraId="464DDDDE">
      <w:pPr>
        <w:rPr>
          <w:rFonts w:ascii="黑体" w:hAnsi="宋体" w:eastAsia="黑体"/>
          <w:sz w:val="24"/>
        </w:rPr>
      </w:pPr>
    </w:p>
    <w:p w14:paraId="0A071BD1">
      <w:pPr>
        <w:keepNext/>
        <w:keepLines/>
        <w:numPr>
          <w:ilvl w:val="0"/>
          <w:numId w:val="17"/>
        </w:numPr>
        <w:adjustRightInd w:val="0"/>
        <w:spacing w:before="120" w:beforeLines="50" w:after="120" w:afterLines="50"/>
        <w:ind w:left="562" w:hanging="562"/>
        <w:jc w:val="center"/>
        <w:textAlignment w:val="baseline"/>
        <w:outlineLvl w:val="1"/>
        <w:rPr>
          <w:rFonts w:ascii="宋体" w:hAnsi="宋体"/>
          <w:b/>
          <w:bCs/>
          <w:kern w:val="0"/>
          <w:sz w:val="28"/>
          <w:szCs w:val="28"/>
        </w:rPr>
      </w:pPr>
      <w:bookmarkStart w:id="120" w:name="_Hlk72439043"/>
      <w:r>
        <w:rPr>
          <w:rFonts w:hint="eastAsia" w:ascii="宋体" w:hAnsi="宋体"/>
          <w:b/>
          <w:bCs/>
          <w:kern w:val="0"/>
          <w:sz w:val="28"/>
          <w:szCs w:val="28"/>
        </w:rPr>
        <w:t>合同的授予与备案</w:t>
      </w:r>
      <w:bookmarkEnd w:id="120"/>
    </w:p>
    <w:p w14:paraId="4BCF52DE">
      <w:pPr>
        <w:rPr>
          <w:rFonts w:ascii="黑体" w:hAnsi="宋体" w:eastAsia="黑体"/>
          <w:sz w:val="24"/>
        </w:rPr>
      </w:pPr>
      <w:bookmarkStart w:id="121" w:name="_Toc73518157"/>
      <w:bookmarkStart w:id="122" w:name="_Toc73521674"/>
      <w:bookmarkStart w:id="123" w:name="_Toc73521586"/>
      <w:bookmarkStart w:id="124" w:name="_Toc100052408"/>
      <w:bookmarkStart w:id="125" w:name="_Toc73517679"/>
      <w:bookmarkStart w:id="126" w:name="_Hlk72439088"/>
      <w:r>
        <w:rPr>
          <w:rFonts w:hint="eastAsia" w:ascii="黑体" w:hAnsi="宋体" w:eastAsia="黑体"/>
          <w:sz w:val="24"/>
        </w:rPr>
        <w:t>43．合同授予标准</w:t>
      </w:r>
      <w:bookmarkEnd w:id="121"/>
      <w:bookmarkEnd w:id="122"/>
      <w:bookmarkEnd w:id="123"/>
      <w:bookmarkEnd w:id="124"/>
      <w:bookmarkEnd w:id="125"/>
    </w:p>
    <w:p w14:paraId="20596F93">
      <w:pPr>
        <w:ind w:firstLine="411" w:firstLineChars="196"/>
        <w:rPr>
          <w:rFonts w:ascii="宋体" w:hAnsi="宋体"/>
          <w:szCs w:val="21"/>
        </w:rPr>
      </w:pPr>
      <w:r>
        <w:rPr>
          <w:rFonts w:hint="eastAsia" w:ascii="宋体" w:hAnsi="宋体"/>
          <w:szCs w:val="21"/>
        </w:rPr>
        <w:t>本项目的合同将授予经本招标文件规定评审确定的中标供应商。</w:t>
      </w:r>
    </w:p>
    <w:p w14:paraId="2B107E9C">
      <w:pPr>
        <w:rPr>
          <w:rFonts w:ascii="黑体" w:hAnsi="宋体" w:eastAsia="黑体"/>
          <w:sz w:val="24"/>
        </w:rPr>
      </w:pPr>
      <w:bookmarkStart w:id="127" w:name="_Toc100052409"/>
      <w:bookmarkStart w:id="128" w:name="_Toc73521675"/>
      <w:bookmarkStart w:id="129" w:name="_Toc73521587"/>
      <w:bookmarkStart w:id="130" w:name="_Toc73517680"/>
      <w:bookmarkStart w:id="131" w:name="_Toc73518158"/>
      <w:r>
        <w:rPr>
          <w:rFonts w:hint="eastAsia" w:ascii="黑体" w:hAnsi="宋体" w:eastAsia="黑体"/>
          <w:sz w:val="24"/>
        </w:rPr>
        <w:t>44．</w:t>
      </w:r>
      <w:bookmarkEnd w:id="127"/>
      <w:bookmarkEnd w:id="128"/>
      <w:bookmarkEnd w:id="129"/>
      <w:bookmarkEnd w:id="130"/>
      <w:bookmarkEnd w:id="131"/>
      <w:r>
        <w:rPr>
          <w:rFonts w:hint="eastAsia" w:ascii="黑体" w:hAnsi="宋体" w:eastAsia="黑体"/>
          <w:sz w:val="24"/>
        </w:rPr>
        <w:t>接受和拒绝任何或所有投标的权力</w:t>
      </w:r>
    </w:p>
    <w:p w14:paraId="18242732">
      <w:pPr>
        <w:ind w:firstLine="411" w:firstLineChars="196"/>
        <w:rPr>
          <w:rFonts w:ascii="宋体" w:hAnsi="宋体"/>
          <w:szCs w:val="21"/>
        </w:rPr>
      </w:pPr>
      <w:r>
        <w:rPr>
          <w:rFonts w:hint="eastAsia" w:ascii="宋体" w:hAnsi="宋体"/>
          <w:szCs w:val="21"/>
        </w:rPr>
        <w:t>政府集中采购机构和采购人保留在投标之前任何时候接受或拒绝任何投标或所有投标，以及宣布招标无效的权力，对受影响的投标人不承担任何责任，也无义务向受影响的投标人解释采取这一行动的理由。</w:t>
      </w:r>
    </w:p>
    <w:p w14:paraId="61F05DAB">
      <w:pPr>
        <w:rPr>
          <w:rFonts w:ascii="黑体" w:hAnsi="宋体" w:eastAsia="黑体"/>
          <w:sz w:val="24"/>
        </w:rPr>
      </w:pPr>
      <w:bookmarkStart w:id="132" w:name="_Toc73521677"/>
      <w:bookmarkStart w:id="133" w:name="_Toc100052410"/>
      <w:bookmarkStart w:id="134" w:name="_Toc73518160"/>
      <w:bookmarkStart w:id="135" w:name="_Toc73521589"/>
      <w:bookmarkStart w:id="136" w:name="_Toc73517682"/>
      <w:r>
        <w:rPr>
          <w:rFonts w:hint="eastAsia" w:ascii="黑体" w:hAnsi="宋体" w:eastAsia="黑体"/>
          <w:sz w:val="24"/>
        </w:rPr>
        <w:t>45．合同的签订</w:t>
      </w:r>
      <w:bookmarkEnd w:id="132"/>
      <w:bookmarkEnd w:id="133"/>
      <w:bookmarkEnd w:id="134"/>
      <w:bookmarkEnd w:id="135"/>
      <w:bookmarkEnd w:id="136"/>
    </w:p>
    <w:p w14:paraId="52EBFAFC">
      <w:pPr>
        <w:ind w:firstLine="411" w:firstLineChars="196"/>
        <w:rPr>
          <w:rFonts w:ascii="宋体" w:hAnsi="宋体"/>
          <w:szCs w:val="21"/>
        </w:rPr>
      </w:pPr>
      <w:r>
        <w:rPr>
          <w:rFonts w:hint="eastAsia" w:ascii="宋体" w:hAnsi="宋体"/>
          <w:szCs w:val="21"/>
        </w:rPr>
        <w:t>45.1中标人将于中标通知书发出之日起按照采购人内控制度要求，按照采购文件（招标文件和投标文件等）内容与采购人签订采购合同；合同的实质性内容应当符合招标文件的规定；</w:t>
      </w:r>
    </w:p>
    <w:p w14:paraId="5F314FD0">
      <w:pPr>
        <w:ind w:firstLine="411" w:firstLineChars="196"/>
        <w:rPr>
          <w:rFonts w:ascii="宋体" w:hAnsi="宋体"/>
          <w:szCs w:val="21"/>
        </w:rPr>
      </w:pPr>
      <w:r>
        <w:rPr>
          <w:rFonts w:hint="eastAsia" w:ascii="宋体" w:hAnsi="宋体"/>
          <w:szCs w:val="21"/>
        </w:rPr>
        <w:t>45.2中标人如不按本通用条款第45</w:t>
      </w:r>
      <w:r>
        <w:rPr>
          <w:rFonts w:ascii="宋体" w:hAnsi="宋体"/>
          <w:szCs w:val="21"/>
        </w:rPr>
        <w:t>.1</w:t>
      </w:r>
      <w:r>
        <w:rPr>
          <w:rFonts w:hint="eastAsia" w:ascii="宋体" w:hAnsi="宋体"/>
          <w:szCs w:val="21"/>
        </w:rPr>
        <w:t>款的规定与采购人签订合同，</w:t>
      </w:r>
      <w:r>
        <w:rPr>
          <w:rFonts w:ascii="宋体" w:hAnsi="宋体" w:cs="宋体"/>
          <w:kern w:val="0"/>
          <w:szCs w:val="21"/>
        </w:rPr>
        <w:t>情节严重的，由</w:t>
      </w:r>
      <w:r>
        <w:rPr>
          <w:rFonts w:hint="eastAsia" w:ascii="宋体" w:hAnsi="宋体" w:cs="宋体"/>
          <w:kern w:val="0"/>
          <w:szCs w:val="21"/>
        </w:rPr>
        <w:t>同级财政</w:t>
      </w:r>
      <w:r>
        <w:rPr>
          <w:rFonts w:ascii="宋体" w:hAnsi="宋体" w:cs="宋体"/>
          <w:kern w:val="0"/>
          <w:szCs w:val="21"/>
        </w:rPr>
        <w:t>部门记入供应商诚信档案，予以通报</w:t>
      </w:r>
      <w:r>
        <w:rPr>
          <w:rFonts w:hint="eastAsia" w:ascii="宋体" w:hAnsi="宋体"/>
          <w:szCs w:val="21"/>
        </w:rPr>
        <w:t>；</w:t>
      </w:r>
    </w:p>
    <w:p w14:paraId="198474D2">
      <w:pPr>
        <w:ind w:firstLine="411" w:firstLineChars="196"/>
        <w:rPr>
          <w:rFonts w:ascii="宋体" w:hAnsi="宋体"/>
          <w:szCs w:val="21"/>
        </w:rPr>
      </w:pPr>
      <w:r>
        <w:rPr>
          <w:rFonts w:hint="eastAsia" w:ascii="宋体" w:hAnsi="宋体"/>
          <w:szCs w:val="21"/>
        </w:rPr>
        <w:t>45.3中标人应当按照合同约定履行义务，完成中标项目，不得将中标项目转让（转包）给他人。</w:t>
      </w:r>
    </w:p>
    <w:p w14:paraId="146B75F2">
      <w:pPr>
        <w:rPr>
          <w:rFonts w:ascii="黑体" w:hAnsi="宋体" w:eastAsia="黑体"/>
          <w:sz w:val="24"/>
        </w:rPr>
      </w:pPr>
      <w:bookmarkStart w:id="137" w:name="_Toc100052411"/>
      <w:bookmarkStart w:id="138" w:name="_Toc73517683"/>
      <w:bookmarkStart w:id="139" w:name="_Toc73518161"/>
      <w:bookmarkStart w:id="140" w:name="_Toc73521590"/>
      <w:bookmarkStart w:id="141" w:name="_Toc73521678"/>
      <w:r>
        <w:rPr>
          <w:rFonts w:hint="eastAsia" w:ascii="黑体" w:hAnsi="宋体" w:eastAsia="黑体"/>
          <w:sz w:val="24"/>
        </w:rPr>
        <w:t>46．履约担保</w:t>
      </w:r>
      <w:bookmarkEnd w:id="137"/>
      <w:bookmarkEnd w:id="138"/>
      <w:bookmarkEnd w:id="139"/>
      <w:bookmarkEnd w:id="140"/>
      <w:bookmarkEnd w:id="141"/>
    </w:p>
    <w:p w14:paraId="2EAA6C21">
      <w:pPr>
        <w:ind w:firstLine="411" w:firstLineChars="196"/>
        <w:rPr>
          <w:rFonts w:ascii="宋体" w:hAnsi="宋体"/>
          <w:szCs w:val="21"/>
        </w:rPr>
      </w:pPr>
      <w:r>
        <w:rPr>
          <w:rFonts w:hint="eastAsia" w:ascii="宋体" w:hAnsi="宋体"/>
          <w:szCs w:val="21"/>
        </w:rPr>
        <w:t>46.1在签订项目合同的同时，中标人应按“对通用条款的补充内容”中规定的金额向采购人提交履约担保；</w:t>
      </w:r>
    </w:p>
    <w:p w14:paraId="23C39483">
      <w:pPr>
        <w:ind w:firstLine="411" w:firstLineChars="196"/>
        <w:rPr>
          <w:rFonts w:ascii="宋体" w:hAnsi="宋体"/>
          <w:szCs w:val="21"/>
        </w:rPr>
      </w:pPr>
      <w:r>
        <w:rPr>
          <w:rFonts w:hint="eastAsia" w:ascii="宋体" w:hAnsi="宋体"/>
          <w:szCs w:val="21"/>
        </w:rPr>
        <w:t>46.2，允许供应商自主选择以支票、汇票、本票、保函等非现金方式提交履约担保；</w:t>
      </w:r>
      <w:r>
        <w:t>中标</w:t>
      </w:r>
      <w:r>
        <w:rPr>
          <w:rFonts w:hint="eastAsia"/>
        </w:rPr>
        <w:t>人</w:t>
      </w:r>
      <w:r>
        <w:t>提交履约</w:t>
      </w:r>
      <w:r>
        <w:rPr>
          <w:rFonts w:hint="eastAsia"/>
        </w:rPr>
        <w:t>担保不是</w:t>
      </w:r>
      <w:r>
        <w:t>合同签订的</w:t>
      </w:r>
      <w:r>
        <w:rPr>
          <w:rFonts w:hint="eastAsia"/>
        </w:rPr>
        <w:t>前提</w:t>
      </w:r>
      <w:r>
        <w:t>条件，不要求中标</w:t>
      </w:r>
      <w:r>
        <w:rPr>
          <w:rFonts w:hint="eastAsia"/>
        </w:rPr>
        <w:t>人</w:t>
      </w:r>
      <w:r>
        <w:t>提供除法律、法规明确规定外的其他担保</w:t>
      </w:r>
      <w:r>
        <w:rPr>
          <w:rFonts w:hint="eastAsia"/>
        </w:rPr>
        <w:t>。</w:t>
      </w:r>
    </w:p>
    <w:p w14:paraId="35E9E6C1">
      <w:pPr>
        <w:rPr>
          <w:rFonts w:ascii="黑体" w:hAnsi="宋体" w:eastAsia="黑体"/>
          <w:sz w:val="24"/>
        </w:rPr>
      </w:pPr>
      <w:r>
        <w:rPr>
          <w:rFonts w:hint="eastAsia" w:ascii="黑体" w:hAnsi="宋体" w:eastAsia="黑体"/>
          <w:sz w:val="24"/>
        </w:rPr>
        <w:t>47. 合同备案</w:t>
      </w:r>
    </w:p>
    <w:p w14:paraId="080EB6E2">
      <w:pPr>
        <w:ind w:firstLine="420" w:firstLineChars="200"/>
        <w:rPr>
          <w:rFonts w:ascii="宋体" w:hAnsi="宋体"/>
          <w:szCs w:val="21"/>
        </w:rPr>
      </w:pPr>
      <w:r>
        <w:rPr>
          <w:rFonts w:hint="eastAsia" w:ascii="宋体" w:hAnsi="宋体"/>
          <w:szCs w:val="21"/>
        </w:rPr>
        <w:t>按采购单位内控规定备案。</w:t>
      </w:r>
    </w:p>
    <w:p w14:paraId="43D0E860">
      <w:pPr>
        <w:rPr>
          <w:rFonts w:ascii="黑体" w:hAnsi="宋体" w:eastAsia="黑体"/>
          <w:sz w:val="24"/>
        </w:rPr>
      </w:pPr>
      <w:r>
        <w:rPr>
          <w:rFonts w:hint="eastAsia" w:ascii="黑体" w:hAnsi="宋体" w:eastAsia="黑体"/>
          <w:sz w:val="24"/>
        </w:rPr>
        <w:t>48. 合同变更</w:t>
      </w:r>
    </w:p>
    <w:p w14:paraId="05BBA186">
      <w:pPr>
        <w:ind w:firstLine="420" w:firstLineChars="200"/>
        <w:rPr>
          <w:rFonts w:ascii="黑体" w:hAnsi="宋体" w:eastAsia="黑体"/>
          <w:sz w:val="24"/>
        </w:rPr>
      </w:pPr>
      <w:r>
        <w:rPr>
          <w:rFonts w:hint="eastAsia" w:ascii="宋体" w:hAnsi="宋体"/>
          <w:szCs w:val="21"/>
        </w:rPr>
        <w:t>合同变更事宜按采购单位内控规定执行。</w:t>
      </w:r>
    </w:p>
    <w:p w14:paraId="4E877933">
      <w:pPr>
        <w:rPr>
          <w:rFonts w:ascii="黑体" w:hAnsi="宋体" w:eastAsia="黑体"/>
          <w:sz w:val="24"/>
        </w:rPr>
      </w:pPr>
      <w:r>
        <w:rPr>
          <w:rFonts w:hint="eastAsia" w:ascii="黑体" w:hAnsi="宋体" w:eastAsia="黑体"/>
          <w:sz w:val="24"/>
        </w:rPr>
        <w:t>49. 项目验收</w:t>
      </w:r>
    </w:p>
    <w:p w14:paraId="25E3ADAC">
      <w:pPr>
        <w:widowControl/>
        <w:ind w:right="176" w:firstLine="420"/>
        <w:jc w:val="left"/>
        <w:rPr>
          <w:rFonts w:ascii="宋体" w:hAnsi="宋体"/>
        </w:rPr>
      </w:pPr>
      <w:r>
        <w:rPr>
          <w:rFonts w:hint="eastAsia" w:ascii="宋体" w:hAnsi="宋体"/>
        </w:rPr>
        <w:t>49.1采购人应当按照招标文件和合同规定的标准和方法，及时组织验收。</w:t>
      </w:r>
      <w:r>
        <w:rPr>
          <w:rFonts w:ascii="宋体" w:hAnsi="宋体"/>
        </w:rPr>
        <w:t xml:space="preserve"> </w:t>
      </w:r>
    </w:p>
    <w:p w14:paraId="6DEC353C">
      <w:pPr>
        <w:rPr>
          <w:rFonts w:ascii="黑体" w:hAnsi="宋体" w:eastAsia="黑体"/>
          <w:sz w:val="24"/>
        </w:rPr>
      </w:pPr>
      <w:r>
        <w:rPr>
          <w:rFonts w:hint="eastAsia" w:ascii="黑体" w:hAnsi="宋体" w:eastAsia="黑体"/>
          <w:sz w:val="24"/>
        </w:rPr>
        <w:t>50. 宣传</w:t>
      </w:r>
    </w:p>
    <w:p w14:paraId="2E0FBA8C">
      <w:pPr>
        <w:ind w:left="210" w:leftChars="100" w:firstLine="411" w:firstLineChars="196"/>
        <w:rPr>
          <w:rFonts w:ascii="宋体" w:hAnsi="宋体"/>
        </w:rPr>
      </w:pPr>
      <w:r>
        <w:rPr>
          <w:rFonts w:hint="eastAsia" w:ascii="宋体" w:hAnsi="宋体"/>
        </w:rPr>
        <w:t>凡与采购活动有关的宣传或广告，若当中提及采购，</w:t>
      </w:r>
      <w:r>
        <w:rPr>
          <w:rFonts w:ascii="宋体" w:hAnsi="宋体"/>
        </w:rPr>
        <w:t>必须事先将具体对外宣传方案报</w:t>
      </w:r>
      <w:r>
        <w:rPr>
          <w:rFonts w:hint="eastAsia" w:ascii="宋体" w:hAnsi="宋体"/>
        </w:rPr>
        <w:t>同级财政部门</w:t>
      </w:r>
      <w:r>
        <w:rPr>
          <w:rFonts w:ascii="宋体" w:hAnsi="宋体"/>
        </w:rPr>
        <w:t>和</w:t>
      </w:r>
      <w:r>
        <w:rPr>
          <w:rFonts w:hint="eastAsia" w:ascii="宋体" w:hAnsi="宋体"/>
        </w:rPr>
        <w:t>政府集中采购机构</w:t>
      </w:r>
      <w:r>
        <w:rPr>
          <w:rFonts w:ascii="宋体" w:hAnsi="宋体"/>
        </w:rPr>
        <w:t>，并征得其同意。对外市场宣传包括但不限于以下形式：</w:t>
      </w:r>
    </w:p>
    <w:p w14:paraId="1D34C291">
      <w:pPr>
        <w:ind w:left="210" w:leftChars="100" w:firstLine="411" w:firstLineChars="196"/>
        <w:rPr>
          <w:rFonts w:ascii="宋体" w:hAnsi="宋体"/>
        </w:rPr>
      </w:pPr>
      <w:r>
        <w:rPr>
          <w:rFonts w:ascii="宋体" w:hAnsi="宋体"/>
        </w:rPr>
        <w:t>a.名片、宣传册、广告标语等；</w:t>
      </w:r>
    </w:p>
    <w:p w14:paraId="09B88954">
      <w:pPr>
        <w:ind w:left="210" w:leftChars="100" w:firstLine="411" w:firstLineChars="196"/>
        <w:rPr>
          <w:rFonts w:ascii="宋体" w:hAnsi="宋体"/>
        </w:rPr>
      </w:pPr>
      <w:r>
        <w:rPr>
          <w:rFonts w:ascii="宋体" w:hAnsi="宋体"/>
        </w:rPr>
        <w:t>b.案例介绍、推广等；</w:t>
      </w:r>
    </w:p>
    <w:p w14:paraId="46F404D3">
      <w:pPr>
        <w:ind w:left="210" w:leftChars="100" w:firstLine="411" w:firstLineChars="196"/>
        <w:rPr>
          <w:rFonts w:ascii="宋体" w:hAnsi="宋体"/>
        </w:rPr>
      </w:pPr>
      <w:r>
        <w:rPr>
          <w:rFonts w:hint="eastAsia" w:ascii="宋体" w:hAnsi="宋体"/>
        </w:rPr>
        <w:t>c.工作</w:t>
      </w:r>
      <w:r>
        <w:rPr>
          <w:rFonts w:ascii="宋体" w:hAnsi="宋体"/>
        </w:rPr>
        <w:t>人员向其他消费群体宣传。</w:t>
      </w:r>
    </w:p>
    <w:p w14:paraId="2CF8F46B">
      <w:pPr>
        <w:rPr>
          <w:rFonts w:ascii="黑体" w:hAnsi="宋体" w:eastAsia="黑体"/>
          <w:sz w:val="24"/>
        </w:rPr>
      </w:pPr>
      <w:r>
        <w:rPr>
          <w:rFonts w:hint="eastAsia" w:ascii="黑体" w:hAnsi="宋体" w:eastAsia="黑体"/>
          <w:sz w:val="24"/>
        </w:rPr>
        <w:t>51. 供应商违法责任</w:t>
      </w:r>
    </w:p>
    <w:p w14:paraId="3F7ECF85">
      <w:pPr>
        <w:ind w:firstLine="411" w:firstLineChars="196"/>
        <w:rPr>
          <w:rFonts w:ascii="宋体" w:hAnsi="宋体"/>
          <w:szCs w:val="21"/>
        </w:rPr>
      </w:pPr>
      <w:r>
        <w:rPr>
          <w:rFonts w:hint="eastAsia" w:ascii="宋体" w:hAnsi="宋体"/>
          <w:szCs w:val="21"/>
        </w:rPr>
        <w:t>5</w:t>
      </w:r>
      <w:r>
        <w:rPr>
          <w:rFonts w:ascii="宋体" w:hAnsi="宋体"/>
          <w:szCs w:val="21"/>
        </w:rPr>
        <w:t>1.1</w:t>
      </w:r>
      <w:r>
        <w:rPr>
          <w:rFonts w:hint="eastAsia" w:ascii="宋体" w:hAnsi="宋体"/>
          <w:szCs w:val="21"/>
        </w:rPr>
        <w:t>《深圳经济特区政府采购条例》第五十七条 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14:paraId="4D406665">
      <w:pPr>
        <w:ind w:firstLine="411" w:firstLineChars="196"/>
        <w:rPr>
          <w:rFonts w:ascii="宋体" w:hAnsi="宋体"/>
          <w:szCs w:val="21"/>
        </w:rPr>
      </w:pPr>
      <w:r>
        <w:rPr>
          <w:rFonts w:hint="eastAsia" w:ascii="宋体" w:hAnsi="宋体"/>
          <w:szCs w:val="21"/>
        </w:rPr>
        <w:t>（1）在采购活动中应当回避而未回避的；</w:t>
      </w:r>
    </w:p>
    <w:p w14:paraId="48FEEE78">
      <w:pPr>
        <w:ind w:firstLine="411" w:firstLineChars="196"/>
        <w:rPr>
          <w:rFonts w:ascii="宋体" w:hAnsi="宋体"/>
          <w:szCs w:val="21"/>
        </w:rPr>
      </w:pPr>
      <w:r>
        <w:rPr>
          <w:rFonts w:hint="eastAsia" w:ascii="宋体" w:hAnsi="宋体"/>
          <w:szCs w:val="21"/>
        </w:rPr>
        <w:t>（2）未按本条例规定签订、履行采购合同，造成严重后果的；</w:t>
      </w:r>
    </w:p>
    <w:p w14:paraId="395828F7">
      <w:pPr>
        <w:ind w:firstLine="411" w:firstLineChars="196"/>
        <w:rPr>
          <w:rFonts w:ascii="宋体" w:hAnsi="宋体"/>
          <w:szCs w:val="21"/>
        </w:rPr>
      </w:pPr>
      <w:r>
        <w:rPr>
          <w:rFonts w:hint="eastAsia" w:ascii="宋体" w:hAnsi="宋体"/>
          <w:szCs w:val="21"/>
        </w:rPr>
        <w:t>（3）隐瞒真实情况，提供虚假资料的；</w:t>
      </w:r>
    </w:p>
    <w:p w14:paraId="02664BA5">
      <w:pPr>
        <w:ind w:firstLine="411" w:firstLineChars="196"/>
        <w:rPr>
          <w:rFonts w:ascii="宋体" w:hAnsi="宋体"/>
          <w:szCs w:val="21"/>
        </w:rPr>
      </w:pPr>
      <w:r>
        <w:rPr>
          <w:rFonts w:hint="eastAsia" w:ascii="宋体" w:hAnsi="宋体"/>
          <w:szCs w:val="21"/>
        </w:rPr>
        <w:t>（4）以非法手段排斥其他供应商参与竞争的；</w:t>
      </w:r>
    </w:p>
    <w:p w14:paraId="1E662ADD">
      <w:pPr>
        <w:ind w:firstLine="411" w:firstLineChars="196"/>
        <w:rPr>
          <w:rFonts w:ascii="宋体" w:hAnsi="宋体"/>
          <w:szCs w:val="21"/>
        </w:rPr>
      </w:pPr>
      <w:r>
        <w:rPr>
          <w:rFonts w:hint="eastAsia" w:ascii="宋体" w:hAnsi="宋体"/>
          <w:szCs w:val="21"/>
        </w:rPr>
        <w:t>（5）与其他采购参加人串通投标的；</w:t>
      </w:r>
    </w:p>
    <w:p w14:paraId="370FEAA8">
      <w:pPr>
        <w:ind w:firstLine="411" w:firstLineChars="196"/>
        <w:rPr>
          <w:rFonts w:ascii="宋体" w:hAnsi="宋体"/>
          <w:szCs w:val="21"/>
        </w:rPr>
      </w:pPr>
      <w:r>
        <w:rPr>
          <w:rFonts w:hint="eastAsia" w:ascii="宋体" w:hAnsi="宋体"/>
          <w:szCs w:val="21"/>
        </w:rPr>
        <w:t>（6）恶意投诉的；</w:t>
      </w:r>
    </w:p>
    <w:p w14:paraId="5B8AFC7A">
      <w:pPr>
        <w:ind w:firstLine="411" w:firstLineChars="196"/>
        <w:rPr>
          <w:rFonts w:ascii="宋体" w:hAnsi="宋体"/>
          <w:szCs w:val="21"/>
        </w:rPr>
      </w:pPr>
      <w:r>
        <w:rPr>
          <w:rFonts w:hint="eastAsia" w:ascii="宋体" w:hAnsi="宋体"/>
          <w:szCs w:val="21"/>
        </w:rPr>
        <w:t>（7）向采购项目相关人行贿或者提供其他不当利益的；</w:t>
      </w:r>
    </w:p>
    <w:p w14:paraId="1A4AD905">
      <w:pPr>
        <w:ind w:firstLine="411" w:firstLineChars="196"/>
        <w:rPr>
          <w:rFonts w:ascii="宋体" w:hAnsi="宋体"/>
          <w:szCs w:val="21"/>
        </w:rPr>
      </w:pPr>
      <w:r>
        <w:rPr>
          <w:rFonts w:hint="eastAsia" w:ascii="宋体" w:hAnsi="宋体"/>
          <w:szCs w:val="21"/>
        </w:rPr>
        <w:t>（8）阻碍、抗拒主管部门监督检查的；</w:t>
      </w:r>
    </w:p>
    <w:p w14:paraId="1AF0756E">
      <w:pPr>
        <w:ind w:firstLine="411" w:firstLineChars="196"/>
        <w:rPr>
          <w:rFonts w:ascii="宋体" w:hAnsi="宋体"/>
          <w:szCs w:val="21"/>
        </w:rPr>
      </w:pPr>
      <w:r>
        <w:rPr>
          <w:rFonts w:hint="eastAsia" w:ascii="宋体" w:hAnsi="宋体"/>
          <w:szCs w:val="21"/>
        </w:rPr>
        <w:t>（9）其他违反本条例规定的行为。</w:t>
      </w:r>
    </w:p>
    <w:p w14:paraId="6C04DC16">
      <w:pPr>
        <w:ind w:firstLine="411" w:firstLineChars="196"/>
        <w:rPr>
          <w:rFonts w:ascii="宋体" w:hAnsi="宋体"/>
          <w:szCs w:val="21"/>
        </w:rPr>
      </w:pPr>
      <w:r>
        <w:rPr>
          <w:rFonts w:hint="eastAsia" w:ascii="宋体" w:hAnsi="宋体"/>
          <w:szCs w:val="21"/>
        </w:rPr>
        <w:t>5</w:t>
      </w:r>
      <w:r>
        <w:rPr>
          <w:rFonts w:ascii="宋体" w:hAnsi="宋体"/>
          <w:szCs w:val="21"/>
        </w:rPr>
        <w:t xml:space="preserve">1.2 </w:t>
      </w:r>
      <w:r>
        <w:rPr>
          <w:rFonts w:hint="eastAsia" w:ascii="宋体" w:hAnsi="宋体"/>
          <w:szCs w:val="21"/>
        </w:rPr>
        <w:t>参照《深圳市财政局关于调整政府采购投标（响应）保证金管理政策的通知 》（深财购〔2021〕51 号）的要求，供应商在采购活动中出现《深圳经济特区政府采购条例实施细则》第八十条所列情形的，</w:t>
      </w:r>
      <w:bookmarkStart w:id="142" w:name="_Hlk72440769"/>
      <w:r>
        <w:rPr>
          <w:rFonts w:hint="eastAsia" w:ascii="宋体" w:hAnsi="宋体"/>
          <w:szCs w:val="21"/>
        </w:rPr>
        <w:t>政府集中采购机构或采购人不予退还其交纳的谈判保证金，情节严重的，并由主管部门</w:t>
      </w:r>
      <w:bookmarkEnd w:id="142"/>
      <w:r>
        <w:rPr>
          <w:rFonts w:hint="eastAsia" w:ascii="宋体" w:hAnsi="宋体"/>
          <w:szCs w:val="21"/>
        </w:rPr>
        <w:t>记入供应商诚信档案，予以通报：</w:t>
      </w:r>
    </w:p>
    <w:p w14:paraId="1BF6D484">
      <w:pPr>
        <w:ind w:firstLine="411" w:firstLineChars="196"/>
        <w:rPr>
          <w:rFonts w:ascii="宋体" w:hAnsi="宋体"/>
          <w:szCs w:val="21"/>
        </w:rPr>
      </w:pPr>
      <w:r>
        <w:rPr>
          <w:rFonts w:hint="eastAsia" w:ascii="宋体" w:hAnsi="宋体"/>
          <w:szCs w:val="21"/>
        </w:rPr>
        <w:t>（1</w:t>
      </w:r>
      <w:r>
        <w:rPr>
          <w:rFonts w:ascii="宋体" w:hAnsi="宋体"/>
          <w:szCs w:val="21"/>
        </w:rPr>
        <w:t>）投标截止后，撤销投标的；</w:t>
      </w:r>
    </w:p>
    <w:p w14:paraId="428FC5A1">
      <w:pPr>
        <w:ind w:firstLine="411" w:firstLineChars="196"/>
        <w:rPr>
          <w:rFonts w:ascii="宋体" w:hAnsi="宋体"/>
          <w:szCs w:val="21"/>
        </w:rPr>
      </w:pPr>
      <w:r>
        <w:rPr>
          <w:rFonts w:ascii="宋体" w:hAnsi="宋体"/>
          <w:szCs w:val="21"/>
        </w:rPr>
        <w:t>（</w:t>
      </w:r>
      <w:r>
        <w:rPr>
          <w:rFonts w:hint="eastAsia" w:ascii="宋体" w:hAnsi="宋体"/>
          <w:szCs w:val="21"/>
        </w:rPr>
        <w:t>2</w:t>
      </w:r>
      <w:r>
        <w:rPr>
          <w:rFonts w:ascii="宋体" w:hAnsi="宋体"/>
          <w:szCs w:val="21"/>
        </w:rPr>
        <w:t>）中标后无正当理由未在规定期限内签订合同的；</w:t>
      </w:r>
    </w:p>
    <w:p w14:paraId="0AA57C8C">
      <w:pPr>
        <w:ind w:firstLine="411" w:firstLineChars="196"/>
        <w:rPr>
          <w:rFonts w:ascii="宋体" w:hAnsi="宋体"/>
          <w:szCs w:val="21"/>
        </w:rPr>
      </w:pPr>
      <w:r>
        <w:rPr>
          <w:rFonts w:ascii="宋体" w:hAnsi="宋体"/>
          <w:szCs w:val="21"/>
        </w:rPr>
        <w:t>（</w:t>
      </w:r>
      <w:r>
        <w:rPr>
          <w:rFonts w:hint="eastAsia" w:ascii="宋体" w:hAnsi="宋体"/>
          <w:szCs w:val="21"/>
        </w:rPr>
        <w:t>3</w:t>
      </w:r>
      <w:r>
        <w:rPr>
          <w:rFonts w:ascii="宋体" w:hAnsi="宋体"/>
          <w:szCs w:val="21"/>
        </w:rPr>
        <w:t>）将中标项目转让给他人、或者在投标文件中未说明且未经采购人、采购招标机构同意，将中标项目分包给他人的；</w:t>
      </w:r>
    </w:p>
    <w:p w14:paraId="5D1BE5AE">
      <w:pPr>
        <w:ind w:firstLine="411" w:firstLineChars="196"/>
        <w:rPr>
          <w:rFonts w:ascii="宋体" w:hAnsi="宋体"/>
          <w:szCs w:val="21"/>
        </w:rPr>
      </w:pPr>
      <w:r>
        <w:rPr>
          <w:rFonts w:ascii="宋体" w:hAnsi="宋体"/>
          <w:szCs w:val="21"/>
        </w:rPr>
        <w:t>（</w:t>
      </w:r>
      <w:r>
        <w:rPr>
          <w:rFonts w:hint="eastAsia" w:ascii="宋体" w:hAnsi="宋体"/>
          <w:szCs w:val="21"/>
        </w:rPr>
        <w:t>4</w:t>
      </w:r>
      <w:r>
        <w:rPr>
          <w:rFonts w:ascii="宋体" w:hAnsi="宋体"/>
          <w:szCs w:val="21"/>
        </w:rPr>
        <w:t>）拒绝履行合同义务的</w:t>
      </w:r>
      <w:r>
        <w:rPr>
          <w:rFonts w:hint="eastAsia" w:ascii="宋体" w:hAnsi="宋体"/>
          <w:szCs w:val="21"/>
        </w:rPr>
        <w:t>。</w:t>
      </w:r>
    </w:p>
    <w:bookmarkEnd w:id="126"/>
    <w:p w14:paraId="0BC02140">
      <w:pPr>
        <w:keepNext/>
        <w:keepLines/>
        <w:numPr>
          <w:ilvl w:val="0"/>
          <w:numId w:val="17"/>
        </w:numPr>
        <w:adjustRightInd w:val="0"/>
        <w:spacing w:before="120" w:beforeLines="50" w:after="120" w:afterLines="50"/>
        <w:ind w:left="562" w:hanging="562"/>
        <w:jc w:val="center"/>
        <w:textAlignment w:val="baseline"/>
        <w:outlineLvl w:val="1"/>
        <w:rPr>
          <w:rFonts w:ascii="宋体" w:hAnsi="宋体"/>
          <w:b/>
          <w:bCs/>
          <w:kern w:val="0"/>
          <w:sz w:val="28"/>
          <w:szCs w:val="28"/>
        </w:rPr>
      </w:pPr>
      <w:r>
        <w:rPr>
          <w:rFonts w:hint="eastAsia" w:ascii="宋体" w:hAnsi="宋体"/>
          <w:b/>
          <w:bCs/>
          <w:kern w:val="0"/>
          <w:sz w:val="28"/>
          <w:szCs w:val="28"/>
        </w:rPr>
        <w:t>质疑处理</w:t>
      </w:r>
    </w:p>
    <w:p w14:paraId="79B509CA">
      <w:pPr>
        <w:rPr>
          <w:rFonts w:ascii="黑体" w:hAnsi="宋体" w:eastAsia="黑体"/>
          <w:sz w:val="24"/>
        </w:rPr>
      </w:pPr>
      <w:r>
        <w:rPr>
          <w:rFonts w:hint="eastAsia" w:ascii="黑体" w:hAnsi="宋体" w:eastAsia="黑体"/>
          <w:sz w:val="24"/>
        </w:rPr>
        <w:t>52.质疑提出与答复</w:t>
      </w:r>
    </w:p>
    <w:p w14:paraId="5A9C5CCA">
      <w:pPr>
        <w:rPr>
          <w:rFonts w:ascii="宋体" w:hAnsi="宋体"/>
          <w:szCs w:val="21"/>
        </w:rPr>
      </w:pPr>
      <w:r>
        <w:rPr>
          <w:rFonts w:hint="eastAsia" w:ascii="宋体" w:hAnsi="宋体"/>
          <w:szCs w:val="21"/>
        </w:rPr>
        <w:t xml:space="preserve">    52.1提出质疑</w:t>
      </w:r>
    </w:p>
    <w:p w14:paraId="366735E7">
      <w:pPr>
        <w:rPr>
          <w:rFonts w:ascii="宋体" w:hAnsi="宋体"/>
          <w:szCs w:val="21"/>
        </w:rPr>
      </w:pPr>
      <w:r>
        <w:rPr>
          <w:rFonts w:hint="eastAsia" w:ascii="宋体" w:hAnsi="宋体"/>
          <w:szCs w:val="21"/>
        </w:rPr>
        <w:t xml:space="preserve">    参与采购活动的供应商认为自己的权益在采购活动中受到损害的，应当自知道或者应当知道其权益受到损害之日起七个工作日内向采购人、政府集中采购机构以书面形式提出质疑。</w:t>
      </w:r>
    </w:p>
    <w:p w14:paraId="51B4BFBF">
      <w:pPr>
        <w:rPr>
          <w:rFonts w:ascii="宋体" w:hAnsi="宋体"/>
          <w:szCs w:val="21"/>
        </w:rPr>
      </w:pPr>
      <w:r>
        <w:rPr>
          <w:rFonts w:hint="eastAsia" w:ascii="宋体" w:hAnsi="宋体"/>
          <w:szCs w:val="21"/>
        </w:rPr>
        <w:t xml:space="preserve">    52.2</w:t>
      </w:r>
      <w:r>
        <w:rPr>
          <w:rFonts w:ascii="宋体" w:hAnsi="宋体"/>
          <w:szCs w:val="21"/>
        </w:rPr>
        <w:t>法律依据</w:t>
      </w:r>
    </w:p>
    <w:p w14:paraId="6119A42E">
      <w:pPr>
        <w:rPr>
          <w:rFonts w:ascii="宋体" w:hAnsi="宋体"/>
          <w:szCs w:val="21"/>
        </w:rPr>
      </w:pPr>
      <w:r>
        <w:rPr>
          <w:rFonts w:hint="eastAsia" w:ascii="宋体" w:hAnsi="宋体"/>
          <w:szCs w:val="21"/>
        </w:rPr>
        <w:t xml:space="preserve">    《中华人民共和国政府采购法》、《中华人民共和国政府采购法实施条例》、</w:t>
      </w:r>
      <w:r>
        <w:rPr>
          <w:rFonts w:ascii="宋体" w:hAnsi="宋体"/>
          <w:szCs w:val="21"/>
        </w:rPr>
        <w:t>《</w:t>
      </w:r>
      <w:r>
        <w:rPr>
          <w:rFonts w:hint="eastAsia" w:ascii="宋体" w:hAnsi="宋体"/>
          <w:szCs w:val="21"/>
        </w:rPr>
        <w:t>深圳经济特区政府采购</w:t>
      </w:r>
      <w:r>
        <w:rPr>
          <w:rFonts w:ascii="宋体" w:hAnsi="宋体"/>
          <w:szCs w:val="21"/>
        </w:rPr>
        <w:t>条例</w:t>
      </w:r>
      <w:r>
        <w:rPr>
          <w:rFonts w:hint="eastAsia" w:ascii="宋体" w:hAnsi="宋体"/>
          <w:szCs w:val="21"/>
        </w:rPr>
        <w:t>》、《深圳经济特区政府采购条例实施细则》、《政府采购质疑和投诉办法》（财政部令第94号）和其他有关法律法规规定。</w:t>
      </w:r>
    </w:p>
    <w:p w14:paraId="7A517D3D">
      <w:pPr>
        <w:rPr>
          <w:rFonts w:ascii="宋体" w:hAnsi="宋体"/>
          <w:szCs w:val="21"/>
        </w:rPr>
      </w:pPr>
      <w:r>
        <w:rPr>
          <w:rFonts w:hint="eastAsia" w:ascii="宋体" w:hAnsi="宋体"/>
          <w:szCs w:val="21"/>
        </w:rPr>
        <w:t xml:space="preserve">  </w:t>
      </w:r>
      <w:r>
        <w:rPr>
          <w:rFonts w:hint="eastAsia" w:ascii="宋体" w:hAnsi="宋体"/>
          <w:color w:val="FF0000"/>
          <w:szCs w:val="21"/>
        </w:rPr>
        <w:t xml:space="preserve">  </w:t>
      </w:r>
      <w:r>
        <w:rPr>
          <w:rFonts w:hint="eastAsia" w:ascii="宋体" w:hAnsi="宋体"/>
          <w:szCs w:val="21"/>
        </w:rPr>
        <w:t>52.3质疑条件</w:t>
      </w:r>
    </w:p>
    <w:p w14:paraId="43E3A61D">
      <w:pPr>
        <w:rPr>
          <w:rFonts w:ascii="宋体" w:hAnsi="宋体"/>
          <w:szCs w:val="21"/>
        </w:rPr>
      </w:pPr>
      <w:r>
        <w:rPr>
          <w:rFonts w:hint="eastAsia" w:ascii="宋体" w:hAnsi="宋体"/>
          <w:szCs w:val="21"/>
        </w:rPr>
        <w:t xml:space="preserve">    52.3.1提出质疑的供应商应当是参与所质疑项目采购活动的供应商；</w:t>
      </w:r>
      <w:bookmarkStart w:id="143" w:name="_Hlk75374941"/>
      <w:r>
        <w:rPr>
          <w:rFonts w:hint="eastAsia" w:ascii="宋体" w:hAnsi="宋体"/>
          <w:szCs w:val="21"/>
        </w:rPr>
        <w:t>以联合体形式参与的，质疑应当由组成联合体的所有成员共同提出</w:t>
      </w:r>
      <w:bookmarkEnd w:id="143"/>
      <w:r>
        <w:rPr>
          <w:rFonts w:hint="eastAsia" w:ascii="宋体" w:hAnsi="宋体"/>
          <w:szCs w:val="21"/>
        </w:rPr>
        <w:t>；</w:t>
      </w:r>
    </w:p>
    <w:p w14:paraId="5550A30C">
      <w:pPr>
        <w:rPr>
          <w:rFonts w:ascii="宋体" w:hAnsi="宋体"/>
          <w:szCs w:val="21"/>
        </w:rPr>
      </w:pPr>
      <w:r>
        <w:rPr>
          <w:rFonts w:hint="eastAsia" w:ascii="宋体" w:hAnsi="宋体"/>
          <w:szCs w:val="21"/>
        </w:rPr>
        <w:t xml:space="preserve">    52.3.2应当在法定质疑期内一次性提出针对同一采购程序环节的质疑，法定质疑期为自知道或应当知道权益受到损害之日起7个工作日内。应当知道其权益受到损害之日是指：对招标文件的质疑，为招标文件公布之日；对采购过程的质疑，为各采购程序环节结束之日；对中标（成交）结果以及评审委员会组成人员的质疑，为中标（成交）结果公示之日；</w:t>
      </w:r>
    </w:p>
    <w:p w14:paraId="2DB9C85D">
      <w:pPr>
        <w:ind w:firstLine="420"/>
        <w:rPr>
          <w:rFonts w:ascii="宋体" w:hAnsi="宋体"/>
          <w:szCs w:val="21"/>
        </w:rPr>
      </w:pPr>
      <w:r>
        <w:rPr>
          <w:rFonts w:hint="eastAsia" w:ascii="宋体" w:hAnsi="宋体"/>
          <w:szCs w:val="21"/>
        </w:rPr>
        <w:t>52.3.3应提交书面质疑函，质疑函应当包括以下内容：</w:t>
      </w:r>
      <w:r>
        <w:rPr>
          <w:rFonts w:ascii="宋体" w:hAnsi="宋体"/>
          <w:szCs w:val="21"/>
        </w:rPr>
        <w:t xml:space="preserve"> </w:t>
      </w:r>
    </w:p>
    <w:p w14:paraId="7A3BE7E8">
      <w:pPr>
        <w:ind w:firstLine="420"/>
        <w:rPr>
          <w:rFonts w:ascii="宋体" w:hAnsi="宋体"/>
          <w:szCs w:val="21"/>
        </w:rPr>
      </w:pPr>
      <w:r>
        <w:rPr>
          <w:rFonts w:hint="eastAsia" w:ascii="宋体" w:hAnsi="宋体"/>
          <w:szCs w:val="21"/>
        </w:rPr>
        <w:t>（1）供应商的名称（或者姓名）、地址、邮编、邮箱、联系人及联系电话；</w:t>
      </w:r>
    </w:p>
    <w:p w14:paraId="6422BC29">
      <w:pPr>
        <w:ind w:firstLine="420" w:firstLineChars="200"/>
        <w:rPr>
          <w:rFonts w:ascii="宋体" w:hAnsi="宋体"/>
          <w:szCs w:val="21"/>
        </w:rPr>
      </w:pPr>
      <w:r>
        <w:rPr>
          <w:rFonts w:hint="eastAsia" w:ascii="宋体" w:hAnsi="宋体"/>
          <w:szCs w:val="21"/>
        </w:rPr>
        <w:t>（2）质疑项目的名称、编号；</w:t>
      </w:r>
    </w:p>
    <w:p w14:paraId="24C93A9F">
      <w:pPr>
        <w:ind w:firstLine="420" w:firstLineChars="200"/>
        <w:rPr>
          <w:rFonts w:ascii="宋体" w:hAnsi="宋体"/>
          <w:szCs w:val="21"/>
        </w:rPr>
      </w:pPr>
      <w:r>
        <w:rPr>
          <w:rFonts w:hint="eastAsia" w:ascii="宋体" w:hAnsi="宋体"/>
          <w:szCs w:val="21"/>
        </w:rPr>
        <w:t>（3）具体、明确的质疑对象、质疑事项和质疑请求；</w:t>
      </w:r>
    </w:p>
    <w:p w14:paraId="4728BE99">
      <w:pPr>
        <w:ind w:firstLine="420" w:firstLineChars="200"/>
        <w:rPr>
          <w:rFonts w:ascii="宋体" w:hAnsi="宋体"/>
          <w:szCs w:val="21"/>
        </w:rPr>
      </w:pPr>
      <w:r>
        <w:rPr>
          <w:rFonts w:hint="eastAsia" w:ascii="宋体" w:hAnsi="宋体"/>
          <w:szCs w:val="21"/>
        </w:rPr>
        <w:t>（4）因质疑事项而受损害的权益；</w:t>
      </w:r>
    </w:p>
    <w:p w14:paraId="1C29B91B">
      <w:pPr>
        <w:ind w:firstLine="420" w:firstLineChars="200"/>
        <w:rPr>
          <w:rFonts w:ascii="宋体" w:hAnsi="宋体"/>
          <w:szCs w:val="21"/>
        </w:rPr>
      </w:pPr>
      <w:r>
        <w:rPr>
          <w:rFonts w:hint="eastAsia" w:ascii="宋体" w:hAnsi="宋体"/>
          <w:szCs w:val="21"/>
        </w:rPr>
        <w:t>（5）事实依据；</w:t>
      </w:r>
    </w:p>
    <w:p w14:paraId="72164609">
      <w:pPr>
        <w:ind w:firstLine="420" w:firstLineChars="200"/>
        <w:rPr>
          <w:rFonts w:ascii="宋体" w:hAnsi="宋体"/>
          <w:szCs w:val="21"/>
        </w:rPr>
      </w:pPr>
      <w:r>
        <w:rPr>
          <w:rFonts w:hint="eastAsia" w:ascii="宋体" w:hAnsi="宋体"/>
          <w:szCs w:val="21"/>
        </w:rPr>
        <w:t>（6）必要的法律依据；</w:t>
      </w:r>
    </w:p>
    <w:p w14:paraId="52380C0B">
      <w:pPr>
        <w:ind w:firstLine="420" w:firstLineChars="200"/>
        <w:rPr>
          <w:rFonts w:ascii="宋体" w:hAnsi="宋体"/>
          <w:szCs w:val="21"/>
        </w:rPr>
      </w:pPr>
      <w:r>
        <w:rPr>
          <w:rFonts w:hint="eastAsia" w:ascii="宋体" w:hAnsi="宋体"/>
          <w:szCs w:val="21"/>
        </w:rPr>
        <w:t>（7）提出质疑的日期。</w:t>
      </w:r>
    </w:p>
    <w:p w14:paraId="613FA957">
      <w:pPr>
        <w:ind w:firstLine="420" w:firstLineChars="200"/>
        <w:rPr>
          <w:rFonts w:ascii="宋体" w:hAnsi="宋体"/>
          <w:szCs w:val="21"/>
        </w:rPr>
      </w:pPr>
      <w:r>
        <w:rPr>
          <w:rFonts w:hint="eastAsia" w:ascii="宋体" w:hAnsi="宋体"/>
          <w:szCs w:val="21"/>
        </w:rPr>
        <w:t>供应商为自然人的，应当由本人签字；供应商为法人或者其他组织的，应当由法定代表人（负责人），或者其授权代理人签字或者盖章，并加盖公章。</w:t>
      </w:r>
    </w:p>
    <w:p w14:paraId="531C99F4">
      <w:pPr>
        <w:ind w:firstLine="420" w:firstLineChars="200"/>
        <w:rPr>
          <w:rFonts w:ascii="宋体" w:hAnsi="宋体"/>
          <w:szCs w:val="21"/>
        </w:rPr>
      </w:pPr>
      <w:r>
        <w:rPr>
          <w:rFonts w:hint="eastAsia" w:ascii="宋体" w:hAnsi="宋体"/>
          <w:szCs w:val="21"/>
        </w:rPr>
        <w:t>52.4提交</w:t>
      </w:r>
      <w:r>
        <w:rPr>
          <w:rFonts w:ascii="宋体" w:hAnsi="宋体"/>
          <w:szCs w:val="21"/>
        </w:rPr>
        <w:t>材料</w:t>
      </w:r>
    </w:p>
    <w:p w14:paraId="2AFE52CA">
      <w:pPr>
        <w:ind w:firstLine="420" w:firstLineChars="200"/>
        <w:rPr>
          <w:rFonts w:ascii="宋体" w:hAnsi="宋体"/>
          <w:szCs w:val="21"/>
        </w:rPr>
      </w:pPr>
      <w:r>
        <w:rPr>
          <w:rFonts w:hint="eastAsia" w:ascii="宋体" w:hAnsi="宋体"/>
          <w:szCs w:val="21"/>
        </w:rPr>
        <w:t>供应商质疑实行实名制。供应商为自然人的，应当提交本人身份证复印件；供应商为法人或者其他组织的，应当根据自身性质提交营业执照复印件或者其他证明文件（如事业单位法人证书等）复印件。</w:t>
      </w:r>
    </w:p>
    <w:p w14:paraId="20580CDD">
      <w:pPr>
        <w:ind w:firstLine="420" w:firstLineChars="200"/>
        <w:rPr>
          <w:rFonts w:ascii="宋体" w:hAnsi="宋体"/>
          <w:szCs w:val="21"/>
        </w:rPr>
      </w:pPr>
      <w:r>
        <w:rPr>
          <w:rFonts w:hint="eastAsia" w:ascii="宋体" w:hAnsi="宋体"/>
          <w:szCs w:val="21"/>
        </w:rPr>
        <w:t>供应商可以委托代理人进行质疑。</w:t>
      </w:r>
      <w:r>
        <w:rPr>
          <w:rFonts w:ascii="宋体" w:hAnsi="宋体"/>
          <w:szCs w:val="21"/>
        </w:rPr>
        <w:t>其授权委托书应当载明代理人的姓名或者名称、代理事项、具体权限、期限和相关事项。供应商为自然人的，应当由本人签字；供应商为法人或者其他组织的，应当由法定代表人、主要负责人签字或者盖章，并加盖公章。</w:t>
      </w:r>
    </w:p>
    <w:p w14:paraId="5D2A0346">
      <w:pPr>
        <w:ind w:firstLine="420" w:firstLineChars="200"/>
        <w:rPr>
          <w:rFonts w:ascii="宋体" w:hAnsi="宋体"/>
          <w:szCs w:val="21"/>
        </w:rPr>
      </w:pPr>
      <w:r>
        <w:rPr>
          <w:rFonts w:hint="eastAsia" w:ascii="宋体" w:hAnsi="宋体"/>
          <w:szCs w:val="21"/>
        </w:rPr>
        <w:t>52.5收文地点</w:t>
      </w:r>
    </w:p>
    <w:p w14:paraId="203C5C22">
      <w:pPr>
        <w:ind w:firstLine="422" w:firstLineChars="200"/>
        <w:rPr>
          <w:rFonts w:ascii="宋体" w:hAnsi="宋体"/>
          <w:b/>
          <w:bCs/>
          <w:szCs w:val="21"/>
        </w:rPr>
      </w:pPr>
      <w:r>
        <w:rPr>
          <w:rFonts w:hint="eastAsia" w:ascii="宋体" w:hAnsi="宋体"/>
          <w:b/>
          <w:bCs/>
          <w:szCs w:val="21"/>
        </w:rPr>
        <w:t>地址：深圳公共资源交易中心（深圳交易集团有限公司坪山分公司）。质疑咨询电话：0755-28413245。</w:t>
      </w:r>
    </w:p>
    <w:p w14:paraId="35CB9E48">
      <w:pPr>
        <w:ind w:firstLine="420" w:firstLineChars="200"/>
        <w:rPr>
          <w:rFonts w:ascii="宋体" w:hAnsi="宋体"/>
          <w:szCs w:val="21"/>
        </w:rPr>
      </w:pPr>
      <w:r>
        <w:rPr>
          <w:rFonts w:hint="eastAsia" w:ascii="宋体" w:hAnsi="宋体"/>
          <w:szCs w:val="21"/>
        </w:rPr>
        <w:t>52.6收文办理</w:t>
      </w:r>
      <w:r>
        <w:rPr>
          <w:rFonts w:ascii="宋体" w:hAnsi="宋体"/>
          <w:szCs w:val="21"/>
        </w:rPr>
        <w:t>程序</w:t>
      </w:r>
    </w:p>
    <w:p w14:paraId="0C6CCEE7">
      <w:pPr>
        <w:ind w:firstLine="420" w:firstLineChars="200"/>
        <w:rPr>
          <w:rFonts w:ascii="宋体" w:hAnsi="宋体"/>
          <w:szCs w:val="21"/>
        </w:rPr>
      </w:pPr>
      <w:r>
        <w:rPr>
          <w:rFonts w:hint="eastAsia" w:ascii="宋体" w:hAnsi="宋体"/>
          <w:szCs w:val="21"/>
        </w:rPr>
        <w:t>52.6.1供应商提交的质疑符合受理条件的，政府集中采购机构自收到质疑材料之日起即为受理，应当向供应商出具质疑函收文回执并可以要求其递交质疑的法定代表人（负责人）或者授权代理人签署质疑文书送达地址确认书。</w:t>
      </w:r>
    </w:p>
    <w:p w14:paraId="2F010D58">
      <w:pPr>
        <w:ind w:firstLine="420" w:firstLineChars="200"/>
        <w:rPr>
          <w:rFonts w:ascii="仿宋" w:hAnsi="仿宋" w:eastAsia="仿宋"/>
          <w:sz w:val="28"/>
          <w:szCs w:val="28"/>
        </w:rPr>
      </w:pPr>
      <w:r>
        <w:rPr>
          <w:rFonts w:hint="eastAsia" w:ascii="宋体" w:hAnsi="宋体"/>
          <w:szCs w:val="21"/>
        </w:rPr>
        <w:t>52.6.2供应商提交的质疑材料不符合质疑条件的，视情况处理：</w:t>
      </w:r>
    </w:p>
    <w:p w14:paraId="1C3EF5E7">
      <w:pPr>
        <w:ind w:firstLine="420" w:firstLineChars="200"/>
        <w:rPr>
          <w:rFonts w:ascii="宋体" w:hAnsi="宋体"/>
          <w:szCs w:val="21"/>
        </w:rPr>
      </w:pPr>
      <w:r>
        <w:rPr>
          <w:rFonts w:hint="eastAsia" w:ascii="宋体" w:hAnsi="宋体"/>
          <w:szCs w:val="21"/>
        </w:rPr>
        <w:t>供应商提交的质疑材料不全或者未按要求签字或者盖章的，政府集中采购机构应当一次性告知供应商需补正的内容和补正期限。</w:t>
      </w:r>
    </w:p>
    <w:p w14:paraId="746B693B">
      <w:pPr>
        <w:ind w:firstLine="420" w:firstLineChars="200"/>
        <w:rPr>
          <w:rFonts w:ascii="宋体" w:hAnsi="宋体"/>
          <w:szCs w:val="21"/>
        </w:rPr>
      </w:pPr>
      <w:r>
        <w:rPr>
          <w:rFonts w:hint="eastAsia" w:ascii="宋体" w:hAnsi="宋体"/>
          <w:szCs w:val="21"/>
        </w:rPr>
        <w:t>供应商提交的质疑存在下列情形之一的，不予受理：</w:t>
      </w:r>
    </w:p>
    <w:p w14:paraId="14939DC7">
      <w:pPr>
        <w:ind w:firstLine="420" w:firstLineChars="200"/>
        <w:rPr>
          <w:rFonts w:ascii="宋体" w:hAnsi="宋体"/>
          <w:szCs w:val="21"/>
        </w:rPr>
      </w:pPr>
      <w:r>
        <w:rPr>
          <w:rFonts w:hint="eastAsia" w:ascii="宋体" w:hAnsi="宋体"/>
          <w:szCs w:val="21"/>
        </w:rPr>
        <w:t>（1）质疑主体不满足要求的；</w:t>
      </w:r>
    </w:p>
    <w:p w14:paraId="0839CFB8">
      <w:pPr>
        <w:ind w:firstLine="420" w:firstLineChars="200"/>
        <w:rPr>
          <w:rFonts w:ascii="宋体" w:hAnsi="宋体"/>
          <w:szCs w:val="21"/>
        </w:rPr>
      </w:pPr>
      <w:r>
        <w:rPr>
          <w:rFonts w:hint="eastAsia" w:ascii="宋体" w:hAnsi="宋体"/>
          <w:szCs w:val="21"/>
        </w:rPr>
        <w:t>（2）供应商自身权益未受到损害的；</w:t>
      </w:r>
    </w:p>
    <w:p w14:paraId="35A2DA5C">
      <w:pPr>
        <w:ind w:firstLine="420" w:firstLineChars="200"/>
        <w:rPr>
          <w:rFonts w:ascii="宋体" w:hAnsi="宋体"/>
          <w:szCs w:val="21"/>
        </w:rPr>
      </w:pPr>
      <w:r>
        <w:rPr>
          <w:rFonts w:hint="eastAsia" w:ascii="宋体" w:hAnsi="宋体"/>
          <w:szCs w:val="21"/>
        </w:rPr>
        <w:t>（3）供应商未在法定质疑期限内提出质疑的；</w:t>
      </w:r>
    </w:p>
    <w:p w14:paraId="6AEE5042">
      <w:pPr>
        <w:ind w:firstLine="420" w:firstLineChars="200"/>
        <w:rPr>
          <w:rFonts w:ascii="宋体" w:hAnsi="宋体"/>
          <w:szCs w:val="21"/>
        </w:rPr>
      </w:pPr>
      <w:r>
        <w:rPr>
          <w:rFonts w:hint="eastAsia" w:ascii="宋体" w:hAnsi="宋体"/>
          <w:szCs w:val="21"/>
        </w:rPr>
        <w:t>（4）质疑材料不全或者未按要求签字或者盖章的情况下，要求补正后，逾期未补正或者补正后仍不符合规定的；</w:t>
      </w:r>
    </w:p>
    <w:p w14:paraId="44DB7F21">
      <w:pPr>
        <w:ind w:firstLine="420" w:firstLineChars="200"/>
        <w:rPr>
          <w:rFonts w:ascii="宋体" w:hAnsi="宋体"/>
          <w:szCs w:val="21"/>
        </w:rPr>
      </w:pPr>
      <w:r>
        <w:rPr>
          <w:rFonts w:hint="eastAsia" w:ascii="宋体" w:hAnsi="宋体"/>
          <w:szCs w:val="21"/>
        </w:rPr>
        <w:t>（5）其他不符合受理条件情形的。</w:t>
      </w:r>
    </w:p>
    <w:p w14:paraId="286E5B93">
      <w:pPr>
        <w:ind w:firstLine="420" w:firstLineChars="200"/>
        <w:rPr>
          <w:rFonts w:ascii="宋体" w:hAnsi="宋体"/>
          <w:szCs w:val="21"/>
        </w:rPr>
      </w:pPr>
      <w:r>
        <w:rPr>
          <w:rFonts w:hint="eastAsia" w:ascii="宋体" w:hAnsi="宋体"/>
          <w:szCs w:val="21"/>
        </w:rPr>
        <w:t>质疑事项不予受理的，政府集中采购机构应当向供应商出具不符合质疑条件告知书。</w:t>
      </w:r>
    </w:p>
    <w:p w14:paraId="6B3C4D74">
      <w:pPr>
        <w:rPr>
          <w:rFonts w:ascii="宋体" w:hAnsi="宋体"/>
          <w:szCs w:val="21"/>
        </w:rPr>
      </w:pPr>
      <w:r>
        <w:rPr>
          <w:rFonts w:hint="eastAsia" w:ascii="宋体" w:hAnsi="宋体"/>
          <w:color w:val="FF0000"/>
          <w:szCs w:val="21"/>
        </w:rPr>
        <w:t xml:space="preserve">  </w:t>
      </w:r>
      <w:r>
        <w:rPr>
          <w:rFonts w:hint="eastAsia" w:ascii="宋体" w:hAnsi="宋体"/>
          <w:szCs w:val="21"/>
        </w:rPr>
        <w:t xml:space="preserve">  52.7质疑答复时限</w:t>
      </w:r>
    </w:p>
    <w:p w14:paraId="599DE043">
      <w:pPr>
        <w:rPr>
          <w:rFonts w:ascii="宋体" w:hAnsi="宋体"/>
          <w:szCs w:val="21"/>
        </w:rPr>
      </w:pPr>
      <w:r>
        <w:rPr>
          <w:rFonts w:hint="eastAsia" w:ascii="宋体" w:hAnsi="宋体"/>
          <w:szCs w:val="21"/>
        </w:rPr>
        <w:t xml:space="preserve">    自收文之日起七个工作日内。</w:t>
      </w:r>
    </w:p>
    <w:p w14:paraId="2966DE40">
      <w:pPr>
        <w:rPr>
          <w:rFonts w:ascii="宋体" w:hAnsi="宋体"/>
          <w:szCs w:val="21"/>
        </w:rPr>
      </w:pPr>
      <w:r>
        <w:rPr>
          <w:rFonts w:hint="eastAsia" w:ascii="宋体" w:hAnsi="宋体"/>
          <w:szCs w:val="21"/>
        </w:rPr>
        <w:t xml:space="preserve">    52.8投诉</w:t>
      </w:r>
    </w:p>
    <w:p w14:paraId="3E5685C6">
      <w:pPr>
        <w:rPr>
          <w:rFonts w:ascii="宋体" w:hAnsi="宋体"/>
          <w:szCs w:val="21"/>
        </w:rPr>
      </w:pPr>
      <w:r>
        <w:rPr>
          <w:rFonts w:hint="eastAsia" w:ascii="宋体" w:hAnsi="宋体"/>
          <w:szCs w:val="21"/>
        </w:rPr>
        <w:t xml:space="preserve">    对质疑答复不满意或者未在规定时间内答复的，提出质疑的供应商可以在答复期满后15个工作日内向</w:t>
      </w:r>
      <w:r>
        <w:rPr>
          <w:rFonts w:hint="eastAsia" w:ascii="宋体" w:hAnsi="宋体"/>
          <w:szCs w:val="21"/>
          <w:highlight w:val="yellow"/>
        </w:rPr>
        <w:t>采购人</w:t>
      </w:r>
      <w:r>
        <w:rPr>
          <w:rFonts w:hint="eastAsia" w:ascii="宋体" w:hAnsi="宋体"/>
          <w:szCs w:val="21"/>
        </w:rPr>
        <w:t>投诉。</w:t>
      </w:r>
    </w:p>
    <w:p w14:paraId="7CE9E4E6">
      <w:pPr>
        <w:rPr>
          <w:rFonts w:ascii="黑体" w:hAnsi="宋体" w:eastAsia="黑体"/>
          <w:sz w:val="24"/>
        </w:rPr>
      </w:pPr>
      <w:r>
        <w:rPr>
          <w:rFonts w:hint="eastAsia" w:ascii="黑体" w:hAnsi="宋体" w:eastAsia="黑体"/>
          <w:sz w:val="24"/>
        </w:rPr>
        <w:t>53. 质疑后续处理</w:t>
      </w:r>
    </w:p>
    <w:p w14:paraId="740048F3">
      <w:pPr>
        <w:rPr>
          <w:rFonts w:ascii="宋体" w:hAnsi="宋体"/>
          <w:szCs w:val="21"/>
        </w:rPr>
      </w:pPr>
      <w:r>
        <w:rPr>
          <w:rFonts w:hint="eastAsia" w:ascii="宋体" w:hAnsi="宋体"/>
          <w:szCs w:val="21"/>
        </w:rPr>
        <w:t xml:space="preserve">    53.1供应商质疑不成立，或者成立但未对中标、成交结果构成影响的，继续开展采购活动。</w:t>
      </w:r>
    </w:p>
    <w:p w14:paraId="7C2ED8F4">
      <w:pPr>
        <w:ind w:firstLine="420"/>
        <w:rPr>
          <w:rFonts w:ascii="宋体" w:hAnsi="宋体"/>
          <w:szCs w:val="21"/>
        </w:rPr>
      </w:pPr>
      <w:r>
        <w:rPr>
          <w:rFonts w:hint="eastAsia" w:ascii="宋体" w:hAnsi="宋体"/>
          <w:szCs w:val="21"/>
        </w:rPr>
        <w:t>53.2供应商质疑成立且影响或者可能影响中标、成交结果的，按照下列情况处理：（1）对采购文件提出的质疑，依法通过澄清或者修改可以继续开展采购活动的，澄清或者修改采购文件后继续开展采购活动；否则应当修改采购文件后重新开展采购活动。（2）对采购过程、中标或者成交结果提出的质疑，合格供应商符合法定数量时，可以从合格的中标或者成交候选人中另行确定中标、成交供应商的，应当依法另行确定中标、成交供应商；否则应当重新开展采购活动。</w:t>
      </w:r>
    </w:p>
    <w:p w14:paraId="31AE0E65">
      <w:r>
        <w:t>---- END ----</w:t>
      </w:r>
    </w:p>
    <w:p w14:paraId="492E3890"/>
    <w:sectPr>
      <w:pgSz w:w="11907" w:h="16840"/>
      <w:pgMar w:top="1440" w:right="1797" w:bottom="1440" w:left="1797" w:header="851" w:footer="992" w:gutter="0"/>
      <w:cols w:space="425" w:num="1"/>
      <w:titlePg/>
      <w:docGrid w:linePitch="46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altName w:val="宋体"/>
    <w:panose1 w:val="020B0604020202020204"/>
    <w:charset w:val="86"/>
    <w:family w:val="swiss"/>
    <w:pitch w:val="default"/>
    <w:sig w:usb0="00000000" w:usb1="00000000" w:usb2="0000003F" w:usb3="00000000" w:csb0="003F01FF" w:csb1="00000000"/>
  </w:font>
  <w:font w:name="隶书">
    <w:panose1 w:val="02010509060101010101"/>
    <w:charset w:val="86"/>
    <w:family w:val="modern"/>
    <w:pitch w:val="default"/>
    <w:sig w:usb0="00000001" w:usb1="080E0000" w:usb2="00000000" w:usb3="00000000" w:csb0="00040000" w:csb1="00000000"/>
  </w:font>
  <w:font w:name="Verdana">
    <w:panose1 w:val="020B0604030504040204"/>
    <w:charset w:val="00"/>
    <w:family w:val="swiss"/>
    <w:pitch w:val="default"/>
    <w:sig w:usb0="A00006FF" w:usb1="4000205B" w:usb2="00000010" w:usb3="00000000" w:csb0="2000019F" w:csb1="00000000"/>
  </w:font>
  <w:font w:name="仿宋_GB2312">
    <w:panose1 w:val="02010609030101010101"/>
    <w:charset w:val="86"/>
    <w:family w:val="auto"/>
    <w:pitch w:val="default"/>
    <w:sig w:usb0="00000001" w:usb1="080E0000" w:usb2="00000000" w:usb3="00000000" w:csb0="00040000" w:csb1="00000000"/>
  </w:font>
  <w:font w:name="长城仿宋">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Helvetica">
    <w:altName w:val="Arial"/>
    <w:panose1 w:val="020B0604020202020204"/>
    <w:charset w:val="00"/>
    <w:family w:val="swiss"/>
    <w:pitch w:val="default"/>
    <w:sig w:usb0="00000000" w:usb1="00000000" w:usb2="00000009" w:usb3="00000000" w:csb0="000001FF" w:csb1="00000000"/>
  </w:font>
  <w:font w:name="Tahoma">
    <w:panose1 w:val="020B0604030504040204"/>
    <w:charset w:val="00"/>
    <w:family w:val="swiss"/>
    <w:pitch w:val="default"/>
    <w:sig w:usb0="E1002EFF" w:usb1="C000605B" w:usb2="00000029" w:usb3="00000000" w:csb0="200101FF" w:csb1="20280000"/>
  </w:font>
  <w:font w:name="文鼎粗黑">
    <w:altName w:val="黑体"/>
    <w:panose1 w:val="00000000000000000000"/>
    <w:charset w:val="86"/>
    <w:family w:val="modern"/>
    <w:pitch w:val="default"/>
    <w:sig w:usb0="00000000" w:usb1="00000000" w:usb2="00000010" w:usb3="00000000" w:csb0="00040000" w:csb1="00000000"/>
  </w:font>
  <w:font w:name="Arial (W1)">
    <w:altName w:val="Arial"/>
    <w:panose1 w:val="00000000000000000000"/>
    <w:charset w:val="00"/>
    <w:family w:val="swiss"/>
    <w:pitch w:val="default"/>
    <w:sig w:usb0="00000000" w:usb1="00000000" w:usb2="00000009" w:usb3="00000000" w:csb0="000001FF" w:csb1="00000000"/>
  </w:font>
  <w:font w:name="Cambria">
    <w:panose1 w:val="02040503050406030204"/>
    <w:charset w:val="00"/>
    <w:family w:val="roman"/>
    <w:pitch w:val="default"/>
    <w:sig w:usb0="E00006FF" w:usb1="420024FF" w:usb2="02000000" w:usb3="00000000" w:csb0="2000019F" w:csb1="00000000"/>
  </w:font>
  <w:font w:name="ˎ̥">
    <w:altName w:val="Times New Roman"/>
    <w:panose1 w:val="00000000000000000000"/>
    <w:charset w:val="00"/>
    <w:family w:val="auto"/>
    <w:pitch w:val="default"/>
    <w:sig w:usb0="00000000" w:usb1="00000000" w:usb2="00000000" w:usb3="00000000" w:csb0="00040001" w:csb1="00000000"/>
  </w:font>
  <w:font w:name="??">
    <w:altName w:val="Times New Roman"/>
    <w:panose1 w:val="00000000000000000000"/>
    <w:charset w:val="01"/>
    <w:family w:val="auto"/>
    <w:pitch w:val="default"/>
    <w:sig w:usb0="00000000" w:usb1="00000000" w:usb2="00000000" w:usb3="00000000" w:csb0="00040001" w:csb1="00000000"/>
  </w:font>
  <w:font w:name="汉仪细等线简">
    <w:altName w:val="宋体"/>
    <w:panose1 w:val="00000000000000000000"/>
    <w:charset w:val="86"/>
    <w:family w:val="modern"/>
    <w:pitch w:val="default"/>
    <w:sig w:usb0="00000000" w:usb1="00000000" w:usb2="00000012" w:usb3="00000000" w:csb0="00040000" w:csb1="00000000"/>
  </w:font>
  <w:font w:name="H Yb 2gj">
    <w:altName w:val="黑体"/>
    <w:panose1 w:val="00000000000000000000"/>
    <w:charset w:val="86"/>
    <w:family w:val="auto"/>
    <w:pitch w:val="default"/>
    <w:sig w:usb0="00000000" w:usb1="00000000" w:usb2="00000010" w:usb3="00000000" w:csb0="00040000" w:csb1="00000000"/>
  </w:font>
  <w:font w:name="幼圆">
    <w:panose1 w:val="02010509060101010101"/>
    <w:charset w:val="86"/>
    <w:family w:val="modern"/>
    <w:pitch w:val="default"/>
    <w:sig w:usb0="00000001" w:usb1="080E0000" w:usb2="00000000" w:usb3="00000000" w:csb0="00040000" w:csb1="00000000"/>
  </w:font>
  <w:font w:name="Arial Narrow">
    <w:panose1 w:val="020B0606020202030204"/>
    <w:charset w:val="00"/>
    <w:family w:val="swiss"/>
    <w:pitch w:val="default"/>
    <w:sig w:usb0="00000287" w:usb1="00000800" w:usb2="00000000" w:usb3="00000000" w:csb0="2000009F" w:csb1="DFD70000"/>
  </w:font>
  <w:font w:name="微软雅黑">
    <w:panose1 w:val="020B0503020204020204"/>
    <w:charset w:val="86"/>
    <w:family w:val="swiss"/>
    <w:pitch w:val="default"/>
    <w:sig w:usb0="80000287" w:usb1="2ACF3C50" w:usb2="00000016" w:usb3="00000000" w:csb0="0004001F" w:csb1="00000000"/>
  </w:font>
  <w:font w:name="PMingLiU">
    <w:altName w:val="Microsoft JhengHei UI"/>
    <w:panose1 w:val="02010601000101010101"/>
    <w:charset w:val="88"/>
    <w:family w:val="auto"/>
    <w:pitch w:val="default"/>
    <w:sig w:usb0="00000000" w:usb1="00000000" w:usb2="00000010" w:usb3="00000000" w:csb0="00100000" w:csb1="00000000"/>
  </w:font>
  <w:font w:name="Microsoft JhengHei UI">
    <w:panose1 w:val="020B0604030504040204"/>
    <w:charset w:val="88"/>
    <w:family w:val="auto"/>
    <w:pitch w:val="default"/>
    <w:sig w:usb0="000002A7" w:usb1="28CF4400" w:usb2="00000016" w:usb3="00000000" w:csb0="00100009" w:csb1="00000000"/>
  </w:font>
  <w:font w:name="华文中宋">
    <w:panose1 w:val="02010600040101010101"/>
    <w:charset w:val="86"/>
    <w:family w:val="auto"/>
    <w:pitch w:val="default"/>
    <w:sig w:usb0="00000287" w:usb1="080F0000" w:usb2="00000000" w:usb3="00000000" w:csb0="0004009F" w:csb1="DFD70000"/>
  </w:font>
  <w:font w:name="汉仪书宋二S">
    <w:altName w:val="宋体"/>
    <w:panose1 w:val="00000000000000000000"/>
    <w:charset w:val="00"/>
    <w:family w:val="auto"/>
    <w:pitch w:val="default"/>
    <w:sig w:usb0="00000000" w:usb1="00000000" w:usb2="00000000" w:usb3="00000000" w:csb0="00000000" w:csb1="00000000"/>
  </w:font>
  <w:font w:name="华文楷体">
    <w:panose1 w:val="02010600040101010101"/>
    <w:charset w:val="86"/>
    <w:family w:val="auto"/>
    <w:pitch w:val="default"/>
    <w:sig w:usb0="00000287" w:usb1="080F0000" w:usb2="00000000" w:usb3="00000000" w:csb0="0004009F" w:csb1="DFD7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AD7DD5">
    <w:pPr>
      <w:pStyle w:val="27"/>
      <w:framePr w:wrap="around" w:vAnchor="text" w:hAnchor="margin" w:xAlign="center" w:y="1"/>
      <w:rPr>
        <w:rStyle w:val="48"/>
      </w:rPr>
    </w:pPr>
    <w:r>
      <w:t xml:space="preserve">- </w:t>
    </w:r>
    <w:r>
      <w:fldChar w:fldCharType="begin"/>
    </w:r>
    <w:r>
      <w:instrText xml:space="preserve"> PAGE </w:instrText>
    </w:r>
    <w:r>
      <w:fldChar w:fldCharType="separate"/>
    </w:r>
    <w:r>
      <w:t>21</w:t>
    </w:r>
    <w:r>
      <w:fldChar w:fldCharType="end"/>
    </w:r>
    <w:r>
      <w:t xml:space="preserve"> -</w:t>
    </w:r>
  </w:p>
  <w:p w14:paraId="7F79DB09">
    <w:pPr>
      <w:pStyle w:val="2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7A6F3D">
    <w:pPr>
      <w:tabs>
        <w:tab w:val="center" w:pos="4153"/>
        <w:tab w:val="right" w:pos="8306"/>
      </w:tabs>
      <w:snapToGrid w:val="0"/>
      <w:jc w:val="left"/>
      <w:rPr>
        <w:sz w:val="1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0DB8FB">
    <w:pPr>
      <w:pStyle w:val="28"/>
      <w:pBdr>
        <w:bottom w:val="none" w:color="auto" w:sz="0" w:space="1"/>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D88421">
    <w:pPr>
      <w:pBdr>
        <w:top w:val="none" w:color="auto" w:sz="0" w:space="1"/>
        <w:left w:val="none" w:color="auto" w:sz="0" w:space="4"/>
        <w:bottom w:val="none" w:color="auto" w:sz="0" w:space="1"/>
        <w:right w:val="none" w:color="auto" w:sz="0" w:space="4"/>
      </w:pBdr>
      <w:tabs>
        <w:tab w:val="center" w:pos="4153"/>
        <w:tab w:val="right" w:pos="8306"/>
      </w:tabs>
      <w:snapToGrid w:val="0"/>
      <w:rPr>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09221C"/>
    <w:multiLevelType w:val="singleLevel"/>
    <w:tmpl w:val="B609221C"/>
    <w:lvl w:ilvl="0" w:tentative="0">
      <w:start w:val="1"/>
      <w:numFmt w:val="decimal"/>
      <w:suff w:val="nothing"/>
      <w:lvlText w:val="%1、"/>
      <w:lvlJc w:val="left"/>
    </w:lvl>
  </w:abstractNum>
  <w:abstractNum w:abstractNumId="1">
    <w:nsid w:val="B9358C2E"/>
    <w:multiLevelType w:val="singleLevel"/>
    <w:tmpl w:val="B9358C2E"/>
    <w:lvl w:ilvl="0" w:tentative="0">
      <w:start w:val="2"/>
      <w:numFmt w:val="decimal"/>
      <w:suff w:val="nothing"/>
      <w:lvlText w:val="%1、"/>
      <w:lvlJc w:val="left"/>
    </w:lvl>
  </w:abstractNum>
  <w:abstractNum w:abstractNumId="2">
    <w:nsid w:val="BF6BC116"/>
    <w:multiLevelType w:val="singleLevel"/>
    <w:tmpl w:val="BF6BC116"/>
    <w:lvl w:ilvl="0" w:tentative="0">
      <w:start w:val="16"/>
      <w:numFmt w:val="decimal"/>
      <w:suff w:val="space"/>
      <w:lvlText w:val="%1."/>
      <w:lvlJc w:val="left"/>
    </w:lvl>
  </w:abstractNum>
  <w:abstractNum w:abstractNumId="3">
    <w:nsid w:val="CFE7C3F8"/>
    <w:multiLevelType w:val="singleLevel"/>
    <w:tmpl w:val="CFE7C3F8"/>
    <w:lvl w:ilvl="0" w:tentative="0">
      <w:start w:val="1"/>
      <w:numFmt w:val="decimal"/>
      <w:suff w:val="nothing"/>
      <w:lvlText w:val="（%1）"/>
      <w:lvlJc w:val="left"/>
    </w:lvl>
  </w:abstractNum>
  <w:abstractNum w:abstractNumId="4">
    <w:nsid w:val="DDECD3BC"/>
    <w:multiLevelType w:val="singleLevel"/>
    <w:tmpl w:val="DDECD3BC"/>
    <w:lvl w:ilvl="0" w:tentative="0">
      <w:start w:val="6"/>
      <w:numFmt w:val="decimal"/>
      <w:suff w:val="space"/>
      <w:lvlText w:val="%1."/>
      <w:lvlJc w:val="left"/>
    </w:lvl>
  </w:abstractNum>
  <w:abstractNum w:abstractNumId="5">
    <w:nsid w:val="DE759F4B"/>
    <w:multiLevelType w:val="singleLevel"/>
    <w:tmpl w:val="DE759F4B"/>
    <w:lvl w:ilvl="0" w:tentative="0">
      <w:start w:val="2"/>
      <w:numFmt w:val="decimal"/>
      <w:suff w:val="space"/>
      <w:lvlText w:val="%1."/>
      <w:lvlJc w:val="left"/>
    </w:lvl>
  </w:abstractNum>
  <w:abstractNum w:abstractNumId="6">
    <w:nsid w:val="DEABE1DB"/>
    <w:multiLevelType w:val="singleLevel"/>
    <w:tmpl w:val="DEABE1DB"/>
    <w:lvl w:ilvl="0" w:tentative="0">
      <w:start w:val="23"/>
      <w:numFmt w:val="decimal"/>
      <w:suff w:val="space"/>
      <w:lvlText w:val="%1."/>
      <w:lvlJc w:val="left"/>
    </w:lvl>
  </w:abstractNum>
  <w:abstractNum w:abstractNumId="7">
    <w:nsid w:val="FFEFC674"/>
    <w:multiLevelType w:val="singleLevel"/>
    <w:tmpl w:val="FFEFC674"/>
    <w:lvl w:ilvl="0" w:tentative="0">
      <w:start w:val="1"/>
      <w:numFmt w:val="decimal"/>
      <w:suff w:val="nothing"/>
      <w:lvlText w:val="（%1）"/>
      <w:lvlJc w:val="left"/>
    </w:lvl>
  </w:abstractNum>
  <w:abstractNum w:abstractNumId="8">
    <w:nsid w:val="FFFFFF7C"/>
    <w:multiLevelType w:val="singleLevel"/>
    <w:tmpl w:val="FFFFFF7C"/>
    <w:lvl w:ilvl="0" w:tentative="0">
      <w:start w:val="1"/>
      <w:numFmt w:val="decimal"/>
      <w:pStyle w:val="60"/>
      <w:lvlText w:val="%1."/>
      <w:lvlJc w:val="left"/>
      <w:pPr>
        <w:tabs>
          <w:tab w:val="left" w:pos="7994"/>
        </w:tabs>
        <w:ind w:left="7994" w:leftChars="800" w:hanging="360" w:hangingChars="200"/>
      </w:pPr>
    </w:lvl>
  </w:abstractNum>
  <w:abstractNum w:abstractNumId="9">
    <w:nsid w:val="FFFFFF89"/>
    <w:multiLevelType w:val="singleLevel"/>
    <w:tmpl w:val="FFFFFF89"/>
    <w:lvl w:ilvl="0" w:tentative="0">
      <w:start w:val="1"/>
      <w:numFmt w:val="bullet"/>
      <w:pStyle w:val="15"/>
      <w:lvlText w:val=""/>
      <w:lvlJc w:val="left"/>
      <w:pPr>
        <w:tabs>
          <w:tab w:val="left" w:pos="360"/>
        </w:tabs>
        <w:ind w:left="360" w:hanging="360" w:hangingChars="200"/>
      </w:pPr>
      <w:rPr>
        <w:rFonts w:hint="default" w:ascii="Wingdings" w:hAnsi="Wingdings"/>
      </w:rPr>
    </w:lvl>
  </w:abstractNum>
  <w:abstractNum w:abstractNumId="10">
    <w:nsid w:val="09F81FD3"/>
    <w:multiLevelType w:val="multilevel"/>
    <w:tmpl w:val="09F81FD3"/>
    <w:lvl w:ilvl="0" w:tentative="0">
      <w:start w:val="1"/>
      <w:numFmt w:val="japaneseCounting"/>
      <w:lvlText w:val="第%1章"/>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12503483"/>
    <w:multiLevelType w:val="multilevel"/>
    <w:tmpl w:val="12503483"/>
    <w:lvl w:ilvl="0" w:tentative="0">
      <w:start w:val="1"/>
      <w:numFmt w:val="bullet"/>
      <w:pStyle w:val="108"/>
      <w:lvlText w:val=""/>
      <w:lvlJc w:val="left"/>
      <w:pPr>
        <w:tabs>
          <w:tab w:val="left" w:pos="420"/>
        </w:tabs>
        <w:ind w:left="420" w:hanging="420"/>
      </w:pPr>
      <w:rPr>
        <w:rFonts w:hint="default" w:ascii="Wingdings" w:hAnsi="Wingdings"/>
      </w:rPr>
    </w:lvl>
    <w:lvl w:ilvl="1" w:tentative="0">
      <w:start w:val="1"/>
      <w:numFmt w:val="bullet"/>
      <w:pStyle w:val="107"/>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2">
    <w:nsid w:val="160D20D0"/>
    <w:multiLevelType w:val="multilevel"/>
    <w:tmpl w:val="160D20D0"/>
    <w:lvl w:ilvl="0" w:tentative="0">
      <w:start w:val="1"/>
      <w:numFmt w:val="bullet"/>
      <w:pStyle w:val="76"/>
      <w:lvlText w:val=""/>
      <w:lvlJc w:val="left"/>
      <w:pPr>
        <w:tabs>
          <w:tab w:val="left" w:pos="840"/>
        </w:tabs>
        <w:ind w:left="840" w:hanging="420"/>
      </w:pPr>
      <w:rPr>
        <w:rFonts w:hint="default" w:ascii="Wingdings" w:hAnsi="Wingdings"/>
      </w:rPr>
    </w:lvl>
    <w:lvl w:ilvl="1" w:tentative="0">
      <w:start w:val="1"/>
      <w:numFmt w:val="bullet"/>
      <w:pStyle w:val="77"/>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13">
    <w:nsid w:val="2F395B7B"/>
    <w:multiLevelType w:val="multilevel"/>
    <w:tmpl w:val="2F395B7B"/>
    <w:lvl w:ilvl="0" w:tentative="0">
      <w:start w:val="1"/>
      <w:numFmt w:val="bullet"/>
      <w:pStyle w:val="168"/>
      <w:lvlText w:val=""/>
      <w:lvlJc w:val="left"/>
      <w:pPr>
        <w:tabs>
          <w:tab w:val="left" w:pos="360"/>
        </w:tabs>
        <w:ind w:left="360" w:hanging="360"/>
      </w:pPr>
      <w:rPr>
        <w:rFonts w:hint="default" w:ascii="Symbol" w:hAnsi="Symbol"/>
      </w:rPr>
    </w:lvl>
    <w:lvl w:ilvl="1" w:tentative="0">
      <w:start w:val="1"/>
      <w:numFmt w:val="bullet"/>
      <w:lvlText w:val=""/>
      <w:lvlJc w:val="left"/>
      <w:pPr>
        <w:tabs>
          <w:tab w:val="left" w:pos="1140"/>
        </w:tabs>
        <w:ind w:left="1140" w:hanging="420"/>
      </w:pPr>
      <w:rPr>
        <w:rFonts w:hint="default" w:ascii="Wingdings" w:hAnsi="Wingdings"/>
      </w:rPr>
    </w:lvl>
    <w:lvl w:ilvl="2" w:tentative="0">
      <w:start w:val="1"/>
      <w:numFmt w:val="bullet"/>
      <w:lvlText w:val=""/>
      <w:lvlJc w:val="left"/>
      <w:pPr>
        <w:tabs>
          <w:tab w:val="left" w:pos="1800"/>
        </w:tabs>
        <w:ind w:left="1800" w:hanging="360"/>
      </w:pPr>
      <w:rPr>
        <w:rFonts w:hint="default" w:ascii="Wingdings" w:hAnsi="Wingdings"/>
      </w:rPr>
    </w:lvl>
    <w:lvl w:ilvl="3" w:tentative="0">
      <w:start w:val="1"/>
      <w:numFmt w:val="bullet"/>
      <w:lvlText w:val=""/>
      <w:lvlJc w:val="left"/>
      <w:pPr>
        <w:tabs>
          <w:tab w:val="left" w:pos="2520"/>
        </w:tabs>
        <w:ind w:left="2520" w:hanging="360"/>
      </w:pPr>
      <w:rPr>
        <w:rFonts w:hint="default" w:ascii="Symbol" w:hAnsi="Symbol"/>
      </w:rPr>
    </w:lvl>
    <w:lvl w:ilvl="4" w:tentative="0">
      <w:start w:val="1"/>
      <w:numFmt w:val="bullet"/>
      <w:lvlText w:val="o"/>
      <w:lvlJc w:val="left"/>
      <w:pPr>
        <w:tabs>
          <w:tab w:val="left" w:pos="3240"/>
        </w:tabs>
        <w:ind w:left="3240" w:hanging="360"/>
      </w:pPr>
      <w:rPr>
        <w:rFonts w:hint="default" w:ascii="Courier New" w:hAnsi="Courier New" w:cs="Courier New"/>
      </w:rPr>
    </w:lvl>
    <w:lvl w:ilvl="5" w:tentative="0">
      <w:start w:val="1"/>
      <w:numFmt w:val="bullet"/>
      <w:lvlText w:val=""/>
      <w:lvlJc w:val="left"/>
      <w:pPr>
        <w:tabs>
          <w:tab w:val="left" w:pos="3960"/>
        </w:tabs>
        <w:ind w:left="3960" w:hanging="360"/>
      </w:pPr>
      <w:rPr>
        <w:rFonts w:hint="default" w:ascii="Wingdings" w:hAnsi="Wingdings"/>
      </w:rPr>
    </w:lvl>
    <w:lvl w:ilvl="6" w:tentative="0">
      <w:start w:val="1"/>
      <w:numFmt w:val="bullet"/>
      <w:lvlText w:val=""/>
      <w:lvlJc w:val="left"/>
      <w:pPr>
        <w:tabs>
          <w:tab w:val="left" w:pos="4680"/>
        </w:tabs>
        <w:ind w:left="4680" w:hanging="360"/>
      </w:pPr>
      <w:rPr>
        <w:rFonts w:hint="default" w:ascii="Symbol" w:hAnsi="Symbol"/>
      </w:rPr>
    </w:lvl>
    <w:lvl w:ilvl="7" w:tentative="0">
      <w:start w:val="1"/>
      <w:numFmt w:val="bullet"/>
      <w:lvlText w:val="o"/>
      <w:lvlJc w:val="left"/>
      <w:pPr>
        <w:tabs>
          <w:tab w:val="left" w:pos="5400"/>
        </w:tabs>
        <w:ind w:left="5400" w:hanging="360"/>
      </w:pPr>
      <w:rPr>
        <w:rFonts w:hint="default" w:ascii="Courier New" w:hAnsi="Courier New" w:cs="Courier New"/>
      </w:rPr>
    </w:lvl>
    <w:lvl w:ilvl="8" w:tentative="0">
      <w:start w:val="1"/>
      <w:numFmt w:val="bullet"/>
      <w:lvlText w:val=""/>
      <w:lvlJc w:val="left"/>
      <w:pPr>
        <w:tabs>
          <w:tab w:val="left" w:pos="6120"/>
        </w:tabs>
        <w:ind w:left="6120" w:hanging="360"/>
      </w:pPr>
      <w:rPr>
        <w:rFonts w:hint="default" w:ascii="Wingdings" w:hAnsi="Wingdings"/>
      </w:rPr>
    </w:lvl>
  </w:abstractNum>
  <w:abstractNum w:abstractNumId="14">
    <w:nsid w:val="34232161"/>
    <w:multiLevelType w:val="singleLevel"/>
    <w:tmpl w:val="34232161"/>
    <w:lvl w:ilvl="0" w:tentative="0">
      <w:start w:val="2"/>
      <w:numFmt w:val="decimal"/>
      <w:suff w:val="nothing"/>
      <w:lvlText w:val="（%1）"/>
      <w:lvlJc w:val="left"/>
    </w:lvl>
  </w:abstractNum>
  <w:abstractNum w:abstractNumId="15">
    <w:nsid w:val="7A0F6431"/>
    <w:multiLevelType w:val="singleLevel"/>
    <w:tmpl w:val="7A0F6431"/>
    <w:lvl w:ilvl="0" w:tentative="0">
      <w:start w:val="1"/>
      <w:numFmt w:val="decimal"/>
      <w:suff w:val="space"/>
      <w:lvlText w:val="%1."/>
      <w:lvlJc w:val="left"/>
    </w:lvl>
  </w:abstractNum>
  <w:abstractNum w:abstractNumId="16">
    <w:nsid w:val="7AEF7716"/>
    <w:multiLevelType w:val="multilevel"/>
    <w:tmpl w:val="7AEF7716"/>
    <w:lvl w:ilvl="0" w:tentative="0">
      <w:start w:val="1"/>
      <w:numFmt w:val="chineseCountingThousand"/>
      <w:pStyle w:val="121"/>
      <w:lvlText w:val="%1"/>
      <w:lvlJc w:val="left"/>
      <w:pPr>
        <w:tabs>
          <w:tab w:val="left" w:pos="1290"/>
        </w:tabs>
        <w:ind w:left="630" w:hanging="420"/>
      </w:pPr>
      <w:rPr>
        <w:rFonts w:hint="eastAsia"/>
        <w:sz w:val="32"/>
        <w:szCs w:val="32"/>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9"/>
  </w:num>
  <w:num w:numId="2">
    <w:abstractNumId w:val="8"/>
  </w:num>
  <w:num w:numId="3">
    <w:abstractNumId w:val="12"/>
  </w:num>
  <w:num w:numId="4">
    <w:abstractNumId w:val="11"/>
  </w:num>
  <w:num w:numId="5">
    <w:abstractNumId w:val="16"/>
  </w:num>
  <w:num w:numId="6">
    <w:abstractNumId w:val="13"/>
  </w:num>
  <w:num w:numId="7">
    <w:abstractNumId w:val="14"/>
  </w:num>
  <w:num w:numId="8">
    <w:abstractNumId w:val="0"/>
  </w:num>
  <w:num w:numId="9">
    <w:abstractNumId w:val="1"/>
  </w:num>
  <w:num w:numId="10">
    <w:abstractNumId w:val="15"/>
  </w:num>
  <w:num w:numId="11">
    <w:abstractNumId w:val="3"/>
  </w:num>
  <w:num w:numId="12">
    <w:abstractNumId w:val="7"/>
  </w:num>
  <w:num w:numId="13">
    <w:abstractNumId w:val="5"/>
  </w:num>
  <w:num w:numId="14">
    <w:abstractNumId w:val="4"/>
  </w:num>
  <w:num w:numId="15">
    <w:abstractNumId w:val="2"/>
  </w:num>
  <w:num w:numId="16">
    <w:abstractNumId w:val="6"/>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1"/>
  <w:bordersDoNotSurroundHeader w:val="0"/>
  <w:bordersDoNotSurroundFooter w:val="0"/>
  <w:hideSpellingErrors/>
  <w:documentProtection w:enforcement="0"/>
  <w:defaultTabStop w:val="420"/>
  <w:displayHorizontalDrawingGridEvery w:val="1"/>
  <w:displayVerticalDrawingGridEvery w:val="1"/>
  <w:noPunctuationKerning w:val="1"/>
  <w:characterSpacingControl w:val="doNotCompress"/>
  <w:compat>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JmYjljOTBiMDc3ZDI5NDJhZTJlYTI3NDZmMGY3ZTAifQ=="/>
    <w:docVar w:name="KSO_WPS_MARK_KEY" w:val="a5980290-81d1-4166-b591-31e4936b8684"/>
  </w:docVars>
  <w:rsids>
    <w:rsidRoot w:val="006C5683"/>
    <w:rsid w:val="000006EA"/>
    <w:rsid w:val="00000AD9"/>
    <w:rsid w:val="000043C0"/>
    <w:rsid w:val="00004F2D"/>
    <w:rsid w:val="000050CA"/>
    <w:rsid w:val="000051C6"/>
    <w:rsid w:val="00005215"/>
    <w:rsid w:val="00005A10"/>
    <w:rsid w:val="00005D3D"/>
    <w:rsid w:val="0000667D"/>
    <w:rsid w:val="00006F7B"/>
    <w:rsid w:val="00007951"/>
    <w:rsid w:val="0000796B"/>
    <w:rsid w:val="00010063"/>
    <w:rsid w:val="00010102"/>
    <w:rsid w:val="0001019E"/>
    <w:rsid w:val="00011EA6"/>
    <w:rsid w:val="00012640"/>
    <w:rsid w:val="00012B21"/>
    <w:rsid w:val="0001300F"/>
    <w:rsid w:val="0001336E"/>
    <w:rsid w:val="0001480D"/>
    <w:rsid w:val="00014A5C"/>
    <w:rsid w:val="00015388"/>
    <w:rsid w:val="0001716B"/>
    <w:rsid w:val="00017F81"/>
    <w:rsid w:val="000211EA"/>
    <w:rsid w:val="000234B2"/>
    <w:rsid w:val="00024B9C"/>
    <w:rsid w:val="00024FD2"/>
    <w:rsid w:val="00025AE4"/>
    <w:rsid w:val="0002684B"/>
    <w:rsid w:val="00026A57"/>
    <w:rsid w:val="00027645"/>
    <w:rsid w:val="000300AE"/>
    <w:rsid w:val="000300EE"/>
    <w:rsid w:val="000302B6"/>
    <w:rsid w:val="0003106D"/>
    <w:rsid w:val="00031700"/>
    <w:rsid w:val="00031F6E"/>
    <w:rsid w:val="0003277F"/>
    <w:rsid w:val="00032948"/>
    <w:rsid w:val="00032B0A"/>
    <w:rsid w:val="0003315D"/>
    <w:rsid w:val="00033DE7"/>
    <w:rsid w:val="0003541F"/>
    <w:rsid w:val="00036A2B"/>
    <w:rsid w:val="00040D3C"/>
    <w:rsid w:val="00042C84"/>
    <w:rsid w:val="00043621"/>
    <w:rsid w:val="00043739"/>
    <w:rsid w:val="00043A89"/>
    <w:rsid w:val="00045739"/>
    <w:rsid w:val="00046D30"/>
    <w:rsid w:val="000510B6"/>
    <w:rsid w:val="00051133"/>
    <w:rsid w:val="00051F3F"/>
    <w:rsid w:val="000521D8"/>
    <w:rsid w:val="00052BC1"/>
    <w:rsid w:val="00053A89"/>
    <w:rsid w:val="0005582B"/>
    <w:rsid w:val="00055BD9"/>
    <w:rsid w:val="00056247"/>
    <w:rsid w:val="00056292"/>
    <w:rsid w:val="00056C11"/>
    <w:rsid w:val="00057302"/>
    <w:rsid w:val="00057332"/>
    <w:rsid w:val="00057D00"/>
    <w:rsid w:val="00060A3D"/>
    <w:rsid w:val="00060C1C"/>
    <w:rsid w:val="00061D20"/>
    <w:rsid w:val="0006267A"/>
    <w:rsid w:val="0006335B"/>
    <w:rsid w:val="00063C25"/>
    <w:rsid w:val="00064892"/>
    <w:rsid w:val="00066026"/>
    <w:rsid w:val="0006660A"/>
    <w:rsid w:val="0006670C"/>
    <w:rsid w:val="00067960"/>
    <w:rsid w:val="0007003A"/>
    <w:rsid w:val="00070210"/>
    <w:rsid w:val="000707BF"/>
    <w:rsid w:val="00072B70"/>
    <w:rsid w:val="00072CB4"/>
    <w:rsid w:val="000734CD"/>
    <w:rsid w:val="00074403"/>
    <w:rsid w:val="000750DC"/>
    <w:rsid w:val="00075497"/>
    <w:rsid w:val="0007583C"/>
    <w:rsid w:val="00075E26"/>
    <w:rsid w:val="00076057"/>
    <w:rsid w:val="000770EC"/>
    <w:rsid w:val="00080613"/>
    <w:rsid w:val="00082667"/>
    <w:rsid w:val="00082AD2"/>
    <w:rsid w:val="00083DC6"/>
    <w:rsid w:val="00084857"/>
    <w:rsid w:val="000849B8"/>
    <w:rsid w:val="000850AF"/>
    <w:rsid w:val="000852EB"/>
    <w:rsid w:val="000869D8"/>
    <w:rsid w:val="00086CA6"/>
    <w:rsid w:val="00090213"/>
    <w:rsid w:val="00092FC7"/>
    <w:rsid w:val="00093133"/>
    <w:rsid w:val="0009395E"/>
    <w:rsid w:val="00094C6E"/>
    <w:rsid w:val="000954D5"/>
    <w:rsid w:val="00095723"/>
    <w:rsid w:val="00095A74"/>
    <w:rsid w:val="0009618D"/>
    <w:rsid w:val="0009709B"/>
    <w:rsid w:val="000975E3"/>
    <w:rsid w:val="000A094C"/>
    <w:rsid w:val="000A1DD1"/>
    <w:rsid w:val="000A21A5"/>
    <w:rsid w:val="000A3908"/>
    <w:rsid w:val="000A4C29"/>
    <w:rsid w:val="000A5B36"/>
    <w:rsid w:val="000A6E2B"/>
    <w:rsid w:val="000A79D3"/>
    <w:rsid w:val="000B05E2"/>
    <w:rsid w:val="000B2568"/>
    <w:rsid w:val="000B41BB"/>
    <w:rsid w:val="000B5357"/>
    <w:rsid w:val="000B597F"/>
    <w:rsid w:val="000B634D"/>
    <w:rsid w:val="000B73D2"/>
    <w:rsid w:val="000B7465"/>
    <w:rsid w:val="000C14CB"/>
    <w:rsid w:val="000C18BC"/>
    <w:rsid w:val="000C1D03"/>
    <w:rsid w:val="000C1EE4"/>
    <w:rsid w:val="000C1FF9"/>
    <w:rsid w:val="000C4151"/>
    <w:rsid w:val="000C4425"/>
    <w:rsid w:val="000C4B12"/>
    <w:rsid w:val="000C5FA7"/>
    <w:rsid w:val="000C7E71"/>
    <w:rsid w:val="000D0BCE"/>
    <w:rsid w:val="000D16AA"/>
    <w:rsid w:val="000D1A7D"/>
    <w:rsid w:val="000D2309"/>
    <w:rsid w:val="000D2CCA"/>
    <w:rsid w:val="000D366B"/>
    <w:rsid w:val="000D37B4"/>
    <w:rsid w:val="000D38F9"/>
    <w:rsid w:val="000D5D6B"/>
    <w:rsid w:val="000D7A20"/>
    <w:rsid w:val="000E161C"/>
    <w:rsid w:val="000E1994"/>
    <w:rsid w:val="000E2C39"/>
    <w:rsid w:val="000E355C"/>
    <w:rsid w:val="000E4445"/>
    <w:rsid w:val="000E470B"/>
    <w:rsid w:val="000E4DE8"/>
    <w:rsid w:val="000E4EF8"/>
    <w:rsid w:val="000E50F5"/>
    <w:rsid w:val="000E5E99"/>
    <w:rsid w:val="000E655B"/>
    <w:rsid w:val="000E6A66"/>
    <w:rsid w:val="000F0C3B"/>
    <w:rsid w:val="000F0E9F"/>
    <w:rsid w:val="000F1540"/>
    <w:rsid w:val="000F1D4A"/>
    <w:rsid w:val="000F2065"/>
    <w:rsid w:val="000F2A88"/>
    <w:rsid w:val="000F2C23"/>
    <w:rsid w:val="000F2D1B"/>
    <w:rsid w:val="000F3658"/>
    <w:rsid w:val="000F3B37"/>
    <w:rsid w:val="000F3C85"/>
    <w:rsid w:val="000F3F12"/>
    <w:rsid w:val="000F565B"/>
    <w:rsid w:val="000F5C6C"/>
    <w:rsid w:val="000F5F3F"/>
    <w:rsid w:val="000F64AD"/>
    <w:rsid w:val="00100570"/>
    <w:rsid w:val="00101CE5"/>
    <w:rsid w:val="00101DD0"/>
    <w:rsid w:val="00102555"/>
    <w:rsid w:val="0010291B"/>
    <w:rsid w:val="00102B4B"/>
    <w:rsid w:val="00103AB9"/>
    <w:rsid w:val="00103E80"/>
    <w:rsid w:val="00107187"/>
    <w:rsid w:val="00107272"/>
    <w:rsid w:val="00107D54"/>
    <w:rsid w:val="00110383"/>
    <w:rsid w:val="00110B62"/>
    <w:rsid w:val="00111581"/>
    <w:rsid w:val="00111CEB"/>
    <w:rsid w:val="0011245C"/>
    <w:rsid w:val="0011500F"/>
    <w:rsid w:val="00115A55"/>
    <w:rsid w:val="0011665D"/>
    <w:rsid w:val="00116AAC"/>
    <w:rsid w:val="00117D55"/>
    <w:rsid w:val="001204B2"/>
    <w:rsid w:val="001212EF"/>
    <w:rsid w:val="001217DC"/>
    <w:rsid w:val="00121F81"/>
    <w:rsid w:val="0012203F"/>
    <w:rsid w:val="00123CC6"/>
    <w:rsid w:val="00125689"/>
    <w:rsid w:val="00125C8A"/>
    <w:rsid w:val="001261FC"/>
    <w:rsid w:val="001306FE"/>
    <w:rsid w:val="00130827"/>
    <w:rsid w:val="001308A2"/>
    <w:rsid w:val="00131140"/>
    <w:rsid w:val="001317AD"/>
    <w:rsid w:val="00131FC3"/>
    <w:rsid w:val="0013281E"/>
    <w:rsid w:val="00132FD3"/>
    <w:rsid w:val="001339CF"/>
    <w:rsid w:val="00134E0F"/>
    <w:rsid w:val="0013673A"/>
    <w:rsid w:val="00136D81"/>
    <w:rsid w:val="001410EB"/>
    <w:rsid w:val="00141224"/>
    <w:rsid w:val="00143103"/>
    <w:rsid w:val="00143554"/>
    <w:rsid w:val="00143653"/>
    <w:rsid w:val="00143934"/>
    <w:rsid w:val="00143B3A"/>
    <w:rsid w:val="00143E43"/>
    <w:rsid w:val="00143FFC"/>
    <w:rsid w:val="00145760"/>
    <w:rsid w:val="00146ABB"/>
    <w:rsid w:val="00147338"/>
    <w:rsid w:val="00147A48"/>
    <w:rsid w:val="00150143"/>
    <w:rsid w:val="001509AB"/>
    <w:rsid w:val="00152E91"/>
    <w:rsid w:val="0015460B"/>
    <w:rsid w:val="00154736"/>
    <w:rsid w:val="00156CA9"/>
    <w:rsid w:val="00157465"/>
    <w:rsid w:val="00157E23"/>
    <w:rsid w:val="00157FC3"/>
    <w:rsid w:val="00160ACE"/>
    <w:rsid w:val="00161C4F"/>
    <w:rsid w:val="00161C84"/>
    <w:rsid w:val="00161F2A"/>
    <w:rsid w:val="00161FDF"/>
    <w:rsid w:val="00162091"/>
    <w:rsid w:val="001626BD"/>
    <w:rsid w:val="00162C33"/>
    <w:rsid w:val="0016340E"/>
    <w:rsid w:val="00164E23"/>
    <w:rsid w:val="0016595F"/>
    <w:rsid w:val="00165A4C"/>
    <w:rsid w:val="001669D4"/>
    <w:rsid w:val="00166A2C"/>
    <w:rsid w:val="00166BF2"/>
    <w:rsid w:val="00166CC3"/>
    <w:rsid w:val="00167E68"/>
    <w:rsid w:val="00170A9E"/>
    <w:rsid w:val="00170ED1"/>
    <w:rsid w:val="0017121A"/>
    <w:rsid w:val="00171401"/>
    <w:rsid w:val="0017141F"/>
    <w:rsid w:val="00171777"/>
    <w:rsid w:val="001719FB"/>
    <w:rsid w:val="00172B65"/>
    <w:rsid w:val="00172EF5"/>
    <w:rsid w:val="001732E1"/>
    <w:rsid w:val="00174268"/>
    <w:rsid w:val="0017486B"/>
    <w:rsid w:val="0017613E"/>
    <w:rsid w:val="00177167"/>
    <w:rsid w:val="00177753"/>
    <w:rsid w:val="00177BE4"/>
    <w:rsid w:val="00180EDB"/>
    <w:rsid w:val="00181A71"/>
    <w:rsid w:val="00182329"/>
    <w:rsid w:val="0018261B"/>
    <w:rsid w:val="001834A7"/>
    <w:rsid w:val="0018373B"/>
    <w:rsid w:val="00183C79"/>
    <w:rsid w:val="00183C8B"/>
    <w:rsid w:val="00183E75"/>
    <w:rsid w:val="001845CF"/>
    <w:rsid w:val="001865BB"/>
    <w:rsid w:val="00186EAE"/>
    <w:rsid w:val="00186F7A"/>
    <w:rsid w:val="00187518"/>
    <w:rsid w:val="00187743"/>
    <w:rsid w:val="00187F07"/>
    <w:rsid w:val="0019096C"/>
    <w:rsid w:val="00191EA7"/>
    <w:rsid w:val="00192164"/>
    <w:rsid w:val="00192883"/>
    <w:rsid w:val="00194C98"/>
    <w:rsid w:val="00194FB7"/>
    <w:rsid w:val="00195D28"/>
    <w:rsid w:val="00196B4E"/>
    <w:rsid w:val="001975A1"/>
    <w:rsid w:val="001A027A"/>
    <w:rsid w:val="001A08E4"/>
    <w:rsid w:val="001A0D2C"/>
    <w:rsid w:val="001A12B5"/>
    <w:rsid w:val="001A1C72"/>
    <w:rsid w:val="001A3980"/>
    <w:rsid w:val="001A422B"/>
    <w:rsid w:val="001A440A"/>
    <w:rsid w:val="001A4A55"/>
    <w:rsid w:val="001A5C6F"/>
    <w:rsid w:val="001A6A4F"/>
    <w:rsid w:val="001A76B7"/>
    <w:rsid w:val="001B015C"/>
    <w:rsid w:val="001B1339"/>
    <w:rsid w:val="001B1B58"/>
    <w:rsid w:val="001B1F55"/>
    <w:rsid w:val="001B2049"/>
    <w:rsid w:val="001B2934"/>
    <w:rsid w:val="001B4A37"/>
    <w:rsid w:val="001B5963"/>
    <w:rsid w:val="001B6FAD"/>
    <w:rsid w:val="001C04B2"/>
    <w:rsid w:val="001C14C1"/>
    <w:rsid w:val="001C1FDE"/>
    <w:rsid w:val="001C2063"/>
    <w:rsid w:val="001C21E1"/>
    <w:rsid w:val="001C3426"/>
    <w:rsid w:val="001C4675"/>
    <w:rsid w:val="001C4768"/>
    <w:rsid w:val="001C5839"/>
    <w:rsid w:val="001C6AF6"/>
    <w:rsid w:val="001C7129"/>
    <w:rsid w:val="001C77E1"/>
    <w:rsid w:val="001C7ADA"/>
    <w:rsid w:val="001C7B48"/>
    <w:rsid w:val="001C7EA0"/>
    <w:rsid w:val="001D121D"/>
    <w:rsid w:val="001D3543"/>
    <w:rsid w:val="001D4151"/>
    <w:rsid w:val="001D58E5"/>
    <w:rsid w:val="001D7299"/>
    <w:rsid w:val="001E0FAB"/>
    <w:rsid w:val="001E2084"/>
    <w:rsid w:val="001E2502"/>
    <w:rsid w:val="001E292F"/>
    <w:rsid w:val="001E351C"/>
    <w:rsid w:val="001E474D"/>
    <w:rsid w:val="001E5194"/>
    <w:rsid w:val="001E5851"/>
    <w:rsid w:val="001E5A81"/>
    <w:rsid w:val="001E62FB"/>
    <w:rsid w:val="001E68FE"/>
    <w:rsid w:val="001E6A0B"/>
    <w:rsid w:val="001E77DA"/>
    <w:rsid w:val="001E7A2F"/>
    <w:rsid w:val="001E7AB0"/>
    <w:rsid w:val="001E7DD0"/>
    <w:rsid w:val="001F0349"/>
    <w:rsid w:val="001F077B"/>
    <w:rsid w:val="001F0B74"/>
    <w:rsid w:val="001F1045"/>
    <w:rsid w:val="001F2648"/>
    <w:rsid w:val="001F3E37"/>
    <w:rsid w:val="001F41B9"/>
    <w:rsid w:val="001F4BE8"/>
    <w:rsid w:val="001F4EB8"/>
    <w:rsid w:val="001F560A"/>
    <w:rsid w:val="001F6270"/>
    <w:rsid w:val="001F6318"/>
    <w:rsid w:val="001F65B1"/>
    <w:rsid w:val="001F6B83"/>
    <w:rsid w:val="001F6F6A"/>
    <w:rsid w:val="001F7595"/>
    <w:rsid w:val="002000B8"/>
    <w:rsid w:val="002005CD"/>
    <w:rsid w:val="00200B4C"/>
    <w:rsid w:val="00202F46"/>
    <w:rsid w:val="00203267"/>
    <w:rsid w:val="00203897"/>
    <w:rsid w:val="0020391D"/>
    <w:rsid w:val="00205F9C"/>
    <w:rsid w:val="002060F7"/>
    <w:rsid w:val="00207BC6"/>
    <w:rsid w:val="00210771"/>
    <w:rsid w:val="00210EE2"/>
    <w:rsid w:val="00211885"/>
    <w:rsid w:val="00212864"/>
    <w:rsid w:val="00212ADF"/>
    <w:rsid w:val="002134CF"/>
    <w:rsid w:val="00213A60"/>
    <w:rsid w:val="0021429B"/>
    <w:rsid w:val="00215699"/>
    <w:rsid w:val="002159DE"/>
    <w:rsid w:val="00215E99"/>
    <w:rsid w:val="0021667D"/>
    <w:rsid w:val="002166A1"/>
    <w:rsid w:val="002166A6"/>
    <w:rsid w:val="00216BB6"/>
    <w:rsid w:val="0022039D"/>
    <w:rsid w:val="0022048B"/>
    <w:rsid w:val="0022175C"/>
    <w:rsid w:val="00222261"/>
    <w:rsid w:val="002227DF"/>
    <w:rsid w:val="00223AC8"/>
    <w:rsid w:val="00223C96"/>
    <w:rsid w:val="00224852"/>
    <w:rsid w:val="00224BE4"/>
    <w:rsid w:val="0022634D"/>
    <w:rsid w:val="00227512"/>
    <w:rsid w:val="0022766E"/>
    <w:rsid w:val="0022777A"/>
    <w:rsid w:val="002278D5"/>
    <w:rsid w:val="00227C13"/>
    <w:rsid w:val="00227D49"/>
    <w:rsid w:val="00227FC7"/>
    <w:rsid w:val="0023110A"/>
    <w:rsid w:val="00233A54"/>
    <w:rsid w:val="00234440"/>
    <w:rsid w:val="002347C9"/>
    <w:rsid w:val="00236E72"/>
    <w:rsid w:val="0023738E"/>
    <w:rsid w:val="002411BD"/>
    <w:rsid w:val="00242ED3"/>
    <w:rsid w:val="00244711"/>
    <w:rsid w:val="00244AE4"/>
    <w:rsid w:val="00245EBE"/>
    <w:rsid w:val="002472C1"/>
    <w:rsid w:val="002473F4"/>
    <w:rsid w:val="00247D64"/>
    <w:rsid w:val="00250934"/>
    <w:rsid w:val="00250F42"/>
    <w:rsid w:val="00252EBA"/>
    <w:rsid w:val="0025361A"/>
    <w:rsid w:val="002545EF"/>
    <w:rsid w:val="00254B44"/>
    <w:rsid w:val="00254E99"/>
    <w:rsid w:val="00255B9B"/>
    <w:rsid w:val="00256596"/>
    <w:rsid w:val="0026027A"/>
    <w:rsid w:val="00260533"/>
    <w:rsid w:val="002605CE"/>
    <w:rsid w:val="00261367"/>
    <w:rsid w:val="00261A54"/>
    <w:rsid w:val="00261C21"/>
    <w:rsid w:val="00261D37"/>
    <w:rsid w:val="00262D6B"/>
    <w:rsid w:val="00262ED0"/>
    <w:rsid w:val="00263607"/>
    <w:rsid w:val="002638EE"/>
    <w:rsid w:val="00264965"/>
    <w:rsid w:val="002656E1"/>
    <w:rsid w:val="00265CFF"/>
    <w:rsid w:val="002702CD"/>
    <w:rsid w:val="00270B4E"/>
    <w:rsid w:val="00271500"/>
    <w:rsid w:val="00272E57"/>
    <w:rsid w:val="00274663"/>
    <w:rsid w:val="00275641"/>
    <w:rsid w:val="0027569A"/>
    <w:rsid w:val="002767D9"/>
    <w:rsid w:val="00280382"/>
    <w:rsid w:val="00280F4B"/>
    <w:rsid w:val="002816D0"/>
    <w:rsid w:val="002821E9"/>
    <w:rsid w:val="002827D2"/>
    <w:rsid w:val="002835B7"/>
    <w:rsid w:val="00284C1F"/>
    <w:rsid w:val="00284F69"/>
    <w:rsid w:val="002851AF"/>
    <w:rsid w:val="00285866"/>
    <w:rsid w:val="00286129"/>
    <w:rsid w:val="0028787B"/>
    <w:rsid w:val="00290263"/>
    <w:rsid w:val="002908A7"/>
    <w:rsid w:val="00291768"/>
    <w:rsid w:val="00291796"/>
    <w:rsid w:val="00292F66"/>
    <w:rsid w:val="0029315D"/>
    <w:rsid w:val="00293A33"/>
    <w:rsid w:val="0029449E"/>
    <w:rsid w:val="0029488D"/>
    <w:rsid w:val="0029530C"/>
    <w:rsid w:val="00296020"/>
    <w:rsid w:val="00296695"/>
    <w:rsid w:val="0029693F"/>
    <w:rsid w:val="002969C6"/>
    <w:rsid w:val="00296BE2"/>
    <w:rsid w:val="00296F46"/>
    <w:rsid w:val="00296F8A"/>
    <w:rsid w:val="002A11CE"/>
    <w:rsid w:val="002A13E2"/>
    <w:rsid w:val="002A180F"/>
    <w:rsid w:val="002A1B36"/>
    <w:rsid w:val="002A37E6"/>
    <w:rsid w:val="002A4DFC"/>
    <w:rsid w:val="002B18D6"/>
    <w:rsid w:val="002B22D4"/>
    <w:rsid w:val="002B3984"/>
    <w:rsid w:val="002B4BF3"/>
    <w:rsid w:val="002B55C8"/>
    <w:rsid w:val="002B5E4B"/>
    <w:rsid w:val="002B64E9"/>
    <w:rsid w:val="002B660D"/>
    <w:rsid w:val="002B7969"/>
    <w:rsid w:val="002C0031"/>
    <w:rsid w:val="002C0485"/>
    <w:rsid w:val="002C0762"/>
    <w:rsid w:val="002C257A"/>
    <w:rsid w:val="002C2BEC"/>
    <w:rsid w:val="002C30C0"/>
    <w:rsid w:val="002C4F4B"/>
    <w:rsid w:val="002C5233"/>
    <w:rsid w:val="002C6EC0"/>
    <w:rsid w:val="002C7258"/>
    <w:rsid w:val="002D0189"/>
    <w:rsid w:val="002D0356"/>
    <w:rsid w:val="002D07C0"/>
    <w:rsid w:val="002D0F98"/>
    <w:rsid w:val="002D1DFB"/>
    <w:rsid w:val="002D45BF"/>
    <w:rsid w:val="002D4A85"/>
    <w:rsid w:val="002D6162"/>
    <w:rsid w:val="002D64DF"/>
    <w:rsid w:val="002D750A"/>
    <w:rsid w:val="002E242E"/>
    <w:rsid w:val="002E2FEC"/>
    <w:rsid w:val="002E38DB"/>
    <w:rsid w:val="002E3BEB"/>
    <w:rsid w:val="002E441D"/>
    <w:rsid w:val="002E4AB1"/>
    <w:rsid w:val="002E4F11"/>
    <w:rsid w:val="002E4F8A"/>
    <w:rsid w:val="002E505D"/>
    <w:rsid w:val="002E6F69"/>
    <w:rsid w:val="002E7296"/>
    <w:rsid w:val="002E73B8"/>
    <w:rsid w:val="002F04A7"/>
    <w:rsid w:val="002F0545"/>
    <w:rsid w:val="002F0823"/>
    <w:rsid w:val="002F2471"/>
    <w:rsid w:val="002F2B7A"/>
    <w:rsid w:val="002F2E1D"/>
    <w:rsid w:val="002F3105"/>
    <w:rsid w:val="002F59F2"/>
    <w:rsid w:val="002F5E6C"/>
    <w:rsid w:val="002F72FF"/>
    <w:rsid w:val="00300BF3"/>
    <w:rsid w:val="0030143F"/>
    <w:rsid w:val="00301A2B"/>
    <w:rsid w:val="00301BCD"/>
    <w:rsid w:val="00302988"/>
    <w:rsid w:val="00303ACF"/>
    <w:rsid w:val="0030463E"/>
    <w:rsid w:val="00304ED6"/>
    <w:rsid w:val="00306654"/>
    <w:rsid w:val="00306D5D"/>
    <w:rsid w:val="00306FF4"/>
    <w:rsid w:val="00310EE1"/>
    <w:rsid w:val="003122B0"/>
    <w:rsid w:val="00312390"/>
    <w:rsid w:val="003123F4"/>
    <w:rsid w:val="00312EAF"/>
    <w:rsid w:val="00313487"/>
    <w:rsid w:val="003138EB"/>
    <w:rsid w:val="00315880"/>
    <w:rsid w:val="00315A06"/>
    <w:rsid w:val="0031678B"/>
    <w:rsid w:val="0031683C"/>
    <w:rsid w:val="00317146"/>
    <w:rsid w:val="003176EA"/>
    <w:rsid w:val="00317D36"/>
    <w:rsid w:val="00321473"/>
    <w:rsid w:val="003225FB"/>
    <w:rsid w:val="00323A7C"/>
    <w:rsid w:val="00323BE9"/>
    <w:rsid w:val="00323C32"/>
    <w:rsid w:val="00323CC7"/>
    <w:rsid w:val="003247BA"/>
    <w:rsid w:val="00324A1D"/>
    <w:rsid w:val="00324C55"/>
    <w:rsid w:val="003250B4"/>
    <w:rsid w:val="00325742"/>
    <w:rsid w:val="00327224"/>
    <w:rsid w:val="00327AB3"/>
    <w:rsid w:val="00327F9E"/>
    <w:rsid w:val="00330527"/>
    <w:rsid w:val="00330C9F"/>
    <w:rsid w:val="003318A6"/>
    <w:rsid w:val="003321A8"/>
    <w:rsid w:val="00332EB1"/>
    <w:rsid w:val="00333E63"/>
    <w:rsid w:val="00334044"/>
    <w:rsid w:val="00334CB0"/>
    <w:rsid w:val="00335188"/>
    <w:rsid w:val="00335234"/>
    <w:rsid w:val="003373B8"/>
    <w:rsid w:val="003413F4"/>
    <w:rsid w:val="00342DC1"/>
    <w:rsid w:val="00342EF7"/>
    <w:rsid w:val="003432B6"/>
    <w:rsid w:val="003434E9"/>
    <w:rsid w:val="00343F41"/>
    <w:rsid w:val="00344BF3"/>
    <w:rsid w:val="00345CC1"/>
    <w:rsid w:val="00345EA7"/>
    <w:rsid w:val="0034652C"/>
    <w:rsid w:val="00346606"/>
    <w:rsid w:val="00346E73"/>
    <w:rsid w:val="00346F27"/>
    <w:rsid w:val="0035067B"/>
    <w:rsid w:val="00350681"/>
    <w:rsid w:val="00350B6E"/>
    <w:rsid w:val="00350FA8"/>
    <w:rsid w:val="00351A4A"/>
    <w:rsid w:val="00351D95"/>
    <w:rsid w:val="00351FB4"/>
    <w:rsid w:val="00353860"/>
    <w:rsid w:val="00354CD9"/>
    <w:rsid w:val="003556C1"/>
    <w:rsid w:val="00355EEE"/>
    <w:rsid w:val="00356FC1"/>
    <w:rsid w:val="00357883"/>
    <w:rsid w:val="00360494"/>
    <w:rsid w:val="00360B7E"/>
    <w:rsid w:val="00360C00"/>
    <w:rsid w:val="00361243"/>
    <w:rsid w:val="00361633"/>
    <w:rsid w:val="00361935"/>
    <w:rsid w:val="003626AE"/>
    <w:rsid w:val="0036292A"/>
    <w:rsid w:val="00362AF3"/>
    <w:rsid w:val="0036467D"/>
    <w:rsid w:val="00364BEE"/>
    <w:rsid w:val="0036508D"/>
    <w:rsid w:val="003651C8"/>
    <w:rsid w:val="00366321"/>
    <w:rsid w:val="00366419"/>
    <w:rsid w:val="003665E3"/>
    <w:rsid w:val="003669F1"/>
    <w:rsid w:val="00366F10"/>
    <w:rsid w:val="003700A3"/>
    <w:rsid w:val="00370B40"/>
    <w:rsid w:val="00371A92"/>
    <w:rsid w:val="00371C15"/>
    <w:rsid w:val="00372CDF"/>
    <w:rsid w:val="00373411"/>
    <w:rsid w:val="0037369C"/>
    <w:rsid w:val="00373D40"/>
    <w:rsid w:val="003741F6"/>
    <w:rsid w:val="00374A29"/>
    <w:rsid w:val="00374FA4"/>
    <w:rsid w:val="003756C6"/>
    <w:rsid w:val="00376548"/>
    <w:rsid w:val="00376E35"/>
    <w:rsid w:val="003773AC"/>
    <w:rsid w:val="00377F6C"/>
    <w:rsid w:val="00380094"/>
    <w:rsid w:val="00380256"/>
    <w:rsid w:val="0038165D"/>
    <w:rsid w:val="00383071"/>
    <w:rsid w:val="00385175"/>
    <w:rsid w:val="00385444"/>
    <w:rsid w:val="00385F39"/>
    <w:rsid w:val="00386070"/>
    <w:rsid w:val="00387DCF"/>
    <w:rsid w:val="00390006"/>
    <w:rsid w:val="003900A5"/>
    <w:rsid w:val="0039012D"/>
    <w:rsid w:val="003917AD"/>
    <w:rsid w:val="003917D1"/>
    <w:rsid w:val="00391FAB"/>
    <w:rsid w:val="00392539"/>
    <w:rsid w:val="00392677"/>
    <w:rsid w:val="0039320C"/>
    <w:rsid w:val="00393431"/>
    <w:rsid w:val="00393633"/>
    <w:rsid w:val="003945E2"/>
    <w:rsid w:val="00394981"/>
    <w:rsid w:val="00395100"/>
    <w:rsid w:val="003953A8"/>
    <w:rsid w:val="003958E6"/>
    <w:rsid w:val="00395D76"/>
    <w:rsid w:val="00396F7B"/>
    <w:rsid w:val="00396FA3"/>
    <w:rsid w:val="0039788E"/>
    <w:rsid w:val="00397F0D"/>
    <w:rsid w:val="003A011D"/>
    <w:rsid w:val="003A0DC3"/>
    <w:rsid w:val="003A1675"/>
    <w:rsid w:val="003A1CA9"/>
    <w:rsid w:val="003A1CF5"/>
    <w:rsid w:val="003A2812"/>
    <w:rsid w:val="003A2D0C"/>
    <w:rsid w:val="003A3304"/>
    <w:rsid w:val="003A3551"/>
    <w:rsid w:val="003A38F0"/>
    <w:rsid w:val="003A3EBB"/>
    <w:rsid w:val="003A443D"/>
    <w:rsid w:val="003A4DE4"/>
    <w:rsid w:val="003A6A5A"/>
    <w:rsid w:val="003A72E9"/>
    <w:rsid w:val="003B11DA"/>
    <w:rsid w:val="003B175A"/>
    <w:rsid w:val="003B3231"/>
    <w:rsid w:val="003B357A"/>
    <w:rsid w:val="003B4274"/>
    <w:rsid w:val="003B499C"/>
    <w:rsid w:val="003B4CCD"/>
    <w:rsid w:val="003B53D4"/>
    <w:rsid w:val="003B56D7"/>
    <w:rsid w:val="003B7298"/>
    <w:rsid w:val="003C0FF8"/>
    <w:rsid w:val="003C1D0C"/>
    <w:rsid w:val="003C1F2E"/>
    <w:rsid w:val="003C42A3"/>
    <w:rsid w:val="003C49D5"/>
    <w:rsid w:val="003C4FD5"/>
    <w:rsid w:val="003C582B"/>
    <w:rsid w:val="003C6BFF"/>
    <w:rsid w:val="003D2333"/>
    <w:rsid w:val="003D2E1B"/>
    <w:rsid w:val="003D3241"/>
    <w:rsid w:val="003D39AE"/>
    <w:rsid w:val="003D3B44"/>
    <w:rsid w:val="003D4804"/>
    <w:rsid w:val="003D5413"/>
    <w:rsid w:val="003D7685"/>
    <w:rsid w:val="003D7E9A"/>
    <w:rsid w:val="003E0366"/>
    <w:rsid w:val="003E100C"/>
    <w:rsid w:val="003E1C0C"/>
    <w:rsid w:val="003E2FFE"/>
    <w:rsid w:val="003E37AA"/>
    <w:rsid w:val="003E4310"/>
    <w:rsid w:val="003E47DE"/>
    <w:rsid w:val="003E4FFA"/>
    <w:rsid w:val="003E6E11"/>
    <w:rsid w:val="003F0536"/>
    <w:rsid w:val="003F10D3"/>
    <w:rsid w:val="003F1548"/>
    <w:rsid w:val="003F2B3D"/>
    <w:rsid w:val="003F2FBA"/>
    <w:rsid w:val="003F3105"/>
    <w:rsid w:val="003F3C44"/>
    <w:rsid w:val="003F4172"/>
    <w:rsid w:val="003F4249"/>
    <w:rsid w:val="003F4768"/>
    <w:rsid w:val="003F4E3B"/>
    <w:rsid w:val="003F5086"/>
    <w:rsid w:val="003F5108"/>
    <w:rsid w:val="003F5C9D"/>
    <w:rsid w:val="003F5D2C"/>
    <w:rsid w:val="003F7679"/>
    <w:rsid w:val="00400C13"/>
    <w:rsid w:val="00401AD9"/>
    <w:rsid w:val="00401F48"/>
    <w:rsid w:val="00402311"/>
    <w:rsid w:val="0040239F"/>
    <w:rsid w:val="00402C97"/>
    <w:rsid w:val="00403364"/>
    <w:rsid w:val="0040415C"/>
    <w:rsid w:val="00404AA4"/>
    <w:rsid w:val="00404AF1"/>
    <w:rsid w:val="00404C61"/>
    <w:rsid w:val="004050C9"/>
    <w:rsid w:val="004051F0"/>
    <w:rsid w:val="00405C04"/>
    <w:rsid w:val="00406314"/>
    <w:rsid w:val="00406376"/>
    <w:rsid w:val="00406896"/>
    <w:rsid w:val="00411B37"/>
    <w:rsid w:val="0041244F"/>
    <w:rsid w:val="004125ED"/>
    <w:rsid w:val="0041353D"/>
    <w:rsid w:val="00413B39"/>
    <w:rsid w:val="0041450E"/>
    <w:rsid w:val="0041456E"/>
    <w:rsid w:val="00415370"/>
    <w:rsid w:val="00415781"/>
    <w:rsid w:val="00416485"/>
    <w:rsid w:val="00416F40"/>
    <w:rsid w:val="00417769"/>
    <w:rsid w:val="00417F0D"/>
    <w:rsid w:val="00420765"/>
    <w:rsid w:val="00421EF2"/>
    <w:rsid w:val="00422668"/>
    <w:rsid w:val="0042482B"/>
    <w:rsid w:val="00424946"/>
    <w:rsid w:val="0042602D"/>
    <w:rsid w:val="004261DA"/>
    <w:rsid w:val="00427004"/>
    <w:rsid w:val="00431540"/>
    <w:rsid w:val="00431AC1"/>
    <w:rsid w:val="00431DE1"/>
    <w:rsid w:val="004329C9"/>
    <w:rsid w:val="00432CD5"/>
    <w:rsid w:val="00432EF0"/>
    <w:rsid w:val="0043396E"/>
    <w:rsid w:val="00433CDB"/>
    <w:rsid w:val="00435D29"/>
    <w:rsid w:val="004363FA"/>
    <w:rsid w:val="004364CC"/>
    <w:rsid w:val="00437141"/>
    <w:rsid w:val="004405B0"/>
    <w:rsid w:val="00440853"/>
    <w:rsid w:val="00441905"/>
    <w:rsid w:val="00441FF9"/>
    <w:rsid w:val="0044382F"/>
    <w:rsid w:val="00443B96"/>
    <w:rsid w:val="00443E1D"/>
    <w:rsid w:val="004442EB"/>
    <w:rsid w:val="00444FA3"/>
    <w:rsid w:val="004459DC"/>
    <w:rsid w:val="00446553"/>
    <w:rsid w:val="00446A92"/>
    <w:rsid w:val="004501B4"/>
    <w:rsid w:val="0045082F"/>
    <w:rsid w:val="00450C00"/>
    <w:rsid w:val="0045135E"/>
    <w:rsid w:val="00452434"/>
    <w:rsid w:val="00452C53"/>
    <w:rsid w:val="004539C7"/>
    <w:rsid w:val="00454597"/>
    <w:rsid w:val="004548E6"/>
    <w:rsid w:val="0045543A"/>
    <w:rsid w:val="0045543C"/>
    <w:rsid w:val="004556FB"/>
    <w:rsid w:val="00455880"/>
    <w:rsid w:val="004561F9"/>
    <w:rsid w:val="0045637C"/>
    <w:rsid w:val="004563C4"/>
    <w:rsid w:val="004569A3"/>
    <w:rsid w:val="004578ED"/>
    <w:rsid w:val="00457EFC"/>
    <w:rsid w:val="0046064C"/>
    <w:rsid w:val="004611B6"/>
    <w:rsid w:val="00461997"/>
    <w:rsid w:val="00463F8B"/>
    <w:rsid w:val="004644C2"/>
    <w:rsid w:val="004649AD"/>
    <w:rsid w:val="004650E7"/>
    <w:rsid w:val="0046687B"/>
    <w:rsid w:val="00466CB4"/>
    <w:rsid w:val="00470418"/>
    <w:rsid w:val="004704EA"/>
    <w:rsid w:val="0047071D"/>
    <w:rsid w:val="004720F6"/>
    <w:rsid w:val="004727C4"/>
    <w:rsid w:val="00472F62"/>
    <w:rsid w:val="00473579"/>
    <w:rsid w:val="00473E50"/>
    <w:rsid w:val="00474E5A"/>
    <w:rsid w:val="00475355"/>
    <w:rsid w:val="0047558F"/>
    <w:rsid w:val="00475FD5"/>
    <w:rsid w:val="00476FED"/>
    <w:rsid w:val="0047725A"/>
    <w:rsid w:val="004812F4"/>
    <w:rsid w:val="0048231B"/>
    <w:rsid w:val="004838D4"/>
    <w:rsid w:val="004845AC"/>
    <w:rsid w:val="00484C31"/>
    <w:rsid w:val="00485E3C"/>
    <w:rsid w:val="00486F09"/>
    <w:rsid w:val="004877FB"/>
    <w:rsid w:val="004906DB"/>
    <w:rsid w:val="00490C0F"/>
    <w:rsid w:val="00491FF2"/>
    <w:rsid w:val="004925EE"/>
    <w:rsid w:val="00492735"/>
    <w:rsid w:val="00493926"/>
    <w:rsid w:val="004945E8"/>
    <w:rsid w:val="00494FC9"/>
    <w:rsid w:val="00495228"/>
    <w:rsid w:val="004963B6"/>
    <w:rsid w:val="004A1AB1"/>
    <w:rsid w:val="004A2013"/>
    <w:rsid w:val="004A201B"/>
    <w:rsid w:val="004A2B7A"/>
    <w:rsid w:val="004A3EB3"/>
    <w:rsid w:val="004A4377"/>
    <w:rsid w:val="004A57EB"/>
    <w:rsid w:val="004A5824"/>
    <w:rsid w:val="004A59D3"/>
    <w:rsid w:val="004A6156"/>
    <w:rsid w:val="004A6D7C"/>
    <w:rsid w:val="004A6F11"/>
    <w:rsid w:val="004A7224"/>
    <w:rsid w:val="004A74DD"/>
    <w:rsid w:val="004B00D1"/>
    <w:rsid w:val="004B0AC8"/>
    <w:rsid w:val="004B0B57"/>
    <w:rsid w:val="004B0BBE"/>
    <w:rsid w:val="004B0EB0"/>
    <w:rsid w:val="004B1246"/>
    <w:rsid w:val="004B1CAB"/>
    <w:rsid w:val="004B2FF9"/>
    <w:rsid w:val="004B3506"/>
    <w:rsid w:val="004B36ED"/>
    <w:rsid w:val="004B40DB"/>
    <w:rsid w:val="004B4EF6"/>
    <w:rsid w:val="004B612E"/>
    <w:rsid w:val="004B623B"/>
    <w:rsid w:val="004B6554"/>
    <w:rsid w:val="004B6B22"/>
    <w:rsid w:val="004B6C50"/>
    <w:rsid w:val="004C0DA0"/>
    <w:rsid w:val="004C3E02"/>
    <w:rsid w:val="004C422D"/>
    <w:rsid w:val="004C440E"/>
    <w:rsid w:val="004C4CEB"/>
    <w:rsid w:val="004C5CBA"/>
    <w:rsid w:val="004C64D8"/>
    <w:rsid w:val="004C64F7"/>
    <w:rsid w:val="004C6C09"/>
    <w:rsid w:val="004C6EA3"/>
    <w:rsid w:val="004C7BCD"/>
    <w:rsid w:val="004D000F"/>
    <w:rsid w:val="004D055D"/>
    <w:rsid w:val="004D1240"/>
    <w:rsid w:val="004D12B8"/>
    <w:rsid w:val="004D12F6"/>
    <w:rsid w:val="004D1946"/>
    <w:rsid w:val="004D32ED"/>
    <w:rsid w:val="004D3E71"/>
    <w:rsid w:val="004D49EE"/>
    <w:rsid w:val="004D4AE0"/>
    <w:rsid w:val="004D4C0B"/>
    <w:rsid w:val="004D69FC"/>
    <w:rsid w:val="004D72BA"/>
    <w:rsid w:val="004D77BD"/>
    <w:rsid w:val="004D77DE"/>
    <w:rsid w:val="004D7BF4"/>
    <w:rsid w:val="004D7C92"/>
    <w:rsid w:val="004E295C"/>
    <w:rsid w:val="004E38B2"/>
    <w:rsid w:val="004E3936"/>
    <w:rsid w:val="004E490B"/>
    <w:rsid w:val="004E57F7"/>
    <w:rsid w:val="004E5D9C"/>
    <w:rsid w:val="004E6191"/>
    <w:rsid w:val="004E6707"/>
    <w:rsid w:val="004E6B8E"/>
    <w:rsid w:val="004F0543"/>
    <w:rsid w:val="004F0D33"/>
    <w:rsid w:val="004F2385"/>
    <w:rsid w:val="004F246C"/>
    <w:rsid w:val="004F3A97"/>
    <w:rsid w:val="004F5591"/>
    <w:rsid w:val="004F5D14"/>
    <w:rsid w:val="004F68DC"/>
    <w:rsid w:val="004F7F44"/>
    <w:rsid w:val="00500598"/>
    <w:rsid w:val="00500F52"/>
    <w:rsid w:val="00500F7A"/>
    <w:rsid w:val="005012AD"/>
    <w:rsid w:val="005016E5"/>
    <w:rsid w:val="00501A56"/>
    <w:rsid w:val="00502317"/>
    <w:rsid w:val="005027BB"/>
    <w:rsid w:val="00503415"/>
    <w:rsid w:val="005034C1"/>
    <w:rsid w:val="005037E1"/>
    <w:rsid w:val="00503B5C"/>
    <w:rsid w:val="0050456A"/>
    <w:rsid w:val="0050487B"/>
    <w:rsid w:val="00505C46"/>
    <w:rsid w:val="005068E1"/>
    <w:rsid w:val="005070B6"/>
    <w:rsid w:val="005077C5"/>
    <w:rsid w:val="00510111"/>
    <w:rsid w:val="00510B80"/>
    <w:rsid w:val="0051168A"/>
    <w:rsid w:val="005117D2"/>
    <w:rsid w:val="005118A6"/>
    <w:rsid w:val="005122F4"/>
    <w:rsid w:val="0051405F"/>
    <w:rsid w:val="00514277"/>
    <w:rsid w:val="0051444F"/>
    <w:rsid w:val="005156A6"/>
    <w:rsid w:val="00516393"/>
    <w:rsid w:val="00516669"/>
    <w:rsid w:val="005179A5"/>
    <w:rsid w:val="00520B4F"/>
    <w:rsid w:val="00522582"/>
    <w:rsid w:val="00524AD7"/>
    <w:rsid w:val="005254FD"/>
    <w:rsid w:val="005268A9"/>
    <w:rsid w:val="0052720F"/>
    <w:rsid w:val="00527421"/>
    <w:rsid w:val="005275C4"/>
    <w:rsid w:val="00527D36"/>
    <w:rsid w:val="00531076"/>
    <w:rsid w:val="00531D28"/>
    <w:rsid w:val="005328A8"/>
    <w:rsid w:val="005338EE"/>
    <w:rsid w:val="00533920"/>
    <w:rsid w:val="00535141"/>
    <w:rsid w:val="00535324"/>
    <w:rsid w:val="00535504"/>
    <w:rsid w:val="005363B4"/>
    <w:rsid w:val="0053712D"/>
    <w:rsid w:val="005403F4"/>
    <w:rsid w:val="00540B60"/>
    <w:rsid w:val="00541076"/>
    <w:rsid w:val="00541136"/>
    <w:rsid w:val="0054216F"/>
    <w:rsid w:val="00542F18"/>
    <w:rsid w:val="0054343C"/>
    <w:rsid w:val="00544853"/>
    <w:rsid w:val="00544CA5"/>
    <w:rsid w:val="005450E2"/>
    <w:rsid w:val="00545B19"/>
    <w:rsid w:val="00547404"/>
    <w:rsid w:val="005474A2"/>
    <w:rsid w:val="00547520"/>
    <w:rsid w:val="0055035F"/>
    <w:rsid w:val="005507FD"/>
    <w:rsid w:val="005511C0"/>
    <w:rsid w:val="00551D4B"/>
    <w:rsid w:val="00551E3C"/>
    <w:rsid w:val="0055232C"/>
    <w:rsid w:val="0055278E"/>
    <w:rsid w:val="00555488"/>
    <w:rsid w:val="0055549A"/>
    <w:rsid w:val="00555B18"/>
    <w:rsid w:val="00555C9C"/>
    <w:rsid w:val="00556A4D"/>
    <w:rsid w:val="00557319"/>
    <w:rsid w:val="0055764E"/>
    <w:rsid w:val="00560528"/>
    <w:rsid w:val="00560699"/>
    <w:rsid w:val="00561503"/>
    <w:rsid w:val="00561923"/>
    <w:rsid w:val="005622F8"/>
    <w:rsid w:val="0056310A"/>
    <w:rsid w:val="0056336F"/>
    <w:rsid w:val="00563B9D"/>
    <w:rsid w:val="00565AF7"/>
    <w:rsid w:val="00566024"/>
    <w:rsid w:val="005671C3"/>
    <w:rsid w:val="0057060C"/>
    <w:rsid w:val="00570C0B"/>
    <w:rsid w:val="0057189C"/>
    <w:rsid w:val="00571BD2"/>
    <w:rsid w:val="00571CD7"/>
    <w:rsid w:val="00571D59"/>
    <w:rsid w:val="00572E3E"/>
    <w:rsid w:val="0057332B"/>
    <w:rsid w:val="0057364D"/>
    <w:rsid w:val="005737FC"/>
    <w:rsid w:val="0057420B"/>
    <w:rsid w:val="0057593B"/>
    <w:rsid w:val="005762CE"/>
    <w:rsid w:val="00576DC0"/>
    <w:rsid w:val="00580280"/>
    <w:rsid w:val="00580B9E"/>
    <w:rsid w:val="00580DAB"/>
    <w:rsid w:val="0058135A"/>
    <w:rsid w:val="005817D9"/>
    <w:rsid w:val="00581F7C"/>
    <w:rsid w:val="00583358"/>
    <w:rsid w:val="005839BF"/>
    <w:rsid w:val="00584058"/>
    <w:rsid w:val="00584413"/>
    <w:rsid w:val="005844A5"/>
    <w:rsid w:val="005846B4"/>
    <w:rsid w:val="005850E5"/>
    <w:rsid w:val="005851E0"/>
    <w:rsid w:val="00585571"/>
    <w:rsid w:val="005856F9"/>
    <w:rsid w:val="00585B91"/>
    <w:rsid w:val="00586BB0"/>
    <w:rsid w:val="00586BF1"/>
    <w:rsid w:val="00587DC4"/>
    <w:rsid w:val="0059008F"/>
    <w:rsid w:val="005903E4"/>
    <w:rsid w:val="005907D5"/>
    <w:rsid w:val="005910C0"/>
    <w:rsid w:val="005913EE"/>
    <w:rsid w:val="00592461"/>
    <w:rsid w:val="005950D6"/>
    <w:rsid w:val="0059519C"/>
    <w:rsid w:val="00595524"/>
    <w:rsid w:val="005974F3"/>
    <w:rsid w:val="0059751C"/>
    <w:rsid w:val="00597919"/>
    <w:rsid w:val="00597F9F"/>
    <w:rsid w:val="005A0B9F"/>
    <w:rsid w:val="005A0EFC"/>
    <w:rsid w:val="005A44E7"/>
    <w:rsid w:val="005A5D8E"/>
    <w:rsid w:val="005A63D8"/>
    <w:rsid w:val="005A71A7"/>
    <w:rsid w:val="005A7420"/>
    <w:rsid w:val="005A7C14"/>
    <w:rsid w:val="005A7DBE"/>
    <w:rsid w:val="005B152C"/>
    <w:rsid w:val="005B1C64"/>
    <w:rsid w:val="005B1DE8"/>
    <w:rsid w:val="005B2294"/>
    <w:rsid w:val="005B271E"/>
    <w:rsid w:val="005B2807"/>
    <w:rsid w:val="005B3606"/>
    <w:rsid w:val="005B388D"/>
    <w:rsid w:val="005B3E08"/>
    <w:rsid w:val="005B49B6"/>
    <w:rsid w:val="005B56EE"/>
    <w:rsid w:val="005B63E1"/>
    <w:rsid w:val="005B672C"/>
    <w:rsid w:val="005B747D"/>
    <w:rsid w:val="005B7733"/>
    <w:rsid w:val="005B7A22"/>
    <w:rsid w:val="005C0602"/>
    <w:rsid w:val="005C0D5D"/>
    <w:rsid w:val="005C1415"/>
    <w:rsid w:val="005C191A"/>
    <w:rsid w:val="005C2AA9"/>
    <w:rsid w:val="005C330D"/>
    <w:rsid w:val="005C40C7"/>
    <w:rsid w:val="005C4114"/>
    <w:rsid w:val="005C4EFF"/>
    <w:rsid w:val="005C4F43"/>
    <w:rsid w:val="005C6CC6"/>
    <w:rsid w:val="005C6E71"/>
    <w:rsid w:val="005C7363"/>
    <w:rsid w:val="005D0B55"/>
    <w:rsid w:val="005D4A04"/>
    <w:rsid w:val="005D4CF7"/>
    <w:rsid w:val="005D5347"/>
    <w:rsid w:val="005D5CC5"/>
    <w:rsid w:val="005D5FE6"/>
    <w:rsid w:val="005D61EA"/>
    <w:rsid w:val="005D74D8"/>
    <w:rsid w:val="005D787B"/>
    <w:rsid w:val="005E031D"/>
    <w:rsid w:val="005E03AC"/>
    <w:rsid w:val="005E04B5"/>
    <w:rsid w:val="005E0621"/>
    <w:rsid w:val="005E12BE"/>
    <w:rsid w:val="005E2C81"/>
    <w:rsid w:val="005E4D3C"/>
    <w:rsid w:val="005E7158"/>
    <w:rsid w:val="005E7ECB"/>
    <w:rsid w:val="005F0C00"/>
    <w:rsid w:val="005F1037"/>
    <w:rsid w:val="005F2BF8"/>
    <w:rsid w:val="005F2EA8"/>
    <w:rsid w:val="005F3B04"/>
    <w:rsid w:val="005F5574"/>
    <w:rsid w:val="005F5D1D"/>
    <w:rsid w:val="005F60C9"/>
    <w:rsid w:val="005F64C6"/>
    <w:rsid w:val="006008F1"/>
    <w:rsid w:val="00601714"/>
    <w:rsid w:val="00601735"/>
    <w:rsid w:val="00602BD2"/>
    <w:rsid w:val="00604980"/>
    <w:rsid w:val="0060614D"/>
    <w:rsid w:val="006100A4"/>
    <w:rsid w:val="00610871"/>
    <w:rsid w:val="00610E48"/>
    <w:rsid w:val="00610FE0"/>
    <w:rsid w:val="00613C47"/>
    <w:rsid w:val="00615086"/>
    <w:rsid w:val="00616201"/>
    <w:rsid w:val="00616225"/>
    <w:rsid w:val="00616BA2"/>
    <w:rsid w:val="0061705E"/>
    <w:rsid w:val="00617070"/>
    <w:rsid w:val="006170F1"/>
    <w:rsid w:val="00617914"/>
    <w:rsid w:val="00617A8B"/>
    <w:rsid w:val="00621904"/>
    <w:rsid w:val="00622248"/>
    <w:rsid w:val="00622FEA"/>
    <w:rsid w:val="00623CDF"/>
    <w:rsid w:val="00623DB1"/>
    <w:rsid w:val="006245F3"/>
    <w:rsid w:val="0062485E"/>
    <w:rsid w:val="00624DBE"/>
    <w:rsid w:val="00625450"/>
    <w:rsid w:val="0062557A"/>
    <w:rsid w:val="0062624F"/>
    <w:rsid w:val="006319CA"/>
    <w:rsid w:val="00633B3E"/>
    <w:rsid w:val="00634EC0"/>
    <w:rsid w:val="0063627F"/>
    <w:rsid w:val="006376C4"/>
    <w:rsid w:val="006403E7"/>
    <w:rsid w:val="00642D72"/>
    <w:rsid w:val="006443CB"/>
    <w:rsid w:val="006448B8"/>
    <w:rsid w:val="00644F80"/>
    <w:rsid w:val="00645874"/>
    <w:rsid w:val="00647673"/>
    <w:rsid w:val="00650F81"/>
    <w:rsid w:val="00650FC7"/>
    <w:rsid w:val="00651822"/>
    <w:rsid w:val="00651F86"/>
    <w:rsid w:val="00652D6B"/>
    <w:rsid w:val="0065395E"/>
    <w:rsid w:val="00653C24"/>
    <w:rsid w:val="00653D68"/>
    <w:rsid w:val="00653E4E"/>
    <w:rsid w:val="00654275"/>
    <w:rsid w:val="0065446D"/>
    <w:rsid w:val="00654891"/>
    <w:rsid w:val="00654894"/>
    <w:rsid w:val="00655104"/>
    <w:rsid w:val="00656067"/>
    <w:rsid w:val="00660693"/>
    <w:rsid w:val="006611D6"/>
    <w:rsid w:val="00661918"/>
    <w:rsid w:val="00662A5A"/>
    <w:rsid w:val="006636D0"/>
    <w:rsid w:val="00663834"/>
    <w:rsid w:val="00663BF1"/>
    <w:rsid w:val="006647D7"/>
    <w:rsid w:val="00664F1B"/>
    <w:rsid w:val="006653D7"/>
    <w:rsid w:val="00665BFF"/>
    <w:rsid w:val="006665BA"/>
    <w:rsid w:val="00666A4F"/>
    <w:rsid w:val="00667477"/>
    <w:rsid w:val="006703D9"/>
    <w:rsid w:val="00672DFC"/>
    <w:rsid w:val="00672F5B"/>
    <w:rsid w:val="00673DEE"/>
    <w:rsid w:val="00674E69"/>
    <w:rsid w:val="00675720"/>
    <w:rsid w:val="0067738E"/>
    <w:rsid w:val="00677F23"/>
    <w:rsid w:val="0068015A"/>
    <w:rsid w:val="0068055B"/>
    <w:rsid w:val="00680936"/>
    <w:rsid w:val="00680D8C"/>
    <w:rsid w:val="00680D99"/>
    <w:rsid w:val="006821B2"/>
    <w:rsid w:val="00682725"/>
    <w:rsid w:val="00682A1B"/>
    <w:rsid w:val="00682D73"/>
    <w:rsid w:val="00682ED3"/>
    <w:rsid w:val="00683126"/>
    <w:rsid w:val="00683993"/>
    <w:rsid w:val="006846E8"/>
    <w:rsid w:val="00685EBD"/>
    <w:rsid w:val="006861C3"/>
    <w:rsid w:val="00686AF3"/>
    <w:rsid w:val="00690F1F"/>
    <w:rsid w:val="006915BD"/>
    <w:rsid w:val="006915F2"/>
    <w:rsid w:val="00691DC2"/>
    <w:rsid w:val="00692582"/>
    <w:rsid w:val="00692592"/>
    <w:rsid w:val="00692A2F"/>
    <w:rsid w:val="0069322C"/>
    <w:rsid w:val="00693652"/>
    <w:rsid w:val="006939E7"/>
    <w:rsid w:val="00693D3E"/>
    <w:rsid w:val="006942F7"/>
    <w:rsid w:val="006956FB"/>
    <w:rsid w:val="00697D85"/>
    <w:rsid w:val="006A1A71"/>
    <w:rsid w:val="006A1D3D"/>
    <w:rsid w:val="006A2150"/>
    <w:rsid w:val="006A2216"/>
    <w:rsid w:val="006A241D"/>
    <w:rsid w:val="006A3288"/>
    <w:rsid w:val="006A43E6"/>
    <w:rsid w:val="006A47EB"/>
    <w:rsid w:val="006A4A22"/>
    <w:rsid w:val="006A4AEE"/>
    <w:rsid w:val="006A5E74"/>
    <w:rsid w:val="006A70BE"/>
    <w:rsid w:val="006A7290"/>
    <w:rsid w:val="006A7934"/>
    <w:rsid w:val="006A7BC8"/>
    <w:rsid w:val="006B0001"/>
    <w:rsid w:val="006B054B"/>
    <w:rsid w:val="006B059F"/>
    <w:rsid w:val="006B0E3A"/>
    <w:rsid w:val="006B2048"/>
    <w:rsid w:val="006B215A"/>
    <w:rsid w:val="006B2AD6"/>
    <w:rsid w:val="006B342E"/>
    <w:rsid w:val="006B3812"/>
    <w:rsid w:val="006B3B80"/>
    <w:rsid w:val="006B6EF0"/>
    <w:rsid w:val="006B6F32"/>
    <w:rsid w:val="006B7130"/>
    <w:rsid w:val="006B73CC"/>
    <w:rsid w:val="006B7695"/>
    <w:rsid w:val="006C0176"/>
    <w:rsid w:val="006C2994"/>
    <w:rsid w:val="006C35EC"/>
    <w:rsid w:val="006C4150"/>
    <w:rsid w:val="006C4382"/>
    <w:rsid w:val="006C4891"/>
    <w:rsid w:val="006C52BC"/>
    <w:rsid w:val="006C5683"/>
    <w:rsid w:val="006C5E33"/>
    <w:rsid w:val="006C5E48"/>
    <w:rsid w:val="006C6434"/>
    <w:rsid w:val="006C6CD8"/>
    <w:rsid w:val="006C70BB"/>
    <w:rsid w:val="006C7EB1"/>
    <w:rsid w:val="006D013F"/>
    <w:rsid w:val="006D017F"/>
    <w:rsid w:val="006D08BD"/>
    <w:rsid w:val="006D0F8E"/>
    <w:rsid w:val="006D1416"/>
    <w:rsid w:val="006D1D3F"/>
    <w:rsid w:val="006D253B"/>
    <w:rsid w:val="006D325A"/>
    <w:rsid w:val="006D386A"/>
    <w:rsid w:val="006D4242"/>
    <w:rsid w:val="006D45F0"/>
    <w:rsid w:val="006D4C8F"/>
    <w:rsid w:val="006D52A0"/>
    <w:rsid w:val="006D57CB"/>
    <w:rsid w:val="006D5819"/>
    <w:rsid w:val="006D5E6F"/>
    <w:rsid w:val="006D693F"/>
    <w:rsid w:val="006D6CDD"/>
    <w:rsid w:val="006D7604"/>
    <w:rsid w:val="006D765E"/>
    <w:rsid w:val="006D76CB"/>
    <w:rsid w:val="006E0455"/>
    <w:rsid w:val="006E4238"/>
    <w:rsid w:val="006E4551"/>
    <w:rsid w:val="006E5F01"/>
    <w:rsid w:val="006E7033"/>
    <w:rsid w:val="006E7404"/>
    <w:rsid w:val="006E7B97"/>
    <w:rsid w:val="006F05B9"/>
    <w:rsid w:val="006F1972"/>
    <w:rsid w:val="006F1EA3"/>
    <w:rsid w:val="006F2627"/>
    <w:rsid w:val="006F2A57"/>
    <w:rsid w:val="006F3187"/>
    <w:rsid w:val="006F3568"/>
    <w:rsid w:val="006F40AD"/>
    <w:rsid w:val="006F53EB"/>
    <w:rsid w:val="006F6360"/>
    <w:rsid w:val="006F6436"/>
    <w:rsid w:val="006F65C5"/>
    <w:rsid w:val="006F687A"/>
    <w:rsid w:val="006F68EF"/>
    <w:rsid w:val="006F6D4C"/>
    <w:rsid w:val="006F6E67"/>
    <w:rsid w:val="006F7157"/>
    <w:rsid w:val="006F78E0"/>
    <w:rsid w:val="007023EA"/>
    <w:rsid w:val="00702B1B"/>
    <w:rsid w:val="007032B3"/>
    <w:rsid w:val="00704164"/>
    <w:rsid w:val="007063BD"/>
    <w:rsid w:val="00706446"/>
    <w:rsid w:val="00706A58"/>
    <w:rsid w:val="00707517"/>
    <w:rsid w:val="007078ED"/>
    <w:rsid w:val="00710187"/>
    <w:rsid w:val="007101D7"/>
    <w:rsid w:val="00710D6E"/>
    <w:rsid w:val="007110E1"/>
    <w:rsid w:val="00711B18"/>
    <w:rsid w:val="007126D1"/>
    <w:rsid w:val="00714394"/>
    <w:rsid w:val="00714C87"/>
    <w:rsid w:val="00714ED6"/>
    <w:rsid w:val="00715E8D"/>
    <w:rsid w:val="00721C26"/>
    <w:rsid w:val="00721F7E"/>
    <w:rsid w:val="00722E29"/>
    <w:rsid w:val="00723ECB"/>
    <w:rsid w:val="00724606"/>
    <w:rsid w:val="00724A36"/>
    <w:rsid w:val="00724A60"/>
    <w:rsid w:val="00724E85"/>
    <w:rsid w:val="0072525D"/>
    <w:rsid w:val="00726E8A"/>
    <w:rsid w:val="00727047"/>
    <w:rsid w:val="00727A0E"/>
    <w:rsid w:val="00727C81"/>
    <w:rsid w:val="00730B33"/>
    <w:rsid w:val="00734510"/>
    <w:rsid w:val="00734887"/>
    <w:rsid w:val="007365B6"/>
    <w:rsid w:val="00737394"/>
    <w:rsid w:val="007401E2"/>
    <w:rsid w:val="00740205"/>
    <w:rsid w:val="007411E5"/>
    <w:rsid w:val="00741605"/>
    <w:rsid w:val="00742788"/>
    <w:rsid w:val="007436F2"/>
    <w:rsid w:val="00743B2E"/>
    <w:rsid w:val="0074436D"/>
    <w:rsid w:val="00746951"/>
    <w:rsid w:val="00746F65"/>
    <w:rsid w:val="007472C3"/>
    <w:rsid w:val="0074791E"/>
    <w:rsid w:val="00750948"/>
    <w:rsid w:val="00750A23"/>
    <w:rsid w:val="0075115D"/>
    <w:rsid w:val="00751A33"/>
    <w:rsid w:val="00751E0A"/>
    <w:rsid w:val="00753890"/>
    <w:rsid w:val="0075466D"/>
    <w:rsid w:val="007555DF"/>
    <w:rsid w:val="007569DC"/>
    <w:rsid w:val="0075711E"/>
    <w:rsid w:val="00757549"/>
    <w:rsid w:val="007579F2"/>
    <w:rsid w:val="00761434"/>
    <w:rsid w:val="00761FD5"/>
    <w:rsid w:val="00762BB6"/>
    <w:rsid w:val="0076341D"/>
    <w:rsid w:val="0076446D"/>
    <w:rsid w:val="007647EF"/>
    <w:rsid w:val="00765DD8"/>
    <w:rsid w:val="00766230"/>
    <w:rsid w:val="00766B33"/>
    <w:rsid w:val="00766D36"/>
    <w:rsid w:val="00767607"/>
    <w:rsid w:val="00767ACD"/>
    <w:rsid w:val="007705B5"/>
    <w:rsid w:val="0077270D"/>
    <w:rsid w:val="00773874"/>
    <w:rsid w:val="0077393B"/>
    <w:rsid w:val="00775D3B"/>
    <w:rsid w:val="0077615A"/>
    <w:rsid w:val="007806A0"/>
    <w:rsid w:val="00780FDB"/>
    <w:rsid w:val="007822E4"/>
    <w:rsid w:val="00782346"/>
    <w:rsid w:val="007838CD"/>
    <w:rsid w:val="007839A9"/>
    <w:rsid w:val="007840F3"/>
    <w:rsid w:val="007849BE"/>
    <w:rsid w:val="00785491"/>
    <w:rsid w:val="007858C0"/>
    <w:rsid w:val="0078679A"/>
    <w:rsid w:val="00786BDC"/>
    <w:rsid w:val="007871FE"/>
    <w:rsid w:val="00787C89"/>
    <w:rsid w:val="007908ED"/>
    <w:rsid w:val="00790F74"/>
    <w:rsid w:val="00792014"/>
    <w:rsid w:val="007921CD"/>
    <w:rsid w:val="00792288"/>
    <w:rsid w:val="00792447"/>
    <w:rsid w:val="007928C6"/>
    <w:rsid w:val="00792E73"/>
    <w:rsid w:val="0079694C"/>
    <w:rsid w:val="007A0187"/>
    <w:rsid w:val="007A19AC"/>
    <w:rsid w:val="007A23A3"/>
    <w:rsid w:val="007A268F"/>
    <w:rsid w:val="007A29EC"/>
    <w:rsid w:val="007A4A53"/>
    <w:rsid w:val="007A4C93"/>
    <w:rsid w:val="007A4E17"/>
    <w:rsid w:val="007A7F6D"/>
    <w:rsid w:val="007B0FBD"/>
    <w:rsid w:val="007B10EC"/>
    <w:rsid w:val="007B1BAF"/>
    <w:rsid w:val="007B20C3"/>
    <w:rsid w:val="007B2FE8"/>
    <w:rsid w:val="007B35F7"/>
    <w:rsid w:val="007B4DD5"/>
    <w:rsid w:val="007B4F72"/>
    <w:rsid w:val="007B5148"/>
    <w:rsid w:val="007B5A16"/>
    <w:rsid w:val="007B71AA"/>
    <w:rsid w:val="007B7F09"/>
    <w:rsid w:val="007C03FE"/>
    <w:rsid w:val="007C0E04"/>
    <w:rsid w:val="007C17D3"/>
    <w:rsid w:val="007C1FA2"/>
    <w:rsid w:val="007C2827"/>
    <w:rsid w:val="007C294A"/>
    <w:rsid w:val="007C3A26"/>
    <w:rsid w:val="007C4032"/>
    <w:rsid w:val="007C4CE1"/>
    <w:rsid w:val="007C537A"/>
    <w:rsid w:val="007C57D1"/>
    <w:rsid w:val="007C6B3E"/>
    <w:rsid w:val="007C7130"/>
    <w:rsid w:val="007C74E5"/>
    <w:rsid w:val="007C7F57"/>
    <w:rsid w:val="007D0348"/>
    <w:rsid w:val="007D0E43"/>
    <w:rsid w:val="007D13E7"/>
    <w:rsid w:val="007D1A3E"/>
    <w:rsid w:val="007D1E37"/>
    <w:rsid w:val="007D2335"/>
    <w:rsid w:val="007D358B"/>
    <w:rsid w:val="007D370E"/>
    <w:rsid w:val="007D4624"/>
    <w:rsid w:val="007D4A8F"/>
    <w:rsid w:val="007D563E"/>
    <w:rsid w:val="007D5A49"/>
    <w:rsid w:val="007D5FC1"/>
    <w:rsid w:val="007D6EB6"/>
    <w:rsid w:val="007D715A"/>
    <w:rsid w:val="007D7EF9"/>
    <w:rsid w:val="007E002B"/>
    <w:rsid w:val="007E08DB"/>
    <w:rsid w:val="007E0B17"/>
    <w:rsid w:val="007E0D90"/>
    <w:rsid w:val="007E0E9E"/>
    <w:rsid w:val="007E12DC"/>
    <w:rsid w:val="007E1760"/>
    <w:rsid w:val="007E21FB"/>
    <w:rsid w:val="007E3B9D"/>
    <w:rsid w:val="007E420B"/>
    <w:rsid w:val="007E4932"/>
    <w:rsid w:val="007E4CAD"/>
    <w:rsid w:val="007E502C"/>
    <w:rsid w:val="007E516A"/>
    <w:rsid w:val="007E5BD7"/>
    <w:rsid w:val="007E6761"/>
    <w:rsid w:val="007E75F0"/>
    <w:rsid w:val="007E7968"/>
    <w:rsid w:val="007E79C4"/>
    <w:rsid w:val="007F013A"/>
    <w:rsid w:val="007F0730"/>
    <w:rsid w:val="007F1D54"/>
    <w:rsid w:val="007F2D90"/>
    <w:rsid w:val="007F3F6F"/>
    <w:rsid w:val="007F48A9"/>
    <w:rsid w:val="007F4E28"/>
    <w:rsid w:val="007F4F82"/>
    <w:rsid w:val="007F5143"/>
    <w:rsid w:val="007F6758"/>
    <w:rsid w:val="007F6D96"/>
    <w:rsid w:val="00800D05"/>
    <w:rsid w:val="00801D7A"/>
    <w:rsid w:val="008020F2"/>
    <w:rsid w:val="00803F74"/>
    <w:rsid w:val="00804653"/>
    <w:rsid w:val="00804C48"/>
    <w:rsid w:val="0080505A"/>
    <w:rsid w:val="008060B3"/>
    <w:rsid w:val="00806205"/>
    <w:rsid w:val="00806639"/>
    <w:rsid w:val="00806A84"/>
    <w:rsid w:val="00806EF4"/>
    <w:rsid w:val="008073A4"/>
    <w:rsid w:val="00807C6C"/>
    <w:rsid w:val="008115ED"/>
    <w:rsid w:val="0081254B"/>
    <w:rsid w:val="0081340B"/>
    <w:rsid w:val="00815822"/>
    <w:rsid w:val="00815B93"/>
    <w:rsid w:val="00816585"/>
    <w:rsid w:val="0081760E"/>
    <w:rsid w:val="00817BB4"/>
    <w:rsid w:val="00817E4F"/>
    <w:rsid w:val="00820F5B"/>
    <w:rsid w:val="00821021"/>
    <w:rsid w:val="008214BB"/>
    <w:rsid w:val="00821B58"/>
    <w:rsid w:val="00822D4E"/>
    <w:rsid w:val="00822FBA"/>
    <w:rsid w:val="0082398C"/>
    <w:rsid w:val="00824FF1"/>
    <w:rsid w:val="00825196"/>
    <w:rsid w:val="00826F4C"/>
    <w:rsid w:val="008303A6"/>
    <w:rsid w:val="008310B4"/>
    <w:rsid w:val="00831573"/>
    <w:rsid w:val="00831C7F"/>
    <w:rsid w:val="00833C51"/>
    <w:rsid w:val="00834577"/>
    <w:rsid w:val="008349A6"/>
    <w:rsid w:val="00835271"/>
    <w:rsid w:val="00835679"/>
    <w:rsid w:val="008377DA"/>
    <w:rsid w:val="00841F21"/>
    <w:rsid w:val="00842991"/>
    <w:rsid w:val="008429B0"/>
    <w:rsid w:val="00843900"/>
    <w:rsid w:val="00844C5B"/>
    <w:rsid w:val="00845A15"/>
    <w:rsid w:val="0084632F"/>
    <w:rsid w:val="008474A9"/>
    <w:rsid w:val="00851180"/>
    <w:rsid w:val="00852528"/>
    <w:rsid w:val="0085434F"/>
    <w:rsid w:val="008543F7"/>
    <w:rsid w:val="008545DC"/>
    <w:rsid w:val="00854A7E"/>
    <w:rsid w:val="00855B06"/>
    <w:rsid w:val="00856B95"/>
    <w:rsid w:val="00856D1A"/>
    <w:rsid w:val="00857D29"/>
    <w:rsid w:val="00861313"/>
    <w:rsid w:val="0086161C"/>
    <w:rsid w:val="008617AF"/>
    <w:rsid w:val="00861DB0"/>
    <w:rsid w:val="00861E83"/>
    <w:rsid w:val="0086225C"/>
    <w:rsid w:val="008629A8"/>
    <w:rsid w:val="00863225"/>
    <w:rsid w:val="00863ADA"/>
    <w:rsid w:val="00865BAA"/>
    <w:rsid w:val="00865C83"/>
    <w:rsid w:val="008677CB"/>
    <w:rsid w:val="0087026D"/>
    <w:rsid w:val="0087056E"/>
    <w:rsid w:val="00870CB6"/>
    <w:rsid w:val="00870DF8"/>
    <w:rsid w:val="008722A6"/>
    <w:rsid w:val="008737AE"/>
    <w:rsid w:val="00873851"/>
    <w:rsid w:val="00873FEA"/>
    <w:rsid w:val="0087419B"/>
    <w:rsid w:val="008744CC"/>
    <w:rsid w:val="00874592"/>
    <w:rsid w:val="008751C1"/>
    <w:rsid w:val="0087595D"/>
    <w:rsid w:val="00876C1B"/>
    <w:rsid w:val="00876E70"/>
    <w:rsid w:val="008804E1"/>
    <w:rsid w:val="008815B6"/>
    <w:rsid w:val="008818F6"/>
    <w:rsid w:val="00881D45"/>
    <w:rsid w:val="0088398E"/>
    <w:rsid w:val="00885182"/>
    <w:rsid w:val="008858B7"/>
    <w:rsid w:val="0088647E"/>
    <w:rsid w:val="00886D52"/>
    <w:rsid w:val="00887215"/>
    <w:rsid w:val="00887E02"/>
    <w:rsid w:val="00890382"/>
    <w:rsid w:val="0089046A"/>
    <w:rsid w:val="00891106"/>
    <w:rsid w:val="00892833"/>
    <w:rsid w:val="00892DCB"/>
    <w:rsid w:val="00893479"/>
    <w:rsid w:val="0089375D"/>
    <w:rsid w:val="008943CB"/>
    <w:rsid w:val="008946B9"/>
    <w:rsid w:val="008A0882"/>
    <w:rsid w:val="008A10C1"/>
    <w:rsid w:val="008A181A"/>
    <w:rsid w:val="008A183F"/>
    <w:rsid w:val="008A1C47"/>
    <w:rsid w:val="008A2289"/>
    <w:rsid w:val="008A34BA"/>
    <w:rsid w:val="008A3766"/>
    <w:rsid w:val="008A4F66"/>
    <w:rsid w:val="008A5290"/>
    <w:rsid w:val="008A593A"/>
    <w:rsid w:val="008A6A60"/>
    <w:rsid w:val="008A6C5A"/>
    <w:rsid w:val="008A6CCA"/>
    <w:rsid w:val="008B1B8C"/>
    <w:rsid w:val="008B2C59"/>
    <w:rsid w:val="008B2DF3"/>
    <w:rsid w:val="008B376A"/>
    <w:rsid w:val="008B444E"/>
    <w:rsid w:val="008B569F"/>
    <w:rsid w:val="008B7220"/>
    <w:rsid w:val="008C0669"/>
    <w:rsid w:val="008C0814"/>
    <w:rsid w:val="008C0867"/>
    <w:rsid w:val="008C08A5"/>
    <w:rsid w:val="008C1DD7"/>
    <w:rsid w:val="008C26FA"/>
    <w:rsid w:val="008C2BC1"/>
    <w:rsid w:val="008C4566"/>
    <w:rsid w:val="008C46B6"/>
    <w:rsid w:val="008C4935"/>
    <w:rsid w:val="008C522A"/>
    <w:rsid w:val="008C5E71"/>
    <w:rsid w:val="008C64E3"/>
    <w:rsid w:val="008C6A8B"/>
    <w:rsid w:val="008C77F7"/>
    <w:rsid w:val="008D00EA"/>
    <w:rsid w:val="008D0D1E"/>
    <w:rsid w:val="008D1175"/>
    <w:rsid w:val="008D1627"/>
    <w:rsid w:val="008D1DA0"/>
    <w:rsid w:val="008D2828"/>
    <w:rsid w:val="008D284E"/>
    <w:rsid w:val="008D4ED3"/>
    <w:rsid w:val="008D54BF"/>
    <w:rsid w:val="008D5DC6"/>
    <w:rsid w:val="008D6A11"/>
    <w:rsid w:val="008E0D4B"/>
    <w:rsid w:val="008E1C27"/>
    <w:rsid w:val="008E1E54"/>
    <w:rsid w:val="008E2057"/>
    <w:rsid w:val="008E31EC"/>
    <w:rsid w:val="008E3C88"/>
    <w:rsid w:val="008E488D"/>
    <w:rsid w:val="008E4E17"/>
    <w:rsid w:val="008E5337"/>
    <w:rsid w:val="008E610D"/>
    <w:rsid w:val="008E69A2"/>
    <w:rsid w:val="008E78F2"/>
    <w:rsid w:val="008E7B12"/>
    <w:rsid w:val="008F022C"/>
    <w:rsid w:val="008F152D"/>
    <w:rsid w:val="008F2A60"/>
    <w:rsid w:val="008F310D"/>
    <w:rsid w:val="008F3888"/>
    <w:rsid w:val="008F3B22"/>
    <w:rsid w:val="008F43C7"/>
    <w:rsid w:val="008F4823"/>
    <w:rsid w:val="008F606D"/>
    <w:rsid w:val="008F7150"/>
    <w:rsid w:val="008F71CC"/>
    <w:rsid w:val="008F721C"/>
    <w:rsid w:val="00900662"/>
    <w:rsid w:val="00900B2A"/>
    <w:rsid w:val="00901953"/>
    <w:rsid w:val="00902166"/>
    <w:rsid w:val="00903C31"/>
    <w:rsid w:val="009040A1"/>
    <w:rsid w:val="0090473B"/>
    <w:rsid w:val="0090487F"/>
    <w:rsid w:val="00904A00"/>
    <w:rsid w:val="00904EAB"/>
    <w:rsid w:val="00904EAC"/>
    <w:rsid w:val="00905282"/>
    <w:rsid w:val="00905908"/>
    <w:rsid w:val="00906AD1"/>
    <w:rsid w:val="009075A4"/>
    <w:rsid w:val="009101AF"/>
    <w:rsid w:val="00911808"/>
    <w:rsid w:val="009145FB"/>
    <w:rsid w:val="0091555E"/>
    <w:rsid w:val="00915786"/>
    <w:rsid w:val="0091746C"/>
    <w:rsid w:val="00917816"/>
    <w:rsid w:val="00917D06"/>
    <w:rsid w:val="009207DB"/>
    <w:rsid w:val="00921202"/>
    <w:rsid w:val="00922024"/>
    <w:rsid w:val="009222A3"/>
    <w:rsid w:val="009224EE"/>
    <w:rsid w:val="00922D24"/>
    <w:rsid w:val="00924853"/>
    <w:rsid w:val="009248C9"/>
    <w:rsid w:val="009252E0"/>
    <w:rsid w:val="00925501"/>
    <w:rsid w:val="00926982"/>
    <w:rsid w:val="00926D4C"/>
    <w:rsid w:val="009270C4"/>
    <w:rsid w:val="0093083B"/>
    <w:rsid w:val="0093092B"/>
    <w:rsid w:val="00930C8D"/>
    <w:rsid w:val="009319D7"/>
    <w:rsid w:val="009325F7"/>
    <w:rsid w:val="00932BCF"/>
    <w:rsid w:val="00933396"/>
    <w:rsid w:val="00934D73"/>
    <w:rsid w:val="00935042"/>
    <w:rsid w:val="009354F5"/>
    <w:rsid w:val="0093740F"/>
    <w:rsid w:val="00937B4A"/>
    <w:rsid w:val="00937BE9"/>
    <w:rsid w:val="00937C1D"/>
    <w:rsid w:val="00940804"/>
    <w:rsid w:val="00940E9B"/>
    <w:rsid w:val="00940FC3"/>
    <w:rsid w:val="009410B3"/>
    <w:rsid w:val="0094131D"/>
    <w:rsid w:val="0094166C"/>
    <w:rsid w:val="00942120"/>
    <w:rsid w:val="00942292"/>
    <w:rsid w:val="0094245E"/>
    <w:rsid w:val="009425F7"/>
    <w:rsid w:val="00943BC0"/>
    <w:rsid w:val="00944BF0"/>
    <w:rsid w:val="00945EC2"/>
    <w:rsid w:val="00946136"/>
    <w:rsid w:val="00946CD9"/>
    <w:rsid w:val="00946E7C"/>
    <w:rsid w:val="00947046"/>
    <w:rsid w:val="00950297"/>
    <w:rsid w:val="009505F4"/>
    <w:rsid w:val="00951216"/>
    <w:rsid w:val="00951614"/>
    <w:rsid w:val="0095279B"/>
    <w:rsid w:val="009533C3"/>
    <w:rsid w:val="009535D3"/>
    <w:rsid w:val="00953807"/>
    <w:rsid w:val="00954282"/>
    <w:rsid w:val="00954427"/>
    <w:rsid w:val="0095611C"/>
    <w:rsid w:val="009564ED"/>
    <w:rsid w:val="00956CA2"/>
    <w:rsid w:val="0096079B"/>
    <w:rsid w:val="0096218D"/>
    <w:rsid w:val="00964509"/>
    <w:rsid w:val="0096501B"/>
    <w:rsid w:val="0096625E"/>
    <w:rsid w:val="0096662B"/>
    <w:rsid w:val="009666AF"/>
    <w:rsid w:val="00967180"/>
    <w:rsid w:val="0096797D"/>
    <w:rsid w:val="00970704"/>
    <w:rsid w:val="00970B65"/>
    <w:rsid w:val="00970D66"/>
    <w:rsid w:val="00971127"/>
    <w:rsid w:val="0097119E"/>
    <w:rsid w:val="009718E9"/>
    <w:rsid w:val="009734B8"/>
    <w:rsid w:val="00973514"/>
    <w:rsid w:val="009739F9"/>
    <w:rsid w:val="009741E7"/>
    <w:rsid w:val="00975C75"/>
    <w:rsid w:val="00977506"/>
    <w:rsid w:val="00977DFD"/>
    <w:rsid w:val="0098177A"/>
    <w:rsid w:val="00983583"/>
    <w:rsid w:val="00983EFD"/>
    <w:rsid w:val="009855B0"/>
    <w:rsid w:val="009859A8"/>
    <w:rsid w:val="00985F2F"/>
    <w:rsid w:val="00986257"/>
    <w:rsid w:val="00986564"/>
    <w:rsid w:val="0098658A"/>
    <w:rsid w:val="00986861"/>
    <w:rsid w:val="00987CBC"/>
    <w:rsid w:val="00991EB0"/>
    <w:rsid w:val="0099212B"/>
    <w:rsid w:val="0099245F"/>
    <w:rsid w:val="00993891"/>
    <w:rsid w:val="00995768"/>
    <w:rsid w:val="00995F21"/>
    <w:rsid w:val="00996203"/>
    <w:rsid w:val="00996326"/>
    <w:rsid w:val="009964FB"/>
    <w:rsid w:val="00996F95"/>
    <w:rsid w:val="00997B35"/>
    <w:rsid w:val="00997B6A"/>
    <w:rsid w:val="00997EA5"/>
    <w:rsid w:val="009A07D5"/>
    <w:rsid w:val="009A1FE7"/>
    <w:rsid w:val="009A2967"/>
    <w:rsid w:val="009A3274"/>
    <w:rsid w:val="009A36B7"/>
    <w:rsid w:val="009A3720"/>
    <w:rsid w:val="009A392B"/>
    <w:rsid w:val="009A3D58"/>
    <w:rsid w:val="009A42CF"/>
    <w:rsid w:val="009A44E8"/>
    <w:rsid w:val="009A581E"/>
    <w:rsid w:val="009A698D"/>
    <w:rsid w:val="009A6AB4"/>
    <w:rsid w:val="009A7461"/>
    <w:rsid w:val="009B0BF0"/>
    <w:rsid w:val="009B1DA5"/>
    <w:rsid w:val="009B1E1D"/>
    <w:rsid w:val="009B28FD"/>
    <w:rsid w:val="009B2AD6"/>
    <w:rsid w:val="009B3172"/>
    <w:rsid w:val="009B461D"/>
    <w:rsid w:val="009B4F1F"/>
    <w:rsid w:val="009B5594"/>
    <w:rsid w:val="009B59ED"/>
    <w:rsid w:val="009B6405"/>
    <w:rsid w:val="009B6D8D"/>
    <w:rsid w:val="009B729E"/>
    <w:rsid w:val="009B7498"/>
    <w:rsid w:val="009C217C"/>
    <w:rsid w:val="009C264B"/>
    <w:rsid w:val="009C34F1"/>
    <w:rsid w:val="009C3B80"/>
    <w:rsid w:val="009C3D84"/>
    <w:rsid w:val="009C3F5A"/>
    <w:rsid w:val="009C48C6"/>
    <w:rsid w:val="009C5D76"/>
    <w:rsid w:val="009C5DFB"/>
    <w:rsid w:val="009C5FDE"/>
    <w:rsid w:val="009C623B"/>
    <w:rsid w:val="009C667D"/>
    <w:rsid w:val="009C69E7"/>
    <w:rsid w:val="009C7B1D"/>
    <w:rsid w:val="009C7F10"/>
    <w:rsid w:val="009C7FF8"/>
    <w:rsid w:val="009D03F1"/>
    <w:rsid w:val="009D0921"/>
    <w:rsid w:val="009D101B"/>
    <w:rsid w:val="009D118E"/>
    <w:rsid w:val="009D1CF4"/>
    <w:rsid w:val="009D271A"/>
    <w:rsid w:val="009D380F"/>
    <w:rsid w:val="009D57A7"/>
    <w:rsid w:val="009D65EE"/>
    <w:rsid w:val="009D6865"/>
    <w:rsid w:val="009D6903"/>
    <w:rsid w:val="009E02F1"/>
    <w:rsid w:val="009E0525"/>
    <w:rsid w:val="009E199C"/>
    <w:rsid w:val="009E1F76"/>
    <w:rsid w:val="009E20A6"/>
    <w:rsid w:val="009E233F"/>
    <w:rsid w:val="009E323A"/>
    <w:rsid w:val="009E328B"/>
    <w:rsid w:val="009E68C1"/>
    <w:rsid w:val="009E6DD0"/>
    <w:rsid w:val="009E6DEE"/>
    <w:rsid w:val="009E700C"/>
    <w:rsid w:val="009F082A"/>
    <w:rsid w:val="009F0BD9"/>
    <w:rsid w:val="009F12B4"/>
    <w:rsid w:val="009F33FA"/>
    <w:rsid w:val="009F347C"/>
    <w:rsid w:val="009F3F14"/>
    <w:rsid w:val="009F54D7"/>
    <w:rsid w:val="009F5B9D"/>
    <w:rsid w:val="009F6619"/>
    <w:rsid w:val="009F68FF"/>
    <w:rsid w:val="00A00E77"/>
    <w:rsid w:val="00A01A4C"/>
    <w:rsid w:val="00A01C1F"/>
    <w:rsid w:val="00A01C98"/>
    <w:rsid w:val="00A020F7"/>
    <w:rsid w:val="00A025E5"/>
    <w:rsid w:val="00A04B2F"/>
    <w:rsid w:val="00A054CB"/>
    <w:rsid w:val="00A05E8F"/>
    <w:rsid w:val="00A06A54"/>
    <w:rsid w:val="00A10423"/>
    <w:rsid w:val="00A10A6F"/>
    <w:rsid w:val="00A115B1"/>
    <w:rsid w:val="00A118B4"/>
    <w:rsid w:val="00A129C6"/>
    <w:rsid w:val="00A14BDD"/>
    <w:rsid w:val="00A15A52"/>
    <w:rsid w:val="00A169FE"/>
    <w:rsid w:val="00A1706F"/>
    <w:rsid w:val="00A1721D"/>
    <w:rsid w:val="00A20630"/>
    <w:rsid w:val="00A20956"/>
    <w:rsid w:val="00A210DB"/>
    <w:rsid w:val="00A21667"/>
    <w:rsid w:val="00A220FB"/>
    <w:rsid w:val="00A223A5"/>
    <w:rsid w:val="00A22946"/>
    <w:rsid w:val="00A23770"/>
    <w:rsid w:val="00A241FD"/>
    <w:rsid w:val="00A24BC5"/>
    <w:rsid w:val="00A2504C"/>
    <w:rsid w:val="00A26CA4"/>
    <w:rsid w:val="00A26D2E"/>
    <w:rsid w:val="00A26E5D"/>
    <w:rsid w:val="00A276A6"/>
    <w:rsid w:val="00A276FF"/>
    <w:rsid w:val="00A27A41"/>
    <w:rsid w:val="00A30C82"/>
    <w:rsid w:val="00A31A01"/>
    <w:rsid w:val="00A32211"/>
    <w:rsid w:val="00A3279A"/>
    <w:rsid w:val="00A33842"/>
    <w:rsid w:val="00A33A1E"/>
    <w:rsid w:val="00A33FDC"/>
    <w:rsid w:val="00A34114"/>
    <w:rsid w:val="00A34C81"/>
    <w:rsid w:val="00A34E19"/>
    <w:rsid w:val="00A35C90"/>
    <w:rsid w:val="00A362F9"/>
    <w:rsid w:val="00A36BE7"/>
    <w:rsid w:val="00A36F35"/>
    <w:rsid w:val="00A373CC"/>
    <w:rsid w:val="00A3760C"/>
    <w:rsid w:val="00A37704"/>
    <w:rsid w:val="00A378A0"/>
    <w:rsid w:val="00A37E59"/>
    <w:rsid w:val="00A40108"/>
    <w:rsid w:val="00A404AF"/>
    <w:rsid w:val="00A40D0C"/>
    <w:rsid w:val="00A41302"/>
    <w:rsid w:val="00A41C59"/>
    <w:rsid w:val="00A4350C"/>
    <w:rsid w:val="00A43644"/>
    <w:rsid w:val="00A4383B"/>
    <w:rsid w:val="00A44BB6"/>
    <w:rsid w:val="00A45734"/>
    <w:rsid w:val="00A45B90"/>
    <w:rsid w:val="00A462F7"/>
    <w:rsid w:val="00A46659"/>
    <w:rsid w:val="00A46F1A"/>
    <w:rsid w:val="00A47029"/>
    <w:rsid w:val="00A477C3"/>
    <w:rsid w:val="00A50299"/>
    <w:rsid w:val="00A5067A"/>
    <w:rsid w:val="00A50D10"/>
    <w:rsid w:val="00A533D5"/>
    <w:rsid w:val="00A5510E"/>
    <w:rsid w:val="00A559F4"/>
    <w:rsid w:val="00A56173"/>
    <w:rsid w:val="00A56547"/>
    <w:rsid w:val="00A57079"/>
    <w:rsid w:val="00A570E0"/>
    <w:rsid w:val="00A606A0"/>
    <w:rsid w:val="00A60943"/>
    <w:rsid w:val="00A60A2E"/>
    <w:rsid w:val="00A60A60"/>
    <w:rsid w:val="00A61263"/>
    <w:rsid w:val="00A614AD"/>
    <w:rsid w:val="00A61608"/>
    <w:rsid w:val="00A616BD"/>
    <w:rsid w:val="00A61886"/>
    <w:rsid w:val="00A61E92"/>
    <w:rsid w:val="00A63D89"/>
    <w:rsid w:val="00A63EF3"/>
    <w:rsid w:val="00A650F1"/>
    <w:rsid w:val="00A6526E"/>
    <w:rsid w:val="00A65DA4"/>
    <w:rsid w:val="00A66E04"/>
    <w:rsid w:val="00A67194"/>
    <w:rsid w:val="00A671B3"/>
    <w:rsid w:val="00A67864"/>
    <w:rsid w:val="00A70242"/>
    <w:rsid w:val="00A7040E"/>
    <w:rsid w:val="00A7286F"/>
    <w:rsid w:val="00A734F2"/>
    <w:rsid w:val="00A73DEE"/>
    <w:rsid w:val="00A74678"/>
    <w:rsid w:val="00A75AEA"/>
    <w:rsid w:val="00A76063"/>
    <w:rsid w:val="00A767EB"/>
    <w:rsid w:val="00A771BF"/>
    <w:rsid w:val="00A77299"/>
    <w:rsid w:val="00A803C1"/>
    <w:rsid w:val="00A815B6"/>
    <w:rsid w:val="00A815F6"/>
    <w:rsid w:val="00A81953"/>
    <w:rsid w:val="00A823D7"/>
    <w:rsid w:val="00A827C9"/>
    <w:rsid w:val="00A8350D"/>
    <w:rsid w:val="00A85B31"/>
    <w:rsid w:val="00A861F3"/>
    <w:rsid w:val="00A86C48"/>
    <w:rsid w:val="00A90DB1"/>
    <w:rsid w:val="00A90FB8"/>
    <w:rsid w:val="00A9147B"/>
    <w:rsid w:val="00A91BA8"/>
    <w:rsid w:val="00A91EF1"/>
    <w:rsid w:val="00A91EF2"/>
    <w:rsid w:val="00A9325C"/>
    <w:rsid w:val="00A93680"/>
    <w:rsid w:val="00A9430B"/>
    <w:rsid w:val="00A94483"/>
    <w:rsid w:val="00A959CA"/>
    <w:rsid w:val="00A96FC6"/>
    <w:rsid w:val="00A97A16"/>
    <w:rsid w:val="00A97B61"/>
    <w:rsid w:val="00A97C2E"/>
    <w:rsid w:val="00A97CE3"/>
    <w:rsid w:val="00A97E0C"/>
    <w:rsid w:val="00AA01DA"/>
    <w:rsid w:val="00AA1178"/>
    <w:rsid w:val="00AA11BA"/>
    <w:rsid w:val="00AA2755"/>
    <w:rsid w:val="00AA2D62"/>
    <w:rsid w:val="00AA2E2C"/>
    <w:rsid w:val="00AA2E90"/>
    <w:rsid w:val="00AA3077"/>
    <w:rsid w:val="00AA375B"/>
    <w:rsid w:val="00AA38AF"/>
    <w:rsid w:val="00AA450C"/>
    <w:rsid w:val="00AA4B62"/>
    <w:rsid w:val="00AA5EB3"/>
    <w:rsid w:val="00AA6916"/>
    <w:rsid w:val="00AB040A"/>
    <w:rsid w:val="00AB110E"/>
    <w:rsid w:val="00AB11CF"/>
    <w:rsid w:val="00AB1287"/>
    <w:rsid w:val="00AB1CE8"/>
    <w:rsid w:val="00AB2655"/>
    <w:rsid w:val="00AB2F06"/>
    <w:rsid w:val="00AB4FFF"/>
    <w:rsid w:val="00AB5190"/>
    <w:rsid w:val="00AB5513"/>
    <w:rsid w:val="00AB5A0C"/>
    <w:rsid w:val="00AB6070"/>
    <w:rsid w:val="00AB6DFC"/>
    <w:rsid w:val="00AB7354"/>
    <w:rsid w:val="00AB7BFE"/>
    <w:rsid w:val="00AB7C46"/>
    <w:rsid w:val="00AB7DD5"/>
    <w:rsid w:val="00AC05D0"/>
    <w:rsid w:val="00AC3637"/>
    <w:rsid w:val="00AC3D4F"/>
    <w:rsid w:val="00AC3DB7"/>
    <w:rsid w:val="00AC4699"/>
    <w:rsid w:val="00AC5650"/>
    <w:rsid w:val="00AC59DF"/>
    <w:rsid w:val="00AC72C7"/>
    <w:rsid w:val="00AC7899"/>
    <w:rsid w:val="00AD13D6"/>
    <w:rsid w:val="00AD4087"/>
    <w:rsid w:val="00AD4E84"/>
    <w:rsid w:val="00AD629C"/>
    <w:rsid w:val="00AD6A21"/>
    <w:rsid w:val="00AD6BE0"/>
    <w:rsid w:val="00AD752F"/>
    <w:rsid w:val="00AE0C8D"/>
    <w:rsid w:val="00AE0E2A"/>
    <w:rsid w:val="00AE1411"/>
    <w:rsid w:val="00AE19B4"/>
    <w:rsid w:val="00AE2330"/>
    <w:rsid w:val="00AE55BC"/>
    <w:rsid w:val="00AE62E7"/>
    <w:rsid w:val="00AE686D"/>
    <w:rsid w:val="00AE6B27"/>
    <w:rsid w:val="00AF0DC0"/>
    <w:rsid w:val="00AF0F96"/>
    <w:rsid w:val="00AF21D7"/>
    <w:rsid w:val="00AF28EB"/>
    <w:rsid w:val="00AF31BA"/>
    <w:rsid w:val="00AF36B6"/>
    <w:rsid w:val="00AF4803"/>
    <w:rsid w:val="00AF4D10"/>
    <w:rsid w:val="00AF58CB"/>
    <w:rsid w:val="00AF726F"/>
    <w:rsid w:val="00B00506"/>
    <w:rsid w:val="00B00ED5"/>
    <w:rsid w:val="00B0128C"/>
    <w:rsid w:val="00B0190C"/>
    <w:rsid w:val="00B01C3F"/>
    <w:rsid w:val="00B02315"/>
    <w:rsid w:val="00B02BF0"/>
    <w:rsid w:val="00B02EA8"/>
    <w:rsid w:val="00B034DD"/>
    <w:rsid w:val="00B03AB4"/>
    <w:rsid w:val="00B05B91"/>
    <w:rsid w:val="00B06ED4"/>
    <w:rsid w:val="00B077CC"/>
    <w:rsid w:val="00B07A28"/>
    <w:rsid w:val="00B102E7"/>
    <w:rsid w:val="00B12A63"/>
    <w:rsid w:val="00B13397"/>
    <w:rsid w:val="00B1400D"/>
    <w:rsid w:val="00B147C9"/>
    <w:rsid w:val="00B15BB2"/>
    <w:rsid w:val="00B16EBE"/>
    <w:rsid w:val="00B20E3B"/>
    <w:rsid w:val="00B21D0E"/>
    <w:rsid w:val="00B22C57"/>
    <w:rsid w:val="00B23C76"/>
    <w:rsid w:val="00B23EEE"/>
    <w:rsid w:val="00B27298"/>
    <w:rsid w:val="00B27384"/>
    <w:rsid w:val="00B276E4"/>
    <w:rsid w:val="00B27A6D"/>
    <w:rsid w:val="00B309F9"/>
    <w:rsid w:val="00B30DAD"/>
    <w:rsid w:val="00B31782"/>
    <w:rsid w:val="00B32D93"/>
    <w:rsid w:val="00B3402E"/>
    <w:rsid w:val="00B360B7"/>
    <w:rsid w:val="00B36928"/>
    <w:rsid w:val="00B37293"/>
    <w:rsid w:val="00B4076A"/>
    <w:rsid w:val="00B413EB"/>
    <w:rsid w:val="00B428F3"/>
    <w:rsid w:val="00B42C20"/>
    <w:rsid w:val="00B43287"/>
    <w:rsid w:val="00B43864"/>
    <w:rsid w:val="00B43AD9"/>
    <w:rsid w:val="00B443D5"/>
    <w:rsid w:val="00B44482"/>
    <w:rsid w:val="00B450D9"/>
    <w:rsid w:val="00B46FF2"/>
    <w:rsid w:val="00B51B75"/>
    <w:rsid w:val="00B52AD3"/>
    <w:rsid w:val="00B539EB"/>
    <w:rsid w:val="00B54B76"/>
    <w:rsid w:val="00B55ECC"/>
    <w:rsid w:val="00B560E5"/>
    <w:rsid w:val="00B5610F"/>
    <w:rsid w:val="00B576E1"/>
    <w:rsid w:val="00B6088D"/>
    <w:rsid w:val="00B608F1"/>
    <w:rsid w:val="00B60F79"/>
    <w:rsid w:val="00B61158"/>
    <w:rsid w:val="00B6252C"/>
    <w:rsid w:val="00B62CBE"/>
    <w:rsid w:val="00B62EFD"/>
    <w:rsid w:val="00B63999"/>
    <w:rsid w:val="00B63B4A"/>
    <w:rsid w:val="00B63E1F"/>
    <w:rsid w:val="00B641C5"/>
    <w:rsid w:val="00B64F8D"/>
    <w:rsid w:val="00B6533C"/>
    <w:rsid w:val="00B65388"/>
    <w:rsid w:val="00B65FD8"/>
    <w:rsid w:val="00B6731A"/>
    <w:rsid w:val="00B673CA"/>
    <w:rsid w:val="00B70903"/>
    <w:rsid w:val="00B7108D"/>
    <w:rsid w:val="00B7117A"/>
    <w:rsid w:val="00B713F0"/>
    <w:rsid w:val="00B72053"/>
    <w:rsid w:val="00B733A9"/>
    <w:rsid w:val="00B73BEF"/>
    <w:rsid w:val="00B74530"/>
    <w:rsid w:val="00B7458C"/>
    <w:rsid w:val="00B74E4D"/>
    <w:rsid w:val="00B75D3F"/>
    <w:rsid w:val="00B75D4C"/>
    <w:rsid w:val="00B76F2C"/>
    <w:rsid w:val="00B77723"/>
    <w:rsid w:val="00B77863"/>
    <w:rsid w:val="00B801AC"/>
    <w:rsid w:val="00B815D3"/>
    <w:rsid w:val="00B8270D"/>
    <w:rsid w:val="00B827F1"/>
    <w:rsid w:val="00B82B33"/>
    <w:rsid w:val="00B8384C"/>
    <w:rsid w:val="00B83AF4"/>
    <w:rsid w:val="00B843A1"/>
    <w:rsid w:val="00B8441F"/>
    <w:rsid w:val="00B854BE"/>
    <w:rsid w:val="00B85704"/>
    <w:rsid w:val="00B86421"/>
    <w:rsid w:val="00B866BF"/>
    <w:rsid w:val="00B868D6"/>
    <w:rsid w:val="00B86D0A"/>
    <w:rsid w:val="00B8748B"/>
    <w:rsid w:val="00B87B3F"/>
    <w:rsid w:val="00B90972"/>
    <w:rsid w:val="00B91818"/>
    <w:rsid w:val="00B922D6"/>
    <w:rsid w:val="00B92819"/>
    <w:rsid w:val="00B93E18"/>
    <w:rsid w:val="00B93E2C"/>
    <w:rsid w:val="00B94BE5"/>
    <w:rsid w:val="00B95B44"/>
    <w:rsid w:val="00B96069"/>
    <w:rsid w:val="00BA0A76"/>
    <w:rsid w:val="00BA11A9"/>
    <w:rsid w:val="00BA1642"/>
    <w:rsid w:val="00BA30C2"/>
    <w:rsid w:val="00BA31C6"/>
    <w:rsid w:val="00BA4B0A"/>
    <w:rsid w:val="00BA4FE7"/>
    <w:rsid w:val="00BA699B"/>
    <w:rsid w:val="00BA76AB"/>
    <w:rsid w:val="00BB0225"/>
    <w:rsid w:val="00BB0423"/>
    <w:rsid w:val="00BB1D73"/>
    <w:rsid w:val="00BB2CE4"/>
    <w:rsid w:val="00BB2D17"/>
    <w:rsid w:val="00BB2D1B"/>
    <w:rsid w:val="00BB42D2"/>
    <w:rsid w:val="00BB6ECF"/>
    <w:rsid w:val="00BB74B3"/>
    <w:rsid w:val="00BB777A"/>
    <w:rsid w:val="00BC06FE"/>
    <w:rsid w:val="00BC1765"/>
    <w:rsid w:val="00BC1FD6"/>
    <w:rsid w:val="00BC25D7"/>
    <w:rsid w:val="00BC320C"/>
    <w:rsid w:val="00BC4883"/>
    <w:rsid w:val="00BC5454"/>
    <w:rsid w:val="00BC5F7F"/>
    <w:rsid w:val="00BC74EE"/>
    <w:rsid w:val="00BC777E"/>
    <w:rsid w:val="00BD056C"/>
    <w:rsid w:val="00BD219A"/>
    <w:rsid w:val="00BD2C42"/>
    <w:rsid w:val="00BD2EF9"/>
    <w:rsid w:val="00BD2F1D"/>
    <w:rsid w:val="00BD3997"/>
    <w:rsid w:val="00BD5D7E"/>
    <w:rsid w:val="00BD6EF9"/>
    <w:rsid w:val="00BD754C"/>
    <w:rsid w:val="00BD764C"/>
    <w:rsid w:val="00BD78C6"/>
    <w:rsid w:val="00BE01E1"/>
    <w:rsid w:val="00BE07A5"/>
    <w:rsid w:val="00BE15DA"/>
    <w:rsid w:val="00BE19AD"/>
    <w:rsid w:val="00BE369C"/>
    <w:rsid w:val="00BE4FBC"/>
    <w:rsid w:val="00BE5B7C"/>
    <w:rsid w:val="00BE6DBE"/>
    <w:rsid w:val="00BE72FD"/>
    <w:rsid w:val="00BE733C"/>
    <w:rsid w:val="00BE73D4"/>
    <w:rsid w:val="00BE7AF2"/>
    <w:rsid w:val="00BF1EF8"/>
    <w:rsid w:val="00BF25A9"/>
    <w:rsid w:val="00BF2DE5"/>
    <w:rsid w:val="00BF4429"/>
    <w:rsid w:val="00BF4C49"/>
    <w:rsid w:val="00BF4D1A"/>
    <w:rsid w:val="00BF5168"/>
    <w:rsid w:val="00BF51C9"/>
    <w:rsid w:val="00BF5A5B"/>
    <w:rsid w:val="00BF62DF"/>
    <w:rsid w:val="00BF6338"/>
    <w:rsid w:val="00BF6D56"/>
    <w:rsid w:val="00BF7EB2"/>
    <w:rsid w:val="00C00D03"/>
    <w:rsid w:val="00C00D9C"/>
    <w:rsid w:val="00C01DFC"/>
    <w:rsid w:val="00C0270E"/>
    <w:rsid w:val="00C0282B"/>
    <w:rsid w:val="00C03262"/>
    <w:rsid w:val="00C047A4"/>
    <w:rsid w:val="00C05013"/>
    <w:rsid w:val="00C067E0"/>
    <w:rsid w:val="00C0773D"/>
    <w:rsid w:val="00C1025D"/>
    <w:rsid w:val="00C11733"/>
    <w:rsid w:val="00C12CC1"/>
    <w:rsid w:val="00C12D93"/>
    <w:rsid w:val="00C12EE2"/>
    <w:rsid w:val="00C12EE5"/>
    <w:rsid w:val="00C1324B"/>
    <w:rsid w:val="00C139DE"/>
    <w:rsid w:val="00C13B55"/>
    <w:rsid w:val="00C13CB8"/>
    <w:rsid w:val="00C151CE"/>
    <w:rsid w:val="00C1561B"/>
    <w:rsid w:val="00C15BBB"/>
    <w:rsid w:val="00C16087"/>
    <w:rsid w:val="00C2092E"/>
    <w:rsid w:val="00C20F37"/>
    <w:rsid w:val="00C213FD"/>
    <w:rsid w:val="00C21C42"/>
    <w:rsid w:val="00C23520"/>
    <w:rsid w:val="00C24AE3"/>
    <w:rsid w:val="00C25082"/>
    <w:rsid w:val="00C2570A"/>
    <w:rsid w:val="00C265D4"/>
    <w:rsid w:val="00C26DC6"/>
    <w:rsid w:val="00C27447"/>
    <w:rsid w:val="00C275FC"/>
    <w:rsid w:val="00C30615"/>
    <w:rsid w:val="00C30715"/>
    <w:rsid w:val="00C30D84"/>
    <w:rsid w:val="00C3131B"/>
    <w:rsid w:val="00C317A7"/>
    <w:rsid w:val="00C33614"/>
    <w:rsid w:val="00C33AEC"/>
    <w:rsid w:val="00C357CB"/>
    <w:rsid w:val="00C35C8E"/>
    <w:rsid w:val="00C36B1D"/>
    <w:rsid w:val="00C3742C"/>
    <w:rsid w:val="00C410D2"/>
    <w:rsid w:val="00C41363"/>
    <w:rsid w:val="00C42A78"/>
    <w:rsid w:val="00C437D6"/>
    <w:rsid w:val="00C4471B"/>
    <w:rsid w:val="00C45C94"/>
    <w:rsid w:val="00C4601D"/>
    <w:rsid w:val="00C46612"/>
    <w:rsid w:val="00C509D2"/>
    <w:rsid w:val="00C51CCA"/>
    <w:rsid w:val="00C523ED"/>
    <w:rsid w:val="00C53131"/>
    <w:rsid w:val="00C54473"/>
    <w:rsid w:val="00C54789"/>
    <w:rsid w:val="00C55945"/>
    <w:rsid w:val="00C55D94"/>
    <w:rsid w:val="00C55DCB"/>
    <w:rsid w:val="00C55FBB"/>
    <w:rsid w:val="00C57582"/>
    <w:rsid w:val="00C608EF"/>
    <w:rsid w:val="00C60D60"/>
    <w:rsid w:val="00C612BB"/>
    <w:rsid w:val="00C612BF"/>
    <w:rsid w:val="00C61338"/>
    <w:rsid w:val="00C6207E"/>
    <w:rsid w:val="00C6324D"/>
    <w:rsid w:val="00C64FAE"/>
    <w:rsid w:val="00C66344"/>
    <w:rsid w:val="00C66EDC"/>
    <w:rsid w:val="00C674F7"/>
    <w:rsid w:val="00C67D05"/>
    <w:rsid w:val="00C714EE"/>
    <w:rsid w:val="00C731E1"/>
    <w:rsid w:val="00C73883"/>
    <w:rsid w:val="00C73B64"/>
    <w:rsid w:val="00C7443F"/>
    <w:rsid w:val="00C745D7"/>
    <w:rsid w:val="00C7702A"/>
    <w:rsid w:val="00C7732F"/>
    <w:rsid w:val="00C773C8"/>
    <w:rsid w:val="00C80A25"/>
    <w:rsid w:val="00C80E5E"/>
    <w:rsid w:val="00C82930"/>
    <w:rsid w:val="00C82C9E"/>
    <w:rsid w:val="00C841BF"/>
    <w:rsid w:val="00C84F61"/>
    <w:rsid w:val="00C8531E"/>
    <w:rsid w:val="00C85560"/>
    <w:rsid w:val="00C85A3E"/>
    <w:rsid w:val="00C85A50"/>
    <w:rsid w:val="00C85B6C"/>
    <w:rsid w:val="00C85ECE"/>
    <w:rsid w:val="00C86BFE"/>
    <w:rsid w:val="00C86D8A"/>
    <w:rsid w:val="00C86FF3"/>
    <w:rsid w:val="00C87E2F"/>
    <w:rsid w:val="00C900B0"/>
    <w:rsid w:val="00C9080B"/>
    <w:rsid w:val="00C90EA7"/>
    <w:rsid w:val="00C90EF9"/>
    <w:rsid w:val="00C9146C"/>
    <w:rsid w:val="00C91711"/>
    <w:rsid w:val="00C91A95"/>
    <w:rsid w:val="00C92931"/>
    <w:rsid w:val="00C92949"/>
    <w:rsid w:val="00C9312F"/>
    <w:rsid w:val="00C94499"/>
    <w:rsid w:val="00C9491A"/>
    <w:rsid w:val="00C94BE9"/>
    <w:rsid w:val="00C95701"/>
    <w:rsid w:val="00C95DD7"/>
    <w:rsid w:val="00C95ED6"/>
    <w:rsid w:val="00C96BBB"/>
    <w:rsid w:val="00CA04D5"/>
    <w:rsid w:val="00CA0F7D"/>
    <w:rsid w:val="00CA1AC8"/>
    <w:rsid w:val="00CA1FB0"/>
    <w:rsid w:val="00CA24D1"/>
    <w:rsid w:val="00CA2AD9"/>
    <w:rsid w:val="00CA39CC"/>
    <w:rsid w:val="00CA3C11"/>
    <w:rsid w:val="00CA403D"/>
    <w:rsid w:val="00CA4743"/>
    <w:rsid w:val="00CA57FE"/>
    <w:rsid w:val="00CA5FF6"/>
    <w:rsid w:val="00CA6F32"/>
    <w:rsid w:val="00CA735E"/>
    <w:rsid w:val="00CB01B1"/>
    <w:rsid w:val="00CB138F"/>
    <w:rsid w:val="00CB13CF"/>
    <w:rsid w:val="00CB13E0"/>
    <w:rsid w:val="00CB199A"/>
    <w:rsid w:val="00CB2282"/>
    <w:rsid w:val="00CB2F02"/>
    <w:rsid w:val="00CB44CC"/>
    <w:rsid w:val="00CB4522"/>
    <w:rsid w:val="00CB76B8"/>
    <w:rsid w:val="00CB7703"/>
    <w:rsid w:val="00CB77EE"/>
    <w:rsid w:val="00CB783B"/>
    <w:rsid w:val="00CB7AE2"/>
    <w:rsid w:val="00CC1C1E"/>
    <w:rsid w:val="00CC2611"/>
    <w:rsid w:val="00CC2803"/>
    <w:rsid w:val="00CC295E"/>
    <w:rsid w:val="00CC48D6"/>
    <w:rsid w:val="00CC4B7F"/>
    <w:rsid w:val="00CC544C"/>
    <w:rsid w:val="00CC559E"/>
    <w:rsid w:val="00CC707F"/>
    <w:rsid w:val="00CC708A"/>
    <w:rsid w:val="00CC79CD"/>
    <w:rsid w:val="00CD0365"/>
    <w:rsid w:val="00CD1447"/>
    <w:rsid w:val="00CD1841"/>
    <w:rsid w:val="00CD1BF1"/>
    <w:rsid w:val="00CD1D2E"/>
    <w:rsid w:val="00CD27CD"/>
    <w:rsid w:val="00CD4BF8"/>
    <w:rsid w:val="00CD52CD"/>
    <w:rsid w:val="00CD652E"/>
    <w:rsid w:val="00CD6828"/>
    <w:rsid w:val="00CD685C"/>
    <w:rsid w:val="00CD68DD"/>
    <w:rsid w:val="00CD7B8B"/>
    <w:rsid w:val="00CE01F8"/>
    <w:rsid w:val="00CE0D43"/>
    <w:rsid w:val="00CE19B6"/>
    <w:rsid w:val="00CE24B9"/>
    <w:rsid w:val="00CE2B04"/>
    <w:rsid w:val="00CE3E8B"/>
    <w:rsid w:val="00CE47DC"/>
    <w:rsid w:val="00CE5298"/>
    <w:rsid w:val="00CE5322"/>
    <w:rsid w:val="00CE58EB"/>
    <w:rsid w:val="00CE6939"/>
    <w:rsid w:val="00CE705F"/>
    <w:rsid w:val="00CE745E"/>
    <w:rsid w:val="00CF0041"/>
    <w:rsid w:val="00CF0D4B"/>
    <w:rsid w:val="00CF2605"/>
    <w:rsid w:val="00CF2804"/>
    <w:rsid w:val="00CF35B2"/>
    <w:rsid w:val="00CF36C4"/>
    <w:rsid w:val="00CF38D4"/>
    <w:rsid w:val="00CF5C07"/>
    <w:rsid w:val="00CF5CFC"/>
    <w:rsid w:val="00D00272"/>
    <w:rsid w:val="00D00AF5"/>
    <w:rsid w:val="00D00E75"/>
    <w:rsid w:val="00D00EE2"/>
    <w:rsid w:val="00D01917"/>
    <w:rsid w:val="00D01EBC"/>
    <w:rsid w:val="00D036AC"/>
    <w:rsid w:val="00D03DE1"/>
    <w:rsid w:val="00D03EDD"/>
    <w:rsid w:val="00D03EEF"/>
    <w:rsid w:val="00D04F08"/>
    <w:rsid w:val="00D050BB"/>
    <w:rsid w:val="00D058B9"/>
    <w:rsid w:val="00D07010"/>
    <w:rsid w:val="00D07087"/>
    <w:rsid w:val="00D07A1B"/>
    <w:rsid w:val="00D07E2A"/>
    <w:rsid w:val="00D11666"/>
    <w:rsid w:val="00D11D07"/>
    <w:rsid w:val="00D138F2"/>
    <w:rsid w:val="00D1489F"/>
    <w:rsid w:val="00D159F8"/>
    <w:rsid w:val="00D15DD2"/>
    <w:rsid w:val="00D16E55"/>
    <w:rsid w:val="00D16ECF"/>
    <w:rsid w:val="00D17564"/>
    <w:rsid w:val="00D17C04"/>
    <w:rsid w:val="00D17CFB"/>
    <w:rsid w:val="00D17E3E"/>
    <w:rsid w:val="00D2046D"/>
    <w:rsid w:val="00D21820"/>
    <w:rsid w:val="00D2255E"/>
    <w:rsid w:val="00D226B9"/>
    <w:rsid w:val="00D23437"/>
    <w:rsid w:val="00D2372E"/>
    <w:rsid w:val="00D2373E"/>
    <w:rsid w:val="00D239F4"/>
    <w:rsid w:val="00D2459A"/>
    <w:rsid w:val="00D248D9"/>
    <w:rsid w:val="00D24CD7"/>
    <w:rsid w:val="00D25DF4"/>
    <w:rsid w:val="00D26113"/>
    <w:rsid w:val="00D27131"/>
    <w:rsid w:val="00D30B0E"/>
    <w:rsid w:val="00D31AD0"/>
    <w:rsid w:val="00D31BBD"/>
    <w:rsid w:val="00D34305"/>
    <w:rsid w:val="00D34E83"/>
    <w:rsid w:val="00D35189"/>
    <w:rsid w:val="00D352D0"/>
    <w:rsid w:val="00D37354"/>
    <w:rsid w:val="00D404B1"/>
    <w:rsid w:val="00D4104F"/>
    <w:rsid w:val="00D43988"/>
    <w:rsid w:val="00D4707E"/>
    <w:rsid w:val="00D47238"/>
    <w:rsid w:val="00D4762C"/>
    <w:rsid w:val="00D47867"/>
    <w:rsid w:val="00D47B4E"/>
    <w:rsid w:val="00D47EAF"/>
    <w:rsid w:val="00D50B2A"/>
    <w:rsid w:val="00D51517"/>
    <w:rsid w:val="00D52D4A"/>
    <w:rsid w:val="00D52D7F"/>
    <w:rsid w:val="00D53034"/>
    <w:rsid w:val="00D538B0"/>
    <w:rsid w:val="00D541A8"/>
    <w:rsid w:val="00D55A05"/>
    <w:rsid w:val="00D562A8"/>
    <w:rsid w:val="00D61A9F"/>
    <w:rsid w:val="00D61EDD"/>
    <w:rsid w:val="00D628AF"/>
    <w:rsid w:val="00D6294B"/>
    <w:rsid w:val="00D654F8"/>
    <w:rsid w:val="00D66697"/>
    <w:rsid w:val="00D676B3"/>
    <w:rsid w:val="00D6787A"/>
    <w:rsid w:val="00D67ACA"/>
    <w:rsid w:val="00D67F69"/>
    <w:rsid w:val="00D70FAD"/>
    <w:rsid w:val="00D71103"/>
    <w:rsid w:val="00D71213"/>
    <w:rsid w:val="00D713E4"/>
    <w:rsid w:val="00D72FAD"/>
    <w:rsid w:val="00D7314F"/>
    <w:rsid w:val="00D73259"/>
    <w:rsid w:val="00D732D3"/>
    <w:rsid w:val="00D73678"/>
    <w:rsid w:val="00D73AF1"/>
    <w:rsid w:val="00D73E64"/>
    <w:rsid w:val="00D74504"/>
    <w:rsid w:val="00D74639"/>
    <w:rsid w:val="00D74926"/>
    <w:rsid w:val="00D75407"/>
    <w:rsid w:val="00D75449"/>
    <w:rsid w:val="00D7563E"/>
    <w:rsid w:val="00D76E21"/>
    <w:rsid w:val="00D770D5"/>
    <w:rsid w:val="00D809B7"/>
    <w:rsid w:val="00D812A9"/>
    <w:rsid w:val="00D813B0"/>
    <w:rsid w:val="00D8141C"/>
    <w:rsid w:val="00D81A57"/>
    <w:rsid w:val="00D81A98"/>
    <w:rsid w:val="00D8269A"/>
    <w:rsid w:val="00D82962"/>
    <w:rsid w:val="00D82A4C"/>
    <w:rsid w:val="00D830B5"/>
    <w:rsid w:val="00D83A65"/>
    <w:rsid w:val="00D846CF"/>
    <w:rsid w:val="00D84999"/>
    <w:rsid w:val="00D85683"/>
    <w:rsid w:val="00D86D21"/>
    <w:rsid w:val="00D8772B"/>
    <w:rsid w:val="00D87EC1"/>
    <w:rsid w:val="00D9031D"/>
    <w:rsid w:val="00D90824"/>
    <w:rsid w:val="00D90F8A"/>
    <w:rsid w:val="00D91621"/>
    <w:rsid w:val="00D9180B"/>
    <w:rsid w:val="00D925BC"/>
    <w:rsid w:val="00D9323B"/>
    <w:rsid w:val="00D94EB6"/>
    <w:rsid w:val="00D95111"/>
    <w:rsid w:val="00D954B6"/>
    <w:rsid w:val="00D9553A"/>
    <w:rsid w:val="00D958D2"/>
    <w:rsid w:val="00D95C5C"/>
    <w:rsid w:val="00D96B91"/>
    <w:rsid w:val="00D9740F"/>
    <w:rsid w:val="00D97545"/>
    <w:rsid w:val="00D9787B"/>
    <w:rsid w:val="00D97BA1"/>
    <w:rsid w:val="00DA09FC"/>
    <w:rsid w:val="00DA0A19"/>
    <w:rsid w:val="00DA16AA"/>
    <w:rsid w:val="00DA28A7"/>
    <w:rsid w:val="00DA2BB0"/>
    <w:rsid w:val="00DA2FCA"/>
    <w:rsid w:val="00DA348E"/>
    <w:rsid w:val="00DA373A"/>
    <w:rsid w:val="00DA4A4E"/>
    <w:rsid w:val="00DA59D2"/>
    <w:rsid w:val="00DA5A9C"/>
    <w:rsid w:val="00DA5F60"/>
    <w:rsid w:val="00DA6E9D"/>
    <w:rsid w:val="00DA6FF3"/>
    <w:rsid w:val="00DB0066"/>
    <w:rsid w:val="00DB0F33"/>
    <w:rsid w:val="00DB1595"/>
    <w:rsid w:val="00DB297D"/>
    <w:rsid w:val="00DB2B7E"/>
    <w:rsid w:val="00DB2BA7"/>
    <w:rsid w:val="00DB2F6C"/>
    <w:rsid w:val="00DB345D"/>
    <w:rsid w:val="00DB5719"/>
    <w:rsid w:val="00DB624E"/>
    <w:rsid w:val="00DB65FF"/>
    <w:rsid w:val="00DB7C6B"/>
    <w:rsid w:val="00DC02EA"/>
    <w:rsid w:val="00DC1309"/>
    <w:rsid w:val="00DC16F9"/>
    <w:rsid w:val="00DC1CA6"/>
    <w:rsid w:val="00DC20CF"/>
    <w:rsid w:val="00DC3472"/>
    <w:rsid w:val="00DC4B44"/>
    <w:rsid w:val="00DC5C38"/>
    <w:rsid w:val="00DC61A3"/>
    <w:rsid w:val="00DC76E7"/>
    <w:rsid w:val="00DC7E69"/>
    <w:rsid w:val="00DD0467"/>
    <w:rsid w:val="00DD15EF"/>
    <w:rsid w:val="00DD1738"/>
    <w:rsid w:val="00DD190E"/>
    <w:rsid w:val="00DD3316"/>
    <w:rsid w:val="00DD3E02"/>
    <w:rsid w:val="00DD45AF"/>
    <w:rsid w:val="00DD5654"/>
    <w:rsid w:val="00DD5E57"/>
    <w:rsid w:val="00DD60E3"/>
    <w:rsid w:val="00DD7F9B"/>
    <w:rsid w:val="00DE1C74"/>
    <w:rsid w:val="00DE1CCF"/>
    <w:rsid w:val="00DE3385"/>
    <w:rsid w:val="00DE3CA1"/>
    <w:rsid w:val="00DE4007"/>
    <w:rsid w:val="00DE4053"/>
    <w:rsid w:val="00DE4638"/>
    <w:rsid w:val="00DE4651"/>
    <w:rsid w:val="00DE4FEE"/>
    <w:rsid w:val="00DE534A"/>
    <w:rsid w:val="00DE55FD"/>
    <w:rsid w:val="00DE60A8"/>
    <w:rsid w:val="00DE7265"/>
    <w:rsid w:val="00DE7525"/>
    <w:rsid w:val="00DE787B"/>
    <w:rsid w:val="00DE7C1C"/>
    <w:rsid w:val="00DF0111"/>
    <w:rsid w:val="00DF01E6"/>
    <w:rsid w:val="00DF14DF"/>
    <w:rsid w:val="00DF2247"/>
    <w:rsid w:val="00DF2353"/>
    <w:rsid w:val="00DF3AB2"/>
    <w:rsid w:val="00DF4116"/>
    <w:rsid w:val="00DF5129"/>
    <w:rsid w:val="00DF5784"/>
    <w:rsid w:val="00DF58B8"/>
    <w:rsid w:val="00DF5FF8"/>
    <w:rsid w:val="00DF6EE5"/>
    <w:rsid w:val="00DF7E7E"/>
    <w:rsid w:val="00E0077B"/>
    <w:rsid w:val="00E00898"/>
    <w:rsid w:val="00E03634"/>
    <w:rsid w:val="00E050B6"/>
    <w:rsid w:val="00E0557E"/>
    <w:rsid w:val="00E05980"/>
    <w:rsid w:val="00E05D14"/>
    <w:rsid w:val="00E0628E"/>
    <w:rsid w:val="00E06460"/>
    <w:rsid w:val="00E073CF"/>
    <w:rsid w:val="00E07997"/>
    <w:rsid w:val="00E07A6A"/>
    <w:rsid w:val="00E07EB8"/>
    <w:rsid w:val="00E107B2"/>
    <w:rsid w:val="00E10EB1"/>
    <w:rsid w:val="00E114CF"/>
    <w:rsid w:val="00E120E4"/>
    <w:rsid w:val="00E13636"/>
    <w:rsid w:val="00E149F4"/>
    <w:rsid w:val="00E14A90"/>
    <w:rsid w:val="00E16CF1"/>
    <w:rsid w:val="00E17F53"/>
    <w:rsid w:val="00E20354"/>
    <w:rsid w:val="00E207DB"/>
    <w:rsid w:val="00E20BB5"/>
    <w:rsid w:val="00E21F5A"/>
    <w:rsid w:val="00E221D8"/>
    <w:rsid w:val="00E234F1"/>
    <w:rsid w:val="00E23ACB"/>
    <w:rsid w:val="00E23BDA"/>
    <w:rsid w:val="00E25124"/>
    <w:rsid w:val="00E261F8"/>
    <w:rsid w:val="00E26E25"/>
    <w:rsid w:val="00E27DF3"/>
    <w:rsid w:val="00E3110A"/>
    <w:rsid w:val="00E319DC"/>
    <w:rsid w:val="00E324AD"/>
    <w:rsid w:val="00E3342D"/>
    <w:rsid w:val="00E33683"/>
    <w:rsid w:val="00E33734"/>
    <w:rsid w:val="00E33F82"/>
    <w:rsid w:val="00E34AA9"/>
    <w:rsid w:val="00E36A4F"/>
    <w:rsid w:val="00E376C4"/>
    <w:rsid w:val="00E37D5F"/>
    <w:rsid w:val="00E429A0"/>
    <w:rsid w:val="00E42D39"/>
    <w:rsid w:val="00E44CD4"/>
    <w:rsid w:val="00E45B91"/>
    <w:rsid w:val="00E46804"/>
    <w:rsid w:val="00E46C57"/>
    <w:rsid w:val="00E513EE"/>
    <w:rsid w:val="00E5176B"/>
    <w:rsid w:val="00E527C9"/>
    <w:rsid w:val="00E528BA"/>
    <w:rsid w:val="00E52A91"/>
    <w:rsid w:val="00E53497"/>
    <w:rsid w:val="00E534DF"/>
    <w:rsid w:val="00E55A50"/>
    <w:rsid w:val="00E565C2"/>
    <w:rsid w:val="00E56C9D"/>
    <w:rsid w:val="00E5723E"/>
    <w:rsid w:val="00E57362"/>
    <w:rsid w:val="00E60269"/>
    <w:rsid w:val="00E60887"/>
    <w:rsid w:val="00E60C32"/>
    <w:rsid w:val="00E61619"/>
    <w:rsid w:val="00E61E25"/>
    <w:rsid w:val="00E6272B"/>
    <w:rsid w:val="00E627F6"/>
    <w:rsid w:val="00E62F1A"/>
    <w:rsid w:val="00E63F1D"/>
    <w:rsid w:val="00E646D5"/>
    <w:rsid w:val="00E64BB7"/>
    <w:rsid w:val="00E64EEE"/>
    <w:rsid w:val="00E66F49"/>
    <w:rsid w:val="00E721A9"/>
    <w:rsid w:val="00E73549"/>
    <w:rsid w:val="00E7484F"/>
    <w:rsid w:val="00E74861"/>
    <w:rsid w:val="00E74B50"/>
    <w:rsid w:val="00E74EC9"/>
    <w:rsid w:val="00E75572"/>
    <w:rsid w:val="00E75733"/>
    <w:rsid w:val="00E75A9D"/>
    <w:rsid w:val="00E77754"/>
    <w:rsid w:val="00E80CF7"/>
    <w:rsid w:val="00E80FB4"/>
    <w:rsid w:val="00E81B8E"/>
    <w:rsid w:val="00E81ED7"/>
    <w:rsid w:val="00E8369B"/>
    <w:rsid w:val="00E8377F"/>
    <w:rsid w:val="00E83850"/>
    <w:rsid w:val="00E85244"/>
    <w:rsid w:val="00E85A96"/>
    <w:rsid w:val="00E86159"/>
    <w:rsid w:val="00E86741"/>
    <w:rsid w:val="00E87653"/>
    <w:rsid w:val="00E87AE4"/>
    <w:rsid w:val="00E90A5A"/>
    <w:rsid w:val="00E90C1F"/>
    <w:rsid w:val="00E9124A"/>
    <w:rsid w:val="00E9222C"/>
    <w:rsid w:val="00E9296D"/>
    <w:rsid w:val="00E92AA5"/>
    <w:rsid w:val="00E94509"/>
    <w:rsid w:val="00E94A0D"/>
    <w:rsid w:val="00E9558B"/>
    <w:rsid w:val="00E95A44"/>
    <w:rsid w:val="00E95D1B"/>
    <w:rsid w:val="00E969A4"/>
    <w:rsid w:val="00E9735C"/>
    <w:rsid w:val="00EA0266"/>
    <w:rsid w:val="00EA234B"/>
    <w:rsid w:val="00EA274B"/>
    <w:rsid w:val="00EA2EFA"/>
    <w:rsid w:val="00EA3184"/>
    <w:rsid w:val="00EA3732"/>
    <w:rsid w:val="00EA3794"/>
    <w:rsid w:val="00EA3CDD"/>
    <w:rsid w:val="00EA4124"/>
    <w:rsid w:val="00EA42EB"/>
    <w:rsid w:val="00EA5028"/>
    <w:rsid w:val="00EA50D6"/>
    <w:rsid w:val="00EA5714"/>
    <w:rsid w:val="00EA5E70"/>
    <w:rsid w:val="00EA60EF"/>
    <w:rsid w:val="00EA6A30"/>
    <w:rsid w:val="00EA6A41"/>
    <w:rsid w:val="00EA73C4"/>
    <w:rsid w:val="00EA7662"/>
    <w:rsid w:val="00EA7CC3"/>
    <w:rsid w:val="00EB016F"/>
    <w:rsid w:val="00EB04F4"/>
    <w:rsid w:val="00EB05E3"/>
    <w:rsid w:val="00EB212C"/>
    <w:rsid w:val="00EB2216"/>
    <w:rsid w:val="00EB27D1"/>
    <w:rsid w:val="00EB33F4"/>
    <w:rsid w:val="00EB3B9C"/>
    <w:rsid w:val="00EB40E0"/>
    <w:rsid w:val="00EB4C04"/>
    <w:rsid w:val="00EB6502"/>
    <w:rsid w:val="00EB7D9C"/>
    <w:rsid w:val="00EC01F0"/>
    <w:rsid w:val="00EC1406"/>
    <w:rsid w:val="00EC1526"/>
    <w:rsid w:val="00EC23F3"/>
    <w:rsid w:val="00EC2677"/>
    <w:rsid w:val="00EC2AB5"/>
    <w:rsid w:val="00EC36F2"/>
    <w:rsid w:val="00EC4B79"/>
    <w:rsid w:val="00EC4F33"/>
    <w:rsid w:val="00EC7E82"/>
    <w:rsid w:val="00ED0785"/>
    <w:rsid w:val="00ED0B81"/>
    <w:rsid w:val="00ED19B3"/>
    <w:rsid w:val="00ED1A64"/>
    <w:rsid w:val="00ED28DD"/>
    <w:rsid w:val="00ED421C"/>
    <w:rsid w:val="00ED43A6"/>
    <w:rsid w:val="00ED4E89"/>
    <w:rsid w:val="00ED502A"/>
    <w:rsid w:val="00ED69B3"/>
    <w:rsid w:val="00ED6AF3"/>
    <w:rsid w:val="00ED6FB9"/>
    <w:rsid w:val="00ED7371"/>
    <w:rsid w:val="00ED7E2F"/>
    <w:rsid w:val="00ED7EA8"/>
    <w:rsid w:val="00EE1162"/>
    <w:rsid w:val="00EE1313"/>
    <w:rsid w:val="00EE2126"/>
    <w:rsid w:val="00EE2FBF"/>
    <w:rsid w:val="00EE3363"/>
    <w:rsid w:val="00EE3725"/>
    <w:rsid w:val="00EE3F3C"/>
    <w:rsid w:val="00EE4C7E"/>
    <w:rsid w:val="00EE556D"/>
    <w:rsid w:val="00EE60A2"/>
    <w:rsid w:val="00EE6184"/>
    <w:rsid w:val="00EE679C"/>
    <w:rsid w:val="00EE686B"/>
    <w:rsid w:val="00EE7596"/>
    <w:rsid w:val="00EE7A2C"/>
    <w:rsid w:val="00EF06D3"/>
    <w:rsid w:val="00EF09D3"/>
    <w:rsid w:val="00EF108A"/>
    <w:rsid w:val="00EF1240"/>
    <w:rsid w:val="00EF1F75"/>
    <w:rsid w:val="00EF2240"/>
    <w:rsid w:val="00EF297A"/>
    <w:rsid w:val="00EF3069"/>
    <w:rsid w:val="00EF31A5"/>
    <w:rsid w:val="00EF3742"/>
    <w:rsid w:val="00EF3EB5"/>
    <w:rsid w:val="00EF57B9"/>
    <w:rsid w:val="00EF57DF"/>
    <w:rsid w:val="00EF632B"/>
    <w:rsid w:val="00EF6556"/>
    <w:rsid w:val="00EF689A"/>
    <w:rsid w:val="00F02BAD"/>
    <w:rsid w:val="00F0319D"/>
    <w:rsid w:val="00F07050"/>
    <w:rsid w:val="00F07890"/>
    <w:rsid w:val="00F07A4C"/>
    <w:rsid w:val="00F07B03"/>
    <w:rsid w:val="00F115A2"/>
    <w:rsid w:val="00F11635"/>
    <w:rsid w:val="00F11928"/>
    <w:rsid w:val="00F12D86"/>
    <w:rsid w:val="00F131AA"/>
    <w:rsid w:val="00F131FD"/>
    <w:rsid w:val="00F1350B"/>
    <w:rsid w:val="00F13B05"/>
    <w:rsid w:val="00F13B5A"/>
    <w:rsid w:val="00F13EED"/>
    <w:rsid w:val="00F15AF2"/>
    <w:rsid w:val="00F21290"/>
    <w:rsid w:val="00F2299F"/>
    <w:rsid w:val="00F231F0"/>
    <w:rsid w:val="00F24787"/>
    <w:rsid w:val="00F25311"/>
    <w:rsid w:val="00F259A5"/>
    <w:rsid w:val="00F263E5"/>
    <w:rsid w:val="00F301E0"/>
    <w:rsid w:val="00F307CC"/>
    <w:rsid w:val="00F30BBA"/>
    <w:rsid w:val="00F31630"/>
    <w:rsid w:val="00F31A8F"/>
    <w:rsid w:val="00F320C0"/>
    <w:rsid w:val="00F32C7D"/>
    <w:rsid w:val="00F32D63"/>
    <w:rsid w:val="00F33C8D"/>
    <w:rsid w:val="00F34012"/>
    <w:rsid w:val="00F343A3"/>
    <w:rsid w:val="00F34C99"/>
    <w:rsid w:val="00F3531A"/>
    <w:rsid w:val="00F353E8"/>
    <w:rsid w:val="00F35AB2"/>
    <w:rsid w:val="00F400DC"/>
    <w:rsid w:val="00F400FB"/>
    <w:rsid w:val="00F41DB0"/>
    <w:rsid w:val="00F43631"/>
    <w:rsid w:val="00F43947"/>
    <w:rsid w:val="00F439BB"/>
    <w:rsid w:val="00F43CEB"/>
    <w:rsid w:val="00F449D7"/>
    <w:rsid w:val="00F460C4"/>
    <w:rsid w:val="00F461AE"/>
    <w:rsid w:val="00F467F9"/>
    <w:rsid w:val="00F47426"/>
    <w:rsid w:val="00F50D6C"/>
    <w:rsid w:val="00F5184D"/>
    <w:rsid w:val="00F51B88"/>
    <w:rsid w:val="00F51CB2"/>
    <w:rsid w:val="00F534D3"/>
    <w:rsid w:val="00F5421D"/>
    <w:rsid w:val="00F55022"/>
    <w:rsid w:val="00F55184"/>
    <w:rsid w:val="00F5704A"/>
    <w:rsid w:val="00F60DF3"/>
    <w:rsid w:val="00F62057"/>
    <w:rsid w:val="00F62597"/>
    <w:rsid w:val="00F6264B"/>
    <w:rsid w:val="00F6290C"/>
    <w:rsid w:val="00F646C8"/>
    <w:rsid w:val="00F67988"/>
    <w:rsid w:val="00F67C01"/>
    <w:rsid w:val="00F70909"/>
    <w:rsid w:val="00F7114B"/>
    <w:rsid w:val="00F721EF"/>
    <w:rsid w:val="00F72AC2"/>
    <w:rsid w:val="00F72F17"/>
    <w:rsid w:val="00F73429"/>
    <w:rsid w:val="00F74168"/>
    <w:rsid w:val="00F742F1"/>
    <w:rsid w:val="00F7470C"/>
    <w:rsid w:val="00F74942"/>
    <w:rsid w:val="00F7534A"/>
    <w:rsid w:val="00F76037"/>
    <w:rsid w:val="00F761E0"/>
    <w:rsid w:val="00F76832"/>
    <w:rsid w:val="00F76B53"/>
    <w:rsid w:val="00F76DA6"/>
    <w:rsid w:val="00F7761D"/>
    <w:rsid w:val="00F77724"/>
    <w:rsid w:val="00F77839"/>
    <w:rsid w:val="00F77AF3"/>
    <w:rsid w:val="00F77CE6"/>
    <w:rsid w:val="00F77DD1"/>
    <w:rsid w:val="00F8023F"/>
    <w:rsid w:val="00F8032A"/>
    <w:rsid w:val="00F81A48"/>
    <w:rsid w:val="00F82021"/>
    <w:rsid w:val="00F82080"/>
    <w:rsid w:val="00F82A7B"/>
    <w:rsid w:val="00F8476C"/>
    <w:rsid w:val="00F850A1"/>
    <w:rsid w:val="00F85CBD"/>
    <w:rsid w:val="00F87810"/>
    <w:rsid w:val="00F905B8"/>
    <w:rsid w:val="00F91164"/>
    <w:rsid w:val="00F91292"/>
    <w:rsid w:val="00F91BFE"/>
    <w:rsid w:val="00F91D47"/>
    <w:rsid w:val="00F92B0F"/>
    <w:rsid w:val="00F9354E"/>
    <w:rsid w:val="00F941FC"/>
    <w:rsid w:val="00F96D24"/>
    <w:rsid w:val="00F97093"/>
    <w:rsid w:val="00F97FF3"/>
    <w:rsid w:val="00FA0091"/>
    <w:rsid w:val="00FA1AA9"/>
    <w:rsid w:val="00FA2C8B"/>
    <w:rsid w:val="00FA3E0C"/>
    <w:rsid w:val="00FA4DBA"/>
    <w:rsid w:val="00FA4FBA"/>
    <w:rsid w:val="00FA5580"/>
    <w:rsid w:val="00FA655A"/>
    <w:rsid w:val="00FA69C3"/>
    <w:rsid w:val="00FA6AAC"/>
    <w:rsid w:val="00FA6CBC"/>
    <w:rsid w:val="00FA6D48"/>
    <w:rsid w:val="00FA7027"/>
    <w:rsid w:val="00FA7775"/>
    <w:rsid w:val="00FA7EC0"/>
    <w:rsid w:val="00FB1729"/>
    <w:rsid w:val="00FB30A2"/>
    <w:rsid w:val="00FB4993"/>
    <w:rsid w:val="00FC072E"/>
    <w:rsid w:val="00FC1364"/>
    <w:rsid w:val="00FC4323"/>
    <w:rsid w:val="00FC51AE"/>
    <w:rsid w:val="00FC550A"/>
    <w:rsid w:val="00FC551E"/>
    <w:rsid w:val="00FC5790"/>
    <w:rsid w:val="00FC6275"/>
    <w:rsid w:val="00FD039F"/>
    <w:rsid w:val="00FD053B"/>
    <w:rsid w:val="00FD0910"/>
    <w:rsid w:val="00FD0A92"/>
    <w:rsid w:val="00FD0AF0"/>
    <w:rsid w:val="00FD1234"/>
    <w:rsid w:val="00FD18F3"/>
    <w:rsid w:val="00FD194F"/>
    <w:rsid w:val="00FD1995"/>
    <w:rsid w:val="00FD2333"/>
    <w:rsid w:val="00FD25E1"/>
    <w:rsid w:val="00FD4A75"/>
    <w:rsid w:val="00FD54E6"/>
    <w:rsid w:val="00FD5688"/>
    <w:rsid w:val="00FD5725"/>
    <w:rsid w:val="00FD5E1C"/>
    <w:rsid w:val="00FD5F36"/>
    <w:rsid w:val="00FD6624"/>
    <w:rsid w:val="00FD7F6B"/>
    <w:rsid w:val="00FE0948"/>
    <w:rsid w:val="00FE1880"/>
    <w:rsid w:val="00FE3256"/>
    <w:rsid w:val="00FE3F8E"/>
    <w:rsid w:val="00FE445D"/>
    <w:rsid w:val="00FE47ED"/>
    <w:rsid w:val="00FE5101"/>
    <w:rsid w:val="00FE61DC"/>
    <w:rsid w:val="00FE67D0"/>
    <w:rsid w:val="00FE689B"/>
    <w:rsid w:val="00FE7081"/>
    <w:rsid w:val="00FE79CE"/>
    <w:rsid w:val="00FF06FA"/>
    <w:rsid w:val="00FF081E"/>
    <w:rsid w:val="00FF145C"/>
    <w:rsid w:val="00FF26EE"/>
    <w:rsid w:val="00FF28EC"/>
    <w:rsid w:val="00FF2AA0"/>
    <w:rsid w:val="00FF47A3"/>
    <w:rsid w:val="00FF4B3F"/>
    <w:rsid w:val="00FF4B43"/>
    <w:rsid w:val="00FF574F"/>
    <w:rsid w:val="011E42FB"/>
    <w:rsid w:val="012146C6"/>
    <w:rsid w:val="015D35F5"/>
    <w:rsid w:val="01B80B7A"/>
    <w:rsid w:val="01E55D35"/>
    <w:rsid w:val="01F72B36"/>
    <w:rsid w:val="02095687"/>
    <w:rsid w:val="02743188"/>
    <w:rsid w:val="02AC10D3"/>
    <w:rsid w:val="034033B2"/>
    <w:rsid w:val="03B866D0"/>
    <w:rsid w:val="03C40B3F"/>
    <w:rsid w:val="03E11E16"/>
    <w:rsid w:val="04833B9D"/>
    <w:rsid w:val="04E470A0"/>
    <w:rsid w:val="04FC5581"/>
    <w:rsid w:val="0513143C"/>
    <w:rsid w:val="05821997"/>
    <w:rsid w:val="05891928"/>
    <w:rsid w:val="05BF24C9"/>
    <w:rsid w:val="05DF0DF0"/>
    <w:rsid w:val="06C559AF"/>
    <w:rsid w:val="07554285"/>
    <w:rsid w:val="0775586D"/>
    <w:rsid w:val="07EC528E"/>
    <w:rsid w:val="081C64DD"/>
    <w:rsid w:val="083E1B6F"/>
    <w:rsid w:val="08435461"/>
    <w:rsid w:val="08435AFA"/>
    <w:rsid w:val="087109F5"/>
    <w:rsid w:val="08AF0DE8"/>
    <w:rsid w:val="08C72F61"/>
    <w:rsid w:val="090C7C1B"/>
    <w:rsid w:val="0929095D"/>
    <w:rsid w:val="09493091"/>
    <w:rsid w:val="09FF0058"/>
    <w:rsid w:val="0A33204C"/>
    <w:rsid w:val="0A914C01"/>
    <w:rsid w:val="0AD31787"/>
    <w:rsid w:val="0ADD6816"/>
    <w:rsid w:val="0AF96D6A"/>
    <w:rsid w:val="0B912479"/>
    <w:rsid w:val="0BCC39BB"/>
    <w:rsid w:val="0BED204B"/>
    <w:rsid w:val="0C2520CA"/>
    <w:rsid w:val="0C4C5587"/>
    <w:rsid w:val="0C7777A9"/>
    <w:rsid w:val="0CD30126"/>
    <w:rsid w:val="0CE31134"/>
    <w:rsid w:val="0CFC3FE1"/>
    <w:rsid w:val="0D490A8D"/>
    <w:rsid w:val="0DC668EA"/>
    <w:rsid w:val="0DC93D4A"/>
    <w:rsid w:val="0E172E1A"/>
    <w:rsid w:val="0E5643EF"/>
    <w:rsid w:val="0E6E6F80"/>
    <w:rsid w:val="0F7A7451"/>
    <w:rsid w:val="0F953AB1"/>
    <w:rsid w:val="0FF94323"/>
    <w:rsid w:val="107A34BF"/>
    <w:rsid w:val="107A51CD"/>
    <w:rsid w:val="108D4A90"/>
    <w:rsid w:val="10993984"/>
    <w:rsid w:val="10E67EAB"/>
    <w:rsid w:val="110D1AD5"/>
    <w:rsid w:val="11925F20"/>
    <w:rsid w:val="11C91423"/>
    <w:rsid w:val="1203536E"/>
    <w:rsid w:val="123821EC"/>
    <w:rsid w:val="12584AF5"/>
    <w:rsid w:val="1283439D"/>
    <w:rsid w:val="12E96032"/>
    <w:rsid w:val="12EC0F8D"/>
    <w:rsid w:val="13560879"/>
    <w:rsid w:val="13D4431F"/>
    <w:rsid w:val="151D38BF"/>
    <w:rsid w:val="1575445F"/>
    <w:rsid w:val="158B5F79"/>
    <w:rsid w:val="15BA18F1"/>
    <w:rsid w:val="15BF1762"/>
    <w:rsid w:val="15F31C73"/>
    <w:rsid w:val="160650C5"/>
    <w:rsid w:val="161A1EE6"/>
    <w:rsid w:val="16BA40A9"/>
    <w:rsid w:val="16E54E7B"/>
    <w:rsid w:val="16F47498"/>
    <w:rsid w:val="17051BB8"/>
    <w:rsid w:val="172322FC"/>
    <w:rsid w:val="17727A45"/>
    <w:rsid w:val="181638D8"/>
    <w:rsid w:val="18841AD7"/>
    <w:rsid w:val="18A015D3"/>
    <w:rsid w:val="18A521C4"/>
    <w:rsid w:val="1944578F"/>
    <w:rsid w:val="198E1224"/>
    <w:rsid w:val="19A766B9"/>
    <w:rsid w:val="19AF5A77"/>
    <w:rsid w:val="19B1604A"/>
    <w:rsid w:val="19B95C26"/>
    <w:rsid w:val="19E46AD9"/>
    <w:rsid w:val="1A126E19"/>
    <w:rsid w:val="1A652503"/>
    <w:rsid w:val="1A78230D"/>
    <w:rsid w:val="1A7A5D34"/>
    <w:rsid w:val="1AC668AF"/>
    <w:rsid w:val="1B325F2A"/>
    <w:rsid w:val="1B405AA4"/>
    <w:rsid w:val="1B62301A"/>
    <w:rsid w:val="1C1F1E0E"/>
    <w:rsid w:val="1C1F3E4C"/>
    <w:rsid w:val="1CF12935"/>
    <w:rsid w:val="1CF96B9F"/>
    <w:rsid w:val="1D190873"/>
    <w:rsid w:val="1D4B710C"/>
    <w:rsid w:val="1DCF425D"/>
    <w:rsid w:val="1DE3725E"/>
    <w:rsid w:val="1E330E9C"/>
    <w:rsid w:val="1E340CEE"/>
    <w:rsid w:val="1E9C6591"/>
    <w:rsid w:val="1F0B4F59"/>
    <w:rsid w:val="1F507A92"/>
    <w:rsid w:val="1FD21930"/>
    <w:rsid w:val="20043B19"/>
    <w:rsid w:val="203A1396"/>
    <w:rsid w:val="20BE2A44"/>
    <w:rsid w:val="20BE2B36"/>
    <w:rsid w:val="20D17B68"/>
    <w:rsid w:val="2112344B"/>
    <w:rsid w:val="21481A39"/>
    <w:rsid w:val="219A1B7F"/>
    <w:rsid w:val="21B22A5C"/>
    <w:rsid w:val="21E65C8F"/>
    <w:rsid w:val="235220CD"/>
    <w:rsid w:val="23AA6A32"/>
    <w:rsid w:val="23C9229F"/>
    <w:rsid w:val="23F24EDE"/>
    <w:rsid w:val="24195A43"/>
    <w:rsid w:val="245D31B5"/>
    <w:rsid w:val="247D5ABB"/>
    <w:rsid w:val="24826101"/>
    <w:rsid w:val="25735D35"/>
    <w:rsid w:val="25784A9C"/>
    <w:rsid w:val="2596668B"/>
    <w:rsid w:val="25E16A45"/>
    <w:rsid w:val="25F11338"/>
    <w:rsid w:val="25F46AB0"/>
    <w:rsid w:val="27217B54"/>
    <w:rsid w:val="274348DC"/>
    <w:rsid w:val="277D1EE5"/>
    <w:rsid w:val="27A31B59"/>
    <w:rsid w:val="27B87AF2"/>
    <w:rsid w:val="27EE3E21"/>
    <w:rsid w:val="286C3B37"/>
    <w:rsid w:val="289002C6"/>
    <w:rsid w:val="28B86003"/>
    <w:rsid w:val="28C71A62"/>
    <w:rsid w:val="293801B5"/>
    <w:rsid w:val="298A23AD"/>
    <w:rsid w:val="2B033371"/>
    <w:rsid w:val="2B067EC8"/>
    <w:rsid w:val="2B3A56AF"/>
    <w:rsid w:val="2BB71443"/>
    <w:rsid w:val="2BDC0BC9"/>
    <w:rsid w:val="2BF00047"/>
    <w:rsid w:val="2C0853D9"/>
    <w:rsid w:val="2C240F34"/>
    <w:rsid w:val="2C64115C"/>
    <w:rsid w:val="2C70392E"/>
    <w:rsid w:val="2D0B54A3"/>
    <w:rsid w:val="2D230138"/>
    <w:rsid w:val="2D355E3C"/>
    <w:rsid w:val="2D6F4378"/>
    <w:rsid w:val="2DED1D9C"/>
    <w:rsid w:val="2DFF521E"/>
    <w:rsid w:val="2E590BD6"/>
    <w:rsid w:val="2E7C1545"/>
    <w:rsid w:val="2EA0509E"/>
    <w:rsid w:val="2F3F3850"/>
    <w:rsid w:val="2F815A0A"/>
    <w:rsid w:val="2F884949"/>
    <w:rsid w:val="2FF73D1D"/>
    <w:rsid w:val="300801AF"/>
    <w:rsid w:val="3009697D"/>
    <w:rsid w:val="30104524"/>
    <w:rsid w:val="30113460"/>
    <w:rsid w:val="30204AC3"/>
    <w:rsid w:val="304B4E50"/>
    <w:rsid w:val="3063463F"/>
    <w:rsid w:val="308F3CFA"/>
    <w:rsid w:val="30E262DA"/>
    <w:rsid w:val="312F7772"/>
    <w:rsid w:val="31A11AE9"/>
    <w:rsid w:val="31C45C63"/>
    <w:rsid w:val="31FC3EF9"/>
    <w:rsid w:val="322E5E24"/>
    <w:rsid w:val="324B16F5"/>
    <w:rsid w:val="32807B59"/>
    <w:rsid w:val="32CF303F"/>
    <w:rsid w:val="32FB0035"/>
    <w:rsid w:val="33235F77"/>
    <w:rsid w:val="3350673E"/>
    <w:rsid w:val="33977D4F"/>
    <w:rsid w:val="33B67A9F"/>
    <w:rsid w:val="33E02E1C"/>
    <w:rsid w:val="341D63B4"/>
    <w:rsid w:val="34630F1A"/>
    <w:rsid w:val="346C42A4"/>
    <w:rsid w:val="34E60A39"/>
    <w:rsid w:val="3513289C"/>
    <w:rsid w:val="351D0A98"/>
    <w:rsid w:val="353F6C81"/>
    <w:rsid w:val="354F755A"/>
    <w:rsid w:val="355C0DE1"/>
    <w:rsid w:val="35893F26"/>
    <w:rsid w:val="35F03911"/>
    <w:rsid w:val="361D3B28"/>
    <w:rsid w:val="36383DD0"/>
    <w:rsid w:val="36C0037B"/>
    <w:rsid w:val="36F1018E"/>
    <w:rsid w:val="37503F9E"/>
    <w:rsid w:val="376857B1"/>
    <w:rsid w:val="377622CB"/>
    <w:rsid w:val="3780685D"/>
    <w:rsid w:val="37BA2F63"/>
    <w:rsid w:val="37C81053"/>
    <w:rsid w:val="37E817A5"/>
    <w:rsid w:val="38704532"/>
    <w:rsid w:val="38AA04E2"/>
    <w:rsid w:val="38B04014"/>
    <w:rsid w:val="38D77AF6"/>
    <w:rsid w:val="38DA1EF9"/>
    <w:rsid w:val="38E050B1"/>
    <w:rsid w:val="38FC0F21"/>
    <w:rsid w:val="393D75AA"/>
    <w:rsid w:val="394E75C1"/>
    <w:rsid w:val="39600993"/>
    <w:rsid w:val="398A2C99"/>
    <w:rsid w:val="39B41E0D"/>
    <w:rsid w:val="39B853D1"/>
    <w:rsid w:val="39DB34A5"/>
    <w:rsid w:val="3A3C23C2"/>
    <w:rsid w:val="3A3E27D3"/>
    <w:rsid w:val="3AA0244D"/>
    <w:rsid w:val="3B040851"/>
    <w:rsid w:val="3BA76A03"/>
    <w:rsid w:val="3BE30FA7"/>
    <w:rsid w:val="3BF40129"/>
    <w:rsid w:val="3BFE1F56"/>
    <w:rsid w:val="3C002C09"/>
    <w:rsid w:val="3C56385D"/>
    <w:rsid w:val="3C895347"/>
    <w:rsid w:val="3CDF3135"/>
    <w:rsid w:val="3CE41001"/>
    <w:rsid w:val="3D177A29"/>
    <w:rsid w:val="3D1D0F09"/>
    <w:rsid w:val="3D4153BD"/>
    <w:rsid w:val="3D5F6F75"/>
    <w:rsid w:val="3D605B64"/>
    <w:rsid w:val="3D6E7621"/>
    <w:rsid w:val="3DB66D48"/>
    <w:rsid w:val="3DFB5183"/>
    <w:rsid w:val="3E42676A"/>
    <w:rsid w:val="3F26350E"/>
    <w:rsid w:val="3F2B5786"/>
    <w:rsid w:val="3F3E428E"/>
    <w:rsid w:val="3F513CB1"/>
    <w:rsid w:val="3FA86688"/>
    <w:rsid w:val="3FB269C3"/>
    <w:rsid w:val="3FD032C7"/>
    <w:rsid w:val="3FDB1D7E"/>
    <w:rsid w:val="405F4E39"/>
    <w:rsid w:val="406D3E71"/>
    <w:rsid w:val="40767C0D"/>
    <w:rsid w:val="40E45FD9"/>
    <w:rsid w:val="410061AC"/>
    <w:rsid w:val="413E22CD"/>
    <w:rsid w:val="41571D6E"/>
    <w:rsid w:val="41B06223"/>
    <w:rsid w:val="41B829D4"/>
    <w:rsid w:val="41E77728"/>
    <w:rsid w:val="41F8244F"/>
    <w:rsid w:val="421F601D"/>
    <w:rsid w:val="42482AD4"/>
    <w:rsid w:val="424A2571"/>
    <w:rsid w:val="42896114"/>
    <w:rsid w:val="42BE5CDC"/>
    <w:rsid w:val="430C0C47"/>
    <w:rsid w:val="432B6014"/>
    <w:rsid w:val="43A73423"/>
    <w:rsid w:val="43E62EC8"/>
    <w:rsid w:val="443E7269"/>
    <w:rsid w:val="44AC22B9"/>
    <w:rsid w:val="451275EF"/>
    <w:rsid w:val="459C606B"/>
    <w:rsid w:val="466B2BA2"/>
    <w:rsid w:val="46C076E7"/>
    <w:rsid w:val="46CC258D"/>
    <w:rsid w:val="46E42C4A"/>
    <w:rsid w:val="472C7633"/>
    <w:rsid w:val="47385FC3"/>
    <w:rsid w:val="474256D1"/>
    <w:rsid w:val="475D2AB1"/>
    <w:rsid w:val="47D965EA"/>
    <w:rsid w:val="48186FE3"/>
    <w:rsid w:val="48C3442B"/>
    <w:rsid w:val="48D43EA7"/>
    <w:rsid w:val="48EA0098"/>
    <w:rsid w:val="48ED46B3"/>
    <w:rsid w:val="4939352B"/>
    <w:rsid w:val="49451217"/>
    <w:rsid w:val="496D4057"/>
    <w:rsid w:val="49807693"/>
    <w:rsid w:val="49BF2665"/>
    <w:rsid w:val="49C56BCC"/>
    <w:rsid w:val="49D82CEC"/>
    <w:rsid w:val="49E44F5F"/>
    <w:rsid w:val="4A986521"/>
    <w:rsid w:val="4AD36F68"/>
    <w:rsid w:val="4ADA6DED"/>
    <w:rsid w:val="4BC16430"/>
    <w:rsid w:val="4BE72D78"/>
    <w:rsid w:val="4BFD54DB"/>
    <w:rsid w:val="4C164FBE"/>
    <w:rsid w:val="4C271A49"/>
    <w:rsid w:val="4C325CE4"/>
    <w:rsid w:val="4C623D84"/>
    <w:rsid w:val="4CDE39A2"/>
    <w:rsid w:val="4CE935CD"/>
    <w:rsid w:val="4CF94C73"/>
    <w:rsid w:val="4DAE7818"/>
    <w:rsid w:val="4DC55A54"/>
    <w:rsid w:val="4DD637A3"/>
    <w:rsid w:val="4DEA0C18"/>
    <w:rsid w:val="4DF60365"/>
    <w:rsid w:val="4E0D2787"/>
    <w:rsid w:val="4E0D453F"/>
    <w:rsid w:val="4E537D88"/>
    <w:rsid w:val="4E5E2A3C"/>
    <w:rsid w:val="4E7B22CD"/>
    <w:rsid w:val="4ECD27ED"/>
    <w:rsid w:val="4EF179BD"/>
    <w:rsid w:val="4F227A3B"/>
    <w:rsid w:val="4F2B0C9E"/>
    <w:rsid w:val="4F3124AF"/>
    <w:rsid w:val="4FCD0FCF"/>
    <w:rsid w:val="4FDB49B8"/>
    <w:rsid w:val="4FEC07C0"/>
    <w:rsid w:val="4FF35972"/>
    <w:rsid w:val="4FF813ED"/>
    <w:rsid w:val="50043987"/>
    <w:rsid w:val="502F5B05"/>
    <w:rsid w:val="505144B9"/>
    <w:rsid w:val="509960DB"/>
    <w:rsid w:val="50F67A62"/>
    <w:rsid w:val="510E78E7"/>
    <w:rsid w:val="51574F3C"/>
    <w:rsid w:val="51750A31"/>
    <w:rsid w:val="51D73B45"/>
    <w:rsid w:val="51F21254"/>
    <w:rsid w:val="523258FE"/>
    <w:rsid w:val="52DF6974"/>
    <w:rsid w:val="53292792"/>
    <w:rsid w:val="53B57275"/>
    <w:rsid w:val="540A2A63"/>
    <w:rsid w:val="54A27FE5"/>
    <w:rsid w:val="54E126EC"/>
    <w:rsid w:val="551A77A3"/>
    <w:rsid w:val="552B71DA"/>
    <w:rsid w:val="55C80ACA"/>
    <w:rsid w:val="55F9355F"/>
    <w:rsid w:val="5606548A"/>
    <w:rsid w:val="564837DC"/>
    <w:rsid w:val="56562CF2"/>
    <w:rsid w:val="56927A26"/>
    <w:rsid w:val="572A016E"/>
    <w:rsid w:val="5730509E"/>
    <w:rsid w:val="573D71DF"/>
    <w:rsid w:val="577D0663"/>
    <w:rsid w:val="57AA2B3B"/>
    <w:rsid w:val="57AE734F"/>
    <w:rsid w:val="58236A15"/>
    <w:rsid w:val="583016CC"/>
    <w:rsid w:val="58321EC6"/>
    <w:rsid w:val="58501D07"/>
    <w:rsid w:val="585A3C87"/>
    <w:rsid w:val="58620FD6"/>
    <w:rsid w:val="586757C9"/>
    <w:rsid w:val="58807305"/>
    <w:rsid w:val="58A446B9"/>
    <w:rsid w:val="58DF11CE"/>
    <w:rsid w:val="59417F29"/>
    <w:rsid w:val="597C3E85"/>
    <w:rsid w:val="59B30690"/>
    <w:rsid w:val="5A0C7DA1"/>
    <w:rsid w:val="5A2F24DA"/>
    <w:rsid w:val="5ABF28B9"/>
    <w:rsid w:val="5AC22B45"/>
    <w:rsid w:val="5ADD3C34"/>
    <w:rsid w:val="5B24477E"/>
    <w:rsid w:val="5B743E4F"/>
    <w:rsid w:val="5BCA3A6F"/>
    <w:rsid w:val="5D12364D"/>
    <w:rsid w:val="5D5F6EC4"/>
    <w:rsid w:val="5D652999"/>
    <w:rsid w:val="5D6730F6"/>
    <w:rsid w:val="5D8D7C8E"/>
    <w:rsid w:val="5DC61182"/>
    <w:rsid w:val="5DDB3655"/>
    <w:rsid w:val="5E123C25"/>
    <w:rsid w:val="5E2935C7"/>
    <w:rsid w:val="5E515E45"/>
    <w:rsid w:val="5E643D94"/>
    <w:rsid w:val="5E6E14AE"/>
    <w:rsid w:val="5E8748C3"/>
    <w:rsid w:val="5E8819C0"/>
    <w:rsid w:val="5EB43E99"/>
    <w:rsid w:val="5EB54CAB"/>
    <w:rsid w:val="5EC74A26"/>
    <w:rsid w:val="5EDA4E15"/>
    <w:rsid w:val="5EEA182F"/>
    <w:rsid w:val="5EEC4F2C"/>
    <w:rsid w:val="5F137888"/>
    <w:rsid w:val="5F3118C0"/>
    <w:rsid w:val="5F362174"/>
    <w:rsid w:val="5F382F4C"/>
    <w:rsid w:val="5F5652B7"/>
    <w:rsid w:val="5F6C0876"/>
    <w:rsid w:val="5F93061C"/>
    <w:rsid w:val="5FAD15EE"/>
    <w:rsid w:val="60103A97"/>
    <w:rsid w:val="609B14DB"/>
    <w:rsid w:val="60C1328E"/>
    <w:rsid w:val="610C012A"/>
    <w:rsid w:val="61237EB8"/>
    <w:rsid w:val="61312D31"/>
    <w:rsid w:val="61622839"/>
    <w:rsid w:val="61FC3A17"/>
    <w:rsid w:val="623A3232"/>
    <w:rsid w:val="624C3ACF"/>
    <w:rsid w:val="626A1B08"/>
    <w:rsid w:val="629666C7"/>
    <w:rsid w:val="62D81168"/>
    <w:rsid w:val="633C34A4"/>
    <w:rsid w:val="63723E5E"/>
    <w:rsid w:val="63BA64B1"/>
    <w:rsid w:val="63F2576A"/>
    <w:rsid w:val="63FA13F4"/>
    <w:rsid w:val="64232B20"/>
    <w:rsid w:val="64365814"/>
    <w:rsid w:val="64A95D2E"/>
    <w:rsid w:val="64CB312C"/>
    <w:rsid w:val="64DB3FFC"/>
    <w:rsid w:val="64E32783"/>
    <w:rsid w:val="65007F4E"/>
    <w:rsid w:val="65633210"/>
    <w:rsid w:val="6585379C"/>
    <w:rsid w:val="658A3520"/>
    <w:rsid w:val="66072141"/>
    <w:rsid w:val="662D4763"/>
    <w:rsid w:val="664513D6"/>
    <w:rsid w:val="664B644A"/>
    <w:rsid w:val="666B09B5"/>
    <w:rsid w:val="66885224"/>
    <w:rsid w:val="66BA43AC"/>
    <w:rsid w:val="67000CC4"/>
    <w:rsid w:val="67236729"/>
    <w:rsid w:val="67397FD4"/>
    <w:rsid w:val="677360E3"/>
    <w:rsid w:val="67F65590"/>
    <w:rsid w:val="68D357B0"/>
    <w:rsid w:val="68E21A43"/>
    <w:rsid w:val="68F669DD"/>
    <w:rsid w:val="69962BD5"/>
    <w:rsid w:val="69CB7493"/>
    <w:rsid w:val="69D4537F"/>
    <w:rsid w:val="6A365264"/>
    <w:rsid w:val="6AB30BF4"/>
    <w:rsid w:val="6AD0599B"/>
    <w:rsid w:val="6B981DF8"/>
    <w:rsid w:val="6B9D025C"/>
    <w:rsid w:val="6BA75FB6"/>
    <w:rsid w:val="6BCA0C7C"/>
    <w:rsid w:val="6BFE0F28"/>
    <w:rsid w:val="6BFF52D4"/>
    <w:rsid w:val="6C59487A"/>
    <w:rsid w:val="6CDA2501"/>
    <w:rsid w:val="6D202140"/>
    <w:rsid w:val="6D342340"/>
    <w:rsid w:val="6D9B19E5"/>
    <w:rsid w:val="6E984CF8"/>
    <w:rsid w:val="6F5E0FC0"/>
    <w:rsid w:val="6F6F4E5B"/>
    <w:rsid w:val="6FCD69D4"/>
    <w:rsid w:val="70A80E7F"/>
    <w:rsid w:val="70E241C6"/>
    <w:rsid w:val="71034F30"/>
    <w:rsid w:val="71603DA0"/>
    <w:rsid w:val="722515A8"/>
    <w:rsid w:val="722E2B52"/>
    <w:rsid w:val="728B1D53"/>
    <w:rsid w:val="72991E28"/>
    <w:rsid w:val="72D26514"/>
    <w:rsid w:val="7310706F"/>
    <w:rsid w:val="73AF0DFE"/>
    <w:rsid w:val="74564E86"/>
    <w:rsid w:val="74C434B7"/>
    <w:rsid w:val="753D3F57"/>
    <w:rsid w:val="756D573F"/>
    <w:rsid w:val="75BA3232"/>
    <w:rsid w:val="76A16BB3"/>
    <w:rsid w:val="76D10E3F"/>
    <w:rsid w:val="76E35326"/>
    <w:rsid w:val="76EB17F6"/>
    <w:rsid w:val="77747E1D"/>
    <w:rsid w:val="778411AD"/>
    <w:rsid w:val="77901832"/>
    <w:rsid w:val="77AC6648"/>
    <w:rsid w:val="77B9304C"/>
    <w:rsid w:val="78440AD8"/>
    <w:rsid w:val="786B73C0"/>
    <w:rsid w:val="78857573"/>
    <w:rsid w:val="789442E7"/>
    <w:rsid w:val="78E74F63"/>
    <w:rsid w:val="79652BD2"/>
    <w:rsid w:val="79DD6591"/>
    <w:rsid w:val="79F41288"/>
    <w:rsid w:val="7A634C39"/>
    <w:rsid w:val="7A6B1587"/>
    <w:rsid w:val="7B1E65F5"/>
    <w:rsid w:val="7B9F5272"/>
    <w:rsid w:val="7BBB7C03"/>
    <w:rsid w:val="7C0741E9"/>
    <w:rsid w:val="7C230F73"/>
    <w:rsid w:val="7D1B52B4"/>
    <w:rsid w:val="7D3744CD"/>
    <w:rsid w:val="7D7173A1"/>
    <w:rsid w:val="7DB23C95"/>
    <w:rsid w:val="7E433576"/>
    <w:rsid w:val="7EAF5740"/>
    <w:rsid w:val="7EED3340"/>
    <w:rsid w:val="7F727327"/>
    <w:rsid w:val="7FCB42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nhideWhenUsed="0" w:uiPriority="9"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uiPriority="0" w:name="footnote text"/>
    <w:lsdException w:qFormat="1" w:unhideWhenUsed="0" w:uiPriority="99" w:name="annotation text"/>
    <w:lsdException w:qFormat="1" w:unhideWhenUsed="0" w:uiPriority="99" w:semiHidden="0" w:name="header"/>
    <w:lsdException w:qFormat="1" w:unhideWhenUsed="0" w:uiPriority="0"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qFormat="1"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qFormat="1" w:unhideWhenUsed="0" w:uiPriority="0" w:semiHidden="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4"/>
    <w:next w:val="1"/>
    <w:link w:val="57"/>
    <w:autoRedefine/>
    <w:qFormat/>
    <w:uiPriority w:val="0"/>
    <w:pPr>
      <w:spacing w:before="340" w:after="330" w:line="360" w:lineRule="auto"/>
      <w:jc w:val="center"/>
      <w:outlineLvl w:val="0"/>
    </w:pPr>
    <w:rPr>
      <w:rFonts w:eastAsia="黑体"/>
      <w:kern w:val="44"/>
      <w:szCs w:val="44"/>
    </w:rPr>
  </w:style>
  <w:style w:type="paragraph" w:styleId="6">
    <w:name w:val="heading 2"/>
    <w:basedOn w:val="4"/>
    <w:next w:val="5"/>
    <w:link w:val="72"/>
    <w:autoRedefine/>
    <w:qFormat/>
    <w:uiPriority w:val="0"/>
    <w:pPr>
      <w:adjustRightInd w:val="0"/>
      <w:jc w:val="center"/>
      <w:textAlignment w:val="baseline"/>
      <w:outlineLvl w:val="1"/>
    </w:pPr>
    <w:rPr>
      <w:kern w:val="0"/>
      <w:sz w:val="24"/>
      <w:szCs w:val="20"/>
    </w:rPr>
  </w:style>
  <w:style w:type="paragraph" w:styleId="4">
    <w:name w:val="heading 3"/>
    <w:basedOn w:val="5"/>
    <w:next w:val="1"/>
    <w:link w:val="56"/>
    <w:autoRedefine/>
    <w:qFormat/>
    <w:uiPriority w:val="9"/>
    <w:pPr>
      <w:spacing w:before="260" w:after="260" w:line="240" w:lineRule="auto"/>
      <w:outlineLvl w:val="2"/>
    </w:pPr>
    <w:rPr>
      <w:rFonts w:ascii="宋体" w:hAnsi="宋体" w:eastAsia="宋体"/>
      <w:szCs w:val="32"/>
    </w:rPr>
  </w:style>
  <w:style w:type="paragraph" w:styleId="5">
    <w:name w:val="heading 4"/>
    <w:basedOn w:val="1"/>
    <w:next w:val="1"/>
    <w:link w:val="54"/>
    <w:autoRedefine/>
    <w:qFormat/>
    <w:uiPriority w:val="9"/>
    <w:pPr>
      <w:keepNext/>
      <w:keepLines/>
      <w:spacing w:before="280" w:after="290" w:line="376" w:lineRule="auto"/>
      <w:outlineLvl w:val="3"/>
    </w:pPr>
    <w:rPr>
      <w:rFonts w:ascii="Arial" w:hAnsi="Arial" w:eastAsia="黑体"/>
      <w:b/>
      <w:bCs/>
      <w:sz w:val="28"/>
      <w:szCs w:val="28"/>
    </w:rPr>
  </w:style>
  <w:style w:type="paragraph" w:styleId="7">
    <w:name w:val="heading 5"/>
    <w:basedOn w:val="1"/>
    <w:next w:val="8"/>
    <w:link w:val="81"/>
    <w:autoRedefine/>
    <w:qFormat/>
    <w:uiPriority w:val="0"/>
    <w:pPr>
      <w:keepNext/>
      <w:keepLines/>
      <w:spacing w:before="280" w:after="290" w:line="376" w:lineRule="auto"/>
      <w:outlineLvl w:val="4"/>
    </w:pPr>
    <w:rPr>
      <w:b/>
      <w:sz w:val="28"/>
      <w:szCs w:val="20"/>
    </w:rPr>
  </w:style>
  <w:style w:type="paragraph" w:styleId="9">
    <w:name w:val="heading 6"/>
    <w:basedOn w:val="1"/>
    <w:next w:val="8"/>
    <w:link w:val="84"/>
    <w:autoRedefine/>
    <w:qFormat/>
    <w:uiPriority w:val="0"/>
    <w:pPr>
      <w:keepNext/>
      <w:keepLines/>
      <w:spacing w:before="240" w:after="64" w:line="320" w:lineRule="auto"/>
      <w:outlineLvl w:val="5"/>
    </w:pPr>
    <w:rPr>
      <w:rFonts w:ascii="Arial" w:hAnsi="Arial" w:eastAsia="黑体"/>
      <w:b/>
      <w:sz w:val="24"/>
      <w:szCs w:val="20"/>
    </w:rPr>
  </w:style>
  <w:style w:type="paragraph" w:styleId="10">
    <w:name w:val="heading 7"/>
    <w:basedOn w:val="1"/>
    <w:next w:val="8"/>
    <w:link w:val="85"/>
    <w:autoRedefine/>
    <w:qFormat/>
    <w:uiPriority w:val="0"/>
    <w:pPr>
      <w:keepNext/>
      <w:keepLines/>
      <w:spacing w:before="240" w:after="64" w:line="320" w:lineRule="auto"/>
      <w:outlineLvl w:val="6"/>
    </w:pPr>
    <w:rPr>
      <w:b/>
      <w:sz w:val="24"/>
      <w:szCs w:val="20"/>
    </w:rPr>
  </w:style>
  <w:style w:type="paragraph" w:styleId="11">
    <w:name w:val="heading 8"/>
    <w:basedOn w:val="1"/>
    <w:next w:val="8"/>
    <w:link w:val="86"/>
    <w:autoRedefine/>
    <w:qFormat/>
    <w:uiPriority w:val="0"/>
    <w:pPr>
      <w:keepNext/>
      <w:keepLines/>
      <w:spacing w:before="240" w:after="64" w:line="320" w:lineRule="auto"/>
      <w:outlineLvl w:val="7"/>
    </w:pPr>
    <w:rPr>
      <w:rFonts w:ascii="Arial" w:hAnsi="Arial" w:eastAsia="黑体"/>
      <w:sz w:val="24"/>
      <w:szCs w:val="20"/>
    </w:rPr>
  </w:style>
  <w:style w:type="paragraph" w:styleId="12">
    <w:name w:val="heading 9"/>
    <w:basedOn w:val="1"/>
    <w:next w:val="8"/>
    <w:link w:val="87"/>
    <w:autoRedefine/>
    <w:qFormat/>
    <w:uiPriority w:val="0"/>
    <w:pPr>
      <w:keepNext/>
      <w:keepLines/>
      <w:spacing w:before="240" w:after="64" w:line="320" w:lineRule="auto"/>
      <w:outlineLvl w:val="8"/>
    </w:pPr>
    <w:rPr>
      <w:rFonts w:ascii="Arial" w:hAnsi="Arial" w:eastAsia="黑体"/>
      <w:szCs w:val="20"/>
    </w:rPr>
  </w:style>
  <w:style w:type="character" w:default="1" w:styleId="46">
    <w:name w:val="Default Paragraph Font"/>
    <w:semiHidden/>
    <w:unhideWhenUsed/>
    <w:qFormat/>
    <w:uiPriority w:val="1"/>
  </w:style>
  <w:style w:type="table" w:default="1" w:styleId="43">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93"/>
    <w:autoRedefine/>
    <w:qFormat/>
    <w:uiPriority w:val="0"/>
    <w:pPr>
      <w:spacing w:line="360" w:lineRule="auto"/>
    </w:pPr>
    <w:rPr>
      <w:b/>
      <w:bCs/>
      <w:sz w:val="24"/>
    </w:rPr>
  </w:style>
  <w:style w:type="paragraph" w:styleId="8">
    <w:name w:val="Normal Indent"/>
    <w:basedOn w:val="1"/>
    <w:next w:val="2"/>
    <w:link w:val="58"/>
    <w:autoRedefine/>
    <w:qFormat/>
    <w:uiPriority w:val="0"/>
    <w:pPr>
      <w:ind w:firstLine="420"/>
    </w:pPr>
    <w:rPr>
      <w:szCs w:val="20"/>
    </w:rPr>
  </w:style>
  <w:style w:type="paragraph" w:styleId="13">
    <w:name w:val="toc 7"/>
    <w:basedOn w:val="1"/>
    <w:next w:val="1"/>
    <w:autoRedefine/>
    <w:semiHidden/>
    <w:qFormat/>
    <w:uiPriority w:val="0"/>
    <w:pPr>
      <w:ind w:left="1260"/>
      <w:jc w:val="left"/>
    </w:pPr>
    <w:rPr>
      <w:szCs w:val="21"/>
    </w:rPr>
  </w:style>
  <w:style w:type="paragraph" w:styleId="14">
    <w:name w:val="caption"/>
    <w:basedOn w:val="1"/>
    <w:next w:val="1"/>
    <w:autoRedefine/>
    <w:qFormat/>
    <w:uiPriority w:val="0"/>
    <w:pPr>
      <w:widowControl/>
      <w:spacing w:line="360" w:lineRule="auto"/>
      <w:ind w:firstLine="1940" w:firstLineChars="920"/>
      <w:jc w:val="left"/>
    </w:pPr>
    <w:rPr>
      <w:rFonts w:ascii="宋体" w:hAnsi="宋体"/>
      <w:b/>
      <w:bCs/>
      <w:kern w:val="0"/>
      <w:sz w:val="20"/>
      <w:szCs w:val="20"/>
    </w:rPr>
  </w:style>
  <w:style w:type="paragraph" w:styleId="15">
    <w:name w:val="List Bullet"/>
    <w:basedOn w:val="1"/>
    <w:autoRedefine/>
    <w:qFormat/>
    <w:uiPriority w:val="0"/>
    <w:pPr>
      <w:numPr>
        <w:ilvl w:val="0"/>
        <w:numId w:val="1"/>
      </w:numPr>
    </w:pPr>
    <w:rPr>
      <w:szCs w:val="20"/>
    </w:rPr>
  </w:style>
  <w:style w:type="paragraph" w:styleId="16">
    <w:name w:val="Document Map"/>
    <w:basedOn w:val="1"/>
    <w:semiHidden/>
    <w:qFormat/>
    <w:uiPriority w:val="0"/>
    <w:pPr>
      <w:shd w:val="clear" w:color="auto" w:fill="000080"/>
    </w:pPr>
  </w:style>
  <w:style w:type="paragraph" w:styleId="17">
    <w:name w:val="annotation text"/>
    <w:basedOn w:val="1"/>
    <w:link w:val="185"/>
    <w:autoRedefine/>
    <w:semiHidden/>
    <w:qFormat/>
    <w:uiPriority w:val="99"/>
    <w:pPr>
      <w:autoSpaceDE w:val="0"/>
      <w:autoSpaceDN w:val="0"/>
      <w:adjustRightInd w:val="0"/>
      <w:jc w:val="left"/>
      <w:textAlignment w:val="baseline"/>
    </w:pPr>
    <w:rPr>
      <w:rFonts w:ascii="宋体"/>
      <w:kern w:val="0"/>
      <w:sz w:val="34"/>
      <w:szCs w:val="20"/>
    </w:rPr>
  </w:style>
  <w:style w:type="paragraph" w:styleId="18">
    <w:name w:val="Body Text 3"/>
    <w:basedOn w:val="1"/>
    <w:link w:val="99"/>
    <w:autoRedefine/>
    <w:qFormat/>
    <w:uiPriority w:val="0"/>
    <w:pPr>
      <w:spacing w:after="120"/>
    </w:pPr>
    <w:rPr>
      <w:sz w:val="16"/>
      <w:szCs w:val="16"/>
    </w:rPr>
  </w:style>
  <w:style w:type="paragraph" w:styleId="19">
    <w:name w:val="Body Text Indent"/>
    <w:basedOn w:val="1"/>
    <w:link w:val="80"/>
    <w:autoRedefine/>
    <w:qFormat/>
    <w:uiPriority w:val="0"/>
    <w:pPr>
      <w:spacing w:line="360" w:lineRule="auto"/>
      <w:ind w:firstLine="420" w:firstLineChars="200"/>
    </w:pPr>
  </w:style>
  <w:style w:type="paragraph" w:styleId="20">
    <w:name w:val="toc 5"/>
    <w:basedOn w:val="1"/>
    <w:next w:val="1"/>
    <w:semiHidden/>
    <w:qFormat/>
    <w:uiPriority w:val="0"/>
    <w:pPr>
      <w:ind w:left="840"/>
      <w:jc w:val="left"/>
    </w:pPr>
    <w:rPr>
      <w:szCs w:val="21"/>
    </w:rPr>
  </w:style>
  <w:style w:type="paragraph" w:styleId="21">
    <w:name w:val="toc 3"/>
    <w:basedOn w:val="1"/>
    <w:next w:val="1"/>
    <w:autoRedefine/>
    <w:semiHidden/>
    <w:qFormat/>
    <w:uiPriority w:val="0"/>
    <w:pPr>
      <w:ind w:left="420"/>
      <w:jc w:val="left"/>
    </w:pPr>
    <w:rPr>
      <w:i/>
      <w:iCs/>
    </w:rPr>
  </w:style>
  <w:style w:type="paragraph" w:styleId="22">
    <w:name w:val="Plain Text"/>
    <w:basedOn w:val="1"/>
    <w:link w:val="91"/>
    <w:qFormat/>
    <w:uiPriority w:val="0"/>
    <w:rPr>
      <w:rFonts w:ascii="宋体" w:hAnsi="Courier New"/>
      <w:szCs w:val="20"/>
    </w:rPr>
  </w:style>
  <w:style w:type="paragraph" w:styleId="23">
    <w:name w:val="toc 8"/>
    <w:basedOn w:val="1"/>
    <w:next w:val="1"/>
    <w:autoRedefine/>
    <w:semiHidden/>
    <w:qFormat/>
    <w:uiPriority w:val="0"/>
    <w:pPr>
      <w:ind w:left="1470"/>
      <w:jc w:val="left"/>
    </w:pPr>
    <w:rPr>
      <w:szCs w:val="21"/>
    </w:rPr>
  </w:style>
  <w:style w:type="paragraph" w:styleId="24">
    <w:name w:val="Date"/>
    <w:basedOn w:val="1"/>
    <w:next w:val="1"/>
    <w:link w:val="89"/>
    <w:autoRedefine/>
    <w:qFormat/>
    <w:uiPriority w:val="0"/>
    <w:rPr>
      <w:rFonts w:ascii="宋体" w:hAnsi="Courier New"/>
      <w:sz w:val="32"/>
      <w:szCs w:val="20"/>
    </w:rPr>
  </w:style>
  <w:style w:type="paragraph" w:styleId="25">
    <w:name w:val="Body Text Indent 2"/>
    <w:basedOn w:val="1"/>
    <w:link w:val="94"/>
    <w:qFormat/>
    <w:uiPriority w:val="0"/>
    <w:pPr>
      <w:spacing w:beforeLines="50" w:afterLines="50" w:line="120" w:lineRule="auto"/>
      <w:ind w:firstLine="840" w:firstLineChars="400"/>
      <w:jc w:val="left"/>
    </w:pPr>
    <w:rPr>
      <w:rFonts w:ascii="宋体" w:hAnsi="宋体"/>
    </w:rPr>
  </w:style>
  <w:style w:type="paragraph" w:styleId="26">
    <w:name w:val="Balloon Text"/>
    <w:basedOn w:val="1"/>
    <w:link w:val="100"/>
    <w:autoRedefine/>
    <w:semiHidden/>
    <w:qFormat/>
    <w:uiPriority w:val="99"/>
    <w:rPr>
      <w:sz w:val="18"/>
      <w:szCs w:val="18"/>
    </w:rPr>
  </w:style>
  <w:style w:type="paragraph" w:styleId="27">
    <w:name w:val="footer"/>
    <w:basedOn w:val="1"/>
    <w:link w:val="98"/>
    <w:autoRedefine/>
    <w:qFormat/>
    <w:uiPriority w:val="0"/>
    <w:pPr>
      <w:tabs>
        <w:tab w:val="center" w:pos="4153"/>
        <w:tab w:val="right" w:pos="8306"/>
      </w:tabs>
      <w:snapToGrid w:val="0"/>
      <w:jc w:val="left"/>
    </w:pPr>
    <w:rPr>
      <w:sz w:val="18"/>
      <w:szCs w:val="18"/>
    </w:rPr>
  </w:style>
  <w:style w:type="paragraph" w:styleId="28">
    <w:name w:val="header"/>
    <w:basedOn w:val="1"/>
    <w:link w:val="95"/>
    <w:qFormat/>
    <w:uiPriority w:val="99"/>
    <w:pPr>
      <w:pBdr>
        <w:bottom w:val="single" w:color="auto" w:sz="6" w:space="1"/>
      </w:pBdr>
      <w:tabs>
        <w:tab w:val="center" w:pos="4153"/>
        <w:tab w:val="right" w:pos="8306"/>
      </w:tabs>
      <w:snapToGrid w:val="0"/>
      <w:jc w:val="center"/>
    </w:pPr>
    <w:rPr>
      <w:sz w:val="18"/>
      <w:szCs w:val="18"/>
    </w:rPr>
  </w:style>
  <w:style w:type="paragraph" w:styleId="29">
    <w:name w:val="toc 1"/>
    <w:basedOn w:val="1"/>
    <w:next w:val="1"/>
    <w:qFormat/>
    <w:uiPriority w:val="0"/>
    <w:pPr>
      <w:spacing w:before="120" w:after="120"/>
      <w:jc w:val="left"/>
    </w:pPr>
    <w:rPr>
      <w:b/>
      <w:bCs/>
      <w:caps/>
    </w:rPr>
  </w:style>
  <w:style w:type="paragraph" w:styleId="30">
    <w:name w:val="toc 4"/>
    <w:basedOn w:val="1"/>
    <w:next w:val="1"/>
    <w:autoRedefine/>
    <w:semiHidden/>
    <w:qFormat/>
    <w:uiPriority w:val="0"/>
    <w:pPr>
      <w:ind w:left="630"/>
      <w:jc w:val="left"/>
    </w:pPr>
    <w:rPr>
      <w:szCs w:val="21"/>
    </w:rPr>
  </w:style>
  <w:style w:type="paragraph" w:styleId="31">
    <w:name w:val="Subtitle"/>
    <w:next w:val="1"/>
    <w:link w:val="310"/>
    <w:autoRedefine/>
    <w:qFormat/>
    <w:uiPriority w:val="0"/>
    <w:pPr>
      <w:wordWrap w:val="0"/>
      <w:spacing w:after="60"/>
      <w:jc w:val="center"/>
    </w:pPr>
    <w:rPr>
      <w:rFonts w:ascii="Calibri" w:hAnsi="Calibri" w:eastAsia="宋体" w:cs="Times New Roman"/>
      <w:sz w:val="24"/>
      <w:lang w:val="en-US" w:eastAsia="zh-CN" w:bidi="ar-SA"/>
    </w:rPr>
  </w:style>
  <w:style w:type="paragraph" w:styleId="32">
    <w:name w:val="toc 6"/>
    <w:basedOn w:val="1"/>
    <w:next w:val="1"/>
    <w:autoRedefine/>
    <w:semiHidden/>
    <w:qFormat/>
    <w:uiPriority w:val="0"/>
    <w:pPr>
      <w:ind w:left="1050"/>
      <w:jc w:val="left"/>
    </w:pPr>
    <w:rPr>
      <w:szCs w:val="21"/>
    </w:rPr>
  </w:style>
  <w:style w:type="paragraph" w:styleId="33">
    <w:name w:val="Body Text Indent 3"/>
    <w:basedOn w:val="1"/>
    <w:link w:val="96"/>
    <w:autoRedefine/>
    <w:qFormat/>
    <w:uiPriority w:val="0"/>
    <w:pPr>
      <w:spacing w:line="360" w:lineRule="auto"/>
      <w:ind w:firstLine="482" w:firstLineChars="200"/>
    </w:pPr>
    <w:rPr>
      <w:rFonts w:ascii="宋体"/>
      <w:b/>
      <w:bCs/>
      <w:sz w:val="24"/>
    </w:rPr>
  </w:style>
  <w:style w:type="paragraph" w:styleId="34">
    <w:name w:val="toc 2"/>
    <w:basedOn w:val="1"/>
    <w:next w:val="1"/>
    <w:autoRedefine/>
    <w:semiHidden/>
    <w:qFormat/>
    <w:uiPriority w:val="0"/>
    <w:pPr>
      <w:tabs>
        <w:tab w:val="right" w:leader="dot" w:pos="8296"/>
      </w:tabs>
      <w:ind w:left="210"/>
      <w:jc w:val="left"/>
    </w:pPr>
    <w:rPr>
      <w:smallCaps/>
    </w:rPr>
  </w:style>
  <w:style w:type="paragraph" w:styleId="35">
    <w:name w:val="toc 9"/>
    <w:basedOn w:val="1"/>
    <w:next w:val="1"/>
    <w:autoRedefine/>
    <w:semiHidden/>
    <w:qFormat/>
    <w:uiPriority w:val="0"/>
    <w:pPr>
      <w:ind w:left="1680"/>
      <w:jc w:val="left"/>
    </w:pPr>
    <w:rPr>
      <w:szCs w:val="21"/>
    </w:rPr>
  </w:style>
  <w:style w:type="paragraph" w:styleId="36">
    <w:name w:val="Body Text 2"/>
    <w:basedOn w:val="1"/>
    <w:link w:val="97"/>
    <w:autoRedefine/>
    <w:qFormat/>
    <w:uiPriority w:val="0"/>
    <w:pPr>
      <w:spacing w:line="360" w:lineRule="auto"/>
    </w:pPr>
    <w:rPr>
      <w:sz w:val="24"/>
    </w:rPr>
  </w:style>
  <w:style w:type="paragraph" w:styleId="37">
    <w:name w:val="HTML Preformatted"/>
    <w:basedOn w:val="1"/>
    <w:link w:val="90"/>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eastAsia="Arial Unicode MS"/>
      <w:color w:val="000000"/>
      <w:kern w:val="0"/>
      <w:sz w:val="20"/>
      <w:szCs w:val="20"/>
    </w:rPr>
  </w:style>
  <w:style w:type="paragraph" w:styleId="38">
    <w:name w:val="Normal (Web)"/>
    <w:basedOn w:val="1"/>
    <w:autoRedefine/>
    <w:qFormat/>
    <w:uiPriority w:val="99"/>
    <w:pPr>
      <w:spacing w:beforeAutospacing="1" w:afterAutospacing="1"/>
      <w:jc w:val="left"/>
    </w:pPr>
    <w:rPr>
      <w:kern w:val="0"/>
      <w:sz w:val="24"/>
    </w:rPr>
  </w:style>
  <w:style w:type="paragraph" w:styleId="39">
    <w:name w:val="index 1"/>
    <w:basedOn w:val="1"/>
    <w:next w:val="1"/>
    <w:autoRedefine/>
    <w:semiHidden/>
    <w:qFormat/>
    <w:uiPriority w:val="0"/>
    <w:pPr>
      <w:tabs>
        <w:tab w:val="left" w:pos="3360"/>
      </w:tabs>
      <w:spacing w:line="520" w:lineRule="exact"/>
      <w:ind w:left="419" w:leftChars="50" w:hanging="314" w:hangingChars="131"/>
      <w:jc w:val="center"/>
      <w:outlineLvl w:val="3"/>
    </w:pPr>
    <w:rPr>
      <w:rFonts w:ascii="宋体" w:hAnsi="宋体"/>
      <w:sz w:val="24"/>
    </w:rPr>
  </w:style>
  <w:style w:type="paragraph" w:styleId="40">
    <w:name w:val="Title"/>
    <w:basedOn w:val="1"/>
    <w:next w:val="1"/>
    <w:link w:val="88"/>
    <w:autoRedefine/>
    <w:qFormat/>
    <w:uiPriority w:val="0"/>
    <w:pPr>
      <w:spacing w:before="240" w:after="60"/>
      <w:jc w:val="center"/>
      <w:outlineLvl w:val="0"/>
    </w:pPr>
    <w:rPr>
      <w:rFonts w:ascii="Arial" w:hAnsi="Arial" w:eastAsia="隶书" w:cs="Arial"/>
      <w:b/>
      <w:bCs/>
      <w:sz w:val="32"/>
      <w:szCs w:val="32"/>
    </w:rPr>
  </w:style>
  <w:style w:type="paragraph" w:styleId="41">
    <w:name w:val="annotation subject"/>
    <w:basedOn w:val="17"/>
    <w:next w:val="17"/>
    <w:link w:val="186"/>
    <w:autoRedefine/>
    <w:qFormat/>
    <w:uiPriority w:val="99"/>
    <w:pPr>
      <w:autoSpaceDE/>
      <w:autoSpaceDN/>
      <w:adjustRightInd/>
      <w:textAlignment w:val="auto"/>
    </w:pPr>
    <w:rPr>
      <w:rFonts w:ascii="Times New Roman"/>
      <w:b/>
      <w:bCs/>
      <w:kern w:val="2"/>
      <w:sz w:val="21"/>
      <w:szCs w:val="24"/>
    </w:rPr>
  </w:style>
  <w:style w:type="paragraph" w:styleId="42">
    <w:name w:val="Body Text First Indent"/>
    <w:basedOn w:val="2"/>
    <w:link w:val="131"/>
    <w:autoRedefine/>
    <w:qFormat/>
    <w:uiPriority w:val="0"/>
    <w:pPr>
      <w:spacing w:after="120" w:line="240" w:lineRule="auto"/>
      <w:ind w:firstLine="420" w:firstLineChars="100"/>
    </w:pPr>
    <w:rPr>
      <w:sz w:val="21"/>
    </w:rPr>
  </w:style>
  <w:style w:type="table" w:styleId="44">
    <w:name w:val="Table Grid"/>
    <w:basedOn w:val="43"/>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45">
    <w:name w:val="Table Elegant"/>
    <w:basedOn w:val="43"/>
    <w:autoRedefine/>
    <w:qFormat/>
    <w:uiPriority w:val="0"/>
    <w:pPr>
      <w:widowControl w:val="0"/>
      <w:jc w:val="both"/>
    </w:pPr>
    <w:rPr>
      <w:rFonts w:ascii="Calibri" w:hAnsi="Calibri"/>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character" w:styleId="47">
    <w:name w:val="Strong"/>
    <w:autoRedefine/>
    <w:qFormat/>
    <w:uiPriority w:val="0"/>
    <w:rPr>
      <w:b/>
      <w:bCs/>
    </w:rPr>
  </w:style>
  <w:style w:type="character" w:styleId="48">
    <w:name w:val="page number"/>
    <w:basedOn w:val="46"/>
    <w:autoRedefine/>
    <w:qFormat/>
    <w:uiPriority w:val="0"/>
  </w:style>
  <w:style w:type="character" w:styleId="49">
    <w:name w:val="FollowedHyperlink"/>
    <w:autoRedefine/>
    <w:qFormat/>
    <w:uiPriority w:val="0"/>
    <w:rPr>
      <w:color w:val="800080"/>
      <w:u w:val="single"/>
    </w:rPr>
  </w:style>
  <w:style w:type="character" w:styleId="50">
    <w:name w:val="Emphasis"/>
    <w:basedOn w:val="46"/>
    <w:autoRedefine/>
    <w:qFormat/>
    <w:uiPriority w:val="0"/>
    <w:rPr>
      <w:sz w:val="20"/>
    </w:rPr>
  </w:style>
  <w:style w:type="character" w:styleId="51">
    <w:name w:val="Hyperlink"/>
    <w:autoRedefine/>
    <w:qFormat/>
    <w:uiPriority w:val="0"/>
    <w:rPr>
      <w:color w:val="0000FF"/>
      <w:u w:val="single"/>
    </w:rPr>
  </w:style>
  <w:style w:type="character" w:styleId="52">
    <w:name w:val="annotation reference"/>
    <w:basedOn w:val="46"/>
    <w:autoRedefine/>
    <w:qFormat/>
    <w:uiPriority w:val="99"/>
    <w:rPr>
      <w:sz w:val="21"/>
      <w:szCs w:val="21"/>
    </w:rPr>
  </w:style>
  <w:style w:type="paragraph" w:styleId="53">
    <w:name w:val="No Spacing"/>
    <w:qFormat/>
    <w:uiPriority w:val="1"/>
    <w:pPr>
      <w:widowControl w:val="0"/>
      <w:jc w:val="both"/>
    </w:pPr>
    <w:rPr>
      <w:rFonts w:ascii="Calibri" w:hAnsi="Calibri" w:eastAsia="宋体" w:cs="Times New Roman"/>
      <w:kern w:val="2"/>
      <w:sz w:val="21"/>
      <w:szCs w:val="22"/>
      <w:lang w:val="en-US" w:eastAsia="zh-CN" w:bidi="ar-SA"/>
    </w:rPr>
  </w:style>
  <w:style w:type="character" w:customStyle="1" w:styleId="54">
    <w:name w:val="标题 4 Char"/>
    <w:link w:val="5"/>
    <w:autoRedefine/>
    <w:qFormat/>
    <w:uiPriority w:val="9"/>
    <w:rPr>
      <w:rFonts w:ascii="Arial" w:hAnsi="Arial" w:eastAsia="黑体"/>
      <w:b/>
      <w:bCs/>
      <w:kern w:val="2"/>
      <w:sz w:val="28"/>
      <w:szCs w:val="28"/>
      <w:lang w:val="en-US" w:eastAsia="zh-CN" w:bidi="ar-SA"/>
    </w:rPr>
  </w:style>
  <w:style w:type="paragraph" w:customStyle="1" w:styleId="55">
    <w:name w:val="Char"/>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character" w:customStyle="1" w:styleId="56">
    <w:name w:val="标题 3 Char1"/>
    <w:link w:val="4"/>
    <w:autoRedefine/>
    <w:qFormat/>
    <w:uiPriority w:val="9"/>
    <w:rPr>
      <w:rFonts w:ascii="宋体" w:hAnsi="宋体" w:eastAsia="宋体"/>
      <w:b/>
      <w:bCs/>
      <w:kern w:val="2"/>
      <w:sz w:val="28"/>
      <w:szCs w:val="32"/>
      <w:lang w:val="en-US" w:eastAsia="zh-CN" w:bidi="ar-SA"/>
    </w:rPr>
  </w:style>
  <w:style w:type="character" w:customStyle="1" w:styleId="57">
    <w:name w:val="标题 1 Char"/>
    <w:link w:val="3"/>
    <w:autoRedefine/>
    <w:qFormat/>
    <w:uiPriority w:val="0"/>
    <w:rPr>
      <w:rFonts w:ascii="宋体" w:hAnsi="宋体" w:eastAsia="黑体"/>
      <w:b/>
      <w:bCs/>
      <w:kern w:val="44"/>
      <w:sz w:val="28"/>
      <w:szCs w:val="44"/>
      <w:lang w:val="en-US" w:eastAsia="zh-CN" w:bidi="ar-SA"/>
    </w:rPr>
  </w:style>
  <w:style w:type="character" w:customStyle="1" w:styleId="58">
    <w:name w:val="正文缩进 Char"/>
    <w:link w:val="8"/>
    <w:autoRedefine/>
    <w:qFormat/>
    <w:uiPriority w:val="0"/>
    <w:rPr>
      <w:rFonts w:eastAsia="宋体"/>
      <w:kern w:val="2"/>
      <w:sz w:val="21"/>
      <w:lang w:val="en-US" w:eastAsia="zh-CN" w:bidi="ar-SA"/>
    </w:rPr>
  </w:style>
  <w:style w:type="character" w:customStyle="1" w:styleId="59">
    <w:name w:val="标题 3 Char"/>
    <w:autoRedefine/>
    <w:qFormat/>
    <w:uiPriority w:val="0"/>
    <w:rPr>
      <w:rFonts w:ascii="黑体" w:eastAsia="黑体"/>
      <w:bCs/>
      <w:sz w:val="30"/>
    </w:rPr>
  </w:style>
  <w:style w:type="paragraph" w:customStyle="1" w:styleId="60">
    <w:name w:val="样式41"/>
    <w:basedOn w:val="1"/>
    <w:autoRedefine/>
    <w:qFormat/>
    <w:uiPriority w:val="0"/>
    <w:pPr>
      <w:numPr>
        <w:ilvl w:val="0"/>
        <w:numId w:val="2"/>
      </w:numPr>
      <w:tabs>
        <w:tab w:val="left" w:pos="945"/>
      </w:tabs>
      <w:spacing w:line="360" w:lineRule="auto"/>
    </w:pPr>
    <w:rPr>
      <w:b/>
      <w:color w:val="000000"/>
      <w:sz w:val="24"/>
      <w:szCs w:val="20"/>
    </w:rPr>
  </w:style>
  <w:style w:type="paragraph" w:customStyle="1" w:styleId="61">
    <w:name w:val="图"/>
    <w:basedOn w:val="1"/>
    <w:autoRedefine/>
    <w:qFormat/>
    <w:uiPriority w:val="0"/>
    <w:pPr>
      <w:keepNext/>
      <w:adjustRightInd w:val="0"/>
      <w:snapToGrid w:val="0"/>
      <w:spacing w:before="60" w:after="60" w:line="300" w:lineRule="auto"/>
      <w:jc w:val="center"/>
    </w:pPr>
    <w:rPr>
      <w:spacing w:val="20"/>
      <w:kern w:val="0"/>
      <w:sz w:val="24"/>
      <w:szCs w:val="20"/>
    </w:rPr>
  </w:style>
  <w:style w:type="paragraph" w:customStyle="1" w:styleId="62">
    <w:name w:val="文档正文"/>
    <w:basedOn w:val="1"/>
    <w:autoRedefine/>
    <w:qFormat/>
    <w:uiPriority w:val="0"/>
    <w:pPr>
      <w:adjustRightInd w:val="0"/>
      <w:spacing w:line="480" w:lineRule="atLeast"/>
      <w:ind w:firstLine="567" w:firstLineChars="200"/>
      <w:textAlignment w:val="baseline"/>
    </w:pPr>
    <w:rPr>
      <w:rFonts w:ascii="长城仿宋"/>
      <w:kern w:val="0"/>
      <w:szCs w:val="20"/>
    </w:rPr>
  </w:style>
  <w:style w:type="paragraph" w:customStyle="1" w:styleId="63">
    <w:name w:val="Char Char Char Char"/>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4">
    <w:name w:val="Char11"/>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5">
    <w:name w:val="Char Char Char Char11"/>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6">
    <w:name w:val="Table Contents"/>
    <w:basedOn w:val="1"/>
    <w:autoRedefine/>
    <w:qFormat/>
    <w:uiPriority w:val="0"/>
    <w:pPr>
      <w:suppressAutoHyphens/>
      <w:autoSpaceDE w:val="0"/>
      <w:spacing w:after="120"/>
      <w:jc w:val="left"/>
    </w:pPr>
    <w:rPr>
      <w:rFonts w:ascii="Helvetica" w:hAnsi="Helvetica"/>
      <w:kern w:val="1"/>
      <w:sz w:val="20"/>
      <w:szCs w:val="20"/>
    </w:rPr>
  </w:style>
  <w:style w:type="paragraph" w:customStyle="1" w:styleId="67">
    <w:name w:val="自定义正文"/>
    <w:basedOn w:val="1"/>
    <w:autoRedefine/>
    <w:qFormat/>
    <w:uiPriority w:val="0"/>
    <w:pPr>
      <w:spacing w:afterLines="50"/>
      <w:ind w:left="600" w:leftChars="600"/>
    </w:pPr>
  </w:style>
  <w:style w:type="paragraph" w:customStyle="1" w:styleId="68">
    <w:name w:val="Char Char Char Char Char"/>
    <w:basedOn w:val="1"/>
    <w:autoRedefine/>
    <w:qFormat/>
    <w:uiPriority w:val="0"/>
    <w:rPr>
      <w:rFonts w:ascii="Tahoma" w:hAnsi="Tahoma"/>
      <w:sz w:val="24"/>
      <w:szCs w:val="20"/>
    </w:rPr>
  </w:style>
  <w:style w:type="paragraph" w:customStyle="1" w:styleId="69">
    <w:name w:val="小标题 1"/>
    <w:basedOn w:val="1"/>
    <w:autoRedefine/>
    <w:qFormat/>
    <w:uiPriority w:val="0"/>
    <w:pPr>
      <w:autoSpaceDE w:val="0"/>
      <w:autoSpaceDN w:val="0"/>
      <w:adjustRightInd w:val="0"/>
      <w:spacing w:line="360" w:lineRule="atLeast"/>
    </w:pPr>
    <w:rPr>
      <w:rFonts w:ascii="文鼎粗黑" w:eastAsia="文鼎粗黑"/>
      <w:kern w:val="0"/>
      <w:sz w:val="22"/>
      <w:szCs w:val="20"/>
    </w:rPr>
  </w:style>
  <w:style w:type="paragraph" w:customStyle="1" w:styleId="70">
    <w:name w:val="Char Char"/>
    <w:basedOn w:val="1"/>
    <w:autoRedefine/>
    <w:qFormat/>
    <w:uiPriority w:val="0"/>
    <w:rPr>
      <w:rFonts w:ascii="Tahoma" w:hAnsi="Tahoma"/>
      <w:sz w:val="24"/>
      <w:szCs w:val="20"/>
    </w:rPr>
  </w:style>
  <w:style w:type="paragraph" w:customStyle="1" w:styleId="71">
    <w:name w:val="È±Ê¡ÎÄ±¾"/>
    <w:basedOn w:val="1"/>
    <w:autoRedefine/>
    <w:qFormat/>
    <w:uiPriority w:val="0"/>
    <w:pPr>
      <w:widowControl/>
      <w:overflowPunct w:val="0"/>
      <w:autoSpaceDE w:val="0"/>
      <w:autoSpaceDN w:val="0"/>
      <w:adjustRightInd w:val="0"/>
      <w:jc w:val="left"/>
      <w:textAlignment w:val="baseline"/>
    </w:pPr>
    <w:rPr>
      <w:kern w:val="0"/>
      <w:sz w:val="24"/>
      <w:szCs w:val="20"/>
    </w:rPr>
  </w:style>
  <w:style w:type="character" w:customStyle="1" w:styleId="72">
    <w:name w:val="标题 2 Char"/>
    <w:link w:val="6"/>
    <w:autoRedefine/>
    <w:qFormat/>
    <w:uiPriority w:val="0"/>
    <w:rPr>
      <w:rFonts w:ascii="宋体" w:hAnsi="宋体" w:eastAsia="宋体"/>
      <w:b/>
      <w:bCs/>
      <w:sz w:val="24"/>
      <w:lang w:val="en-US" w:eastAsia="zh-CN" w:bidi="ar-SA"/>
    </w:rPr>
  </w:style>
  <w:style w:type="paragraph" w:customStyle="1" w:styleId="73">
    <w:name w:val="Char Char Char Char Char Char1 Char"/>
    <w:basedOn w:val="1"/>
    <w:autoRedefine/>
    <w:qFormat/>
    <w:uiPriority w:val="0"/>
    <w:pPr>
      <w:widowControl/>
      <w:spacing w:after="160" w:line="240" w:lineRule="exact"/>
      <w:jc w:val="left"/>
    </w:pPr>
    <w:rPr>
      <w:rFonts w:ascii="Verdana" w:hAnsi="Verdana"/>
      <w:kern w:val="0"/>
      <w:szCs w:val="20"/>
      <w:lang w:eastAsia="en-US"/>
    </w:rPr>
  </w:style>
  <w:style w:type="paragraph" w:styleId="74">
    <w:name w:val="List Paragraph"/>
    <w:basedOn w:val="1"/>
    <w:autoRedefine/>
    <w:qFormat/>
    <w:uiPriority w:val="0"/>
    <w:pPr>
      <w:ind w:firstLine="420" w:firstLineChars="200"/>
    </w:pPr>
    <w:rPr>
      <w:rFonts w:ascii="Calibri" w:hAnsi="Calibri"/>
      <w:szCs w:val="22"/>
    </w:rPr>
  </w:style>
  <w:style w:type="paragraph" w:customStyle="1" w:styleId="75">
    <w:name w:val="USE 1"/>
    <w:basedOn w:val="1"/>
    <w:autoRedefine/>
    <w:qFormat/>
    <w:uiPriority w:val="0"/>
    <w:pPr>
      <w:spacing w:line="200" w:lineRule="atLeast"/>
      <w:jc w:val="left"/>
    </w:pPr>
    <w:rPr>
      <w:rFonts w:ascii="宋体" w:hAnsi="宋体"/>
      <w:b/>
      <w:sz w:val="24"/>
      <w:szCs w:val="28"/>
    </w:rPr>
  </w:style>
  <w:style w:type="paragraph" w:customStyle="1" w:styleId="76">
    <w:name w:val="RFI text from 3rd Level"/>
    <w:basedOn w:val="1"/>
    <w:autoRedefine/>
    <w:qFormat/>
    <w:uiPriority w:val="0"/>
    <w:pPr>
      <w:widowControl/>
      <w:numPr>
        <w:ilvl w:val="0"/>
        <w:numId w:val="3"/>
      </w:numPr>
      <w:tabs>
        <w:tab w:val="left" w:pos="1080"/>
        <w:tab w:val="clear" w:pos="840"/>
      </w:tabs>
      <w:spacing w:beforeLines="50" w:line="360" w:lineRule="auto"/>
      <w:ind w:left="0" w:firstLine="0"/>
    </w:pPr>
    <w:rPr>
      <w:rFonts w:ascii="Arial (W1)" w:hAnsi="Arial (W1)"/>
      <w:bCs/>
      <w:kern w:val="0"/>
      <w:sz w:val="24"/>
      <w:lang w:val="en-GB"/>
    </w:rPr>
  </w:style>
  <w:style w:type="paragraph" w:customStyle="1" w:styleId="77">
    <w:name w:val="正文文字缩进项目"/>
    <w:basedOn w:val="19"/>
    <w:autoRedefine/>
    <w:qFormat/>
    <w:uiPriority w:val="0"/>
    <w:pPr>
      <w:numPr>
        <w:ilvl w:val="1"/>
        <w:numId w:val="3"/>
      </w:numPr>
      <w:tabs>
        <w:tab w:val="left" w:pos="840"/>
        <w:tab w:val="clear" w:pos="1260"/>
      </w:tabs>
      <w:spacing w:after="120" w:line="240" w:lineRule="auto"/>
      <w:ind w:left="840" w:firstLine="0" w:firstLineChars="0"/>
    </w:pPr>
    <w:rPr>
      <w:rFonts w:ascii="Tahoma" w:hAnsi="Tahoma"/>
      <w:sz w:val="22"/>
      <w:szCs w:val="20"/>
    </w:rPr>
  </w:style>
  <w:style w:type="paragraph" w:customStyle="1" w:styleId="78">
    <w:name w:val="样式 标题 2 + 段前: 13 磅 段后: 13 磅 行距: 单倍行距"/>
    <w:basedOn w:val="6"/>
    <w:autoRedefine/>
    <w:qFormat/>
    <w:uiPriority w:val="0"/>
    <w:pPr>
      <w:adjustRightInd/>
      <w:spacing w:before="0" w:after="0"/>
      <w:jc w:val="both"/>
      <w:textAlignment w:val="auto"/>
    </w:pPr>
    <w:rPr>
      <w:rFonts w:ascii="Cambria" w:hAnsi="Cambria" w:cs="宋体"/>
      <w:kern w:val="2"/>
      <w:sz w:val="32"/>
    </w:rPr>
  </w:style>
  <w:style w:type="character" w:customStyle="1" w:styleId="79">
    <w:name w:val="H4 Char2"/>
    <w:autoRedefine/>
    <w:qFormat/>
    <w:uiPriority w:val="0"/>
    <w:rPr>
      <w:rFonts w:ascii="Arial" w:hAnsi="Arial" w:eastAsia="黑体"/>
      <w:b/>
      <w:bCs/>
      <w:kern w:val="2"/>
      <w:sz w:val="28"/>
      <w:szCs w:val="28"/>
      <w:lang w:val="en-US" w:eastAsia="zh-CN" w:bidi="ar-SA"/>
    </w:rPr>
  </w:style>
  <w:style w:type="character" w:customStyle="1" w:styleId="80">
    <w:name w:val="正文文本缩进 Char"/>
    <w:link w:val="19"/>
    <w:autoRedefine/>
    <w:qFormat/>
    <w:uiPriority w:val="0"/>
    <w:rPr>
      <w:rFonts w:eastAsia="宋体"/>
      <w:kern w:val="2"/>
      <w:sz w:val="21"/>
      <w:szCs w:val="24"/>
      <w:lang w:val="en-US" w:eastAsia="zh-CN" w:bidi="ar-SA"/>
    </w:rPr>
  </w:style>
  <w:style w:type="character" w:customStyle="1" w:styleId="81">
    <w:name w:val="标题 5 Char"/>
    <w:link w:val="7"/>
    <w:autoRedefine/>
    <w:qFormat/>
    <w:uiPriority w:val="0"/>
    <w:rPr>
      <w:rFonts w:eastAsia="宋体"/>
      <w:b/>
      <w:kern w:val="2"/>
      <w:sz w:val="28"/>
      <w:lang w:val="en-US" w:eastAsia="zh-CN" w:bidi="ar-SA"/>
    </w:rPr>
  </w:style>
  <w:style w:type="character" w:customStyle="1" w:styleId="82">
    <w:name w:val="第*章 Char"/>
    <w:autoRedefine/>
    <w:qFormat/>
    <w:uiPriority w:val="0"/>
    <w:rPr>
      <w:rFonts w:ascii="Arial" w:hAnsi="Arial" w:eastAsia="黑体"/>
      <w:b/>
      <w:bCs/>
      <w:kern w:val="2"/>
      <w:sz w:val="32"/>
      <w:szCs w:val="32"/>
    </w:rPr>
  </w:style>
  <w:style w:type="character" w:customStyle="1" w:styleId="83">
    <w:name w:val="章标题1 Char"/>
    <w:autoRedefine/>
    <w:qFormat/>
    <w:uiPriority w:val="0"/>
    <w:rPr>
      <w:rFonts w:eastAsia="宋体"/>
      <w:b/>
      <w:bCs/>
      <w:kern w:val="2"/>
      <w:sz w:val="32"/>
      <w:szCs w:val="32"/>
      <w:lang w:val="en-US" w:eastAsia="zh-CN" w:bidi="ar-SA"/>
    </w:rPr>
  </w:style>
  <w:style w:type="character" w:customStyle="1" w:styleId="84">
    <w:name w:val="标题 6 Char"/>
    <w:link w:val="9"/>
    <w:autoRedefine/>
    <w:qFormat/>
    <w:uiPriority w:val="0"/>
    <w:rPr>
      <w:rFonts w:ascii="Arial" w:hAnsi="Arial" w:eastAsia="黑体"/>
      <w:b/>
      <w:kern w:val="2"/>
      <w:sz w:val="24"/>
      <w:lang w:val="en-US" w:eastAsia="zh-CN" w:bidi="ar-SA"/>
    </w:rPr>
  </w:style>
  <w:style w:type="character" w:customStyle="1" w:styleId="85">
    <w:name w:val="标题 7 Char"/>
    <w:link w:val="10"/>
    <w:autoRedefine/>
    <w:qFormat/>
    <w:uiPriority w:val="0"/>
    <w:rPr>
      <w:rFonts w:eastAsia="宋体"/>
      <w:b/>
      <w:kern w:val="2"/>
      <w:sz w:val="24"/>
      <w:lang w:val="en-US" w:eastAsia="zh-CN" w:bidi="ar-SA"/>
    </w:rPr>
  </w:style>
  <w:style w:type="character" w:customStyle="1" w:styleId="86">
    <w:name w:val="标题 8 Char"/>
    <w:link w:val="11"/>
    <w:autoRedefine/>
    <w:qFormat/>
    <w:uiPriority w:val="0"/>
    <w:rPr>
      <w:rFonts w:ascii="Arial" w:hAnsi="Arial" w:eastAsia="黑体"/>
      <w:kern w:val="2"/>
      <w:sz w:val="24"/>
      <w:lang w:val="en-US" w:eastAsia="zh-CN" w:bidi="ar-SA"/>
    </w:rPr>
  </w:style>
  <w:style w:type="character" w:customStyle="1" w:styleId="87">
    <w:name w:val="标题 9 Char"/>
    <w:link w:val="12"/>
    <w:autoRedefine/>
    <w:qFormat/>
    <w:uiPriority w:val="0"/>
    <w:rPr>
      <w:rFonts w:ascii="Arial" w:hAnsi="Arial" w:eastAsia="黑体"/>
      <w:kern w:val="2"/>
      <w:sz w:val="21"/>
      <w:lang w:val="en-US" w:eastAsia="zh-CN" w:bidi="ar-SA"/>
    </w:rPr>
  </w:style>
  <w:style w:type="character" w:customStyle="1" w:styleId="88">
    <w:name w:val="标题 Char"/>
    <w:link w:val="40"/>
    <w:autoRedefine/>
    <w:qFormat/>
    <w:uiPriority w:val="0"/>
    <w:rPr>
      <w:rFonts w:ascii="Arial" w:hAnsi="Arial" w:eastAsia="隶书" w:cs="Arial"/>
      <w:b/>
      <w:bCs/>
      <w:kern w:val="2"/>
      <w:sz w:val="32"/>
      <w:szCs w:val="32"/>
      <w:lang w:val="en-US" w:eastAsia="zh-CN" w:bidi="ar-SA"/>
    </w:rPr>
  </w:style>
  <w:style w:type="character" w:customStyle="1" w:styleId="89">
    <w:name w:val="日期 Char"/>
    <w:link w:val="24"/>
    <w:autoRedefine/>
    <w:qFormat/>
    <w:uiPriority w:val="0"/>
    <w:rPr>
      <w:rFonts w:ascii="宋体" w:hAnsi="Courier New" w:eastAsia="宋体"/>
      <w:kern w:val="2"/>
      <w:sz w:val="32"/>
      <w:lang w:val="en-US" w:eastAsia="zh-CN" w:bidi="ar-SA"/>
    </w:rPr>
  </w:style>
  <w:style w:type="character" w:customStyle="1" w:styleId="90">
    <w:name w:val="HTML 预设格式 Char"/>
    <w:link w:val="37"/>
    <w:autoRedefine/>
    <w:qFormat/>
    <w:uiPriority w:val="0"/>
    <w:rPr>
      <w:rFonts w:ascii="Arial Unicode MS" w:hAnsi="Arial Unicode MS" w:eastAsia="Arial Unicode MS"/>
      <w:color w:val="000000"/>
      <w:lang w:val="en-US" w:eastAsia="zh-CN" w:bidi="ar-SA"/>
    </w:rPr>
  </w:style>
  <w:style w:type="character" w:customStyle="1" w:styleId="91">
    <w:name w:val="纯文本 Char"/>
    <w:link w:val="22"/>
    <w:autoRedefine/>
    <w:qFormat/>
    <w:uiPriority w:val="0"/>
    <w:rPr>
      <w:rFonts w:ascii="宋体" w:hAnsi="Courier New" w:eastAsia="宋体"/>
      <w:kern w:val="2"/>
      <w:sz w:val="21"/>
      <w:lang w:val="en-US" w:eastAsia="zh-CN" w:bidi="ar-SA"/>
    </w:rPr>
  </w:style>
  <w:style w:type="character" w:customStyle="1" w:styleId="92">
    <w:name w:val="正文文字首行缩进 Char"/>
    <w:autoRedefine/>
    <w:qFormat/>
    <w:uiPriority w:val="0"/>
    <w:rPr>
      <w:kern w:val="2"/>
      <w:sz w:val="21"/>
      <w:szCs w:val="24"/>
    </w:rPr>
  </w:style>
  <w:style w:type="character" w:customStyle="1" w:styleId="93">
    <w:name w:val="正文文本 Char"/>
    <w:link w:val="2"/>
    <w:autoRedefine/>
    <w:qFormat/>
    <w:uiPriority w:val="0"/>
    <w:rPr>
      <w:rFonts w:eastAsia="宋体"/>
      <w:b/>
      <w:bCs/>
      <w:kern w:val="2"/>
      <w:sz w:val="24"/>
      <w:szCs w:val="24"/>
      <w:lang w:val="en-US" w:eastAsia="zh-CN" w:bidi="ar-SA"/>
    </w:rPr>
  </w:style>
  <w:style w:type="character" w:customStyle="1" w:styleId="94">
    <w:name w:val="正文文本缩进 2 Char"/>
    <w:link w:val="25"/>
    <w:autoRedefine/>
    <w:qFormat/>
    <w:uiPriority w:val="0"/>
    <w:rPr>
      <w:rFonts w:ascii="宋体" w:hAnsi="宋体" w:eastAsia="宋体"/>
      <w:kern w:val="2"/>
      <w:sz w:val="21"/>
      <w:szCs w:val="24"/>
      <w:lang w:val="en-US" w:eastAsia="zh-CN" w:bidi="ar-SA"/>
    </w:rPr>
  </w:style>
  <w:style w:type="character" w:customStyle="1" w:styleId="95">
    <w:name w:val="页眉 Char"/>
    <w:link w:val="28"/>
    <w:autoRedefine/>
    <w:qFormat/>
    <w:uiPriority w:val="99"/>
    <w:rPr>
      <w:rFonts w:eastAsia="宋体"/>
      <w:kern w:val="2"/>
      <w:sz w:val="18"/>
      <w:szCs w:val="18"/>
      <w:lang w:val="en-US" w:eastAsia="zh-CN" w:bidi="ar-SA"/>
    </w:rPr>
  </w:style>
  <w:style w:type="character" w:customStyle="1" w:styleId="96">
    <w:name w:val="正文文本缩进 3 Char"/>
    <w:link w:val="33"/>
    <w:autoRedefine/>
    <w:qFormat/>
    <w:uiPriority w:val="0"/>
    <w:rPr>
      <w:rFonts w:ascii="宋体" w:eastAsia="宋体"/>
      <w:b/>
      <w:bCs/>
      <w:kern w:val="2"/>
      <w:sz w:val="24"/>
      <w:szCs w:val="24"/>
      <w:lang w:val="en-US" w:eastAsia="zh-CN" w:bidi="ar-SA"/>
    </w:rPr>
  </w:style>
  <w:style w:type="character" w:customStyle="1" w:styleId="97">
    <w:name w:val="正文文本 2 Char"/>
    <w:link w:val="36"/>
    <w:autoRedefine/>
    <w:qFormat/>
    <w:uiPriority w:val="0"/>
    <w:rPr>
      <w:rFonts w:eastAsia="宋体"/>
      <w:kern w:val="2"/>
      <w:sz w:val="24"/>
      <w:szCs w:val="24"/>
      <w:lang w:val="en-US" w:eastAsia="zh-CN" w:bidi="ar-SA"/>
    </w:rPr>
  </w:style>
  <w:style w:type="character" w:customStyle="1" w:styleId="98">
    <w:name w:val="页脚 Char"/>
    <w:link w:val="27"/>
    <w:autoRedefine/>
    <w:qFormat/>
    <w:uiPriority w:val="0"/>
    <w:rPr>
      <w:rFonts w:eastAsia="宋体"/>
      <w:kern w:val="2"/>
      <w:sz w:val="18"/>
      <w:szCs w:val="18"/>
      <w:lang w:val="en-US" w:eastAsia="zh-CN" w:bidi="ar-SA"/>
    </w:rPr>
  </w:style>
  <w:style w:type="character" w:customStyle="1" w:styleId="99">
    <w:name w:val="正文文本 3 Char"/>
    <w:link w:val="18"/>
    <w:autoRedefine/>
    <w:qFormat/>
    <w:uiPriority w:val="0"/>
    <w:rPr>
      <w:rFonts w:eastAsia="宋体"/>
      <w:kern w:val="2"/>
      <w:sz w:val="16"/>
      <w:szCs w:val="16"/>
      <w:lang w:val="en-US" w:eastAsia="zh-CN" w:bidi="ar-SA"/>
    </w:rPr>
  </w:style>
  <w:style w:type="character" w:customStyle="1" w:styleId="100">
    <w:name w:val="批注框文本 Char"/>
    <w:link w:val="26"/>
    <w:autoRedefine/>
    <w:semiHidden/>
    <w:qFormat/>
    <w:uiPriority w:val="99"/>
    <w:rPr>
      <w:rFonts w:eastAsia="宋体"/>
      <w:kern w:val="2"/>
      <w:sz w:val="18"/>
      <w:szCs w:val="18"/>
      <w:lang w:val="en-US" w:eastAsia="zh-CN" w:bidi="ar-SA"/>
    </w:rPr>
  </w:style>
  <w:style w:type="paragraph" w:customStyle="1" w:styleId="101">
    <w:name w:val="样式1"/>
    <w:basedOn w:val="40"/>
    <w:autoRedefine/>
    <w:qFormat/>
    <w:uiPriority w:val="0"/>
    <w:pPr>
      <w:spacing w:before="120" w:after="120"/>
    </w:pPr>
    <w:rPr>
      <w:rFonts w:eastAsia="黑体"/>
      <w:b w:val="0"/>
      <w:sz w:val="30"/>
      <w:szCs w:val="21"/>
    </w:rPr>
  </w:style>
  <w:style w:type="paragraph" w:customStyle="1" w:styleId="102">
    <w:name w:val="样式2"/>
    <w:basedOn w:val="40"/>
    <w:next w:val="101"/>
    <w:autoRedefine/>
    <w:qFormat/>
    <w:uiPriority w:val="0"/>
    <w:pPr>
      <w:spacing w:before="120" w:after="120"/>
    </w:pPr>
    <w:rPr>
      <w:rFonts w:eastAsia="黑体"/>
      <w:b w:val="0"/>
      <w:sz w:val="30"/>
      <w:szCs w:val="30"/>
    </w:rPr>
  </w:style>
  <w:style w:type="character" w:customStyle="1" w:styleId="103">
    <w:name w:val="标题 3 Char Char"/>
    <w:autoRedefine/>
    <w:qFormat/>
    <w:uiPriority w:val="0"/>
    <w:rPr>
      <w:rFonts w:eastAsia="宋体"/>
      <w:b/>
      <w:bCs/>
      <w:kern w:val="2"/>
      <w:sz w:val="32"/>
      <w:szCs w:val="32"/>
      <w:lang w:val="en-US" w:eastAsia="zh-CN" w:bidi="ar-SA"/>
    </w:rPr>
  </w:style>
  <w:style w:type="paragraph" w:customStyle="1" w:styleId="104">
    <w:name w:val="Char Char Char Char Char Char1 Char Char Char Char Char Char Char Char Char Char Char Char Char"/>
    <w:basedOn w:val="1"/>
    <w:autoRedefine/>
    <w:qFormat/>
    <w:uiPriority w:val="0"/>
    <w:pPr>
      <w:widowControl/>
      <w:spacing w:after="160" w:line="240" w:lineRule="exact"/>
      <w:jc w:val="left"/>
    </w:pPr>
    <w:rPr>
      <w:rFonts w:ascii="Arial" w:hAnsi="Arial" w:eastAsia="Times New Roman" w:cs="Verdana"/>
      <w:b/>
      <w:kern w:val="0"/>
      <w:sz w:val="24"/>
      <w:lang w:eastAsia="en-US"/>
    </w:rPr>
  </w:style>
  <w:style w:type="paragraph" w:customStyle="1" w:styleId="105">
    <w:name w:val="cont"/>
    <w:basedOn w:val="1"/>
    <w:autoRedefine/>
    <w:qFormat/>
    <w:uiPriority w:val="0"/>
    <w:pPr>
      <w:adjustRightInd w:val="0"/>
      <w:spacing w:before="100" w:after="100" w:line="360" w:lineRule="auto"/>
      <w:ind w:firstLine="200" w:firstLineChars="200"/>
      <w:jc w:val="left"/>
      <w:textAlignment w:val="baseline"/>
    </w:pPr>
    <w:rPr>
      <w:rFonts w:ascii="Arial" w:hAnsi="Arial"/>
      <w:kern w:val="0"/>
      <w:sz w:val="24"/>
      <w:szCs w:val="20"/>
    </w:rPr>
  </w:style>
  <w:style w:type="paragraph" w:customStyle="1" w:styleId="106">
    <w:name w:val="--规划正文"/>
    <w:basedOn w:val="1"/>
    <w:autoRedefine/>
    <w:qFormat/>
    <w:uiPriority w:val="0"/>
    <w:pPr>
      <w:spacing w:line="360" w:lineRule="auto"/>
      <w:ind w:firstLine="200" w:firstLineChars="200"/>
    </w:pPr>
    <w:rPr>
      <w:szCs w:val="20"/>
    </w:rPr>
  </w:style>
  <w:style w:type="paragraph" w:customStyle="1" w:styleId="107">
    <w:name w:val="设计依据"/>
    <w:basedOn w:val="2"/>
    <w:autoRedefine/>
    <w:qFormat/>
    <w:uiPriority w:val="0"/>
    <w:pPr>
      <w:numPr>
        <w:ilvl w:val="1"/>
        <w:numId w:val="4"/>
      </w:numPr>
      <w:tabs>
        <w:tab w:val="left" w:pos="1440"/>
        <w:tab w:val="clear" w:pos="840"/>
      </w:tabs>
      <w:adjustRightInd w:val="0"/>
      <w:ind w:left="1440"/>
      <w:textAlignment w:val="baseline"/>
    </w:pPr>
    <w:rPr>
      <w:rFonts w:ascii="宋体" w:hAnsi="宋体"/>
      <w:b w:val="0"/>
      <w:kern w:val="0"/>
      <w:sz w:val="28"/>
      <w:szCs w:val="18"/>
    </w:rPr>
  </w:style>
  <w:style w:type="paragraph" w:customStyle="1" w:styleId="108">
    <w:name w:val="方案要点"/>
    <w:basedOn w:val="1"/>
    <w:autoRedefine/>
    <w:qFormat/>
    <w:uiPriority w:val="0"/>
    <w:pPr>
      <w:numPr>
        <w:ilvl w:val="0"/>
        <w:numId w:val="4"/>
      </w:numPr>
      <w:spacing w:line="360" w:lineRule="auto"/>
    </w:pPr>
    <w:rPr>
      <w:rFonts w:ascii="仿宋_GB2312" w:hAnsi="宋体" w:eastAsia="仿宋_GB2312"/>
      <w:color w:val="000000"/>
      <w:sz w:val="28"/>
      <w:szCs w:val="28"/>
    </w:rPr>
  </w:style>
  <w:style w:type="paragraph" w:customStyle="1" w:styleId="109">
    <w:name w:val="样式4"/>
    <w:basedOn w:val="1"/>
    <w:autoRedefine/>
    <w:qFormat/>
    <w:uiPriority w:val="0"/>
    <w:pPr>
      <w:tabs>
        <w:tab w:val="left" w:pos="842"/>
      </w:tabs>
      <w:spacing w:line="360" w:lineRule="auto"/>
      <w:ind w:left="842" w:hanging="420"/>
    </w:pPr>
    <w:rPr>
      <w:sz w:val="24"/>
    </w:rPr>
  </w:style>
  <w:style w:type="paragraph" w:customStyle="1" w:styleId="110">
    <w:name w:val="文字"/>
    <w:basedOn w:val="1"/>
    <w:autoRedefine/>
    <w:qFormat/>
    <w:uiPriority w:val="0"/>
    <w:pPr>
      <w:tabs>
        <w:tab w:val="left" w:pos="8520"/>
      </w:tabs>
      <w:spacing w:line="312" w:lineRule="auto"/>
      <w:ind w:right="-210" w:firstLine="556"/>
    </w:pPr>
    <w:rPr>
      <w:rFonts w:ascii="宋体"/>
      <w:sz w:val="28"/>
      <w:szCs w:val="20"/>
    </w:rPr>
  </w:style>
  <w:style w:type="paragraph" w:customStyle="1" w:styleId="111">
    <w:name w:val="--规划-表格-居左"/>
    <w:basedOn w:val="106"/>
    <w:autoRedefine/>
    <w:qFormat/>
    <w:uiPriority w:val="0"/>
    <w:pPr>
      <w:spacing w:line="240" w:lineRule="auto"/>
      <w:ind w:firstLine="0" w:firstLineChars="0"/>
    </w:pPr>
    <w:rPr>
      <w:sz w:val="20"/>
    </w:rPr>
  </w:style>
  <w:style w:type="paragraph" w:customStyle="1" w:styleId="112">
    <w:name w:val="--规划-表格-居中"/>
    <w:basedOn w:val="106"/>
    <w:autoRedefine/>
    <w:qFormat/>
    <w:uiPriority w:val="0"/>
    <w:pPr>
      <w:spacing w:line="240" w:lineRule="auto"/>
      <w:ind w:firstLine="0" w:firstLineChars="0"/>
      <w:jc w:val="center"/>
    </w:pPr>
    <w:rPr>
      <w:sz w:val="20"/>
    </w:rPr>
  </w:style>
  <w:style w:type="paragraph" w:customStyle="1" w:styleId="113">
    <w:name w:val="--编号内缩进"/>
    <w:basedOn w:val="1"/>
    <w:autoRedefine/>
    <w:qFormat/>
    <w:uiPriority w:val="0"/>
    <w:pPr>
      <w:spacing w:line="360" w:lineRule="auto"/>
      <w:ind w:left="420" w:firstLine="200" w:firstLineChars="200"/>
    </w:pPr>
    <w:rPr>
      <w:szCs w:val="21"/>
    </w:rPr>
  </w:style>
  <w:style w:type="paragraph" w:customStyle="1" w:styleId="114">
    <w:name w:val="--规划-题注"/>
    <w:basedOn w:val="1"/>
    <w:next w:val="106"/>
    <w:autoRedefine/>
    <w:qFormat/>
    <w:uiPriority w:val="0"/>
    <w:pPr>
      <w:spacing w:line="360" w:lineRule="auto"/>
      <w:jc w:val="center"/>
    </w:pPr>
    <w:rPr>
      <w:rFonts w:eastAsia="黑体"/>
    </w:rPr>
  </w:style>
  <w:style w:type="paragraph" w:customStyle="1" w:styleId="115">
    <w:name w:val="--规划-图和表"/>
    <w:next w:val="106"/>
    <w:autoRedefine/>
    <w:qFormat/>
    <w:uiPriority w:val="0"/>
    <w:pPr>
      <w:jc w:val="center"/>
    </w:pPr>
    <w:rPr>
      <w:rFonts w:ascii="Times New Roman" w:hAnsi="Times New Roman" w:eastAsia="宋体" w:cs="Times New Roman"/>
      <w:kern w:val="2"/>
      <w:sz w:val="21"/>
      <w:lang w:val="en-US" w:eastAsia="zh-CN" w:bidi="ar-SA"/>
    </w:rPr>
  </w:style>
  <w:style w:type="paragraph" w:customStyle="1" w:styleId="116">
    <w:name w:val="--规划-小标题"/>
    <w:basedOn w:val="1"/>
    <w:next w:val="106"/>
    <w:autoRedefine/>
    <w:qFormat/>
    <w:uiPriority w:val="0"/>
    <w:pPr>
      <w:keepNext/>
      <w:keepLines/>
      <w:spacing w:line="360" w:lineRule="auto"/>
      <w:outlineLvl w:val="4"/>
    </w:pPr>
    <w:rPr>
      <w:rFonts w:eastAsia="黑体"/>
    </w:rPr>
  </w:style>
  <w:style w:type="paragraph" w:customStyle="1" w:styleId="117">
    <w:name w:val="--规划正文 Char"/>
    <w:basedOn w:val="1"/>
    <w:autoRedefine/>
    <w:qFormat/>
    <w:uiPriority w:val="0"/>
    <w:pPr>
      <w:spacing w:line="360" w:lineRule="auto"/>
      <w:ind w:firstLine="200" w:firstLineChars="200"/>
    </w:pPr>
    <w:rPr>
      <w:sz w:val="24"/>
    </w:rPr>
  </w:style>
  <w:style w:type="paragraph" w:customStyle="1" w:styleId="118">
    <w:name w:val="缺省文本"/>
    <w:basedOn w:val="1"/>
    <w:autoRedefine/>
    <w:qFormat/>
    <w:uiPriority w:val="0"/>
    <w:pPr>
      <w:autoSpaceDE w:val="0"/>
      <w:autoSpaceDN w:val="0"/>
      <w:adjustRightInd w:val="0"/>
      <w:jc w:val="left"/>
    </w:pPr>
    <w:rPr>
      <w:kern w:val="0"/>
    </w:rPr>
  </w:style>
  <w:style w:type="paragraph" w:customStyle="1" w:styleId="119">
    <w:name w:val="封面文档标题"/>
    <w:basedOn w:val="1"/>
    <w:autoRedefine/>
    <w:qFormat/>
    <w:uiPriority w:val="0"/>
    <w:pPr>
      <w:autoSpaceDE w:val="0"/>
      <w:autoSpaceDN w:val="0"/>
      <w:adjustRightInd w:val="0"/>
      <w:spacing w:line="360" w:lineRule="auto"/>
      <w:jc w:val="center"/>
    </w:pPr>
    <w:rPr>
      <w:rFonts w:ascii="Arial" w:hAnsi="Arial"/>
      <w:b/>
      <w:kern w:val="0"/>
      <w:sz w:val="56"/>
    </w:rPr>
  </w:style>
  <w:style w:type="character" w:customStyle="1" w:styleId="120">
    <w:name w:val="--规划正文 Char Char"/>
    <w:autoRedefine/>
    <w:qFormat/>
    <w:uiPriority w:val="0"/>
    <w:rPr>
      <w:rFonts w:eastAsia="宋体"/>
      <w:kern w:val="2"/>
      <w:sz w:val="24"/>
      <w:szCs w:val="24"/>
      <w:lang w:val="en-US" w:eastAsia="zh-CN" w:bidi="ar-SA"/>
    </w:rPr>
  </w:style>
  <w:style w:type="paragraph" w:customStyle="1" w:styleId="121">
    <w:name w:val="样式3"/>
    <w:basedOn w:val="3"/>
    <w:autoRedefine/>
    <w:qFormat/>
    <w:uiPriority w:val="0"/>
    <w:pPr>
      <w:numPr>
        <w:ilvl w:val="0"/>
        <w:numId w:val="5"/>
      </w:numPr>
      <w:spacing w:before="240" w:after="240" w:line="480" w:lineRule="auto"/>
      <w:ind w:right="210" w:rightChars="100"/>
      <w:jc w:val="left"/>
    </w:pPr>
    <w:rPr>
      <w:rFonts w:ascii="Times New Roman" w:hAnsi="Times New Roman"/>
      <w:sz w:val="32"/>
    </w:rPr>
  </w:style>
  <w:style w:type="character" w:customStyle="1" w:styleId="122">
    <w:name w:val="--规划正文 Char1"/>
    <w:autoRedefine/>
    <w:qFormat/>
    <w:uiPriority w:val="0"/>
    <w:rPr>
      <w:rFonts w:eastAsia="宋体"/>
      <w:kern w:val="2"/>
      <w:sz w:val="21"/>
      <w:lang w:val="en-US" w:eastAsia="zh-CN" w:bidi="ar-SA"/>
    </w:rPr>
  </w:style>
  <w:style w:type="paragraph" w:customStyle="1" w:styleId="123">
    <w:name w:val="word"/>
    <w:basedOn w:val="1"/>
    <w:autoRedefine/>
    <w:qFormat/>
    <w:uiPriority w:val="0"/>
    <w:pPr>
      <w:widowControl/>
      <w:spacing w:before="100" w:beforeAutospacing="1" w:after="100" w:afterAutospacing="1" w:line="301" w:lineRule="atLeast"/>
      <w:jc w:val="left"/>
    </w:pPr>
    <w:rPr>
      <w:rFonts w:ascii="ˎ̥" w:hAnsi="ˎ̥"/>
      <w:color w:val="000000"/>
      <w:kern w:val="0"/>
      <w:sz w:val="20"/>
      <w:szCs w:val="20"/>
    </w:rPr>
  </w:style>
  <w:style w:type="paragraph" w:customStyle="1" w:styleId="124">
    <w:name w:val="列表项目"/>
    <w:basedOn w:val="1"/>
    <w:autoRedefine/>
    <w:qFormat/>
    <w:uiPriority w:val="0"/>
    <w:pPr>
      <w:tabs>
        <w:tab w:val="left" w:pos="420"/>
        <w:tab w:val="left" w:pos="1080"/>
      </w:tabs>
      <w:spacing w:line="288" w:lineRule="auto"/>
      <w:ind w:left="1080" w:hanging="360"/>
    </w:pPr>
    <w:rPr>
      <w:sz w:val="24"/>
      <w:szCs w:val="20"/>
    </w:rPr>
  </w:style>
  <w:style w:type="character" w:customStyle="1" w:styleId="125">
    <w:name w:val="content1"/>
    <w:autoRedefine/>
    <w:qFormat/>
    <w:uiPriority w:val="0"/>
    <w:rPr>
      <w:rFonts w:hint="default" w:ascii="??" w:hAnsi="??"/>
      <w:sz w:val="16"/>
      <w:szCs w:val="16"/>
      <w:u w:val="none"/>
    </w:rPr>
  </w:style>
  <w:style w:type="character" w:customStyle="1" w:styleId="126">
    <w:name w:val="unnamed4"/>
    <w:basedOn w:val="46"/>
    <w:autoRedefine/>
    <w:qFormat/>
    <w:uiPriority w:val="0"/>
  </w:style>
  <w:style w:type="character" w:customStyle="1" w:styleId="127">
    <w:name w:val="font2"/>
    <w:basedOn w:val="46"/>
    <w:autoRedefine/>
    <w:qFormat/>
    <w:uiPriority w:val="0"/>
  </w:style>
  <w:style w:type="character" w:customStyle="1" w:styleId="128">
    <w:name w:val="font41"/>
    <w:autoRedefine/>
    <w:qFormat/>
    <w:uiPriority w:val="0"/>
    <w:rPr>
      <w:color w:val="000000"/>
      <w:spacing w:val="260"/>
      <w:sz w:val="18"/>
      <w:szCs w:val="18"/>
      <w:u w:val="none"/>
    </w:rPr>
  </w:style>
  <w:style w:type="paragraph" w:customStyle="1" w:styleId="129">
    <w:name w:val="正文(首行缩进)"/>
    <w:autoRedefine/>
    <w:qFormat/>
    <w:uiPriority w:val="0"/>
    <w:pPr>
      <w:spacing w:line="360" w:lineRule="auto"/>
      <w:ind w:firstLine="488" w:firstLineChars="200"/>
      <w:jc w:val="both"/>
    </w:pPr>
    <w:rPr>
      <w:rFonts w:ascii="Times New Roman" w:hAnsi="Times New Roman" w:eastAsia="仿宋_GB2312" w:cs="Times New Roman"/>
      <w:spacing w:val="2"/>
      <w:sz w:val="24"/>
      <w:szCs w:val="24"/>
      <w:lang w:val="en-US" w:eastAsia="zh-CN" w:bidi="ar-SA"/>
    </w:rPr>
  </w:style>
  <w:style w:type="paragraph" w:customStyle="1" w:styleId="130">
    <w:name w:val="xl72"/>
    <w:basedOn w:val="1"/>
    <w:autoRedefine/>
    <w:qFormat/>
    <w:uiPriority w:val="0"/>
    <w:pPr>
      <w:widowControl/>
      <w:spacing w:before="100" w:beforeAutospacing="1" w:after="100" w:afterAutospacing="1"/>
      <w:jc w:val="left"/>
    </w:pPr>
    <w:rPr>
      <w:rFonts w:ascii="宋体" w:hAnsi="宋体"/>
      <w:b/>
      <w:bCs/>
      <w:kern w:val="0"/>
      <w:sz w:val="28"/>
      <w:szCs w:val="28"/>
    </w:rPr>
  </w:style>
  <w:style w:type="character" w:customStyle="1" w:styleId="131">
    <w:name w:val="正文首行缩进 Char"/>
    <w:link w:val="42"/>
    <w:autoRedefine/>
    <w:qFormat/>
    <w:uiPriority w:val="0"/>
    <w:rPr>
      <w:rFonts w:eastAsia="宋体"/>
      <w:b/>
      <w:bCs/>
      <w:kern w:val="2"/>
      <w:sz w:val="21"/>
      <w:szCs w:val="24"/>
      <w:lang w:val="en-US" w:eastAsia="zh-CN" w:bidi="ar-SA"/>
    </w:rPr>
  </w:style>
  <w:style w:type="paragraph" w:customStyle="1" w:styleId="132">
    <w:name w:val="正文(首行缩进) Char"/>
    <w:autoRedefine/>
    <w:qFormat/>
    <w:uiPriority w:val="0"/>
    <w:pPr>
      <w:spacing w:before="120" w:after="60" w:line="360" w:lineRule="auto"/>
      <w:ind w:firstLine="200" w:firstLineChars="200"/>
    </w:pPr>
    <w:rPr>
      <w:rFonts w:ascii="Times New Roman" w:hAnsi="Times New Roman" w:eastAsia="仿宋_GB2312" w:cs="Times New Roman"/>
      <w:spacing w:val="2"/>
      <w:kern w:val="24"/>
      <w:sz w:val="24"/>
      <w:szCs w:val="24"/>
      <w:lang w:val="en-US" w:eastAsia="zh-CN" w:bidi="ar-SA"/>
    </w:rPr>
  </w:style>
  <w:style w:type="paragraph" w:customStyle="1" w:styleId="133">
    <w:name w:val="汉议细等线简8"/>
    <w:autoRedefine/>
    <w:qFormat/>
    <w:uiPriority w:val="0"/>
    <w:pPr>
      <w:widowControl w:val="0"/>
      <w:autoSpaceDE w:val="0"/>
      <w:autoSpaceDN w:val="0"/>
      <w:adjustRightInd w:val="0"/>
      <w:spacing w:line="260" w:lineRule="atLeast"/>
      <w:jc w:val="both"/>
    </w:pPr>
    <w:rPr>
      <w:rFonts w:ascii="汉仪细等线简" w:hAnsi="Times New Roman" w:eastAsia="汉仪细等线简" w:cs="Times New Roman"/>
      <w:color w:val="000000"/>
      <w:sz w:val="16"/>
      <w:szCs w:val="16"/>
      <w:lang w:val="en-US" w:eastAsia="zh-CN" w:bidi="ar-SA"/>
    </w:rPr>
  </w:style>
  <w:style w:type="paragraph" w:customStyle="1" w:styleId="134">
    <w:name w:val="汉仪细等线简9BOLD"/>
    <w:basedOn w:val="1"/>
    <w:autoRedefine/>
    <w:qFormat/>
    <w:uiPriority w:val="0"/>
    <w:pPr>
      <w:autoSpaceDE w:val="0"/>
      <w:autoSpaceDN w:val="0"/>
      <w:adjustRightInd w:val="0"/>
      <w:spacing w:line="240" w:lineRule="atLeast"/>
    </w:pPr>
    <w:rPr>
      <w:rFonts w:ascii="汉仪细等线简" w:eastAsia="汉仪细等线简"/>
      <w:b/>
      <w:bCs/>
      <w:kern w:val="0"/>
      <w:sz w:val="18"/>
      <w:szCs w:val="18"/>
    </w:rPr>
  </w:style>
  <w:style w:type="character" w:customStyle="1" w:styleId="135">
    <w:name w:val="mode"/>
    <w:basedOn w:val="46"/>
    <w:autoRedefine/>
    <w:qFormat/>
    <w:uiPriority w:val="0"/>
  </w:style>
  <w:style w:type="paragraph" w:customStyle="1" w:styleId="136">
    <w:name w:val="9"/>
    <w:basedOn w:val="1"/>
    <w:next w:val="8"/>
    <w:autoRedefine/>
    <w:qFormat/>
    <w:uiPriority w:val="0"/>
    <w:pPr>
      <w:autoSpaceDE w:val="0"/>
      <w:autoSpaceDN w:val="0"/>
      <w:adjustRightInd w:val="0"/>
      <w:ind w:firstLine="420"/>
      <w:jc w:val="left"/>
      <w:textAlignment w:val="baseline"/>
    </w:pPr>
    <w:rPr>
      <w:rFonts w:ascii="宋体"/>
      <w:kern w:val="0"/>
      <w:sz w:val="34"/>
      <w:szCs w:val="20"/>
    </w:rPr>
  </w:style>
  <w:style w:type="character" w:customStyle="1" w:styleId="137">
    <w:name w:val="unnamed3"/>
    <w:basedOn w:val="46"/>
    <w:autoRedefine/>
    <w:qFormat/>
    <w:uiPriority w:val="0"/>
  </w:style>
  <w:style w:type="paragraph" w:customStyle="1" w:styleId="138">
    <w:name w:val="8"/>
    <w:basedOn w:val="1"/>
    <w:next w:val="19"/>
    <w:autoRedefine/>
    <w:qFormat/>
    <w:uiPriority w:val="0"/>
    <w:pPr>
      <w:spacing w:after="120"/>
      <w:ind w:left="420" w:leftChars="200"/>
    </w:pPr>
  </w:style>
  <w:style w:type="paragraph" w:customStyle="1" w:styleId="139">
    <w:name w:val="7"/>
    <w:basedOn w:val="1"/>
    <w:autoRedefine/>
    <w:qFormat/>
    <w:uiPriority w:val="0"/>
    <w:pPr>
      <w:autoSpaceDE w:val="0"/>
      <w:autoSpaceDN w:val="0"/>
      <w:adjustRightInd w:val="0"/>
      <w:spacing w:line="270" w:lineRule="atLeast"/>
      <w:jc w:val="left"/>
    </w:pPr>
    <w:rPr>
      <w:rFonts w:ascii="宋体"/>
      <w:kern w:val="0"/>
      <w:sz w:val="18"/>
      <w:szCs w:val="18"/>
    </w:rPr>
  </w:style>
  <w:style w:type="paragraph" w:customStyle="1" w:styleId="140">
    <w:name w:val="00"/>
    <w:basedOn w:val="1"/>
    <w:autoRedefine/>
    <w:qFormat/>
    <w:uiPriority w:val="0"/>
    <w:pPr>
      <w:autoSpaceDE w:val="0"/>
      <w:autoSpaceDN w:val="0"/>
      <w:adjustRightInd w:val="0"/>
      <w:jc w:val="left"/>
    </w:pPr>
    <w:rPr>
      <w:rFonts w:ascii="黑体" w:eastAsia="黑体"/>
      <w:b/>
      <w:bCs/>
      <w:kern w:val="0"/>
      <w:sz w:val="20"/>
      <w:szCs w:val="20"/>
    </w:rPr>
  </w:style>
  <w:style w:type="paragraph" w:customStyle="1" w:styleId="141">
    <w:name w:val="5"/>
    <w:basedOn w:val="1"/>
    <w:autoRedefine/>
    <w:qFormat/>
    <w:uiPriority w:val="0"/>
    <w:pPr>
      <w:autoSpaceDE w:val="0"/>
      <w:autoSpaceDN w:val="0"/>
      <w:adjustRightInd w:val="0"/>
      <w:jc w:val="left"/>
    </w:pPr>
    <w:rPr>
      <w:rFonts w:ascii="宋体"/>
      <w:b/>
      <w:bCs/>
      <w:kern w:val="0"/>
      <w:sz w:val="18"/>
      <w:szCs w:val="18"/>
    </w:rPr>
  </w:style>
  <w:style w:type="paragraph" w:customStyle="1" w:styleId="142">
    <w:name w:val="6"/>
    <w:basedOn w:val="141"/>
    <w:autoRedefine/>
    <w:qFormat/>
    <w:uiPriority w:val="0"/>
    <w:pPr>
      <w:spacing w:line="270" w:lineRule="atLeast"/>
      <w:jc w:val="both"/>
    </w:pPr>
    <w:rPr>
      <w:b w:val="0"/>
      <w:bCs w:val="0"/>
    </w:rPr>
  </w:style>
  <w:style w:type="paragraph" w:customStyle="1" w:styleId="143">
    <w:name w:val="产品描述"/>
    <w:autoRedefine/>
    <w:qFormat/>
    <w:uiPriority w:val="0"/>
    <w:pPr>
      <w:widowControl w:val="0"/>
      <w:autoSpaceDE w:val="0"/>
      <w:autoSpaceDN w:val="0"/>
      <w:adjustRightInd w:val="0"/>
      <w:spacing w:line="270" w:lineRule="atLeast"/>
      <w:ind w:firstLine="397"/>
      <w:jc w:val="both"/>
    </w:pPr>
    <w:rPr>
      <w:rFonts w:ascii="宋体" w:hAnsi="Times New Roman" w:eastAsia="宋体" w:cs="Times New Roman"/>
      <w:sz w:val="18"/>
      <w:szCs w:val="18"/>
      <w:lang w:val="en-US" w:eastAsia="zh-CN" w:bidi="ar-SA"/>
    </w:rPr>
  </w:style>
  <w:style w:type="paragraph" w:customStyle="1" w:styleId="144">
    <w:name w:val="姜文清定义的正文"/>
    <w:basedOn w:val="1"/>
    <w:autoRedefine/>
    <w:qFormat/>
    <w:uiPriority w:val="0"/>
    <w:pPr>
      <w:spacing w:line="240" w:lineRule="atLeast"/>
      <w:ind w:firstLine="567"/>
    </w:pPr>
    <w:rPr>
      <w:szCs w:val="20"/>
    </w:rPr>
  </w:style>
  <w:style w:type="paragraph" w:customStyle="1" w:styleId="145">
    <w:name w:val="Default"/>
    <w:autoRedefine/>
    <w:qFormat/>
    <w:uiPriority w:val="0"/>
    <w:pPr>
      <w:widowControl w:val="0"/>
      <w:autoSpaceDE w:val="0"/>
      <w:autoSpaceDN w:val="0"/>
      <w:adjustRightInd w:val="0"/>
    </w:pPr>
    <w:rPr>
      <w:rFonts w:ascii="H Yb 2gj" w:hAnsi="Times New Roman" w:eastAsia="H Yb 2gj" w:cs="H Yb 2gj"/>
      <w:color w:val="000000"/>
      <w:sz w:val="24"/>
      <w:szCs w:val="24"/>
      <w:lang w:val="en-US" w:eastAsia="zh-CN" w:bidi="ar-SA"/>
    </w:rPr>
  </w:style>
  <w:style w:type="paragraph" w:customStyle="1" w:styleId="146">
    <w:name w:val="CM2"/>
    <w:basedOn w:val="145"/>
    <w:next w:val="145"/>
    <w:autoRedefine/>
    <w:qFormat/>
    <w:uiPriority w:val="0"/>
    <w:pPr>
      <w:spacing w:line="200" w:lineRule="atLeast"/>
    </w:pPr>
    <w:rPr>
      <w:rFonts w:ascii="Arial" w:hAnsi="Arial" w:eastAsia="宋体" w:cs="Times New Roman"/>
      <w:color w:val="auto"/>
    </w:rPr>
  </w:style>
  <w:style w:type="paragraph" w:customStyle="1" w:styleId="147">
    <w:name w:val="Normal Paragraph"/>
    <w:basedOn w:val="1"/>
    <w:autoRedefine/>
    <w:qFormat/>
    <w:uiPriority w:val="0"/>
    <w:pPr>
      <w:widowControl/>
      <w:spacing w:before="120" w:line="360" w:lineRule="auto"/>
      <w:ind w:firstLine="425"/>
    </w:pPr>
    <w:rPr>
      <w:kern w:val="0"/>
      <w:sz w:val="24"/>
    </w:rPr>
  </w:style>
  <w:style w:type="character" w:customStyle="1" w:styleId="148">
    <w:name w:val="blue"/>
    <w:basedOn w:val="46"/>
    <w:autoRedefine/>
    <w:qFormat/>
    <w:uiPriority w:val="0"/>
  </w:style>
  <w:style w:type="paragraph" w:customStyle="1" w:styleId="149">
    <w:name w:val="blue1"/>
    <w:basedOn w:val="1"/>
    <w:autoRedefine/>
    <w:qFormat/>
    <w:uiPriority w:val="0"/>
    <w:pPr>
      <w:widowControl/>
      <w:spacing w:before="100" w:beforeAutospacing="1" w:after="100" w:afterAutospacing="1"/>
      <w:jc w:val="left"/>
    </w:pPr>
    <w:rPr>
      <w:rFonts w:ascii="宋体" w:hAnsi="宋体" w:cs="宋体"/>
      <w:kern w:val="0"/>
      <w:sz w:val="24"/>
    </w:rPr>
  </w:style>
  <w:style w:type="character" w:customStyle="1" w:styleId="150">
    <w:name w:val="font"/>
    <w:basedOn w:val="46"/>
    <w:autoRedefine/>
    <w:qFormat/>
    <w:uiPriority w:val="0"/>
  </w:style>
  <w:style w:type="character" w:customStyle="1" w:styleId="151">
    <w:name w:val="font11"/>
    <w:autoRedefine/>
    <w:qFormat/>
    <w:uiPriority w:val="0"/>
    <w:rPr>
      <w:rFonts w:hint="default" w:ascii="ˎ̥" w:hAnsi="ˎ̥"/>
    </w:rPr>
  </w:style>
  <w:style w:type="paragraph" w:customStyle="1" w:styleId="152">
    <w:name w:val="a14"/>
    <w:basedOn w:val="1"/>
    <w:autoRedefine/>
    <w:qFormat/>
    <w:uiPriority w:val="0"/>
    <w:pPr>
      <w:widowControl/>
      <w:spacing w:before="100" w:beforeAutospacing="1" w:after="100" w:afterAutospacing="1" w:line="300" w:lineRule="atLeast"/>
      <w:ind w:firstLine="375"/>
      <w:jc w:val="left"/>
    </w:pPr>
    <w:rPr>
      <w:rFonts w:ascii="宋体" w:hAnsi="宋体" w:cs="宋体"/>
      <w:kern w:val="0"/>
      <w:szCs w:val="21"/>
    </w:rPr>
  </w:style>
  <w:style w:type="character" w:customStyle="1" w:styleId="153">
    <w:name w:val="proddescription"/>
    <w:basedOn w:val="46"/>
    <w:autoRedefine/>
    <w:qFormat/>
    <w:uiPriority w:val="0"/>
  </w:style>
  <w:style w:type="character" w:customStyle="1" w:styleId="154">
    <w:name w:val="prodheadlines"/>
    <w:basedOn w:val="46"/>
    <w:autoRedefine/>
    <w:qFormat/>
    <w:uiPriority w:val="0"/>
  </w:style>
  <w:style w:type="character" w:customStyle="1" w:styleId="155">
    <w:name w:val="text"/>
    <w:basedOn w:val="46"/>
    <w:autoRedefine/>
    <w:qFormat/>
    <w:uiPriority w:val="0"/>
  </w:style>
  <w:style w:type="paragraph" w:customStyle="1" w:styleId="156">
    <w:name w:val="text1"/>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157">
    <w:name w:val="z-窗体顶端1"/>
    <w:basedOn w:val="1"/>
    <w:next w:val="1"/>
    <w:autoRedefine/>
    <w:hidden/>
    <w:qFormat/>
    <w:uiPriority w:val="0"/>
    <w:pPr>
      <w:widowControl/>
      <w:pBdr>
        <w:bottom w:val="single" w:color="auto" w:sz="6" w:space="1"/>
      </w:pBdr>
      <w:jc w:val="center"/>
    </w:pPr>
    <w:rPr>
      <w:rFonts w:ascii="Arial" w:hAnsi="Arial" w:cs="Arial"/>
      <w:vanish/>
      <w:kern w:val="0"/>
      <w:sz w:val="16"/>
      <w:szCs w:val="16"/>
    </w:rPr>
  </w:style>
  <w:style w:type="paragraph" w:customStyle="1" w:styleId="158">
    <w:name w:val="z-窗体底端1"/>
    <w:basedOn w:val="1"/>
    <w:next w:val="1"/>
    <w:autoRedefine/>
    <w:hidden/>
    <w:qFormat/>
    <w:uiPriority w:val="0"/>
    <w:pPr>
      <w:widowControl/>
      <w:pBdr>
        <w:top w:val="single" w:color="auto" w:sz="6" w:space="1"/>
      </w:pBdr>
      <w:jc w:val="center"/>
    </w:pPr>
    <w:rPr>
      <w:rFonts w:ascii="Arial" w:hAnsi="Arial" w:cs="Arial"/>
      <w:vanish/>
      <w:kern w:val="0"/>
      <w:sz w:val="16"/>
      <w:szCs w:val="16"/>
    </w:rPr>
  </w:style>
  <w:style w:type="paragraph" w:customStyle="1" w:styleId="159">
    <w:name w:val="正文样式"/>
    <w:basedOn w:val="1"/>
    <w:autoRedefine/>
    <w:qFormat/>
    <w:uiPriority w:val="0"/>
    <w:pPr>
      <w:adjustRightInd w:val="0"/>
      <w:spacing w:line="400" w:lineRule="atLeast"/>
      <w:ind w:firstLine="570" w:firstLineChars="203"/>
      <w:textAlignment w:val="baseline"/>
    </w:pPr>
    <w:rPr>
      <w:rFonts w:eastAsia="仿宋_GB2312"/>
      <w:kern w:val="0"/>
      <w:sz w:val="28"/>
      <w:szCs w:val="20"/>
    </w:rPr>
  </w:style>
  <w:style w:type="paragraph" w:customStyle="1" w:styleId="160">
    <w:name w:val="xl34"/>
    <w:basedOn w:val="1"/>
    <w:autoRedefine/>
    <w:qFormat/>
    <w:uiPriority w:val="0"/>
    <w:pPr>
      <w:widowControl/>
      <w:pBdr>
        <w:left w:val="single" w:color="auto" w:sz="4" w:space="0"/>
      </w:pBdr>
      <w:spacing w:before="100" w:beforeAutospacing="1" w:after="100" w:afterAutospacing="1"/>
      <w:jc w:val="center"/>
      <w:textAlignment w:val="center"/>
    </w:pPr>
    <w:rPr>
      <w:rFonts w:ascii="宋体" w:hAnsi="宋体"/>
      <w:kern w:val="0"/>
      <w:sz w:val="24"/>
    </w:rPr>
  </w:style>
  <w:style w:type="paragraph" w:customStyle="1" w:styleId="161">
    <w:name w:val="段落正文"/>
    <w:basedOn w:val="22"/>
    <w:autoRedefine/>
    <w:qFormat/>
    <w:uiPriority w:val="0"/>
    <w:pPr>
      <w:ind w:firstLine="560" w:firstLineChars="200"/>
    </w:pPr>
    <w:rPr>
      <w:sz w:val="28"/>
    </w:rPr>
  </w:style>
  <w:style w:type="character" w:customStyle="1" w:styleId="162">
    <w:name w:val="gray6"/>
    <w:basedOn w:val="46"/>
    <w:autoRedefine/>
    <w:qFormat/>
    <w:uiPriority w:val="0"/>
  </w:style>
  <w:style w:type="character" w:customStyle="1" w:styleId="163">
    <w:name w:val="style9"/>
    <w:basedOn w:val="46"/>
    <w:autoRedefine/>
    <w:qFormat/>
    <w:uiPriority w:val="0"/>
  </w:style>
  <w:style w:type="paragraph" w:customStyle="1" w:styleId="164">
    <w:name w:val="2册标题4"/>
    <w:basedOn w:val="1"/>
    <w:next w:val="1"/>
    <w:autoRedefine/>
    <w:qFormat/>
    <w:uiPriority w:val="0"/>
    <w:pPr>
      <w:spacing w:beforeLines="50" w:afterLines="50" w:line="300" w:lineRule="auto"/>
      <w:ind w:left="420" w:leftChars="200"/>
      <w:outlineLvl w:val="3"/>
    </w:pPr>
    <w:rPr>
      <w:rFonts w:ascii="Arial" w:hAnsi="Arial" w:eastAsia="幼圆" w:cs="Arial"/>
      <w:b/>
      <w:sz w:val="24"/>
    </w:rPr>
  </w:style>
  <w:style w:type="character" w:customStyle="1" w:styleId="165">
    <w:name w:val="grame"/>
    <w:basedOn w:val="46"/>
    <w:autoRedefine/>
    <w:qFormat/>
    <w:uiPriority w:val="0"/>
  </w:style>
  <w:style w:type="paragraph" w:customStyle="1" w:styleId="166">
    <w:name w:val="style2"/>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167">
    <w:name w:val="Char1"/>
    <w:basedOn w:val="1"/>
    <w:autoRedefine/>
    <w:qFormat/>
    <w:uiPriority w:val="0"/>
    <w:pPr>
      <w:jc w:val="left"/>
    </w:pPr>
    <w:rPr>
      <w:rFonts w:ascii="Tahoma" w:hAnsi="Tahoma"/>
      <w:sz w:val="24"/>
      <w:szCs w:val="20"/>
    </w:rPr>
  </w:style>
  <w:style w:type="paragraph" w:customStyle="1" w:styleId="168">
    <w:name w:val="编号1"/>
    <w:basedOn w:val="1"/>
    <w:autoRedefine/>
    <w:qFormat/>
    <w:uiPriority w:val="0"/>
    <w:pPr>
      <w:numPr>
        <w:ilvl w:val="0"/>
        <w:numId w:val="6"/>
      </w:numPr>
      <w:adjustRightInd w:val="0"/>
      <w:spacing w:line="300" w:lineRule="auto"/>
      <w:ind w:right="210"/>
      <w:textAlignment w:val="center"/>
    </w:pPr>
    <w:rPr>
      <w:rFonts w:ascii="宋体" w:hAnsi="宋体"/>
      <w:snapToGrid w:val="0"/>
      <w:spacing w:val="10"/>
      <w:kern w:val="24"/>
    </w:rPr>
  </w:style>
  <w:style w:type="paragraph" w:customStyle="1" w:styleId="169">
    <w:name w:val="Char Char Char Char Char Char Char Char Char Char Char Char Char Char Char Char Char Char Char Char Char Char"/>
    <w:basedOn w:val="1"/>
    <w:autoRedefine/>
    <w:qFormat/>
    <w:uiPriority w:val="0"/>
    <w:pPr>
      <w:widowControl/>
      <w:spacing w:line="400" w:lineRule="exact"/>
      <w:jc w:val="center"/>
    </w:pPr>
    <w:rPr>
      <w:rFonts w:ascii="Verdana" w:hAnsi="Verdana"/>
      <w:kern w:val="0"/>
      <w:szCs w:val="20"/>
      <w:lang w:eastAsia="en-US"/>
    </w:rPr>
  </w:style>
  <w:style w:type="paragraph" w:customStyle="1" w:styleId="170">
    <w:name w:val="font0"/>
    <w:basedOn w:val="1"/>
    <w:autoRedefine/>
    <w:qFormat/>
    <w:uiPriority w:val="0"/>
    <w:pPr>
      <w:widowControl/>
      <w:spacing w:before="100" w:beforeAutospacing="1" w:after="100" w:afterAutospacing="1"/>
      <w:jc w:val="left"/>
    </w:pPr>
    <w:rPr>
      <w:rFonts w:hint="eastAsia" w:ascii="宋体" w:hAnsi="宋体"/>
      <w:kern w:val="0"/>
      <w:sz w:val="24"/>
    </w:rPr>
  </w:style>
  <w:style w:type="paragraph" w:customStyle="1" w:styleId="171">
    <w:name w:val="font5"/>
    <w:basedOn w:val="1"/>
    <w:autoRedefine/>
    <w:qFormat/>
    <w:uiPriority w:val="0"/>
    <w:pPr>
      <w:widowControl/>
      <w:spacing w:before="100" w:beforeAutospacing="1" w:after="100" w:afterAutospacing="1"/>
      <w:jc w:val="left"/>
    </w:pPr>
    <w:rPr>
      <w:rFonts w:hint="eastAsia" w:ascii="宋体" w:hAnsi="宋体"/>
      <w:kern w:val="0"/>
      <w:sz w:val="18"/>
      <w:szCs w:val="18"/>
    </w:rPr>
  </w:style>
  <w:style w:type="paragraph" w:customStyle="1" w:styleId="172">
    <w:name w:val="font6"/>
    <w:basedOn w:val="1"/>
    <w:autoRedefine/>
    <w:qFormat/>
    <w:uiPriority w:val="0"/>
    <w:pPr>
      <w:widowControl/>
      <w:spacing w:before="100" w:beforeAutospacing="1" w:after="100" w:afterAutospacing="1"/>
      <w:jc w:val="left"/>
    </w:pPr>
    <w:rPr>
      <w:kern w:val="0"/>
      <w:sz w:val="24"/>
    </w:rPr>
  </w:style>
  <w:style w:type="paragraph" w:customStyle="1" w:styleId="173">
    <w:name w:val="xl2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4"/>
    </w:rPr>
  </w:style>
  <w:style w:type="paragraph" w:customStyle="1" w:styleId="174">
    <w:name w:val="xl2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4"/>
    </w:rPr>
  </w:style>
  <w:style w:type="paragraph" w:customStyle="1" w:styleId="175">
    <w:name w:val="表格字"/>
    <w:basedOn w:val="1"/>
    <w:autoRedefine/>
    <w:qFormat/>
    <w:uiPriority w:val="0"/>
    <w:pPr>
      <w:adjustRightInd w:val="0"/>
      <w:jc w:val="center"/>
    </w:pPr>
    <w:rPr>
      <w:rFonts w:ascii="宋体"/>
      <w:sz w:val="24"/>
      <w:szCs w:val="20"/>
    </w:rPr>
  </w:style>
  <w:style w:type="character" w:customStyle="1" w:styleId="176">
    <w:name w:val="样式 小三 加粗"/>
    <w:autoRedefine/>
    <w:qFormat/>
    <w:uiPriority w:val="0"/>
    <w:rPr>
      <w:rFonts w:eastAsia="宋体"/>
      <w:b/>
      <w:bCs/>
      <w:sz w:val="32"/>
    </w:rPr>
  </w:style>
  <w:style w:type="paragraph" w:customStyle="1" w:styleId="177">
    <w:name w:val="xl2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178">
    <w:name w:val="qw"/>
    <w:autoRedefine/>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179">
    <w:name w:val="Char Char Char"/>
    <w:basedOn w:val="1"/>
    <w:autoRedefine/>
    <w:qFormat/>
    <w:uiPriority w:val="0"/>
    <w:rPr>
      <w:rFonts w:ascii="Tahoma" w:hAnsi="Tahoma"/>
      <w:sz w:val="24"/>
      <w:szCs w:val="20"/>
    </w:rPr>
  </w:style>
  <w:style w:type="paragraph" w:customStyle="1" w:styleId="180">
    <w:name w:val="Char2"/>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character" w:customStyle="1" w:styleId="181">
    <w:name w:val="info4"/>
    <w:basedOn w:val="46"/>
    <w:autoRedefine/>
    <w:qFormat/>
    <w:uiPriority w:val="0"/>
  </w:style>
  <w:style w:type="paragraph" w:customStyle="1" w:styleId="182">
    <w:name w:val="缩进正文"/>
    <w:basedOn w:val="1"/>
    <w:link w:val="183"/>
    <w:autoRedefine/>
    <w:qFormat/>
    <w:uiPriority w:val="0"/>
    <w:pPr>
      <w:ind w:firstLine="560" w:firstLineChars="200"/>
    </w:pPr>
    <w:rPr>
      <w:rFonts w:eastAsia="仿宋_GB2312" w:cs="宋体"/>
      <w:sz w:val="28"/>
      <w:szCs w:val="20"/>
    </w:rPr>
  </w:style>
  <w:style w:type="character" w:customStyle="1" w:styleId="183">
    <w:name w:val="缩进正文 Char"/>
    <w:link w:val="182"/>
    <w:autoRedefine/>
    <w:qFormat/>
    <w:uiPriority w:val="0"/>
    <w:rPr>
      <w:rFonts w:eastAsia="仿宋_GB2312" w:cs="宋体"/>
      <w:kern w:val="2"/>
      <w:sz w:val="28"/>
      <w:lang w:val="en-US" w:eastAsia="zh-CN" w:bidi="ar-SA"/>
    </w:rPr>
  </w:style>
  <w:style w:type="paragraph" w:customStyle="1" w:styleId="184">
    <w:name w:val="列出段落1"/>
    <w:basedOn w:val="1"/>
    <w:autoRedefine/>
    <w:qFormat/>
    <w:uiPriority w:val="0"/>
    <w:pPr>
      <w:ind w:firstLine="420" w:firstLineChars="200"/>
    </w:pPr>
    <w:rPr>
      <w:rFonts w:ascii="Calibri" w:hAnsi="Calibri" w:cs="Calibri"/>
      <w:szCs w:val="21"/>
    </w:rPr>
  </w:style>
  <w:style w:type="character" w:customStyle="1" w:styleId="185">
    <w:name w:val="批注文字 Char"/>
    <w:basedOn w:val="46"/>
    <w:link w:val="17"/>
    <w:autoRedefine/>
    <w:semiHidden/>
    <w:qFormat/>
    <w:uiPriority w:val="99"/>
    <w:rPr>
      <w:rFonts w:ascii="宋体"/>
      <w:sz w:val="34"/>
    </w:rPr>
  </w:style>
  <w:style w:type="character" w:customStyle="1" w:styleId="186">
    <w:name w:val="批注主题 Char"/>
    <w:basedOn w:val="185"/>
    <w:link w:val="41"/>
    <w:autoRedefine/>
    <w:qFormat/>
    <w:uiPriority w:val="99"/>
    <w:rPr>
      <w:rFonts w:ascii="宋体"/>
      <w:sz w:val="34"/>
    </w:rPr>
  </w:style>
  <w:style w:type="paragraph" w:customStyle="1" w:styleId="187">
    <w:name w:val="评价"/>
    <w:basedOn w:val="1"/>
    <w:autoRedefine/>
    <w:qFormat/>
    <w:uiPriority w:val="0"/>
    <w:pPr>
      <w:spacing w:afterLines="20"/>
      <w:ind w:firstLine="1446" w:firstLineChars="200"/>
    </w:pPr>
    <w:rPr>
      <w:rFonts w:ascii="Calibri" w:hAnsi="Calibri"/>
      <w:sz w:val="24"/>
    </w:rPr>
  </w:style>
  <w:style w:type="paragraph" w:customStyle="1" w:styleId="188">
    <w:name w:val="修订1"/>
    <w:autoRedefine/>
    <w:hidden/>
    <w:semiHidden/>
    <w:qFormat/>
    <w:uiPriority w:val="99"/>
    <w:rPr>
      <w:rFonts w:ascii="Times New Roman" w:hAnsi="Times New Roman" w:eastAsia="宋体" w:cs="Times New Roman"/>
      <w:kern w:val="2"/>
      <w:sz w:val="21"/>
      <w:szCs w:val="24"/>
      <w:lang w:val="en-US" w:eastAsia="zh-CN" w:bidi="ar-SA"/>
    </w:rPr>
  </w:style>
  <w:style w:type="character" w:customStyle="1" w:styleId="189">
    <w:name w:val="alt-edited1"/>
    <w:autoRedefine/>
    <w:qFormat/>
    <w:uiPriority w:val="0"/>
    <w:rPr>
      <w:color w:val="4D90F0"/>
    </w:rPr>
  </w:style>
  <w:style w:type="paragraph" w:customStyle="1" w:styleId="190">
    <w:name w:val="toc 14"/>
    <w:next w:val="1"/>
    <w:qFormat/>
    <w:uiPriority w:val="0"/>
    <w:pPr>
      <w:wordWrap w:val="0"/>
      <w:jc w:val="both"/>
    </w:pPr>
    <w:rPr>
      <w:rFonts w:ascii="Calibri" w:hAnsi="Calibri" w:eastAsia="宋体" w:cs="Times New Roman"/>
      <w:sz w:val="21"/>
      <w:lang w:val="en-US" w:eastAsia="zh-CN" w:bidi="ar-SA"/>
    </w:rPr>
  </w:style>
  <w:style w:type="character" w:customStyle="1" w:styleId="191">
    <w:name w:val="文档结构图 Char1"/>
    <w:autoRedefine/>
    <w:semiHidden/>
    <w:qFormat/>
    <w:uiPriority w:val="0"/>
    <w:rPr>
      <w:sz w:val="20"/>
    </w:rPr>
  </w:style>
  <w:style w:type="character" w:customStyle="1" w:styleId="192">
    <w:name w:val="文档结构图 Char"/>
    <w:autoRedefine/>
    <w:semiHidden/>
    <w:qFormat/>
    <w:uiPriority w:val="0"/>
    <w:rPr>
      <w:sz w:val="20"/>
    </w:rPr>
  </w:style>
  <w:style w:type="character" w:customStyle="1" w:styleId="193">
    <w:name w:val="short_text"/>
    <w:basedOn w:val="46"/>
    <w:autoRedefine/>
    <w:qFormat/>
    <w:uiPriority w:val="0"/>
    <w:rPr>
      <w:sz w:val="20"/>
    </w:rPr>
  </w:style>
  <w:style w:type="character" w:customStyle="1" w:styleId="194">
    <w:name w:val="标题 Char1"/>
    <w:qFormat/>
    <w:uiPriority w:val="0"/>
    <w:rPr>
      <w:b/>
      <w:sz w:val="20"/>
    </w:rPr>
  </w:style>
  <w:style w:type="character" w:customStyle="1" w:styleId="195">
    <w:name w:val="正文文本缩进 3 Char1"/>
    <w:autoRedefine/>
    <w:semiHidden/>
    <w:qFormat/>
    <w:uiPriority w:val="0"/>
    <w:rPr>
      <w:sz w:val="20"/>
    </w:rPr>
  </w:style>
  <w:style w:type="character" w:customStyle="1" w:styleId="196">
    <w:name w:val="font21"/>
    <w:autoRedefine/>
    <w:qFormat/>
    <w:uiPriority w:val="0"/>
    <w:rPr>
      <w:color w:val="FF0000"/>
      <w:sz w:val="20"/>
      <w:u w:val="none"/>
    </w:rPr>
  </w:style>
  <w:style w:type="character" w:customStyle="1" w:styleId="197">
    <w:name w:val="不明显强调1"/>
    <w:autoRedefine/>
    <w:qFormat/>
    <w:uiPriority w:val="0"/>
    <w:rPr>
      <w:i/>
      <w:sz w:val="20"/>
    </w:rPr>
  </w:style>
  <w:style w:type="character" w:customStyle="1" w:styleId="198">
    <w:name w:val="font71"/>
    <w:autoRedefine/>
    <w:qFormat/>
    <w:uiPriority w:val="0"/>
    <w:rPr>
      <w:sz w:val="20"/>
      <w:u w:val="none"/>
    </w:rPr>
  </w:style>
  <w:style w:type="character" w:customStyle="1" w:styleId="199">
    <w:name w:val="页眉 Char1"/>
    <w:autoRedefine/>
    <w:semiHidden/>
    <w:qFormat/>
    <w:uiPriority w:val="0"/>
    <w:rPr>
      <w:sz w:val="20"/>
    </w:rPr>
  </w:style>
  <w:style w:type="character" w:customStyle="1" w:styleId="200">
    <w:name w:val="正文文本缩进 2 Char1"/>
    <w:semiHidden/>
    <w:qFormat/>
    <w:uiPriority w:val="0"/>
    <w:rPr>
      <w:sz w:val="20"/>
    </w:rPr>
  </w:style>
  <w:style w:type="character" w:customStyle="1" w:styleId="201">
    <w:name w:val="font61"/>
    <w:qFormat/>
    <w:uiPriority w:val="0"/>
    <w:rPr>
      <w:sz w:val="20"/>
      <w:u w:val="none"/>
    </w:rPr>
  </w:style>
  <w:style w:type="character" w:customStyle="1" w:styleId="202">
    <w:name w:val="纯文本 Char1"/>
    <w:semiHidden/>
    <w:qFormat/>
    <w:uiPriority w:val="0"/>
    <w:rPr>
      <w:sz w:val="20"/>
    </w:rPr>
  </w:style>
  <w:style w:type="character" w:customStyle="1" w:styleId="203">
    <w:name w:val="正文文本 3 Char1"/>
    <w:autoRedefine/>
    <w:semiHidden/>
    <w:qFormat/>
    <w:uiPriority w:val="0"/>
    <w:rPr>
      <w:sz w:val="20"/>
    </w:rPr>
  </w:style>
  <w:style w:type="character" w:customStyle="1" w:styleId="204">
    <w:name w:val="正文文本缩进 Char1"/>
    <w:semiHidden/>
    <w:qFormat/>
    <w:uiPriority w:val="0"/>
    <w:rPr>
      <w:sz w:val="20"/>
    </w:rPr>
  </w:style>
  <w:style w:type="character" w:customStyle="1" w:styleId="205">
    <w:name w:val="明显参考1"/>
    <w:qFormat/>
    <w:uiPriority w:val="0"/>
    <w:rPr>
      <w:b/>
      <w:sz w:val="20"/>
    </w:rPr>
  </w:style>
  <w:style w:type="character" w:customStyle="1" w:styleId="206">
    <w:name w:val="apple-converted-space"/>
    <w:qFormat/>
    <w:uiPriority w:val="0"/>
    <w:rPr>
      <w:sz w:val="20"/>
    </w:rPr>
  </w:style>
  <w:style w:type="character" w:customStyle="1" w:styleId="207">
    <w:name w:val="书籍标题1"/>
    <w:autoRedefine/>
    <w:qFormat/>
    <w:uiPriority w:val="0"/>
    <w:rPr>
      <w:b/>
      <w:i/>
      <w:sz w:val="20"/>
    </w:rPr>
  </w:style>
  <w:style w:type="character" w:customStyle="1" w:styleId="208">
    <w:name w:val="long_text"/>
    <w:autoRedefine/>
    <w:qFormat/>
    <w:uiPriority w:val="0"/>
    <w:rPr>
      <w:sz w:val="20"/>
    </w:rPr>
  </w:style>
  <w:style w:type="character" w:customStyle="1" w:styleId="209">
    <w:name w:val="日期 Char1"/>
    <w:autoRedefine/>
    <w:semiHidden/>
    <w:qFormat/>
    <w:uiPriority w:val="0"/>
    <w:rPr>
      <w:sz w:val="20"/>
    </w:rPr>
  </w:style>
  <w:style w:type="character" w:customStyle="1" w:styleId="210">
    <w:name w:val="批注文字 Char1"/>
    <w:autoRedefine/>
    <w:semiHidden/>
    <w:qFormat/>
    <w:uiPriority w:val="0"/>
    <w:rPr>
      <w:sz w:val="20"/>
    </w:rPr>
  </w:style>
  <w:style w:type="character" w:customStyle="1" w:styleId="211">
    <w:name w:val="明显强调1"/>
    <w:qFormat/>
    <w:uiPriority w:val="0"/>
    <w:rPr>
      <w:i/>
      <w:sz w:val="20"/>
    </w:rPr>
  </w:style>
  <w:style w:type="character" w:customStyle="1" w:styleId="212">
    <w:name w:val="16"/>
    <w:qFormat/>
    <w:uiPriority w:val="0"/>
    <w:rPr>
      <w:b/>
      <w:color w:val="FF0356"/>
      <w:sz w:val="20"/>
    </w:rPr>
  </w:style>
  <w:style w:type="character" w:customStyle="1" w:styleId="213">
    <w:name w:val="批注主题 Char1"/>
    <w:semiHidden/>
    <w:qFormat/>
    <w:uiPriority w:val="0"/>
    <w:rPr>
      <w:b/>
      <w:sz w:val="20"/>
    </w:rPr>
  </w:style>
  <w:style w:type="character" w:customStyle="1" w:styleId="214">
    <w:name w:val="正文文本 2 Char1"/>
    <w:autoRedefine/>
    <w:semiHidden/>
    <w:qFormat/>
    <w:uiPriority w:val="0"/>
    <w:rPr>
      <w:sz w:val="20"/>
    </w:rPr>
  </w:style>
  <w:style w:type="character" w:customStyle="1" w:styleId="215">
    <w:name w:val="font31"/>
    <w:autoRedefine/>
    <w:qFormat/>
    <w:uiPriority w:val="0"/>
    <w:rPr>
      <w:color w:val="FF0000"/>
      <w:sz w:val="20"/>
      <w:u w:val="none"/>
      <w:vertAlign w:val="superscript"/>
    </w:rPr>
  </w:style>
  <w:style w:type="character" w:customStyle="1" w:styleId="216">
    <w:name w:val="不明显参考1"/>
    <w:qFormat/>
    <w:uiPriority w:val="0"/>
    <w:rPr>
      <w:sz w:val="20"/>
    </w:rPr>
  </w:style>
  <w:style w:type="character" w:customStyle="1" w:styleId="217">
    <w:name w:val="HTML 预设格式 Char1"/>
    <w:autoRedefine/>
    <w:semiHidden/>
    <w:qFormat/>
    <w:uiPriority w:val="0"/>
    <w:rPr>
      <w:sz w:val="20"/>
    </w:rPr>
  </w:style>
  <w:style w:type="character" w:customStyle="1" w:styleId="218">
    <w:name w:val="font01"/>
    <w:basedOn w:val="46"/>
    <w:autoRedefine/>
    <w:qFormat/>
    <w:uiPriority w:val="0"/>
    <w:rPr>
      <w:color w:val="FF0000"/>
      <w:sz w:val="20"/>
      <w:u w:val="none"/>
      <w:vertAlign w:val="superscript"/>
    </w:rPr>
  </w:style>
  <w:style w:type="character" w:customStyle="1" w:styleId="219">
    <w:name w:val="页脚 Char1"/>
    <w:autoRedefine/>
    <w:semiHidden/>
    <w:qFormat/>
    <w:uiPriority w:val="0"/>
    <w:rPr>
      <w:sz w:val="20"/>
    </w:rPr>
  </w:style>
  <w:style w:type="character" w:customStyle="1" w:styleId="220">
    <w:name w:val="批注框文本 Char1"/>
    <w:autoRedefine/>
    <w:semiHidden/>
    <w:qFormat/>
    <w:uiPriority w:val="0"/>
    <w:rPr>
      <w:sz w:val="20"/>
    </w:rPr>
  </w:style>
  <w:style w:type="paragraph" w:customStyle="1" w:styleId="221">
    <w:name w:val="列出段落2"/>
    <w:basedOn w:val="1"/>
    <w:next w:val="222"/>
    <w:qFormat/>
    <w:uiPriority w:val="0"/>
    <w:pPr>
      <w:ind w:firstLine="420"/>
    </w:pPr>
    <w:rPr>
      <w:rFonts w:hAnsi="Calibri"/>
      <w:kern w:val="0"/>
      <w:szCs w:val="20"/>
    </w:rPr>
  </w:style>
  <w:style w:type="paragraph" w:customStyle="1" w:styleId="222">
    <w:name w:val="toc 814"/>
    <w:next w:val="1"/>
    <w:autoRedefine/>
    <w:qFormat/>
    <w:uiPriority w:val="0"/>
    <w:pPr>
      <w:wordWrap w:val="0"/>
      <w:ind w:left="2975"/>
      <w:jc w:val="both"/>
    </w:pPr>
    <w:rPr>
      <w:rFonts w:ascii="Calibri" w:hAnsi="Calibri" w:eastAsia="宋体" w:cs="Times New Roman"/>
      <w:sz w:val="21"/>
      <w:lang w:val="en-US" w:eastAsia="zh-CN" w:bidi="ar-SA"/>
    </w:rPr>
  </w:style>
  <w:style w:type="paragraph" w:customStyle="1" w:styleId="223">
    <w:name w:val="toc 62"/>
    <w:next w:val="1"/>
    <w:qFormat/>
    <w:uiPriority w:val="0"/>
    <w:pPr>
      <w:wordWrap w:val="0"/>
      <w:ind w:left="2125"/>
      <w:jc w:val="both"/>
    </w:pPr>
    <w:rPr>
      <w:rFonts w:ascii="Calibri" w:hAnsi="Calibri" w:eastAsia="宋体" w:cs="Times New Roman"/>
      <w:sz w:val="21"/>
      <w:lang w:val="en-US" w:eastAsia="zh-CN" w:bidi="ar-SA"/>
    </w:rPr>
  </w:style>
  <w:style w:type="paragraph" w:customStyle="1" w:styleId="224">
    <w:name w:val="toc 414"/>
    <w:next w:val="1"/>
    <w:autoRedefine/>
    <w:qFormat/>
    <w:uiPriority w:val="0"/>
    <w:pPr>
      <w:wordWrap w:val="0"/>
      <w:ind w:left="1275"/>
      <w:jc w:val="both"/>
    </w:pPr>
    <w:rPr>
      <w:rFonts w:ascii="Calibri" w:hAnsi="Calibri" w:eastAsia="宋体" w:cs="Times New Roman"/>
      <w:sz w:val="21"/>
      <w:lang w:val="en-US" w:eastAsia="zh-CN" w:bidi="ar-SA"/>
    </w:rPr>
  </w:style>
  <w:style w:type="paragraph" w:customStyle="1" w:styleId="225">
    <w:name w:val="toc 411"/>
    <w:next w:val="1"/>
    <w:autoRedefine/>
    <w:qFormat/>
    <w:uiPriority w:val="0"/>
    <w:pPr>
      <w:wordWrap w:val="0"/>
      <w:ind w:left="1275"/>
      <w:jc w:val="both"/>
    </w:pPr>
    <w:rPr>
      <w:rFonts w:ascii="Calibri" w:hAnsi="Calibri" w:eastAsia="宋体" w:cs="Times New Roman"/>
      <w:sz w:val="21"/>
      <w:lang w:val="en-US" w:eastAsia="zh-CN" w:bidi="ar-SA"/>
    </w:rPr>
  </w:style>
  <w:style w:type="paragraph" w:customStyle="1" w:styleId="226">
    <w:name w:val="xl86"/>
    <w:basedOn w:val="1"/>
    <w:next w:val="227"/>
    <w:qFormat/>
    <w:uiPriority w:val="0"/>
    <w:pPr>
      <w:widowControl/>
      <w:shd w:val="clear" w:color="000000" w:fill="FFFFFF"/>
      <w:spacing w:before="280" w:after="280"/>
      <w:jc w:val="center"/>
    </w:pPr>
    <w:rPr>
      <w:rFonts w:ascii="宋体" w:hAnsi="Calibri"/>
      <w:kern w:val="0"/>
      <w:sz w:val="20"/>
      <w:szCs w:val="20"/>
    </w:rPr>
  </w:style>
  <w:style w:type="paragraph" w:customStyle="1" w:styleId="227">
    <w:name w:val="toc 515"/>
    <w:next w:val="1"/>
    <w:autoRedefine/>
    <w:qFormat/>
    <w:uiPriority w:val="0"/>
    <w:pPr>
      <w:wordWrap w:val="0"/>
      <w:ind w:left="1700"/>
      <w:jc w:val="both"/>
    </w:pPr>
    <w:rPr>
      <w:rFonts w:ascii="Calibri" w:hAnsi="Calibri" w:eastAsia="宋体" w:cs="Times New Roman"/>
      <w:sz w:val="21"/>
      <w:lang w:val="en-US" w:eastAsia="zh-CN" w:bidi="ar-SA"/>
    </w:rPr>
  </w:style>
  <w:style w:type="paragraph" w:customStyle="1" w:styleId="228">
    <w:name w:val="TOC Heading4"/>
    <w:next w:val="1"/>
    <w:autoRedefine/>
    <w:qFormat/>
    <w:uiPriority w:val="0"/>
    <w:pPr>
      <w:wordWrap w:val="0"/>
    </w:pPr>
    <w:rPr>
      <w:rFonts w:ascii="Calibri" w:hAnsi="Calibri" w:eastAsia="宋体" w:cs="Times New Roman"/>
      <w:sz w:val="32"/>
      <w:lang w:val="en-US" w:eastAsia="zh-CN" w:bidi="ar-SA"/>
    </w:rPr>
  </w:style>
  <w:style w:type="paragraph" w:customStyle="1" w:styleId="229">
    <w:name w:val="toc 15"/>
    <w:next w:val="1"/>
    <w:autoRedefine/>
    <w:qFormat/>
    <w:uiPriority w:val="0"/>
    <w:pPr>
      <w:wordWrap w:val="0"/>
      <w:jc w:val="both"/>
    </w:pPr>
    <w:rPr>
      <w:rFonts w:ascii="Calibri" w:hAnsi="Calibri" w:eastAsia="宋体" w:cs="Times New Roman"/>
      <w:sz w:val="21"/>
      <w:lang w:val="en-US" w:eastAsia="zh-CN" w:bidi="ar-SA"/>
    </w:rPr>
  </w:style>
  <w:style w:type="paragraph" w:customStyle="1" w:styleId="230">
    <w:name w:val="TOC Heading2"/>
    <w:next w:val="1"/>
    <w:qFormat/>
    <w:uiPriority w:val="0"/>
    <w:pPr>
      <w:wordWrap w:val="0"/>
    </w:pPr>
    <w:rPr>
      <w:rFonts w:ascii="Calibri" w:hAnsi="Calibri" w:eastAsia="宋体" w:cs="Times New Roman"/>
      <w:sz w:val="32"/>
      <w:lang w:val="en-US" w:eastAsia="zh-CN" w:bidi="ar-SA"/>
    </w:rPr>
  </w:style>
  <w:style w:type="paragraph" w:customStyle="1" w:styleId="231">
    <w:name w:val="TOC Heading1"/>
    <w:next w:val="1"/>
    <w:qFormat/>
    <w:uiPriority w:val="0"/>
    <w:pPr>
      <w:wordWrap w:val="0"/>
    </w:pPr>
    <w:rPr>
      <w:rFonts w:ascii="Calibri" w:hAnsi="Calibri" w:eastAsia="宋体" w:cs="Times New Roman"/>
      <w:sz w:val="32"/>
      <w:lang w:val="en-US" w:eastAsia="zh-CN" w:bidi="ar-SA"/>
    </w:rPr>
  </w:style>
  <w:style w:type="paragraph" w:customStyle="1" w:styleId="232">
    <w:name w:val="toc 73"/>
    <w:next w:val="1"/>
    <w:autoRedefine/>
    <w:qFormat/>
    <w:uiPriority w:val="0"/>
    <w:pPr>
      <w:wordWrap w:val="0"/>
      <w:ind w:left="2550"/>
      <w:jc w:val="both"/>
    </w:pPr>
    <w:rPr>
      <w:rFonts w:ascii="Calibri" w:hAnsi="Calibri" w:eastAsia="宋体" w:cs="Times New Roman"/>
      <w:sz w:val="21"/>
      <w:lang w:val="en-US" w:eastAsia="zh-CN" w:bidi="ar-SA"/>
    </w:rPr>
  </w:style>
  <w:style w:type="paragraph" w:customStyle="1" w:styleId="233">
    <w:name w:val="font7"/>
    <w:basedOn w:val="1"/>
    <w:next w:val="234"/>
    <w:autoRedefine/>
    <w:qFormat/>
    <w:uiPriority w:val="0"/>
    <w:pPr>
      <w:widowControl/>
      <w:spacing w:before="280" w:after="280"/>
    </w:pPr>
    <w:rPr>
      <w:rFonts w:ascii="Arial" w:hAnsi="Calibri"/>
      <w:kern w:val="0"/>
      <w:sz w:val="18"/>
      <w:szCs w:val="20"/>
    </w:rPr>
  </w:style>
  <w:style w:type="paragraph" w:customStyle="1" w:styleId="234">
    <w:name w:val="toc 810"/>
    <w:next w:val="1"/>
    <w:qFormat/>
    <w:uiPriority w:val="0"/>
    <w:pPr>
      <w:wordWrap w:val="0"/>
      <w:ind w:left="2975"/>
      <w:jc w:val="both"/>
    </w:pPr>
    <w:rPr>
      <w:rFonts w:ascii="Calibri" w:hAnsi="Calibri" w:eastAsia="宋体" w:cs="Times New Roman"/>
      <w:sz w:val="21"/>
      <w:lang w:val="en-US" w:eastAsia="zh-CN" w:bidi="ar-SA"/>
    </w:rPr>
  </w:style>
  <w:style w:type="paragraph" w:customStyle="1" w:styleId="235">
    <w:name w:val="xl113"/>
    <w:basedOn w:val="1"/>
    <w:next w:val="236"/>
    <w:qFormat/>
    <w:uiPriority w:val="0"/>
    <w:pPr>
      <w:widowControl/>
      <w:shd w:val="clear" w:color="000000" w:fill="FFFFFF"/>
      <w:spacing w:before="280" w:after="280"/>
      <w:jc w:val="center"/>
    </w:pPr>
    <w:rPr>
      <w:rFonts w:ascii="宋体" w:hAnsi="Calibri"/>
      <w:b/>
      <w:kern w:val="0"/>
      <w:sz w:val="20"/>
      <w:szCs w:val="20"/>
    </w:rPr>
  </w:style>
  <w:style w:type="paragraph" w:customStyle="1" w:styleId="236">
    <w:name w:val="TOC Heading10"/>
    <w:next w:val="1"/>
    <w:autoRedefine/>
    <w:qFormat/>
    <w:uiPriority w:val="0"/>
    <w:pPr>
      <w:wordWrap w:val="0"/>
    </w:pPr>
    <w:rPr>
      <w:rFonts w:ascii="Calibri" w:hAnsi="Calibri" w:eastAsia="宋体" w:cs="Times New Roman"/>
      <w:sz w:val="32"/>
      <w:lang w:val="en-US" w:eastAsia="zh-CN" w:bidi="ar-SA"/>
    </w:rPr>
  </w:style>
  <w:style w:type="paragraph" w:customStyle="1" w:styleId="237">
    <w:name w:val="toc 89"/>
    <w:next w:val="1"/>
    <w:qFormat/>
    <w:uiPriority w:val="0"/>
    <w:pPr>
      <w:wordWrap w:val="0"/>
      <w:ind w:left="2975"/>
      <w:jc w:val="both"/>
    </w:pPr>
    <w:rPr>
      <w:rFonts w:ascii="Calibri" w:hAnsi="Calibri" w:eastAsia="宋体" w:cs="Times New Roman"/>
      <w:sz w:val="21"/>
      <w:lang w:val="en-US" w:eastAsia="zh-CN" w:bidi="ar-SA"/>
    </w:rPr>
  </w:style>
  <w:style w:type="paragraph" w:customStyle="1" w:styleId="238">
    <w:name w:val="xl73"/>
    <w:basedOn w:val="1"/>
    <w:next w:val="239"/>
    <w:autoRedefine/>
    <w:qFormat/>
    <w:uiPriority w:val="0"/>
    <w:pPr>
      <w:widowControl/>
      <w:shd w:val="clear" w:color="000000" w:fill="FFFFFF"/>
      <w:spacing w:before="280" w:after="280"/>
      <w:jc w:val="center"/>
    </w:pPr>
    <w:rPr>
      <w:rFonts w:ascii="宋体" w:hAnsi="Calibri"/>
      <w:kern w:val="0"/>
      <w:sz w:val="20"/>
      <w:szCs w:val="20"/>
    </w:rPr>
  </w:style>
  <w:style w:type="paragraph" w:customStyle="1" w:styleId="239">
    <w:name w:val="toc 613"/>
    <w:next w:val="1"/>
    <w:autoRedefine/>
    <w:qFormat/>
    <w:uiPriority w:val="0"/>
    <w:pPr>
      <w:wordWrap w:val="0"/>
      <w:ind w:left="2125"/>
      <w:jc w:val="both"/>
    </w:pPr>
    <w:rPr>
      <w:rFonts w:ascii="Calibri" w:hAnsi="Calibri" w:eastAsia="宋体" w:cs="Times New Roman"/>
      <w:sz w:val="21"/>
      <w:lang w:val="en-US" w:eastAsia="zh-CN" w:bidi="ar-SA"/>
    </w:rPr>
  </w:style>
  <w:style w:type="paragraph" w:customStyle="1" w:styleId="240">
    <w:name w:val="xl79"/>
    <w:basedOn w:val="1"/>
    <w:next w:val="241"/>
    <w:qFormat/>
    <w:uiPriority w:val="0"/>
    <w:pPr>
      <w:widowControl/>
      <w:shd w:val="clear" w:color="000000" w:fill="FFFFFF"/>
      <w:spacing w:before="280" w:after="280"/>
    </w:pPr>
    <w:rPr>
      <w:rFonts w:ascii="宋体" w:hAnsi="Calibri"/>
      <w:b/>
      <w:kern w:val="0"/>
      <w:sz w:val="20"/>
      <w:szCs w:val="20"/>
    </w:rPr>
  </w:style>
  <w:style w:type="paragraph" w:customStyle="1" w:styleId="241">
    <w:name w:val="toc 87"/>
    <w:next w:val="1"/>
    <w:qFormat/>
    <w:uiPriority w:val="0"/>
    <w:pPr>
      <w:wordWrap w:val="0"/>
      <w:ind w:left="2975"/>
      <w:jc w:val="both"/>
    </w:pPr>
    <w:rPr>
      <w:rFonts w:ascii="Calibri" w:hAnsi="Calibri" w:eastAsia="宋体" w:cs="Times New Roman"/>
      <w:sz w:val="21"/>
      <w:lang w:val="en-US" w:eastAsia="zh-CN" w:bidi="ar-SA"/>
    </w:rPr>
  </w:style>
  <w:style w:type="paragraph" w:customStyle="1" w:styleId="242">
    <w:name w:val="toc 11"/>
    <w:next w:val="1"/>
    <w:autoRedefine/>
    <w:qFormat/>
    <w:uiPriority w:val="0"/>
    <w:pPr>
      <w:wordWrap w:val="0"/>
      <w:jc w:val="both"/>
    </w:pPr>
    <w:rPr>
      <w:rFonts w:ascii="Calibri" w:hAnsi="Calibri" w:eastAsia="宋体" w:cs="Times New Roman"/>
      <w:sz w:val="21"/>
      <w:lang w:val="en-US" w:eastAsia="zh-CN" w:bidi="ar-SA"/>
    </w:rPr>
  </w:style>
  <w:style w:type="paragraph" w:customStyle="1" w:styleId="243">
    <w:name w:val="toc 410"/>
    <w:next w:val="1"/>
    <w:qFormat/>
    <w:uiPriority w:val="0"/>
    <w:pPr>
      <w:wordWrap w:val="0"/>
      <w:ind w:left="1275"/>
      <w:jc w:val="both"/>
    </w:pPr>
    <w:rPr>
      <w:rFonts w:ascii="Calibri" w:hAnsi="Calibri" w:eastAsia="宋体" w:cs="Times New Roman"/>
      <w:sz w:val="21"/>
      <w:lang w:val="en-US" w:eastAsia="zh-CN" w:bidi="ar-SA"/>
    </w:rPr>
  </w:style>
  <w:style w:type="paragraph" w:customStyle="1" w:styleId="244">
    <w:name w:val="toc 611"/>
    <w:next w:val="1"/>
    <w:autoRedefine/>
    <w:qFormat/>
    <w:uiPriority w:val="0"/>
    <w:pPr>
      <w:wordWrap w:val="0"/>
      <w:ind w:left="2125"/>
      <w:jc w:val="both"/>
    </w:pPr>
    <w:rPr>
      <w:rFonts w:ascii="Calibri" w:hAnsi="Calibri" w:eastAsia="宋体" w:cs="Times New Roman"/>
      <w:sz w:val="21"/>
      <w:lang w:val="en-US" w:eastAsia="zh-CN" w:bidi="ar-SA"/>
    </w:rPr>
  </w:style>
  <w:style w:type="paragraph" w:customStyle="1" w:styleId="245">
    <w:name w:val="xl112"/>
    <w:basedOn w:val="1"/>
    <w:next w:val="244"/>
    <w:qFormat/>
    <w:uiPriority w:val="0"/>
    <w:pPr>
      <w:widowControl/>
      <w:shd w:val="clear" w:color="000000" w:fill="FFFFFF"/>
      <w:spacing w:before="280" w:after="280"/>
      <w:jc w:val="center"/>
    </w:pPr>
    <w:rPr>
      <w:rFonts w:ascii="宋体" w:hAnsi="Calibri"/>
      <w:b/>
      <w:kern w:val="0"/>
      <w:sz w:val="20"/>
      <w:szCs w:val="20"/>
    </w:rPr>
  </w:style>
  <w:style w:type="paragraph" w:customStyle="1" w:styleId="246">
    <w:name w:val="toc 514"/>
    <w:next w:val="1"/>
    <w:qFormat/>
    <w:uiPriority w:val="0"/>
    <w:pPr>
      <w:wordWrap w:val="0"/>
      <w:ind w:left="1700"/>
      <w:jc w:val="both"/>
    </w:pPr>
    <w:rPr>
      <w:rFonts w:ascii="Calibri" w:hAnsi="Calibri" w:eastAsia="宋体" w:cs="Times New Roman"/>
      <w:sz w:val="21"/>
      <w:lang w:val="en-US" w:eastAsia="zh-CN" w:bidi="ar-SA"/>
    </w:rPr>
  </w:style>
  <w:style w:type="paragraph" w:customStyle="1" w:styleId="247">
    <w:name w:val="toc 44"/>
    <w:next w:val="1"/>
    <w:qFormat/>
    <w:uiPriority w:val="0"/>
    <w:pPr>
      <w:wordWrap w:val="0"/>
      <w:ind w:left="1275"/>
      <w:jc w:val="both"/>
    </w:pPr>
    <w:rPr>
      <w:rFonts w:ascii="Calibri" w:hAnsi="Calibri" w:eastAsia="宋体" w:cs="Times New Roman"/>
      <w:sz w:val="21"/>
      <w:lang w:val="en-US" w:eastAsia="zh-CN" w:bidi="ar-SA"/>
    </w:rPr>
  </w:style>
  <w:style w:type="paragraph" w:customStyle="1" w:styleId="248">
    <w:name w:val="toc 412"/>
    <w:next w:val="1"/>
    <w:autoRedefine/>
    <w:qFormat/>
    <w:uiPriority w:val="0"/>
    <w:pPr>
      <w:wordWrap w:val="0"/>
      <w:ind w:left="1275"/>
      <w:jc w:val="both"/>
    </w:pPr>
    <w:rPr>
      <w:rFonts w:ascii="Calibri" w:hAnsi="Calibri" w:eastAsia="宋体" w:cs="Times New Roman"/>
      <w:sz w:val="21"/>
      <w:lang w:val="en-US" w:eastAsia="zh-CN" w:bidi="ar-SA"/>
    </w:rPr>
  </w:style>
  <w:style w:type="paragraph" w:customStyle="1" w:styleId="249">
    <w:name w:val="xl74"/>
    <w:basedOn w:val="1"/>
    <w:next w:val="250"/>
    <w:qFormat/>
    <w:uiPriority w:val="0"/>
    <w:pPr>
      <w:widowControl/>
      <w:shd w:val="clear" w:color="000000" w:fill="FFFFFF"/>
      <w:spacing w:before="280" w:after="280"/>
    </w:pPr>
    <w:rPr>
      <w:rFonts w:ascii="宋体" w:hAnsi="Calibri"/>
      <w:kern w:val="0"/>
      <w:sz w:val="20"/>
      <w:szCs w:val="20"/>
    </w:rPr>
  </w:style>
  <w:style w:type="paragraph" w:customStyle="1" w:styleId="250">
    <w:name w:val="toc 57"/>
    <w:next w:val="1"/>
    <w:autoRedefine/>
    <w:qFormat/>
    <w:uiPriority w:val="0"/>
    <w:pPr>
      <w:wordWrap w:val="0"/>
      <w:ind w:left="1700"/>
      <w:jc w:val="both"/>
    </w:pPr>
    <w:rPr>
      <w:rFonts w:ascii="Calibri" w:hAnsi="Calibri" w:eastAsia="宋体" w:cs="Times New Roman"/>
      <w:sz w:val="21"/>
      <w:lang w:val="en-US" w:eastAsia="zh-CN" w:bidi="ar-SA"/>
    </w:rPr>
  </w:style>
  <w:style w:type="paragraph" w:customStyle="1" w:styleId="251">
    <w:name w:val="toc 912"/>
    <w:next w:val="1"/>
    <w:autoRedefine/>
    <w:qFormat/>
    <w:uiPriority w:val="0"/>
    <w:pPr>
      <w:wordWrap w:val="0"/>
      <w:ind w:left="3400"/>
      <w:jc w:val="both"/>
    </w:pPr>
    <w:rPr>
      <w:rFonts w:ascii="Calibri" w:hAnsi="Calibri" w:eastAsia="宋体" w:cs="Times New Roman"/>
      <w:sz w:val="21"/>
      <w:lang w:val="en-US" w:eastAsia="zh-CN" w:bidi="ar-SA"/>
    </w:rPr>
  </w:style>
  <w:style w:type="paragraph" w:customStyle="1" w:styleId="252">
    <w:name w:val="toc 91"/>
    <w:next w:val="1"/>
    <w:autoRedefine/>
    <w:qFormat/>
    <w:uiPriority w:val="0"/>
    <w:pPr>
      <w:wordWrap w:val="0"/>
      <w:ind w:left="3400"/>
      <w:jc w:val="both"/>
    </w:pPr>
    <w:rPr>
      <w:rFonts w:ascii="Calibri" w:hAnsi="Calibri" w:eastAsia="宋体" w:cs="Times New Roman"/>
      <w:sz w:val="21"/>
      <w:lang w:val="en-US" w:eastAsia="zh-CN" w:bidi="ar-SA"/>
    </w:rPr>
  </w:style>
  <w:style w:type="paragraph" w:customStyle="1" w:styleId="253">
    <w:name w:val="toc 38"/>
    <w:next w:val="1"/>
    <w:autoRedefine/>
    <w:qFormat/>
    <w:uiPriority w:val="0"/>
    <w:pPr>
      <w:wordWrap w:val="0"/>
      <w:ind w:left="850"/>
      <w:jc w:val="both"/>
    </w:pPr>
    <w:rPr>
      <w:rFonts w:ascii="Calibri" w:hAnsi="Calibri" w:eastAsia="宋体" w:cs="Times New Roman"/>
      <w:sz w:val="21"/>
      <w:lang w:val="en-US" w:eastAsia="zh-CN" w:bidi="ar-SA"/>
    </w:rPr>
  </w:style>
  <w:style w:type="paragraph" w:customStyle="1" w:styleId="254">
    <w:name w:val="toc 95"/>
    <w:next w:val="1"/>
    <w:autoRedefine/>
    <w:qFormat/>
    <w:uiPriority w:val="0"/>
    <w:pPr>
      <w:wordWrap w:val="0"/>
      <w:ind w:left="3400"/>
      <w:jc w:val="both"/>
    </w:pPr>
    <w:rPr>
      <w:rFonts w:ascii="Calibri" w:hAnsi="Calibri" w:eastAsia="宋体" w:cs="Times New Roman"/>
      <w:sz w:val="21"/>
      <w:lang w:val="en-US" w:eastAsia="zh-CN" w:bidi="ar-SA"/>
    </w:rPr>
  </w:style>
  <w:style w:type="paragraph" w:customStyle="1" w:styleId="255">
    <w:name w:val="列出段落5"/>
    <w:basedOn w:val="1"/>
    <w:next w:val="256"/>
    <w:autoRedefine/>
    <w:qFormat/>
    <w:uiPriority w:val="0"/>
    <w:pPr>
      <w:ind w:firstLine="420"/>
    </w:pPr>
    <w:rPr>
      <w:rFonts w:hAnsi="Calibri"/>
      <w:kern w:val="0"/>
      <w:szCs w:val="20"/>
    </w:rPr>
  </w:style>
  <w:style w:type="paragraph" w:customStyle="1" w:styleId="256">
    <w:name w:val="toc 312"/>
    <w:next w:val="1"/>
    <w:autoRedefine/>
    <w:qFormat/>
    <w:uiPriority w:val="0"/>
    <w:pPr>
      <w:wordWrap w:val="0"/>
      <w:ind w:left="850"/>
      <w:jc w:val="both"/>
    </w:pPr>
    <w:rPr>
      <w:rFonts w:ascii="Calibri" w:hAnsi="Calibri" w:eastAsia="宋体" w:cs="Times New Roman"/>
      <w:sz w:val="21"/>
      <w:lang w:val="en-US" w:eastAsia="zh-CN" w:bidi="ar-SA"/>
    </w:rPr>
  </w:style>
  <w:style w:type="paragraph" w:customStyle="1" w:styleId="257">
    <w:name w:val="xl66"/>
    <w:basedOn w:val="1"/>
    <w:next w:val="258"/>
    <w:autoRedefine/>
    <w:qFormat/>
    <w:uiPriority w:val="0"/>
    <w:pPr>
      <w:widowControl/>
      <w:shd w:val="clear" w:color="000000" w:fill="FFFFFF"/>
      <w:spacing w:before="280" w:after="280"/>
    </w:pPr>
    <w:rPr>
      <w:rFonts w:ascii="宋体" w:hAnsi="Calibri"/>
      <w:kern w:val="0"/>
      <w:sz w:val="20"/>
      <w:szCs w:val="20"/>
    </w:rPr>
  </w:style>
  <w:style w:type="paragraph" w:customStyle="1" w:styleId="258">
    <w:name w:val="toc 56"/>
    <w:next w:val="1"/>
    <w:autoRedefine/>
    <w:qFormat/>
    <w:uiPriority w:val="0"/>
    <w:pPr>
      <w:wordWrap w:val="0"/>
      <w:ind w:left="1700"/>
      <w:jc w:val="both"/>
    </w:pPr>
    <w:rPr>
      <w:rFonts w:ascii="Calibri" w:hAnsi="Calibri" w:eastAsia="宋体" w:cs="Times New Roman"/>
      <w:sz w:val="21"/>
      <w:lang w:val="en-US" w:eastAsia="zh-CN" w:bidi="ar-SA"/>
    </w:rPr>
  </w:style>
  <w:style w:type="paragraph" w:customStyle="1" w:styleId="259">
    <w:name w:val="TOC Heading3"/>
    <w:next w:val="1"/>
    <w:autoRedefine/>
    <w:qFormat/>
    <w:uiPriority w:val="0"/>
    <w:pPr>
      <w:wordWrap w:val="0"/>
    </w:pPr>
    <w:rPr>
      <w:rFonts w:ascii="Calibri" w:hAnsi="Calibri" w:eastAsia="宋体" w:cs="Times New Roman"/>
      <w:sz w:val="32"/>
      <w:lang w:val="en-US" w:eastAsia="zh-CN" w:bidi="ar-SA"/>
    </w:rPr>
  </w:style>
  <w:style w:type="paragraph" w:customStyle="1" w:styleId="260">
    <w:name w:val="toc 65"/>
    <w:next w:val="1"/>
    <w:autoRedefine/>
    <w:qFormat/>
    <w:uiPriority w:val="0"/>
    <w:pPr>
      <w:wordWrap w:val="0"/>
      <w:ind w:left="2125"/>
      <w:jc w:val="both"/>
    </w:pPr>
    <w:rPr>
      <w:rFonts w:ascii="Calibri" w:hAnsi="Calibri" w:eastAsia="宋体" w:cs="Times New Roman"/>
      <w:sz w:val="21"/>
      <w:lang w:val="en-US" w:eastAsia="zh-CN" w:bidi="ar-SA"/>
    </w:rPr>
  </w:style>
  <w:style w:type="paragraph" w:customStyle="1" w:styleId="261">
    <w:name w:val="toc 25"/>
    <w:next w:val="1"/>
    <w:autoRedefine/>
    <w:qFormat/>
    <w:uiPriority w:val="0"/>
    <w:pPr>
      <w:wordWrap w:val="0"/>
      <w:ind w:left="425"/>
      <w:jc w:val="both"/>
    </w:pPr>
    <w:rPr>
      <w:rFonts w:ascii="Calibri" w:hAnsi="Calibri" w:eastAsia="宋体" w:cs="Times New Roman"/>
      <w:sz w:val="21"/>
      <w:lang w:val="en-US" w:eastAsia="zh-CN" w:bidi="ar-SA"/>
    </w:rPr>
  </w:style>
  <w:style w:type="paragraph" w:customStyle="1" w:styleId="262">
    <w:name w:val="xl84"/>
    <w:basedOn w:val="1"/>
    <w:next w:val="263"/>
    <w:autoRedefine/>
    <w:qFormat/>
    <w:uiPriority w:val="0"/>
    <w:pPr>
      <w:widowControl/>
      <w:shd w:val="clear" w:color="000000" w:fill="FFFFFF"/>
      <w:spacing w:before="280" w:after="280"/>
      <w:jc w:val="center"/>
    </w:pPr>
    <w:rPr>
      <w:rFonts w:ascii="宋体" w:hAnsi="Calibri"/>
      <w:kern w:val="0"/>
      <w:sz w:val="20"/>
      <w:szCs w:val="20"/>
    </w:rPr>
  </w:style>
  <w:style w:type="paragraph" w:customStyle="1" w:styleId="263">
    <w:name w:val="toc 99"/>
    <w:next w:val="1"/>
    <w:autoRedefine/>
    <w:qFormat/>
    <w:uiPriority w:val="0"/>
    <w:pPr>
      <w:wordWrap w:val="0"/>
      <w:ind w:left="3400"/>
      <w:jc w:val="both"/>
    </w:pPr>
    <w:rPr>
      <w:rFonts w:ascii="Calibri" w:hAnsi="Calibri" w:eastAsia="宋体" w:cs="Times New Roman"/>
      <w:sz w:val="21"/>
      <w:lang w:val="en-US" w:eastAsia="zh-CN" w:bidi="ar-SA"/>
    </w:rPr>
  </w:style>
  <w:style w:type="paragraph" w:customStyle="1" w:styleId="264">
    <w:name w:val="xl81"/>
    <w:basedOn w:val="1"/>
    <w:next w:val="265"/>
    <w:autoRedefine/>
    <w:qFormat/>
    <w:uiPriority w:val="0"/>
    <w:pPr>
      <w:widowControl/>
      <w:shd w:val="clear" w:color="000000" w:fill="FFFFFF"/>
      <w:spacing w:before="280" w:after="280"/>
    </w:pPr>
    <w:rPr>
      <w:rFonts w:ascii="宋体" w:hAnsi="Calibri"/>
      <w:kern w:val="0"/>
      <w:sz w:val="20"/>
      <w:szCs w:val="20"/>
    </w:rPr>
  </w:style>
  <w:style w:type="paragraph" w:customStyle="1" w:styleId="265">
    <w:name w:val="toc 59"/>
    <w:next w:val="1"/>
    <w:autoRedefine/>
    <w:qFormat/>
    <w:uiPriority w:val="0"/>
    <w:pPr>
      <w:wordWrap w:val="0"/>
      <w:ind w:left="1700"/>
      <w:jc w:val="both"/>
    </w:pPr>
    <w:rPr>
      <w:rFonts w:ascii="Calibri" w:hAnsi="Calibri" w:eastAsia="宋体" w:cs="Times New Roman"/>
      <w:sz w:val="21"/>
      <w:lang w:val="en-US" w:eastAsia="zh-CN" w:bidi="ar-SA"/>
    </w:rPr>
  </w:style>
  <w:style w:type="paragraph" w:customStyle="1" w:styleId="266">
    <w:name w:val="目录 11"/>
    <w:next w:val="1"/>
    <w:autoRedefine/>
    <w:qFormat/>
    <w:uiPriority w:val="0"/>
    <w:pPr>
      <w:wordWrap w:val="0"/>
      <w:jc w:val="both"/>
    </w:pPr>
    <w:rPr>
      <w:rFonts w:ascii="Calibri" w:hAnsi="Calibri" w:eastAsia="宋体" w:cs="Times New Roman"/>
      <w:sz w:val="21"/>
      <w:lang w:val="en-US" w:eastAsia="zh-CN" w:bidi="ar-SA"/>
    </w:rPr>
  </w:style>
  <w:style w:type="paragraph" w:customStyle="1" w:styleId="267">
    <w:name w:val="toc 513"/>
    <w:next w:val="1"/>
    <w:autoRedefine/>
    <w:qFormat/>
    <w:uiPriority w:val="0"/>
    <w:pPr>
      <w:wordWrap w:val="0"/>
      <w:ind w:left="1700"/>
      <w:jc w:val="both"/>
    </w:pPr>
    <w:rPr>
      <w:rFonts w:ascii="Calibri" w:hAnsi="Calibri" w:eastAsia="宋体" w:cs="Times New Roman"/>
      <w:sz w:val="21"/>
      <w:lang w:val="en-US" w:eastAsia="zh-CN" w:bidi="ar-SA"/>
    </w:rPr>
  </w:style>
  <w:style w:type="paragraph" w:customStyle="1" w:styleId="268">
    <w:name w:val="TOC Heading12"/>
    <w:next w:val="1"/>
    <w:autoRedefine/>
    <w:qFormat/>
    <w:uiPriority w:val="0"/>
    <w:pPr>
      <w:wordWrap w:val="0"/>
    </w:pPr>
    <w:rPr>
      <w:rFonts w:ascii="Calibri" w:hAnsi="Calibri" w:eastAsia="宋体" w:cs="Times New Roman"/>
      <w:sz w:val="32"/>
      <w:lang w:val="en-US" w:eastAsia="zh-CN" w:bidi="ar-SA"/>
    </w:rPr>
  </w:style>
  <w:style w:type="paragraph" w:customStyle="1" w:styleId="269">
    <w:name w:val="TOC Heading8"/>
    <w:next w:val="1"/>
    <w:autoRedefine/>
    <w:qFormat/>
    <w:uiPriority w:val="0"/>
    <w:pPr>
      <w:wordWrap w:val="0"/>
    </w:pPr>
    <w:rPr>
      <w:rFonts w:ascii="Calibri" w:hAnsi="Calibri" w:eastAsia="宋体" w:cs="Times New Roman"/>
      <w:sz w:val="32"/>
      <w:lang w:val="en-US" w:eastAsia="zh-CN" w:bidi="ar-SA"/>
    </w:rPr>
  </w:style>
  <w:style w:type="paragraph" w:customStyle="1" w:styleId="270">
    <w:name w:val="toc 711"/>
    <w:next w:val="1"/>
    <w:autoRedefine/>
    <w:qFormat/>
    <w:uiPriority w:val="0"/>
    <w:pPr>
      <w:wordWrap w:val="0"/>
      <w:ind w:left="2550"/>
      <w:jc w:val="both"/>
    </w:pPr>
    <w:rPr>
      <w:rFonts w:ascii="Calibri" w:hAnsi="Calibri" w:eastAsia="宋体" w:cs="Times New Roman"/>
      <w:sz w:val="21"/>
      <w:lang w:val="en-US" w:eastAsia="zh-CN" w:bidi="ar-SA"/>
    </w:rPr>
  </w:style>
  <w:style w:type="paragraph" w:customStyle="1" w:styleId="271">
    <w:name w:val="toc 212"/>
    <w:next w:val="1"/>
    <w:autoRedefine/>
    <w:qFormat/>
    <w:uiPriority w:val="0"/>
    <w:pPr>
      <w:wordWrap w:val="0"/>
      <w:ind w:left="425"/>
      <w:jc w:val="both"/>
    </w:pPr>
    <w:rPr>
      <w:rFonts w:ascii="Calibri" w:hAnsi="Calibri" w:eastAsia="宋体" w:cs="Times New Roman"/>
      <w:sz w:val="21"/>
      <w:lang w:val="en-US" w:eastAsia="zh-CN" w:bidi="ar-SA"/>
    </w:rPr>
  </w:style>
  <w:style w:type="paragraph" w:customStyle="1" w:styleId="272">
    <w:name w:val="目录 21"/>
    <w:next w:val="1"/>
    <w:autoRedefine/>
    <w:qFormat/>
    <w:uiPriority w:val="0"/>
    <w:pPr>
      <w:wordWrap w:val="0"/>
      <w:ind w:left="425"/>
      <w:jc w:val="both"/>
    </w:pPr>
    <w:rPr>
      <w:rFonts w:ascii="Calibri" w:hAnsi="Calibri" w:eastAsia="宋体" w:cs="Times New Roman"/>
      <w:sz w:val="21"/>
      <w:lang w:val="en-US" w:eastAsia="zh-CN" w:bidi="ar-SA"/>
    </w:rPr>
  </w:style>
  <w:style w:type="paragraph" w:customStyle="1" w:styleId="273">
    <w:name w:val="toc 45"/>
    <w:next w:val="1"/>
    <w:autoRedefine/>
    <w:qFormat/>
    <w:uiPriority w:val="0"/>
    <w:pPr>
      <w:wordWrap w:val="0"/>
      <w:ind w:left="1275"/>
      <w:jc w:val="both"/>
    </w:pPr>
    <w:rPr>
      <w:rFonts w:ascii="Calibri" w:hAnsi="Calibri" w:eastAsia="宋体" w:cs="Times New Roman"/>
      <w:sz w:val="21"/>
      <w:lang w:val="en-US" w:eastAsia="zh-CN" w:bidi="ar-SA"/>
    </w:rPr>
  </w:style>
  <w:style w:type="paragraph" w:customStyle="1" w:styleId="274">
    <w:name w:val="xl116"/>
    <w:basedOn w:val="1"/>
    <w:next w:val="275"/>
    <w:autoRedefine/>
    <w:qFormat/>
    <w:uiPriority w:val="0"/>
    <w:pPr>
      <w:widowControl/>
      <w:shd w:val="clear" w:color="000000" w:fill="FFFFFF"/>
      <w:spacing w:before="280" w:after="280"/>
      <w:jc w:val="center"/>
    </w:pPr>
    <w:rPr>
      <w:rFonts w:ascii="Arial Narrow" w:hAnsi="Calibri"/>
      <w:kern w:val="0"/>
      <w:sz w:val="20"/>
      <w:szCs w:val="20"/>
    </w:rPr>
  </w:style>
  <w:style w:type="paragraph" w:customStyle="1" w:styleId="275">
    <w:name w:val="toc 78"/>
    <w:next w:val="1"/>
    <w:autoRedefine/>
    <w:qFormat/>
    <w:uiPriority w:val="0"/>
    <w:pPr>
      <w:wordWrap w:val="0"/>
      <w:ind w:left="2550"/>
      <w:jc w:val="both"/>
    </w:pPr>
    <w:rPr>
      <w:rFonts w:ascii="Calibri" w:hAnsi="Calibri" w:eastAsia="宋体" w:cs="Times New Roman"/>
      <w:sz w:val="21"/>
      <w:lang w:val="en-US" w:eastAsia="zh-CN" w:bidi="ar-SA"/>
    </w:rPr>
  </w:style>
  <w:style w:type="paragraph" w:customStyle="1" w:styleId="276">
    <w:name w:val="font8"/>
    <w:basedOn w:val="1"/>
    <w:next w:val="277"/>
    <w:autoRedefine/>
    <w:qFormat/>
    <w:uiPriority w:val="0"/>
    <w:pPr>
      <w:widowControl/>
      <w:spacing w:before="280" w:after="280"/>
    </w:pPr>
    <w:rPr>
      <w:rFonts w:ascii="Arial" w:hAnsi="Calibri"/>
      <w:kern w:val="0"/>
      <w:sz w:val="20"/>
      <w:szCs w:val="20"/>
    </w:rPr>
  </w:style>
  <w:style w:type="paragraph" w:customStyle="1" w:styleId="277">
    <w:name w:val="TOC Heading11"/>
    <w:next w:val="1"/>
    <w:autoRedefine/>
    <w:qFormat/>
    <w:uiPriority w:val="0"/>
    <w:pPr>
      <w:wordWrap w:val="0"/>
    </w:pPr>
    <w:rPr>
      <w:rFonts w:ascii="Calibri" w:hAnsi="Calibri" w:eastAsia="宋体" w:cs="Times New Roman"/>
      <w:sz w:val="32"/>
      <w:lang w:val="en-US" w:eastAsia="zh-CN" w:bidi="ar-SA"/>
    </w:rPr>
  </w:style>
  <w:style w:type="paragraph" w:customStyle="1" w:styleId="278">
    <w:name w:val="xl69"/>
    <w:basedOn w:val="1"/>
    <w:next w:val="279"/>
    <w:autoRedefine/>
    <w:qFormat/>
    <w:uiPriority w:val="0"/>
    <w:pPr>
      <w:widowControl/>
      <w:shd w:val="clear" w:color="000000" w:fill="FFFFFF"/>
      <w:spacing w:before="280" w:after="280"/>
    </w:pPr>
    <w:rPr>
      <w:rFonts w:ascii="宋体" w:hAnsi="Calibri"/>
      <w:b/>
      <w:kern w:val="0"/>
      <w:sz w:val="20"/>
      <w:szCs w:val="20"/>
    </w:rPr>
  </w:style>
  <w:style w:type="paragraph" w:customStyle="1" w:styleId="279">
    <w:name w:val="toc 48"/>
    <w:next w:val="1"/>
    <w:autoRedefine/>
    <w:qFormat/>
    <w:uiPriority w:val="0"/>
    <w:pPr>
      <w:wordWrap w:val="0"/>
      <w:ind w:left="1275"/>
      <w:jc w:val="both"/>
    </w:pPr>
    <w:rPr>
      <w:rFonts w:ascii="Calibri" w:hAnsi="Calibri" w:eastAsia="宋体" w:cs="Times New Roman"/>
      <w:sz w:val="21"/>
      <w:lang w:val="en-US" w:eastAsia="zh-CN" w:bidi="ar-SA"/>
    </w:rPr>
  </w:style>
  <w:style w:type="paragraph" w:customStyle="1" w:styleId="280">
    <w:name w:val="toc 813"/>
    <w:next w:val="1"/>
    <w:autoRedefine/>
    <w:qFormat/>
    <w:uiPriority w:val="0"/>
    <w:pPr>
      <w:wordWrap w:val="0"/>
      <w:ind w:left="2975"/>
      <w:jc w:val="both"/>
    </w:pPr>
    <w:rPr>
      <w:rFonts w:ascii="Calibri" w:hAnsi="Calibri" w:eastAsia="宋体" w:cs="Times New Roman"/>
      <w:sz w:val="21"/>
      <w:lang w:val="en-US" w:eastAsia="zh-CN" w:bidi="ar-SA"/>
    </w:rPr>
  </w:style>
  <w:style w:type="paragraph" w:customStyle="1" w:styleId="281">
    <w:name w:val="目录 91"/>
    <w:next w:val="1"/>
    <w:autoRedefine/>
    <w:qFormat/>
    <w:uiPriority w:val="0"/>
    <w:pPr>
      <w:wordWrap w:val="0"/>
      <w:ind w:left="3400"/>
      <w:jc w:val="both"/>
    </w:pPr>
    <w:rPr>
      <w:rFonts w:ascii="Calibri" w:hAnsi="Calibri" w:eastAsia="宋体" w:cs="Times New Roman"/>
      <w:sz w:val="21"/>
      <w:lang w:val="en-US" w:eastAsia="zh-CN" w:bidi="ar-SA"/>
    </w:rPr>
  </w:style>
  <w:style w:type="paragraph" w:customStyle="1" w:styleId="282">
    <w:name w:val="列出段落3"/>
    <w:basedOn w:val="1"/>
    <w:next w:val="283"/>
    <w:autoRedefine/>
    <w:qFormat/>
    <w:uiPriority w:val="0"/>
    <w:pPr>
      <w:ind w:firstLine="420"/>
    </w:pPr>
    <w:rPr>
      <w:rFonts w:hAnsi="Calibri"/>
      <w:kern w:val="0"/>
      <w:szCs w:val="20"/>
    </w:rPr>
  </w:style>
  <w:style w:type="paragraph" w:customStyle="1" w:styleId="283">
    <w:name w:val="toc 213"/>
    <w:next w:val="1"/>
    <w:autoRedefine/>
    <w:qFormat/>
    <w:uiPriority w:val="0"/>
    <w:pPr>
      <w:wordWrap w:val="0"/>
      <w:ind w:left="425"/>
      <w:jc w:val="both"/>
    </w:pPr>
    <w:rPr>
      <w:rFonts w:ascii="Calibri" w:hAnsi="Calibri" w:eastAsia="宋体" w:cs="Times New Roman"/>
      <w:sz w:val="21"/>
      <w:lang w:val="en-US" w:eastAsia="zh-CN" w:bidi="ar-SA"/>
    </w:rPr>
  </w:style>
  <w:style w:type="paragraph" w:customStyle="1" w:styleId="284">
    <w:name w:val="TOC 标题1"/>
    <w:next w:val="1"/>
    <w:autoRedefine/>
    <w:qFormat/>
    <w:uiPriority w:val="0"/>
    <w:pPr>
      <w:wordWrap w:val="0"/>
    </w:pPr>
    <w:rPr>
      <w:rFonts w:ascii="Calibri" w:hAnsi="Calibri" w:eastAsia="宋体" w:cs="Times New Roman"/>
      <w:sz w:val="32"/>
      <w:lang w:val="en-US" w:eastAsia="zh-CN" w:bidi="ar-SA"/>
    </w:rPr>
  </w:style>
  <w:style w:type="paragraph" w:customStyle="1" w:styleId="285">
    <w:name w:val="TOC Heading5"/>
    <w:next w:val="1"/>
    <w:autoRedefine/>
    <w:qFormat/>
    <w:uiPriority w:val="0"/>
    <w:pPr>
      <w:wordWrap w:val="0"/>
    </w:pPr>
    <w:rPr>
      <w:rFonts w:ascii="Calibri" w:hAnsi="Calibri" w:eastAsia="宋体" w:cs="Times New Roman"/>
      <w:sz w:val="32"/>
      <w:lang w:val="en-US" w:eastAsia="zh-CN" w:bidi="ar-SA"/>
    </w:rPr>
  </w:style>
  <w:style w:type="paragraph" w:customStyle="1" w:styleId="286">
    <w:name w:val="toc 313"/>
    <w:next w:val="1"/>
    <w:autoRedefine/>
    <w:qFormat/>
    <w:uiPriority w:val="0"/>
    <w:pPr>
      <w:wordWrap w:val="0"/>
      <w:ind w:left="850"/>
      <w:jc w:val="both"/>
    </w:pPr>
    <w:rPr>
      <w:rFonts w:ascii="Calibri" w:hAnsi="Calibri" w:eastAsia="宋体" w:cs="Times New Roman"/>
      <w:sz w:val="21"/>
      <w:lang w:val="en-US" w:eastAsia="zh-CN" w:bidi="ar-SA"/>
    </w:rPr>
  </w:style>
  <w:style w:type="paragraph" w:customStyle="1" w:styleId="287">
    <w:name w:val="toc 716"/>
    <w:next w:val="1"/>
    <w:autoRedefine/>
    <w:qFormat/>
    <w:uiPriority w:val="0"/>
    <w:pPr>
      <w:wordWrap w:val="0"/>
      <w:ind w:left="2550"/>
      <w:jc w:val="both"/>
    </w:pPr>
    <w:rPr>
      <w:rFonts w:ascii="Calibri" w:hAnsi="Calibri" w:eastAsia="宋体" w:cs="Times New Roman"/>
      <w:sz w:val="21"/>
      <w:lang w:val="en-US" w:eastAsia="zh-CN" w:bidi="ar-SA"/>
    </w:rPr>
  </w:style>
  <w:style w:type="paragraph" w:customStyle="1" w:styleId="288">
    <w:name w:val="xl115"/>
    <w:basedOn w:val="1"/>
    <w:next w:val="289"/>
    <w:autoRedefine/>
    <w:qFormat/>
    <w:uiPriority w:val="0"/>
    <w:pPr>
      <w:widowControl/>
      <w:shd w:val="clear" w:color="000000" w:fill="FFFFFF"/>
      <w:spacing w:before="280" w:after="280"/>
      <w:jc w:val="center"/>
    </w:pPr>
    <w:rPr>
      <w:rFonts w:ascii="宋体" w:hAnsi="Calibri"/>
      <w:b/>
      <w:kern w:val="0"/>
      <w:sz w:val="20"/>
      <w:szCs w:val="20"/>
    </w:rPr>
  </w:style>
  <w:style w:type="paragraph" w:customStyle="1" w:styleId="289">
    <w:name w:val="toc 712"/>
    <w:next w:val="1"/>
    <w:autoRedefine/>
    <w:qFormat/>
    <w:uiPriority w:val="0"/>
    <w:pPr>
      <w:wordWrap w:val="0"/>
      <w:ind w:left="2550"/>
      <w:jc w:val="both"/>
    </w:pPr>
    <w:rPr>
      <w:rFonts w:ascii="Calibri" w:hAnsi="Calibri" w:eastAsia="宋体" w:cs="Times New Roman"/>
      <w:sz w:val="21"/>
      <w:lang w:val="en-US" w:eastAsia="zh-CN" w:bidi="ar-SA"/>
    </w:rPr>
  </w:style>
  <w:style w:type="paragraph" w:customStyle="1" w:styleId="290">
    <w:name w:val="toc 64"/>
    <w:next w:val="1"/>
    <w:autoRedefine/>
    <w:qFormat/>
    <w:uiPriority w:val="0"/>
    <w:pPr>
      <w:wordWrap w:val="0"/>
      <w:ind w:left="2125"/>
      <w:jc w:val="both"/>
    </w:pPr>
    <w:rPr>
      <w:rFonts w:ascii="Calibri" w:hAnsi="Calibri" w:eastAsia="宋体" w:cs="Times New Roman"/>
      <w:sz w:val="21"/>
      <w:lang w:val="en-US" w:eastAsia="zh-CN" w:bidi="ar-SA"/>
    </w:rPr>
  </w:style>
  <w:style w:type="paragraph" w:customStyle="1" w:styleId="291">
    <w:name w:val="toc 24"/>
    <w:next w:val="1"/>
    <w:autoRedefine/>
    <w:qFormat/>
    <w:uiPriority w:val="0"/>
    <w:pPr>
      <w:wordWrap w:val="0"/>
      <w:ind w:left="425"/>
      <w:jc w:val="both"/>
    </w:pPr>
    <w:rPr>
      <w:rFonts w:ascii="Calibri" w:hAnsi="Calibri" w:eastAsia="宋体" w:cs="Times New Roman"/>
      <w:sz w:val="21"/>
      <w:lang w:val="en-US" w:eastAsia="zh-CN" w:bidi="ar-SA"/>
    </w:rPr>
  </w:style>
  <w:style w:type="paragraph" w:customStyle="1" w:styleId="292">
    <w:name w:val="toc 54"/>
    <w:next w:val="1"/>
    <w:autoRedefine/>
    <w:qFormat/>
    <w:uiPriority w:val="0"/>
    <w:pPr>
      <w:wordWrap w:val="0"/>
      <w:ind w:left="1700"/>
      <w:jc w:val="both"/>
    </w:pPr>
    <w:rPr>
      <w:rFonts w:ascii="Calibri" w:hAnsi="Calibri" w:eastAsia="宋体" w:cs="Times New Roman"/>
      <w:sz w:val="21"/>
      <w:lang w:val="en-US" w:eastAsia="zh-CN" w:bidi="ar-SA"/>
    </w:rPr>
  </w:style>
  <w:style w:type="paragraph" w:customStyle="1" w:styleId="293">
    <w:name w:val="xl93"/>
    <w:basedOn w:val="1"/>
    <w:next w:val="294"/>
    <w:autoRedefine/>
    <w:qFormat/>
    <w:uiPriority w:val="0"/>
    <w:pPr>
      <w:widowControl/>
      <w:shd w:val="clear" w:color="000000" w:fill="FFFFFF"/>
      <w:spacing w:before="280" w:after="280"/>
      <w:jc w:val="center"/>
    </w:pPr>
    <w:rPr>
      <w:rFonts w:ascii="宋体" w:hAnsi="Calibri"/>
      <w:kern w:val="0"/>
      <w:sz w:val="20"/>
      <w:szCs w:val="20"/>
    </w:rPr>
  </w:style>
  <w:style w:type="paragraph" w:customStyle="1" w:styleId="294">
    <w:name w:val="toc 112"/>
    <w:next w:val="1"/>
    <w:autoRedefine/>
    <w:qFormat/>
    <w:uiPriority w:val="0"/>
    <w:pPr>
      <w:wordWrap w:val="0"/>
      <w:jc w:val="both"/>
    </w:pPr>
    <w:rPr>
      <w:rFonts w:ascii="Calibri" w:hAnsi="Calibri" w:eastAsia="宋体" w:cs="Times New Roman"/>
      <w:sz w:val="21"/>
      <w:lang w:val="en-US" w:eastAsia="zh-CN" w:bidi="ar-SA"/>
    </w:rPr>
  </w:style>
  <w:style w:type="paragraph" w:customStyle="1" w:styleId="295">
    <w:name w:val="xl96"/>
    <w:basedOn w:val="1"/>
    <w:next w:val="246"/>
    <w:autoRedefine/>
    <w:qFormat/>
    <w:uiPriority w:val="0"/>
    <w:pPr>
      <w:widowControl/>
      <w:shd w:val="clear" w:color="000000" w:fill="FFFFFF"/>
      <w:spacing w:before="280" w:after="280"/>
      <w:jc w:val="center"/>
    </w:pPr>
    <w:rPr>
      <w:rFonts w:ascii="宋体" w:hAnsi="Calibri"/>
      <w:kern w:val="0"/>
      <w:sz w:val="20"/>
      <w:szCs w:val="20"/>
    </w:rPr>
  </w:style>
  <w:style w:type="paragraph" w:customStyle="1" w:styleId="296">
    <w:name w:val="xl106"/>
    <w:basedOn w:val="1"/>
    <w:next w:val="280"/>
    <w:autoRedefine/>
    <w:qFormat/>
    <w:uiPriority w:val="0"/>
    <w:pPr>
      <w:widowControl/>
      <w:shd w:val="clear" w:color="000000" w:fill="FFFFFF"/>
      <w:spacing w:before="280" w:after="280"/>
    </w:pPr>
    <w:rPr>
      <w:rFonts w:ascii="宋体" w:hAnsi="Calibri"/>
      <w:kern w:val="0"/>
      <w:sz w:val="20"/>
      <w:szCs w:val="20"/>
    </w:rPr>
  </w:style>
  <w:style w:type="paragraph" w:customStyle="1" w:styleId="297">
    <w:name w:val="toc 35"/>
    <w:next w:val="1"/>
    <w:autoRedefine/>
    <w:qFormat/>
    <w:uiPriority w:val="0"/>
    <w:pPr>
      <w:wordWrap w:val="0"/>
      <w:ind w:left="850"/>
      <w:jc w:val="both"/>
    </w:pPr>
    <w:rPr>
      <w:rFonts w:ascii="Calibri" w:hAnsi="Calibri" w:eastAsia="宋体" w:cs="Times New Roman"/>
      <w:sz w:val="21"/>
      <w:lang w:val="en-US" w:eastAsia="zh-CN" w:bidi="ar-SA"/>
    </w:rPr>
  </w:style>
  <w:style w:type="paragraph" w:customStyle="1" w:styleId="298">
    <w:name w:val="TOC Heading14"/>
    <w:next w:val="1"/>
    <w:autoRedefine/>
    <w:qFormat/>
    <w:uiPriority w:val="0"/>
    <w:pPr>
      <w:wordWrap w:val="0"/>
    </w:pPr>
    <w:rPr>
      <w:rFonts w:ascii="Calibri" w:hAnsi="Calibri" w:eastAsia="宋体" w:cs="Times New Roman"/>
      <w:sz w:val="32"/>
      <w:lang w:val="en-US" w:eastAsia="zh-CN" w:bidi="ar-SA"/>
    </w:rPr>
  </w:style>
  <w:style w:type="paragraph" w:customStyle="1" w:styleId="299">
    <w:name w:val="Char Char Char Char Char Char Char1"/>
    <w:basedOn w:val="1"/>
    <w:next w:val="300"/>
    <w:autoRedefine/>
    <w:qFormat/>
    <w:uiPriority w:val="0"/>
    <w:pPr>
      <w:widowControl/>
      <w:spacing w:after="160" w:line="240" w:lineRule="exact"/>
    </w:pPr>
    <w:rPr>
      <w:rFonts w:hAnsi="Calibri"/>
      <w:kern w:val="0"/>
      <w:szCs w:val="20"/>
    </w:rPr>
  </w:style>
  <w:style w:type="paragraph" w:customStyle="1" w:styleId="300">
    <w:name w:val="toc 67"/>
    <w:next w:val="1"/>
    <w:autoRedefine/>
    <w:qFormat/>
    <w:uiPriority w:val="0"/>
    <w:pPr>
      <w:wordWrap w:val="0"/>
      <w:ind w:left="2125"/>
      <w:jc w:val="both"/>
    </w:pPr>
    <w:rPr>
      <w:rFonts w:ascii="Calibri" w:hAnsi="Calibri" w:eastAsia="宋体" w:cs="Times New Roman"/>
      <w:sz w:val="21"/>
      <w:lang w:val="en-US" w:eastAsia="zh-CN" w:bidi="ar-SA"/>
    </w:rPr>
  </w:style>
  <w:style w:type="paragraph" w:customStyle="1" w:styleId="301">
    <w:name w:val="列出段落4"/>
    <w:basedOn w:val="1"/>
    <w:next w:val="302"/>
    <w:autoRedefine/>
    <w:qFormat/>
    <w:uiPriority w:val="0"/>
    <w:pPr>
      <w:ind w:firstLine="420"/>
    </w:pPr>
    <w:rPr>
      <w:rFonts w:hAnsi="Calibri"/>
      <w:kern w:val="0"/>
      <w:szCs w:val="20"/>
    </w:rPr>
  </w:style>
  <w:style w:type="paragraph" w:customStyle="1" w:styleId="302">
    <w:name w:val="TOC Heading9"/>
    <w:next w:val="1"/>
    <w:autoRedefine/>
    <w:qFormat/>
    <w:uiPriority w:val="0"/>
    <w:pPr>
      <w:wordWrap w:val="0"/>
    </w:pPr>
    <w:rPr>
      <w:rFonts w:ascii="Calibri" w:hAnsi="Calibri" w:eastAsia="宋体" w:cs="Times New Roman"/>
      <w:sz w:val="32"/>
      <w:lang w:val="en-US" w:eastAsia="zh-CN" w:bidi="ar-SA"/>
    </w:rPr>
  </w:style>
  <w:style w:type="paragraph" w:customStyle="1" w:styleId="303">
    <w:name w:val="xl71"/>
    <w:basedOn w:val="1"/>
    <w:next w:val="304"/>
    <w:autoRedefine/>
    <w:qFormat/>
    <w:uiPriority w:val="0"/>
    <w:pPr>
      <w:widowControl/>
      <w:shd w:val="clear" w:color="000000" w:fill="FFFFFF"/>
      <w:spacing w:before="280" w:after="280"/>
    </w:pPr>
    <w:rPr>
      <w:rFonts w:ascii="宋体" w:hAnsi="Calibri"/>
      <w:kern w:val="0"/>
      <w:sz w:val="24"/>
      <w:szCs w:val="20"/>
    </w:rPr>
  </w:style>
  <w:style w:type="paragraph" w:customStyle="1" w:styleId="304">
    <w:name w:val="toc 115"/>
    <w:next w:val="1"/>
    <w:autoRedefine/>
    <w:qFormat/>
    <w:uiPriority w:val="0"/>
    <w:pPr>
      <w:wordWrap w:val="0"/>
      <w:jc w:val="both"/>
    </w:pPr>
    <w:rPr>
      <w:rFonts w:ascii="Calibri" w:hAnsi="Calibri" w:eastAsia="宋体" w:cs="Times New Roman"/>
      <w:sz w:val="21"/>
      <w:lang w:val="en-US" w:eastAsia="zh-CN" w:bidi="ar-SA"/>
    </w:rPr>
  </w:style>
  <w:style w:type="paragraph" w:customStyle="1" w:styleId="305">
    <w:name w:val="toc 51"/>
    <w:next w:val="1"/>
    <w:autoRedefine/>
    <w:qFormat/>
    <w:uiPriority w:val="0"/>
    <w:pPr>
      <w:wordWrap w:val="0"/>
      <w:ind w:left="1700"/>
      <w:jc w:val="both"/>
    </w:pPr>
    <w:rPr>
      <w:rFonts w:ascii="Calibri" w:hAnsi="Calibri" w:eastAsia="宋体" w:cs="Times New Roman"/>
      <w:sz w:val="21"/>
      <w:lang w:val="en-US" w:eastAsia="zh-CN" w:bidi="ar-SA"/>
    </w:rPr>
  </w:style>
  <w:style w:type="paragraph" w:customStyle="1" w:styleId="306">
    <w:name w:val="toc 47"/>
    <w:next w:val="1"/>
    <w:autoRedefine/>
    <w:qFormat/>
    <w:uiPriority w:val="0"/>
    <w:pPr>
      <w:wordWrap w:val="0"/>
      <w:ind w:left="1275"/>
      <w:jc w:val="both"/>
    </w:pPr>
    <w:rPr>
      <w:rFonts w:ascii="Calibri" w:hAnsi="Calibri" w:eastAsia="宋体" w:cs="Times New Roman"/>
      <w:sz w:val="21"/>
      <w:lang w:val="en-US" w:eastAsia="zh-CN" w:bidi="ar-SA"/>
    </w:rPr>
  </w:style>
  <w:style w:type="paragraph" w:customStyle="1" w:styleId="307">
    <w:name w:val="xl108"/>
    <w:basedOn w:val="1"/>
    <w:next w:val="308"/>
    <w:autoRedefine/>
    <w:qFormat/>
    <w:uiPriority w:val="0"/>
    <w:pPr>
      <w:widowControl/>
      <w:shd w:val="clear" w:color="000000" w:fill="FFFFFF"/>
      <w:spacing w:before="280" w:after="280"/>
    </w:pPr>
    <w:rPr>
      <w:rFonts w:ascii="宋体" w:hAnsi="Calibri"/>
      <w:kern w:val="0"/>
      <w:sz w:val="18"/>
      <w:szCs w:val="20"/>
    </w:rPr>
  </w:style>
  <w:style w:type="paragraph" w:customStyle="1" w:styleId="308">
    <w:name w:val="toc 18"/>
    <w:next w:val="1"/>
    <w:autoRedefine/>
    <w:qFormat/>
    <w:uiPriority w:val="0"/>
    <w:pPr>
      <w:wordWrap w:val="0"/>
      <w:jc w:val="both"/>
    </w:pPr>
    <w:rPr>
      <w:rFonts w:ascii="Calibri" w:hAnsi="Calibri" w:eastAsia="宋体" w:cs="Times New Roman"/>
      <w:sz w:val="21"/>
      <w:lang w:val="en-US" w:eastAsia="zh-CN" w:bidi="ar-SA"/>
    </w:rPr>
  </w:style>
  <w:style w:type="paragraph" w:customStyle="1" w:styleId="309">
    <w:name w:val="TOC Heading7"/>
    <w:next w:val="1"/>
    <w:autoRedefine/>
    <w:qFormat/>
    <w:uiPriority w:val="0"/>
    <w:pPr>
      <w:wordWrap w:val="0"/>
    </w:pPr>
    <w:rPr>
      <w:rFonts w:ascii="Calibri" w:hAnsi="Calibri" w:eastAsia="宋体" w:cs="Times New Roman"/>
      <w:sz w:val="32"/>
      <w:lang w:val="en-US" w:eastAsia="zh-CN" w:bidi="ar-SA"/>
    </w:rPr>
  </w:style>
  <w:style w:type="character" w:customStyle="1" w:styleId="310">
    <w:name w:val="副标题 Char"/>
    <w:basedOn w:val="46"/>
    <w:link w:val="31"/>
    <w:autoRedefine/>
    <w:qFormat/>
    <w:uiPriority w:val="0"/>
    <w:rPr>
      <w:rFonts w:ascii="Calibri" w:hAnsi="Calibri"/>
      <w:sz w:val="24"/>
    </w:rPr>
  </w:style>
  <w:style w:type="paragraph" w:customStyle="1" w:styleId="311">
    <w:name w:val="目录 71"/>
    <w:next w:val="1"/>
    <w:autoRedefine/>
    <w:qFormat/>
    <w:uiPriority w:val="0"/>
    <w:pPr>
      <w:wordWrap w:val="0"/>
      <w:ind w:left="2550"/>
      <w:jc w:val="both"/>
    </w:pPr>
    <w:rPr>
      <w:rFonts w:ascii="Calibri" w:hAnsi="Calibri" w:eastAsia="宋体" w:cs="Times New Roman"/>
      <w:sz w:val="21"/>
      <w:lang w:val="en-US" w:eastAsia="zh-CN" w:bidi="ar-SA"/>
    </w:rPr>
  </w:style>
  <w:style w:type="paragraph" w:customStyle="1" w:styleId="312">
    <w:name w:val="toc 413"/>
    <w:next w:val="1"/>
    <w:autoRedefine/>
    <w:qFormat/>
    <w:uiPriority w:val="0"/>
    <w:pPr>
      <w:wordWrap w:val="0"/>
      <w:ind w:left="1275"/>
      <w:jc w:val="both"/>
    </w:pPr>
    <w:rPr>
      <w:rFonts w:ascii="Calibri" w:hAnsi="Calibri" w:eastAsia="宋体" w:cs="Times New Roman"/>
      <w:sz w:val="21"/>
      <w:lang w:val="en-US" w:eastAsia="zh-CN" w:bidi="ar-SA"/>
    </w:rPr>
  </w:style>
  <w:style w:type="paragraph" w:customStyle="1" w:styleId="313">
    <w:name w:val="toc 85"/>
    <w:next w:val="1"/>
    <w:autoRedefine/>
    <w:qFormat/>
    <w:uiPriority w:val="0"/>
    <w:pPr>
      <w:wordWrap w:val="0"/>
      <w:ind w:left="2975"/>
      <w:jc w:val="both"/>
    </w:pPr>
    <w:rPr>
      <w:rFonts w:ascii="Calibri" w:hAnsi="Calibri" w:eastAsia="宋体" w:cs="Times New Roman"/>
      <w:sz w:val="21"/>
      <w:lang w:val="en-US" w:eastAsia="zh-CN" w:bidi="ar-SA"/>
    </w:rPr>
  </w:style>
  <w:style w:type="paragraph" w:customStyle="1" w:styleId="314">
    <w:name w:val="列出段落6"/>
    <w:basedOn w:val="1"/>
    <w:next w:val="315"/>
    <w:autoRedefine/>
    <w:qFormat/>
    <w:uiPriority w:val="0"/>
    <w:pPr>
      <w:ind w:firstLine="420"/>
    </w:pPr>
    <w:rPr>
      <w:rFonts w:hAnsi="Calibri"/>
      <w:kern w:val="0"/>
      <w:szCs w:val="20"/>
    </w:rPr>
  </w:style>
  <w:style w:type="paragraph" w:customStyle="1" w:styleId="315">
    <w:name w:val="toc 86"/>
    <w:next w:val="1"/>
    <w:autoRedefine/>
    <w:qFormat/>
    <w:uiPriority w:val="0"/>
    <w:pPr>
      <w:wordWrap w:val="0"/>
      <w:ind w:left="2975"/>
      <w:jc w:val="both"/>
    </w:pPr>
    <w:rPr>
      <w:rFonts w:ascii="Calibri" w:hAnsi="Calibri" w:eastAsia="宋体" w:cs="Times New Roman"/>
      <w:sz w:val="21"/>
      <w:lang w:val="en-US" w:eastAsia="zh-CN" w:bidi="ar-SA"/>
    </w:rPr>
  </w:style>
  <w:style w:type="paragraph" w:customStyle="1" w:styleId="316">
    <w:name w:val="xl80"/>
    <w:basedOn w:val="1"/>
    <w:next w:val="317"/>
    <w:autoRedefine/>
    <w:qFormat/>
    <w:uiPriority w:val="0"/>
    <w:pPr>
      <w:widowControl/>
      <w:shd w:val="clear" w:color="000000" w:fill="FFFFFF"/>
      <w:spacing w:before="280" w:after="280"/>
      <w:jc w:val="center"/>
    </w:pPr>
    <w:rPr>
      <w:rFonts w:ascii="宋体" w:hAnsi="Calibri"/>
      <w:b/>
      <w:kern w:val="0"/>
      <w:sz w:val="20"/>
      <w:szCs w:val="20"/>
    </w:rPr>
  </w:style>
  <w:style w:type="paragraph" w:customStyle="1" w:styleId="317">
    <w:name w:val="toc 49"/>
    <w:next w:val="1"/>
    <w:autoRedefine/>
    <w:qFormat/>
    <w:uiPriority w:val="0"/>
    <w:pPr>
      <w:wordWrap w:val="0"/>
      <w:ind w:left="1275"/>
      <w:jc w:val="both"/>
    </w:pPr>
    <w:rPr>
      <w:rFonts w:ascii="Calibri" w:hAnsi="Calibri" w:eastAsia="宋体" w:cs="Times New Roman"/>
      <w:sz w:val="21"/>
      <w:lang w:val="en-US" w:eastAsia="zh-CN" w:bidi="ar-SA"/>
    </w:rPr>
  </w:style>
  <w:style w:type="paragraph" w:customStyle="1" w:styleId="318">
    <w:name w:val="Char Char Char Char1"/>
    <w:basedOn w:val="1"/>
    <w:next w:val="319"/>
    <w:autoRedefine/>
    <w:qFormat/>
    <w:uiPriority w:val="0"/>
    <w:pPr>
      <w:widowControl/>
      <w:spacing w:after="160" w:line="240" w:lineRule="exact"/>
    </w:pPr>
    <w:rPr>
      <w:rFonts w:ascii="Verdana" w:hAnsi="Calibri" w:eastAsia="仿宋_GB2312"/>
      <w:kern w:val="0"/>
      <w:sz w:val="24"/>
      <w:szCs w:val="20"/>
    </w:rPr>
  </w:style>
  <w:style w:type="paragraph" w:customStyle="1" w:styleId="319">
    <w:name w:val="toc 713"/>
    <w:next w:val="1"/>
    <w:qFormat/>
    <w:uiPriority w:val="0"/>
    <w:pPr>
      <w:wordWrap w:val="0"/>
      <w:ind w:left="2550"/>
      <w:jc w:val="both"/>
    </w:pPr>
    <w:rPr>
      <w:rFonts w:ascii="Calibri" w:hAnsi="Calibri" w:eastAsia="宋体" w:cs="Times New Roman"/>
      <w:sz w:val="21"/>
      <w:lang w:val="en-US" w:eastAsia="zh-CN" w:bidi="ar-SA"/>
    </w:rPr>
  </w:style>
  <w:style w:type="paragraph" w:customStyle="1" w:styleId="320">
    <w:name w:val="xl102"/>
    <w:basedOn w:val="1"/>
    <w:next w:val="321"/>
    <w:qFormat/>
    <w:uiPriority w:val="0"/>
    <w:pPr>
      <w:widowControl/>
      <w:shd w:val="clear" w:color="000000" w:fill="FFFFFF"/>
      <w:spacing w:before="280" w:after="280"/>
      <w:jc w:val="right"/>
    </w:pPr>
    <w:rPr>
      <w:rFonts w:ascii="宋体" w:hAnsi="Calibri"/>
      <w:kern w:val="0"/>
      <w:sz w:val="20"/>
      <w:szCs w:val="20"/>
    </w:rPr>
  </w:style>
  <w:style w:type="paragraph" w:customStyle="1" w:styleId="321">
    <w:name w:val="toc 17"/>
    <w:next w:val="1"/>
    <w:qFormat/>
    <w:uiPriority w:val="0"/>
    <w:pPr>
      <w:wordWrap w:val="0"/>
      <w:jc w:val="both"/>
    </w:pPr>
    <w:rPr>
      <w:rFonts w:ascii="Calibri" w:hAnsi="Calibri" w:eastAsia="宋体" w:cs="Times New Roman"/>
      <w:sz w:val="21"/>
      <w:lang w:val="en-US" w:eastAsia="zh-CN" w:bidi="ar-SA"/>
    </w:rPr>
  </w:style>
  <w:style w:type="paragraph" w:customStyle="1" w:styleId="322">
    <w:name w:val="toc 46"/>
    <w:next w:val="1"/>
    <w:qFormat/>
    <w:uiPriority w:val="0"/>
    <w:pPr>
      <w:wordWrap w:val="0"/>
      <w:ind w:left="1275"/>
      <w:jc w:val="both"/>
    </w:pPr>
    <w:rPr>
      <w:rFonts w:ascii="Calibri" w:hAnsi="Calibri" w:eastAsia="宋体" w:cs="Times New Roman"/>
      <w:sz w:val="21"/>
      <w:lang w:val="en-US" w:eastAsia="zh-CN" w:bidi="ar-SA"/>
    </w:rPr>
  </w:style>
  <w:style w:type="paragraph" w:customStyle="1" w:styleId="323">
    <w:name w:val="toc 311"/>
    <w:next w:val="1"/>
    <w:autoRedefine/>
    <w:qFormat/>
    <w:uiPriority w:val="0"/>
    <w:pPr>
      <w:wordWrap w:val="0"/>
      <w:ind w:left="850"/>
      <w:jc w:val="both"/>
    </w:pPr>
    <w:rPr>
      <w:rFonts w:ascii="Calibri" w:hAnsi="Calibri" w:eastAsia="宋体" w:cs="Times New Roman"/>
      <w:sz w:val="21"/>
      <w:lang w:val="en-US" w:eastAsia="zh-CN" w:bidi="ar-SA"/>
    </w:rPr>
  </w:style>
  <w:style w:type="paragraph" w:customStyle="1" w:styleId="324">
    <w:name w:val="xl65"/>
    <w:basedOn w:val="1"/>
    <w:next w:val="225"/>
    <w:autoRedefine/>
    <w:qFormat/>
    <w:uiPriority w:val="0"/>
    <w:pPr>
      <w:widowControl/>
      <w:shd w:val="clear" w:color="000000" w:fill="FFFFFF"/>
      <w:spacing w:before="280" w:after="280"/>
      <w:jc w:val="center"/>
    </w:pPr>
    <w:rPr>
      <w:rFonts w:ascii="宋体" w:hAnsi="Calibri"/>
      <w:kern w:val="0"/>
      <w:sz w:val="20"/>
      <w:szCs w:val="20"/>
    </w:rPr>
  </w:style>
  <w:style w:type="paragraph" w:customStyle="1" w:styleId="325">
    <w:name w:val="toc 94"/>
    <w:next w:val="1"/>
    <w:autoRedefine/>
    <w:qFormat/>
    <w:uiPriority w:val="0"/>
    <w:pPr>
      <w:wordWrap w:val="0"/>
      <w:ind w:left="3400"/>
      <w:jc w:val="both"/>
    </w:pPr>
    <w:rPr>
      <w:rFonts w:ascii="Calibri" w:hAnsi="Calibri" w:eastAsia="宋体" w:cs="Times New Roman"/>
      <w:sz w:val="21"/>
      <w:lang w:val="en-US" w:eastAsia="zh-CN" w:bidi="ar-SA"/>
    </w:rPr>
  </w:style>
  <w:style w:type="paragraph" w:customStyle="1" w:styleId="326">
    <w:name w:val="toc 55"/>
    <w:next w:val="1"/>
    <w:qFormat/>
    <w:uiPriority w:val="0"/>
    <w:pPr>
      <w:wordWrap w:val="0"/>
      <w:ind w:left="1700"/>
      <w:jc w:val="both"/>
    </w:pPr>
    <w:rPr>
      <w:rFonts w:ascii="Calibri" w:hAnsi="Calibri" w:eastAsia="宋体" w:cs="Times New Roman"/>
      <w:sz w:val="21"/>
      <w:lang w:val="en-US" w:eastAsia="zh-CN" w:bidi="ar-SA"/>
    </w:rPr>
  </w:style>
  <w:style w:type="paragraph" w:customStyle="1" w:styleId="327">
    <w:name w:val="toc 812"/>
    <w:next w:val="1"/>
    <w:autoRedefine/>
    <w:qFormat/>
    <w:uiPriority w:val="0"/>
    <w:pPr>
      <w:wordWrap w:val="0"/>
      <w:ind w:left="2975"/>
      <w:jc w:val="both"/>
    </w:pPr>
    <w:rPr>
      <w:rFonts w:ascii="Calibri" w:hAnsi="Calibri" w:eastAsia="宋体" w:cs="Times New Roman"/>
      <w:sz w:val="21"/>
      <w:lang w:val="en-US" w:eastAsia="zh-CN" w:bidi="ar-SA"/>
    </w:rPr>
  </w:style>
  <w:style w:type="paragraph" w:customStyle="1" w:styleId="328">
    <w:name w:val="xl75"/>
    <w:basedOn w:val="1"/>
    <w:next w:val="329"/>
    <w:autoRedefine/>
    <w:qFormat/>
    <w:uiPriority w:val="0"/>
    <w:pPr>
      <w:widowControl/>
      <w:shd w:val="clear" w:color="000000" w:fill="FFFFFF"/>
      <w:spacing w:before="280" w:after="280"/>
    </w:pPr>
    <w:rPr>
      <w:rFonts w:ascii="宋体" w:hAnsi="Calibri"/>
      <w:kern w:val="0"/>
      <w:sz w:val="20"/>
      <w:szCs w:val="20"/>
    </w:rPr>
  </w:style>
  <w:style w:type="paragraph" w:customStyle="1" w:styleId="329">
    <w:name w:val="toc 914"/>
    <w:next w:val="1"/>
    <w:autoRedefine/>
    <w:qFormat/>
    <w:uiPriority w:val="0"/>
    <w:pPr>
      <w:wordWrap w:val="0"/>
      <w:ind w:left="3400"/>
      <w:jc w:val="both"/>
    </w:pPr>
    <w:rPr>
      <w:rFonts w:ascii="Calibri" w:hAnsi="Calibri" w:eastAsia="宋体" w:cs="Times New Roman"/>
      <w:sz w:val="21"/>
      <w:lang w:val="en-US" w:eastAsia="zh-CN" w:bidi="ar-SA"/>
    </w:rPr>
  </w:style>
  <w:style w:type="paragraph" w:customStyle="1" w:styleId="330">
    <w:name w:val="toc 19"/>
    <w:next w:val="1"/>
    <w:qFormat/>
    <w:uiPriority w:val="0"/>
    <w:pPr>
      <w:wordWrap w:val="0"/>
      <w:jc w:val="both"/>
    </w:pPr>
    <w:rPr>
      <w:rFonts w:ascii="Calibri" w:hAnsi="Calibri" w:eastAsia="宋体" w:cs="Times New Roman"/>
      <w:sz w:val="21"/>
      <w:lang w:val="en-US" w:eastAsia="zh-CN" w:bidi="ar-SA"/>
    </w:rPr>
  </w:style>
  <w:style w:type="paragraph" w:customStyle="1" w:styleId="331">
    <w:name w:val="TOC Heading6"/>
    <w:next w:val="1"/>
    <w:autoRedefine/>
    <w:qFormat/>
    <w:uiPriority w:val="0"/>
    <w:pPr>
      <w:wordWrap w:val="0"/>
    </w:pPr>
    <w:rPr>
      <w:rFonts w:ascii="Calibri" w:hAnsi="Calibri" w:eastAsia="宋体" w:cs="Times New Roman"/>
      <w:sz w:val="32"/>
      <w:lang w:val="en-US" w:eastAsia="zh-CN" w:bidi="ar-SA"/>
    </w:rPr>
  </w:style>
  <w:style w:type="paragraph" w:customStyle="1" w:styleId="332">
    <w:name w:val="toc 52"/>
    <w:next w:val="1"/>
    <w:autoRedefine/>
    <w:qFormat/>
    <w:uiPriority w:val="0"/>
    <w:pPr>
      <w:wordWrap w:val="0"/>
      <w:ind w:left="1700"/>
      <w:jc w:val="both"/>
    </w:pPr>
    <w:rPr>
      <w:rFonts w:ascii="Calibri" w:hAnsi="Calibri" w:eastAsia="宋体" w:cs="Times New Roman"/>
      <w:sz w:val="21"/>
      <w:lang w:val="en-US" w:eastAsia="zh-CN" w:bidi="ar-SA"/>
    </w:rPr>
  </w:style>
  <w:style w:type="paragraph" w:customStyle="1" w:styleId="333">
    <w:name w:val="toc 36"/>
    <w:next w:val="1"/>
    <w:autoRedefine/>
    <w:qFormat/>
    <w:uiPriority w:val="0"/>
    <w:pPr>
      <w:wordWrap w:val="0"/>
      <w:ind w:left="850"/>
      <w:jc w:val="both"/>
    </w:pPr>
    <w:rPr>
      <w:rFonts w:ascii="Calibri" w:hAnsi="Calibri" w:eastAsia="宋体" w:cs="Times New Roman"/>
      <w:sz w:val="21"/>
      <w:lang w:val="en-US" w:eastAsia="zh-CN" w:bidi="ar-SA"/>
    </w:rPr>
  </w:style>
  <w:style w:type="paragraph" w:customStyle="1" w:styleId="334">
    <w:name w:val="toc 82"/>
    <w:next w:val="1"/>
    <w:autoRedefine/>
    <w:qFormat/>
    <w:uiPriority w:val="0"/>
    <w:pPr>
      <w:wordWrap w:val="0"/>
      <w:ind w:left="2975"/>
      <w:jc w:val="both"/>
    </w:pPr>
    <w:rPr>
      <w:rFonts w:ascii="Calibri" w:hAnsi="Calibri" w:eastAsia="宋体" w:cs="Times New Roman"/>
      <w:sz w:val="21"/>
      <w:lang w:val="en-US" w:eastAsia="zh-CN" w:bidi="ar-SA"/>
    </w:rPr>
  </w:style>
  <w:style w:type="paragraph" w:customStyle="1" w:styleId="335">
    <w:name w:val="xl104"/>
    <w:basedOn w:val="1"/>
    <w:next w:val="336"/>
    <w:autoRedefine/>
    <w:qFormat/>
    <w:uiPriority w:val="0"/>
    <w:pPr>
      <w:widowControl/>
      <w:shd w:val="clear" w:color="000000" w:fill="FFFFFF"/>
      <w:spacing w:before="280" w:after="280"/>
      <w:jc w:val="center"/>
    </w:pPr>
    <w:rPr>
      <w:rFonts w:ascii="宋体" w:hAnsi="Calibri"/>
      <w:kern w:val="0"/>
      <w:sz w:val="20"/>
      <w:szCs w:val="20"/>
    </w:rPr>
  </w:style>
  <w:style w:type="paragraph" w:customStyle="1" w:styleId="336">
    <w:name w:val="toc 210"/>
    <w:next w:val="1"/>
    <w:qFormat/>
    <w:uiPriority w:val="0"/>
    <w:pPr>
      <w:wordWrap w:val="0"/>
      <w:ind w:left="425"/>
      <w:jc w:val="both"/>
    </w:pPr>
    <w:rPr>
      <w:rFonts w:ascii="Calibri" w:hAnsi="Calibri" w:eastAsia="宋体" w:cs="Times New Roman"/>
      <w:sz w:val="21"/>
      <w:lang w:val="en-US" w:eastAsia="zh-CN" w:bidi="ar-SA"/>
    </w:rPr>
  </w:style>
  <w:style w:type="paragraph" w:customStyle="1" w:styleId="337">
    <w:name w:val="toc 110"/>
    <w:next w:val="1"/>
    <w:qFormat/>
    <w:uiPriority w:val="0"/>
    <w:pPr>
      <w:wordWrap w:val="0"/>
      <w:jc w:val="both"/>
    </w:pPr>
    <w:rPr>
      <w:rFonts w:ascii="Calibri" w:hAnsi="Calibri" w:eastAsia="宋体" w:cs="Times New Roman"/>
      <w:sz w:val="21"/>
      <w:lang w:val="en-US" w:eastAsia="zh-CN" w:bidi="ar-SA"/>
    </w:rPr>
  </w:style>
  <w:style w:type="paragraph" w:customStyle="1" w:styleId="338">
    <w:name w:val="toc 66"/>
    <w:next w:val="1"/>
    <w:qFormat/>
    <w:uiPriority w:val="0"/>
    <w:pPr>
      <w:wordWrap w:val="0"/>
      <w:ind w:left="2125"/>
      <w:jc w:val="both"/>
    </w:pPr>
    <w:rPr>
      <w:rFonts w:ascii="Calibri" w:hAnsi="Calibri" w:eastAsia="宋体" w:cs="Times New Roman"/>
      <w:sz w:val="21"/>
      <w:lang w:val="en-US" w:eastAsia="zh-CN" w:bidi="ar-SA"/>
    </w:rPr>
  </w:style>
  <w:style w:type="paragraph" w:customStyle="1" w:styleId="339">
    <w:name w:val="toc 31"/>
    <w:next w:val="1"/>
    <w:autoRedefine/>
    <w:qFormat/>
    <w:uiPriority w:val="0"/>
    <w:pPr>
      <w:wordWrap w:val="0"/>
      <w:ind w:left="850"/>
      <w:jc w:val="both"/>
    </w:pPr>
    <w:rPr>
      <w:rFonts w:ascii="Calibri" w:hAnsi="Calibri" w:eastAsia="宋体" w:cs="Times New Roman"/>
      <w:sz w:val="21"/>
      <w:lang w:val="en-US" w:eastAsia="zh-CN" w:bidi="ar-SA"/>
    </w:rPr>
  </w:style>
  <w:style w:type="paragraph" w:customStyle="1" w:styleId="340">
    <w:name w:val="toc 93"/>
    <w:next w:val="1"/>
    <w:autoRedefine/>
    <w:qFormat/>
    <w:uiPriority w:val="0"/>
    <w:pPr>
      <w:wordWrap w:val="0"/>
      <w:ind w:left="3400"/>
      <w:jc w:val="both"/>
    </w:pPr>
    <w:rPr>
      <w:rFonts w:ascii="Calibri" w:hAnsi="Calibri" w:eastAsia="宋体" w:cs="Times New Roman"/>
      <w:sz w:val="21"/>
      <w:lang w:val="en-US" w:eastAsia="zh-CN" w:bidi="ar-SA"/>
    </w:rPr>
  </w:style>
  <w:style w:type="paragraph" w:customStyle="1" w:styleId="341">
    <w:name w:val="toc 614"/>
    <w:next w:val="1"/>
    <w:autoRedefine/>
    <w:qFormat/>
    <w:uiPriority w:val="0"/>
    <w:pPr>
      <w:wordWrap w:val="0"/>
      <w:ind w:left="2125"/>
      <w:jc w:val="both"/>
    </w:pPr>
    <w:rPr>
      <w:rFonts w:ascii="Calibri" w:hAnsi="Calibri" w:eastAsia="宋体" w:cs="Times New Roman"/>
      <w:sz w:val="21"/>
      <w:lang w:val="en-US" w:eastAsia="zh-CN" w:bidi="ar-SA"/>
    </w:rPr>
  </w:style>
  <w:style w:type="paragraph" w:customStyle="1" w:styleId="342">
    <w:name w:val="无间隔1"/>
    <w:next w:val="337"/>
    <w:autoRedefine/>
    <w:qFormat/>
    <w:uiPriority w:val="0"/>
    <w:pPr>
      <w:widowControl w:val="0"/>
      <w:jc w:val="both"/>
    </w:pPr>
    <w:rPr>
      <w:rFonts w:ascii="Calibri" w:hAnsi="Calibri" w:eastAsia="宋体" w:cs="Times New Roman"/>
      <w:sz w:val="22"/>
      <w:lang w:val="en-US" w:eastAsia="zh-CN" w:bidi="ar-SA"/>
    </w:rPr>
  </w:style>
  <w:style w:type="paragraph" w:customStyle="1" w:styleId="343">
    <w:name w:val="目录 41"/>
    <w:next w:val="1"/>
    <w:autoRedefine/>
    <w:qFormat/>
    <w:uiPriority w:val="0"/>
    <w:pPr>
      <w:wordWrap w:val="0"/>
      <w:ind w:left="1275"/>
      <w:jc w:val="both"/>
    </w:pPr>
    <w:rPr>
      <w:rFonts w:ascii="Calibri" w:hAnsi="Calibri" w:eastAsia="宋体" w:cs="Times New Roman"/>
      <w:sz w:val="21"/>
      <w:lang w:val="en-US" w:eastAsia="zh-CN" w:bidi="ar-SA"/>
    </w:rPr>
  </w:style>
  <w:style w:type="paragraph" w:customStyle="1" w:styleId="344">
    <w:name w:val="xl105"/>
    <w:basedOn w:val="1"/>
    <w:next w:val="345"/>
    <w:autoRedefine/>
    <w:qFormat/>
    <w:uiPriority w:val="0"/>
    <w:pPr>
      <w:widowControl/>
      <w:shd w:val="clear" w:color="000000" w:fill="FFFFFF"/>
      <w:spacing w:before="280" w:after="280"/>
    </w:pPr>
    <w:rPr>
      <w:rFonts w:ascii="宋体" w:hAnsi="Calibri"/>
      <w:kern w:val="0"/>
      <w:sz w:val="18"/>
      <w:szCs w:val="20"/>
    </w:rPr>
  </w:style>
  <w:style w:type="paragraph" w:customStyle="1" w:styleId="345">
    <w:name w:val="toc 615"/>
    <w:next w:val="1"/>
    <w:qFormat/>
    <w:uiPriority w:val="0"/>
    <w:pPr>
      <w:wordWrap w:val="0"/>
      <w:ind w:left="2125"/>
      <w:jc w:val="both"/>
    </w:pPr>
    <w:rPr>
      <w:rFonts w:ascii="Calibri" w:hAnsi="Calibri" w:eastAsia="宋体" w:cs="Times New Roman"/>
      <w:sz w:val="21"/>
      <w:lang w:val="en-US" w:eastAsia="zh-CN" w:bidi="ar-SA"/>
    </w:rPr>
  </w:style>
  <w:style w:type="paragraph" w:customStyle="1" w:styleId="346">
    <w:name w:val="toc 41"/>
    <w:next w:val="1"/>
    <w:qFormat/>
    <w:uiPriority w:val="0"/>
    <w:pPr>
      <w:wordWrap w:val="0"/>
      <w:ind w:left="1275"/>
      <w:jc w:val="both"/>
    </w:pPr>
    <w:rPr>
      <w:rFonts w:ascii="Calibri" w:hAnsi="Calibri" w:eastAsia="宋体" w:cs="Times New Roman"/>
      <w:sz w:val="21"/>
      <w:lang w:val="en-US" w:eastAsia="zh-CN" w:bidi="ar-SA"/>
    </w:rPr>
  </w:style>
  <w:style w:type="paragraph" w:customStyle="1" w:styleId="347">
    <w:name w:val="toc 81"/>
    <w:next w:val="1"/>
    <w:qFormat/>
    <w:uiPriority w:val="0"/>
    <w:pPr>
      <w:wordWrap w:val="0"/>
      <w:ind w:left="2975"/>
      <w:jc w:val="both"/>
    </w:pPr>
    <w:rPr>
      <w:rFonts w:ascii="Calibri" w:hAnsi="Calibri" w:eastAsia="宋体" w:cs="Times New Roman"/>
      <w:sz w:val="21"/>
      <w:lang w:val="en-US" w:eastAsia="zh-CN" w:bidi="ar-SA"/>
    </w:rPr>
  </w:style>
  <w:style w:type="paragraph" w:customStyle="1" w:styleId="348">
    <w:name w:val="xl111"/>
    <w:basedOn w:val="1"/>
    <w:next w:val="349"/>
    <w:qFormat/>
    <w:uiPriority w:val="0"/>
    <w:pPr>
      <w:widowControl/>
      <w:shd w:val="clear" w:color="000000" w:fill="FFFFFF"/>
      <w:spacing w:before="280" w:after="280"/>
      <w:jc w:val="center"/>
    </w:pPr>
    <w:rPr>
      <w:rFonts w:ascii="宋体" w:hAnsi="Calibri"/>
      <w:b/>
      <w:kern w:val="0"/>
      <w:sz w:val="20"/>
      <w:szCs w:val="20"/>
    </w:rPr>
  </w:style>
  <w:style w:type="paragraph" w:customStyle="1" w:styleId="349">
    <w:name w:val="toc 88"/>
    <w:next w:val="1"/>
    <w:qFormat/>
    <w:uiPriority w:val="0"/>
    <w:pPr>
      <w:wordWrap w:val="0"/>
      <w:ind w:left="2975"/>
      <w:jc w:val="both"/>
    </w:pPr>
    <w:rPr>
      <w:rFonts w:ascii="Calibri" w:hAnsi="Calibri" w:eastAsia="宋体" w:cs="Times New Roman"/>
      <w:sz w:val="21"/>
      <w:lang w:val="en-US" w:eastAsia="zh-CN" w:bidi="ar-SA"/>
    </w:rPr>
  </w:style>
  <w:style w:type="paragraph" w:customStyle="1" w:styleId="350">
    <w:name w:val="toc 84"/>
    <w:next w:val="1"/>
    <w:qFormat/>
    <w:uiPriority w:val="0"/>
    <w:pPr>
      <w:wordWrap w:val="0"/>
      <w:ind w:left="2975"/>
      <w:jc w:val="both"/>
    </w:pPr>
    <w:rPr>
      <w:rFonts w:ascii="Calibri" w:hAnsi="Calibri" w:eastAsia="宋体" w:cs="Times New Roman"/>
      <w:sz w:val="21"/>
      <w:lang w:val="en-US" w:eastAsia="zh-CN" w:bidi="ar-SA"/>
    </w:rPr>
  </w:style>
  <w:style w:type="paragraph" w:customStyle="1" w:styleId="351">
    <w:name w:val="p0"/>
    <w:basedOn w:val="1"/>
    <w:next w:val="352"/>
    <w:qFormat/>
    <w:uiPriority w:val="0"/>
    <w:pPr>
      <w:widowControl/>
      <w:spacing w:before="280" w:after="280"/>
    </w:pPr>
    <w:rPr>
      <w:rFonts w:ascii="宋体" w:hAnsi="Calibri"/>
      <w:kern w:val="0"/>
      <w:sz w:val="24"/>
      <w:szCs w:val="20"/>
    </w:rPr>
  </w:style>
  <w:style w:type="paragraph" w:customStyle="1" w:styleId="352">
    <w:name w:val="toc 69"/>
    <w:next w:val="1"/>
    <w:qFormat/>
    <w:uiPriority w:val="0"/>
    <w:pPr>
      <w:wordWrap w:val="0"/>
      <w:ind w:left="2125"/>
      <w:jc w:val="both"/>
    </w:pPr>
    <w:rPr>
      <w:rFonts w:ascii="Calibri" w:hAnsi="Calibri" w:eastAsia="宋体" w:cs="Times New Roman"/>
      <w:sz w:val="21"/>
      <w:lang w:val="en-US" w:eastAsia="zh-CN" w:bidi="ar-SA"/>
    </w:rPr>
  </w:style>
  <w:style w:type="paragraph" w:customStyle="1" w:styleId="353">
    <w:name w:val="列出段落11"/>
    <w:basedOn w:val="1"/>
    <w:next w:val="354"/>
    <w:qFormat/>
    <w:uiPriority w:val="0"/>
    <w:pPr>
      <w:widowControl/>
      <w:spacing w:line="360" w:lineRule="auto"/>
      <w:ind w:firstLine="420"/>
    </w:pPr>
    <w:rPr>
      <w:rFonts w:hAnsi="Calibri" w:eastAsia="微软雅黑"/>
      <w:kern w:val="0"/>
      <w:sz w:val="24"/>
      <w:szCs w:val="20"/>
    </w:rPr>
  </w:style>
  <w:style w:type="paragraph" w:customStyle="1" w:styleId="354">
    <w:name w:val="toc 214"/>
    <w:next w:val="1"/>
    <w:qFormat/>
    <w:uiPriority w:val="0"/>
    <w:pPr>
      <w:wordWrap w:val="0"/>
      <w:ind w:left="425"/>
      <w:jc w:val="both"/>
    </w:pPr>
    <w:rPr>
      <w:rFonts w:ascii="Calibri" w:hAnsi="Calibri" w:eastAsia="宋体" w:cs="Times New Roman"/>
      <w:sz w:val="21"/>
      <w:lang w:val="en-US" w:eastAsia="zh-CN" w:bidi="ar-SA"/>
    </w:rPr>
  </w:style>
  <w:style w:type="paragraph" w:customStyle="1" w:styleId="355">
    <w:name w:val="toc 63"/>
    <w:next w:val="1"/>
    <w:qFormat/>
    <w:uiPriority w:val="0"/>
    <w:pPr>
      <w:wordWrap w:val="0"/>
      <w:ind w:left="2125"/>
      <w:jc w:val="both"/>
    </w:pPr>
    <w:rPr>
      <w:rFonts w:ascii="Calibri" w:hAnsi="Calibri" w:eastAsia="宋体" w:cs="Times New Roman"/>
      <w:sz w:val="21"/>
      <w:lang w:val="en-US" w:eastAsia="zh-CN" w:bidi="ar-SA"/>
    </w:rPr>
  </w:style>
  <w:style w:type="paragraph" w:customStyle="1" w:styleId="356">
    <w:name w:val="xl91"/>
    <w:basedOn w:val="1"/>
    <w:next w:val="253"/>
    <w:qFormat/>
    <w:uiPriority w:val="0"/>
    <w:pPr>
      <w:widowControl/>
      <w:shd w:val="clear" w:color="000000" w:fill="FFFFFF"/>
      <w:spacing w:before="280" w:after="280"/>
    </w:pPr>
    <w:rPr>
      <w:rFonts w:ascii="宋体" w:hAnsi="Calibri"/>
      <w:kern w:val="0"/>
      <w:sz w:val="20"/>
      <w:szCs w:val="20"/>
    </w:rPr>
  </w:style>
  <w:style w:type="paragraph" w:customStyle="1" w:styleId="357">
    <w:name w:val="toc 316"/>
    <w:next w:val="1"/>
    <w:qFormat/>
    <w:uiPriority w:val="0"/>
    <w:pPr>
      <w:wordWrap w:val="0"/>
      <w:ind w:left="850"/>
      <w:jc w:val="both"/>
    </w:pPr>
    <w:rPr>
      <w:rFonts w:ascii="Calibri" w:hAnsi="Calibri" w:eastAsia="宋体" w:cs="Times New Roman"/>
      <w:sz w:val="21"/>
      <w:lang w:val="en-US" w:eastAsia="zh-CN" w:bidi="ar-SA"/>
    </w:rPr>
  </w:style>
  <w:style w:type="paragraph" w:customStyle="1" w:styleId="358">
    <w:name w:val="_Style 1"/>
    <w:basedOn w:val="1"/>
    <w:next w:val="359"/>
    <w:qFormat/>
    <w:uiPriority w:val="0"/>
    <w:pPr>
      <w:ind w:firstLine="420"/>
    </w:pPr>
    <w:rPr>
      <w:rFonts w:hAnsi="Calibri"/>
      <w:kern w:val="0"/>
      <w:szCs w:val="20"/>
    </w:rPr>
  </w:style>
  <w:style w:type="paragraph" w:customStyle="1" w:styleId="359">
    <w:name w:val="TOC Heading13"/>
    <w:next w:val="1"/>
    <w:qFormat/>
    <w:uiPriority w:val="0"/>
    <w:pPr>
      <w:wordWrap w:val="0"/>
    </w:pPr>
    <w:rPr>
      <w:rFonts w:ascii="Calibri" w:hAnsi="Calibri" w:eastAsia="宋体" w:cs="Times New Roman"/>
      <w:sz w:val="32"/>
      <w:lang w:val="en-US" w:eastAsia="zh-CN" w:bidi="ar-SA"/>
    </w:rPr>
  </w:style>
  <w:style w:type="paragraph" w:customStyle="1" w:styleId="360">
    <w:name w:val="toc 116"/>
    <w:next w:val="1"/>
    <w:qFormat/>
    <w:uiPriority w:val="0"/>
    <w:pPr>
      <w:wordWrap w:val="0"/>
      <w:jc w:val="both"/>
    </w:pPr>
    <w:rPr>
      <w:rFonts w:ascii="Calibri" w:hAnsi="Calibri" w:eastAsia="宋体" w:cs="Times New Roman"/>
      <w:sz w:val="21"/>
      <w:lang w:val="en-US" w:eastAsia="zh-CN" w:bidi="ar-SA"/>
    </w:rPr>
  </w:style>
  <w:style w:type="paragraph" w:customStyle="1" w:styleId="361">
    <w:name w:val="toc 72"/>
    <w:next w:val="1"/>
    <w:qFormat/>
    <w:uiPriority w:val="0"/>
    <w:pPr>
      <w:wordWrap w:val="0"/>
      <w:ind w:left="2550"/>
      <w:jc w:val="both"/>
    </w:pPr>
    <w:rPr>
      <w:rFonts w:ascii="Calibri" w:hAnsi="Calibri" w:eastAsia="宋体" w:cs="Times New Roman"/>
      <w:sz w:val="21"/>
      <w:lang w:val="en-US" w:eastAsia="zh-CN" w:bidi="ar-SA"/>
    </w:rPr>
  </w:style>
  <w:style w:type="paragraph" w:customStyle="1" w:styleId="362">
    <w:name w:val="x_msonormal"/>
    <w:basedOn w:val="1"/>
    <w:next w:val="312"/>
    <w:qFormat/>
    <w:uiPriority w:val="0"/>
    <w:pPr>
      <w:widowControl/>
      <w:spacing w:before="280" w:after="280"/>
    </w:pPr>
    <w:rPr>
      <w:rFonts w:ascii="PMingLiU" w:hAnsi="Calibri" w:eastAsia="PMingLiU"/>
      <w:kern w:val="0"/>
      <w:sz w:val="24"/>
      <w:szCs w:val="20"/>
    </w:rPr>
  </w:style>
  <w:style w:type="paragraph" w:customStyle="1" w:styleId="363">
    <w:name w:val="toc 310"/>
    <w:next w:val="1"/>
    <w:qFormat/>
    <w:uiPriority w:val="0"/>
    <w:pPr>
      <w:wordWrap w:val="0"/>
      <w:ind w:left="850"/>
      <w:jc w:val="both"/>
    </w:pPr>
    <w:rPr>
      <w:rFonts w:ascii="Calibri" w:hAnsi="Calibri" w:eastAsia="宋体" w:cs="Times New Roman"/>
      <w:sz w:val="21"/>
      <w:lang w:val="en-US" w:eastAsia="zh-CN" w:bidi="ar-SA"/>
    </w:rPr>
  </w:style>
  <w:style w:type="paragraph" w:customStyle="1" w:styleId="364">
    <w:name w:val="toc 83"/>
    <w:next w:val="1"/>
    <w:qFormat/>
    <w:uiPriority w:val="0"/>
    <w:pPr>
      <w:wordWrap w:val="0"/>
      <w:ind w:left="2975"/>
      <w:jc w:val="both"/>
    </w:pPr>
    <w:rPr>
      <w:rFonts w:ascii="Calibri" w:hAnsi="Calibri" w:eastAsia="宋体" w:cs="Times New Roman"/>
      <w:sz w:val="21"/>
      <w:lang w:val="en-US" w:eastAsia="zh-CN" w:bidi="ar-SA"/>
    </w:rPr>
  </w:style>
  <w:style w:type="paragraph" w:customStyle="1" w:styleId="365">
    <w:name w:val="TOC Heading17"/>
    <w:next w:val="1"/>
    <w:qFormat/>
    <w:uiPriority w:val="0"/>
    <w:pPr>
      <w:wordWrap w:val="0"/>
    </w:pPr>
    <w:rPr>
      <w:rFonts w:ascii="Calibri" w:hAnsi="Calibri" w:eastAsia="宋体" w:cs="Times New Roman"/>
      <w:sz w:val="32"/>
      <w:lang w:val="en-US" w:eastAsia="zh-CN" w:bidi="ar-SA"/>
    </w:rPr>
  </w:style>
  <w:style w:type="paragraph" w:customStyle="1" w:styleId="366">
    <w:name w:val="toc 911"/>
    <w:next w:val="1"/>
    <w:qFormat/>
    <w:uiPriority w:val="0"/>
    <w:pPr>
      <w:wordWrap w:val="0"/>
      <w:ind w:left="3400"/>
      <w:jc w:val="both"/>
    </w:pPr>
    <w:rPr>
      <w:rFonts w:ascii="Calibri" w:hAnsi="Calibri" w:eastAsia="宋体" w:cs="Times New Roman"/>
      <w:sz w:val="21"/>
      <w:lang w:val="en-US" w:eastAsia="zh-CN" w:bidi="ar-SA"/>
    </w:rPr>
  </w:style>
  <w:style w:type="paragraph" w:customStyle="1" w:styleId="367">
    <w:name w:val="toc 811"/>
    <w:next w:val="1"/>
    <w:qFormat/>
    <w:uiPriority w:val="0"/>
    <w:pPr>
      <w:wordWrap w:val="0"/>
      <w:ind w:left="2975"/>
      <w:jc w:val="both"/>
    </w:pPr>
    <w:rPr>
      <w:rFonts w:ascii="Calibri" w:hAnsi="Calibri" w:eastAsia="宋体" w:cs="Times New Roman"/>
      <w:sz w:val="21"/>
      <w:lang w:val="en-US" w:eastAsia="zh-CN" w:bidi="ar-SA"/>
    </w:rPr>
  </w:style>
  <w:style w:type="paragraph" w:customStyle="1" w:styleId="368">
    <w:name w:val="目录 31"/>
    <w:next w:val="1"/>
    <w:qFormat/>
    <w:uiPriority w:val="0"/>
    <w:pPr>
      <w:wordWrap w:val="0"/>
      <w:ind w:left="850"/>
      <w:jc w:val="both"/>
    </w:pPr>
    <w:rPr>
      <w:rFonts w:ascii="Calibri" w:hAnsi="Calibri" w:eastAsia="宋体" w:cs="Times New Roman"/>
      <w:sz w:val="21"/>
      <w:lang w:val="en-US" w:eastAsia="zh-CN" w:bidi="ar-SA"/>
    </w:rPr>
  </w:style>
  <w:style w:type="paragraph" w:customStyle="1" w:styleId="369">
    <w:name w:val="xl118"/>
    <w:basedOn w:val="1"/>
    <w:next w:val="243"/>
    <w:qFormat/>
    <w:uiPriority w:val="0"/>
    <w:pPr>
      <w:widowControl/>
      <w:shd w:val="clear" w:color="000000" w:fill="FFFFFF"/>
      <w:spacing w:before="280" w:after="280"/>
      <w:jc w:val="center"/>
    </w:pPr>
    <w:rPr>
      <w:rFonts w:ascii="宋体" w:hAnsi="Calibri"/>
      <w:b/>
      <w:kern w:val="0"/>
      <w:sz w:val="20"/>
      <w:szCs w:val="20"/>
    </w:rPr>
  </w:style>
  <w:style w:type="paragraph" w:customStyle="1" w:styleId="370">
    <w:name w:val="xl83"/>
    <w:basedOn w:val="1"/>
    <w:next w:val="298"/>
    <w:qFormat/>
    <w:uiPriority w:val="0"/>
    <w:pPr>
      <w:widowControl/>
      <w:shd w:val="clear" w:color="000000" w:fill="FFFFFF"/>
      <w:spacing w:before="280" w:after="280"/>
    </w:pPr>
    <w:rPr>
      <w:rFonts w:ascii="宋体" w:hAnsi="Calibri"/>
      <w:kern w:val="0"/>
      <w:sz w:val="20"/>
      <w:szCs w:val="20"/>
    </w:rPr>
  </w:style>
  <w:style w:type="paragraph" w:customStyle="1" w:styleId="371">
    <w:name w:val="xl103"/>
    <w:basedOn w:val="1"/>
    <w:next w:val="372"/>
    <w:qFormat/>
    <w:uiPriority w:val="0"/>
    <w:pPr>
      <w:widowControl/>
      <w:shd w:val="clear" w:color="000000" w:fill="FFFFFF"/>
      <w:spacing w:before="280" w:after="280"/>
    </w:pPr>
    <w:rPr>
      <w:rFonts w:ascii="宋体" w:hAnsi="Calibri"/>
      <w:kern w:val="0"/>
      <w:sz w:val="20"/>
      <w:szCs w:val="20"/>
    </w:rPr>
  </w:style>
  <w:style w:type="paragraph" w:customStyle="1" w:styleId="372">
    <w:name w:val="toc 111"/>
    <w:next w:val="1"/>
    <w:qFormat/>
    <w:uiPriority w:val="0"/>
    <w:pPr>
      <w:wordWrap w:val="0"/>
      <w:jc w:val="both"/>
    </w:pPr>
    <w:rPr>
      <w:rFonts w:ascii="Calibri" w:hAnsi="Calibri" w:eastAsia="宋体" w:cs="Times New Roman"/>
      <w:sz w:val="21"/>
      <w:lang w:val="en-US" w:eastAsia="zh-CN" w:bidi="ar-SA"/>
    </w:rPr>
  </w:style>
  <w:style w:type="paragraph" w:customStyle="1" w:styleId="373">
    <w:name w:val="xl68"/>
    <w:basedOn w:val="1"/>
    <w:next w:val="374"/>
    <w:qFormat/>
    <w:uiPriority w:val="0"/>
    <w:pPr>
      <w:widowControl/>
      <w:shd w:val="clear" w:color="000000" w:fill="FFFFFF"/>
      <w:spacing w:before="280" w:after="280"/>
    </w:pPr>
    <w:rPr>
      <w:rFonts w:ascii="宋体" w:hAnsi="Calibri"/>
      <w:b/>
      <w:kern w:val="0"/>
      <w:sz w:val="20"/>
      <w:szCs w:val="20"/>
    </w:rPr>
  </w:style>
  <w:style w:type="paragraph" w:customStyle="1" w:styleId="374">
    <w:name w:val="TOC Heading16"/>
    <w:next w:val="1"/>
    <w:qFormat/>
    <w:uiPriority w:val="0"/>
    <w:pPr>
      <w:wordWrap w:val="0"/>
    </w:pPr>
    <w:rPr>
      <w:rFonts w:ascii="Calibri" w:hAnsi="Calibri" w:eastAsia="宋体" w:cs="Times New Roman"/>
      <w:sz w:val="32"/>
      <w:lang w:val="en-US" w:eastAsia="zh-CN" w:bidi="ar-SA"/>
    </w:rPr>
  </w:style>
  <w:style w:type="paragraph" w:customStyle="1" w:styleId="375">
    <w:name w:val="toc 113"/>
    <w:next w:val="1"/>
    <w:qFormat/>
    <w:uiPriority w:val="0"/>
    <w:pPr>
      <w:wordWrap w:val="0"/>
      <w:jc w:val="both"/>
    </w:pPr>
    <w:rPr>
      <w:rFonts w:ascii="Calibri" w:hAnsi="Calibri" w:eastAsia="宋体" w:cs="Times New Roman"/>
      <w:sz w:val="21"/>
      <w:lang w:val="en-US" w:eastAsia="zh-CN" w:bidi="ar-SA"/>
    </w:rPr>
  </w:style>
  <w:style w:type="paragraph" w:customStyle="1" w:styleId="376">
    <w:name w:val="xl94"/>
    <w:basedOn w:val="1"/>
    <w:next w:val="267"/>
    <w:qFormat/>
    <w:uiPriority w:val="0"/>
    <w:pPr>
      <w:widowControl/>
      <w:shd w:val="clear" w:color="000000" w:fill="FFFFFF"/>
      <w:spacing w:before="280" w:after="280"/>
      <w:jc w:val="center"/>
    </w:pPr>
    <w:rPr>
      <w:rFonts w:ascii="宋体" w:hAnsi="Calibri"/>
      <w:kern w:val="0"/>
      <w:sz w:val="20"/>
      <w:szCs w:val="20"/>
    </w:rPr>
  </w:style>
  <w:style w:type="paragraph" w:customStyle="1" w:styleId="377">
    <w:name w:val="toc 53"/>
    <w:next w:val="1"/>
    <w:qFormat/>
    <w:uiPriority w:val="0"/>
    <w:pPr>
      <w:wordWrap w:val="0"/>
      <w:ind w:left="1700"/>
      <w:jc w:val="both"/>
    </w:pPr>
    <w:rPr>
      <w:rFonts w:ascii="Calibri" w:hAnsi="Calibri" w:eastAsia="宋体" w:cs="Times New Roman"/>
      <w:sz w:val="21"/>
      <w:lang w:val="en-US" w:eastAsia="zh-CN" w:bidi="ar-SA"/>
    </w:rPr>
  </w:style>
  <w:style w:type="paragraph" w:customStyle="1" w:styleId="378">
    <w:name w:val="xl92"/>
    <w:basedOn w:val="1"/>
    <w:next w:val="379"/>
    <w:autoRedefine/>
    <w:qFormat/>
    <w:uiPriority w:val="0"/>
    <w:pPr>
      <w:widowControl/>
      <w:shd w:val="clear" w:color="000000" w:fill="FFFFFF"/>
      <w:spacing w:before="280" w:after="280"/>
    </w:pPr>
    <w:rPr>
      <w:rFonts w:ascii="宋体" w:hAnsi="Calibri"/>
      <w:kern w:val="0"/>
      <w:sz w:val="20"/>
      <w:szCs w:val="20"/>
    </w:rPr>
  </w:style>
  <w:style w:type="paragraph" w:customStyle="1" w:styleId="379">
    <w:name w:val="toc 913"/>
    <w:next w:val="1"/>
    <w:autoRedefine/>
    <w:qFormat/>
    <w:uiPriority w:val="0"/>
    <w:pPr>
      <w:wordWrap w:val="0"/>
      <w:ind w:left="3400"/>
      <w:jc w:val="both"/>
    </w:pPr>
    <w:rPr>
      <w:rFonts w:ascii="Calibri" w:hAnsi="Calibri" w:eastAsia="宋体" w:cs="Times New Roman"/>
      <w:sz w:val="21"/>
      <w:lang w:val="en-US" w:eastAsia="zh-CN" w:bidi="ar-SA"/>
    </w:rPr>
  </w:style>
  <w:style w:type="paragraph" w:customStyle="1" w:styleId="380">
    <w:name w:val="toc 512"/>
    <w:next w:val="1"/>
    <w:autoRedefine/>
    <w:qFormat/>
    <w:uiPriority w:val="0"/>
    <w:pPr>
      <w:wordWrap w:val="0"/>
      <w:ind w:left="1700"/>
      <w:jc w:val="both"/>
    </w:pPr>
    <w:rPr>
      <w:rFonts w:ascii="Calibri" w:hAnsi="Calibri" w:eastAsia="宋体" w:cs="Times New Roman"/>
      <w:sz w:val="21"/>
      <w:lang w:val="en-US" w:eastAsia="zh-CN" w:bidi="ar-SA"/>
    </w:rPr>
  </w:style>
  <w:style w:type="paragraph" w:customStyle="1" w:styleId="381">
    <w:name w:val="目录 81"/>
    <w:next w:val="1"/>
    <w:autoRedefine/>
    <w:qFormat/>
    <w:uiPriority w:val="0"/>
    <w:pPr>
      <w:wordWrap w:val="0"/>
      <w:ind w:left="2975"/>
      <w:jc w:val="both"/>
    </w:pPr>
    <w:rPr>
      <w:rFonts w:ascii="Calibri" w:hAnsi="Calibri" w:eastAsia="宋体" w:cs="Times New Roman"/>
      <w:sz w:val="21"/>
      <w:lang w:val="en-US" w:eastAsia="zh-CN" w:bidi="ar-SA"/>
    </w:rPr>
  </w:style>
  <w:style w:type="paragraph" w:customStyle="1" w:styleId="382">
    <w:name w:val="正文表标题"/>
    <w:next w:val="1"/>
    <w:autoRedefine/>
    <w:qFormat/>
    <w:uiPriority w:val="0"/>
    <w:pPr>
      <w:ind w:left="630"/>
      <w:jc w:val="center"/>
    </w:pPr>
    <w:rPr>
      <w:rFonts w:ascii="黑体" w:hAnsi="Calibri" w:eastAsia="黑体" w:cs="Times New Roman"/>
      <w:sz w:val="21"/>
      <w:lang w:val="en-US" w:eastAsia="zh-CN" w:bidi="ar-SA"/>
    </w:rPr>
  </w:style>
  <w:style w:type="paragraph" w:customStyle="1" w:styleId="383">
    <w:name w:val="toc 28"/>
    <w:next w:val="1"/>
    <w:autoRedefine/>
    <w:qFormat/>
    <w:uiPriority w:val="0"/>
    <w:pPr>
      <w:wordWrap w:val="0"/>
      <w:ind w:left="425"/>
      <w:jc w:val="both"/>
    </w:pPr>
    <w:rPr>
      <w:rFonts w:ascii="Calibri" w:hAnsi="Calibri" w:eastAsia="宋体" w:cs="Times New Roman"/>
      <w:sz w:val="21"/>
      <w:lang w:val="en-US" w:eastAsia="zh-CN" w:bidi="ar-SA"/>
    </w:rPr>
  </w:style>
  <w:style w:type="paragraph" w:customStyle="1" w:styleId="384">
    <w:name w:val="toc 79"/>
    <w:next w:val="1"/>
    <w:autoRedefine/>
    <w:qFormat/>
    <w:uiPriority w:val="0"/>
    <w:pPr>
      <w:wordWrap w:val="0"/>
      <w:ind w:left="2550"/>
      <w:jc w:val="both"/>
    </w:pPr>
    <w:rPr>
      <w:rFonts w:ascii="Calibri" w:hAnsi="Calibri" w:eastAsia="宋体" w:cs="Times New Roman"/>
      <w:sz w:val="21"/>
      <w:lang w:val="en-US" w:eastAsia="zh-CN" w:bidi="ar-SA"/>
    </w:rPr>
  </w:style>
  <w:style w:type="paragraph" w:customStyle="1" w:styleId="385">
    <w:name w:val="xl110"/>
    <w:basedOn w:val="1"/>
    <w:next w:val="341"/>
    <w:autoRedefine/>
    <w:qFormat/>
    <w:uiPriority w:val="0"/>
    <w:pPr>
      <w:widowControl/>
      <w:shd w:val="clear" w:color="000000" w:fill="FFFFFF"/>
      <w:spacing w:before="280" w:after="280"/>
      <w:jc w:val="center"/>
    </w:pPr>
    <w:rPr>
      <w:rFonts w:ascii="宋体" w:hAnsi="Calibri"/>
      <w:kern w:val="0"/>
      <w:sz w:val="20"/>
      <w:szCs w:val="20"/>
    </w:rPr>
  </w:style>
  <w:style w:type="paragraph" w:customStyle="1" w:styleId="386">
    <w:name w:val="toc 511"/>
    <w:next w:val="1"/>
    <w:autoRedefine/>
    <w:qFormat/>
    <w:uiPriority w:val="0"/>
    <w:pPr>
      <w:wordWrap w:val="0"/>
      <w:ind w:left="1700"/>
      <w:jc w:val="both"/>
    </w:pPr>
    <w:rPr>
      <w:rFonts w:ascii="Calibri" w:hAnsi="Calibri" w:eastAsia="宋体" w:cs="Times New Roman"/>
      <w:sz w:val="21"/>
      <w:lang w:val="en-US" w:eastAsia="zh-CN" w:bidi="ar-SA"/>
    </w:rPr>
  </w:style>
  <w:style w:type="paragraph" w:customStyle="1" w:styleId="387">
    <w:name w:val="toc 416"/>
    <w:next w:val="1"/>
    <w:autoRedefine/>
    <w:qFormat/>
    <w:uiPriority w:val="0"/>
    <w:pPr>
      <w:wordWrap w:val="0"/>
      <w:ind w:left="1275"/>
      <w:jc w:val="both"/>
    </w:pPr>
    <w:rPr>
      <w:rFonts w:ascii="Calibri" w:hAnsi="Calibri" w:eastAsia="宋体" w:cs="Times New Roman"/>
      <w:sz w:val="21"/>
      <w:lang w:val="en-US" w:eastAsia="zh-CN" w:bidi="ar-SA"/>
    </w:rPr>
  </w:style>
  <w:style w:type="paragraph" w:customStyle="1" w:styleId="388">
    <w:name w:val="xl85"/>
    <w:basedOn w:val="1"/>
    <w:next w:val="389"/>
    <w:autoRedefine/>
    <w:qFormat/>
    <w:uiPriority w:val="0"/>
    <w:pPr>
      <w:widowControl/>
      <w:shd w:val="clear" w:color="000000" w:fill="FFFFFF"/>
      <w:spacing w:before="280" w:after="280"/>
      <w:jc w:val="center"/>
    </w:pPr>
    <w:rPr>
      <w:rFonts w:ascii="宋体" w:hAnsi="Calibri"/>
      <w:kern w:val="0"/>
      <w:sz w:val="20"/>
      <w:szCs w:val="20"/>
    </w:rPr>
  </w:style>
  <w:style w:type="paragraph" w:customStyle="1" w:styleId="389">
    <w:name w:val="toc 76"/>
    <w:next w:val="1"/>
    <w:autoRedefine/>
    <w:qFormat/>
    <w:uiPriority w:val="0"/>
    <w:pPr>
      <w:wordWrap w:val="0"/>
      <w:ind w:left="2550"/>
      <w:jc w:val="both"/>
    </w:pPr>
    <w:rPr>
      <w:rFonts w:ascii="Calibri" w:hAnsi="Calibri" w:eastAsia="宋体" w:cs="Times New Roman"/>
      <w:sz w:val="21"/>
      <w:lang w:val="en-US" w:eastAsia="zh-CN" w:bidi="ar-SA"/>
    </w:rPr>
  </w:style>
  <w:style w:type="paragraph" w:customStyle="1" w:styleId="390">
    <w:name w:val="toc 27"/>
    <w:next w:val="1"/>
    <w:autoRedefine/>
    <w:qFormat/>
    <w:uiPriority w:val="0"/>
    <w:pPr>
      <w:wordWrap w:val="0"/>
      <w:ind w:left="425"/>
      <w:jc w:val="both"/>
    </w:pPr>
    <w:rPr>
      <w:rFonts w:ascii="Calibri" w:hAnsi="Calibri" w:eastAsia="宋体" w:cs="Times New Roman"/>
      <w:sz w:val="21"/>
      <w:lang w:val="en-US" w:eastAsia="zh-CN" w:bidi="ar-SA"/>
    </w:rPr>
  </w:style>
  <w:style w:type="paragraph" w:customStyle="1" w:styleId="391">
    <w:name w:val="toc 916"/>
    <w:next w:val="1"/>
    <w:autoRedefine/>
    <w:qFormat/>
    <w:uiPriority w:val="0"/>
    <w:pPr>
      <w:wordWrap w:val="0"/>
      <w:ind w:left="3400"/>
      <w:jc w:val="both"/>
    </w:pPr>
    <w:rPr>
      <w:rFonts w:ascii="Calibri" w:hAnsi="Calibri" w:eastAsia="宋体" w:cs="Times New Roman"/>
      <w:sz w:val="21"/>
      <w:lang w:val="en-US" w:eastAsia="zh-CN" w:bidi="ar-SA"/>
    </w:rPr>
  </w:style>
  <w:style w:type="paragraph" w:customStyle="1" w:styleId="392">
    <w:name w:val="toc 77"/>
    <w:next w:val="1"/>
    <w:autoRedefine/>
    <w:qFormat/>
    <w:uiPriority w:val="0"/>
    <w:pPr>
      <w:wordWrap w:val="0"/>
      <w:ind w:left="2550"/>
      <w:jc w:val="both"/>
    </w:pPr>
    <w:rPr>
      <w:rFonts w:ascii="Calibri" w:hAnsi="Calibri" w:eastAsia="宋体" w:cs="Times New Roman"/>
      <w:sz w:val="21"/>
      <w:lang w:val="en-US" w:eastAsia="zh-CN" w:bidi="ar-SA"/>
    </w:rPr>
  </w:style>
  <w:style w:type="paragraph" w:customStyle="1" w:styleId="393">
    <w:name w:val="toc 211"/>
    <w:next w:val="1"/>
    <w:autoRedefine/>
    <w:qFormat/>
    <w:uiPriority w:val="0"/>
    <w:pPr>
      <w:wordWrap w:val="0"/>
      <w:ind w:left="425"/>
      <w:jc w:val="both"/>
    </w:pPr>
    <w:rPr>
      <w:rFonts w:ascii="Calibri" w:hAnsi="Calibri" w:eastAsia="宋体" w:cs="Times New Roman"/>
      <w:sz w:val="21"/>
      <w:lang w:val="en-US" w:eastAsia="zh-CN" w:bidi="ar-SA"/>
    </w:rPr>
  </w:style>
  <w:style w:type="paragraph" w:customStyle="1" w:styleId="394">
    <w:name w:val="toc 815"/>
    <w:next w:val="1"/>
    <w:autoRedefine/>
    <w:qFormat/>
    <w:uiPriority w:val="0"/>
    <w:pPr>
      <w:wordWrap w:val="0"/>
      <w:ind w:left="2975"/>
      <w:jc w:val="both"/>
    </w:pPr>
    <w:rPr>
      <w:rFonts w:ascii="Calibri" w:hAnsi="Calibri" w:eastAsia="宋体" w:cs="Times New Roman"/>
      <w:sz w:val="21"/>
      <w:lang w:val="en-US" w:eastAsia="zh-CN" w:bidi="ar-SA"/>
    </w:rPr>
  </w:style>
  <w:style w:type="paragraph" w:customStyle="1" w:styleId="395">
    <w:name w:val="xl99"/>
    <w:basedOn w:val="1"/>
    <w:next w:val="380"/>
    <w:autoRedefine/>
    <w:qFormat/>
    <w:uiPriority w:val="0"/>
    <w:pPr>
      <w:widowControl/>
      <w:shd w:val="clear" w:color="000000" w:fill="FFFFFF"/>
      <w:spacing w:before="280" w:after="280"/>
    </w:pPr>
    <w:rPr>
      <w:rFonts w:ascii="宋体" w:hAnsi="Calibri"/>
      <w:kern w:val="0"/>
      <w:sz w:val="18"/>
      <w:szCs w:val="20"/>
    </w:rPr>
  </w:style>
  <w:style w:type="paragraph" w:customStyle="1" w:styleId="396">
    <w:name w:val="xl97"/>
    <w:basedOn w:val="1"/>
    <w:next w:val="268"/>
    <w:autoRedefine/>
    <w:qFormat/>
    <w:uiPriority w:val="0"/>
    <w:pPr>
      <w:widowControl/>
      <w:shd w:val="clear" w:color="000000" w:fill="FFFFFF"/>
      <w:spacing w:before="280" w:after="280"/>
      <w:jc w:val="center"/>
    </w:pPr>
    <w:rPr>
      <w:rFonts w:ascii="宋体" w:hAnsi="Calibri"/>
      <w:kern w:val="0"/>
      <w:sz w:val="20"/>
      <w:szCs w:val="20"/>
    </w:rPr>
  </w:style>
  <w:style w:type="paragraph" w:customStyle="1" w:styleId="397">
    <w:name w:val="toc 612"/>
    <w:next w:val="1"/>
    <w:autoRedefine/>
    <w:qFormat/>
    <w:uiPriority w:val="0"/>
    <w:pPr>
      <w:wordWrap w:val="0"/>
      <w:ind w:left="2125"/>
      <w:jc w:val="both"/>
    </w:pPr>
    <w:rPr>
      <w:rFonts w:ascii="Calibri" w:hAnsi="Calibri" w:eastAsia="宋体" w:cs="Times New Roman"/>
      <w:sz w:val="21"/>
      <w:lang w:val="en-US" w:eastAsia="zh-CN" w:bidi="ar-SA"/>
    </w:rPr>
  </w:style>
  <w:style w:type="paragraph" w:customStyle="1" w:styleId="398">
    <w:name w:val="toc 315"/>
    <w:next w:val="1"/>
    <w:autoRedefine/>
    <w:qFormat/>
    <w:uiPriority w:val="0"/>
    <w:pPr>
      <w:wordWrap w:val="0"/>
      <w:ind w:left="850"/>
      <w:jc w:val="both"/>
    </w:pPr>
    <w:rPr>
      <w:rFonts w:ascii="Calibri" w:hAnsi="Calibri" w:eastAsia="宋体" w:cs="Times New Roman"/>
      <w:sz w:val="21"/>
      <w:lang w:val="en-US" w:eastAsia="zh-CN" w:bidi="ar-SA"/>
    </w:rPr>
  </w:style>
  <w:style w:type="paragraph" w:customStyle="1" w:styleId="399">
    <w:name w:val="TOC Heading15"/>
    <w:next w:val="1"/>
    <w:autoRedefine/>
    <w:qFormat/>
    <w:uiPriority w:val="0"/>
    <w:pPr>
      <w:wordWrap w:val="0"/>
    </w:pPr>
    <w:rPr>
      <w:rFonts w:ascii="Calibri" w:hAnsi="Calibri" w:eastAsia="宋体" w:cs="Times New Roman"/>
      <w:sz w:val="32"/>
      <w:lang w:val="en-US" w:eastAsia="zh-CN" w:bidi="ar-SA"/>
    </w:rPr>
  </w:style>
  <w:style w:type="paragraph" w:customStyle="1" w:styleId="400">
    <w:name w:val="toc 915"/>
    <w:next w:val="1"/>
    <w:autoRedefine/>
    <w:qFormat/>
    <w:uiPriority w:val="0"/>
    <w:pPr>
      <w:wordWrap w:val="0"/>
      <w:ind w:left="3400"/>
      <w:jc w:val="both"/>
    </w:pPr>
    <w:rPr>
      <w:rFonts w:ascii="Calibri" w:hAnsi="Calibri" w:eastAsia="宋体" w:cs="Times New Roman"/>
      <w:sz w:val="21"/>
      <w:lang w:val="en-US" w:eastAsia="zh-CN" w:bidi="ar-SA"/>
    </w:rPr>
  </w:style>
  <w:style w:type="paragraph" w:customStyle="1" w:styleId="401">
    <w:name w:val="toc 39"/>
    <w:next w:val="1"/>
    <w:autoRedefine/>
    <w:qFormat/>
    <w:uiPriority w:val="0"/>
    <w:pPr>
      <w:wordWrap w:val="0"/>
      <w:ind w:left="850"/>
      <w:jc w:val="both"/>
    </w:pPr>
    <w:rPr>
      <w:rFonts w:ascii="Calibri" w:hAnsi="Calibri" w:eastAsia="宋体" w:cs="Times New Roman"/>
      <w:sz w:val="21"/>
      <w:lang w:val="en-US" w:eastAsia="zh-CN" w:bidi="ar-SA"/>
    </w:rPr>
  </w:style>
  <w:style w:type="paragraph" w:customStyle="1" w:styleId="402">
    <w:name w:val="toc 710"/>
    <w:next w:val="1"/>
    <w:autoRedefine/>
    <w:qFormat/>
    <w:uiPriority w:val="0"/>
    <w:pPr>
      <w:wordWrap w:val="0"/>
      <w:ind w:left="2550"/>
      <w:jc w:val="both"/>
    </w:pPr>
    <w:rPr>
      <w:rFonts w:ascii="Calibri" w:hAnsi="Calibri" w:eastAsia="宋体" w:cs="Times New Roman"/>
      <w:sz w:val="21"/>
      <w:lang w:val="en-US" w:eastAsia="zh-CN" w:bidi="ar-SA"/>
    </w:rPr>
  </w:style>
  <w:style w:type="paragraph" w:customStyle="1" w:styleId="403">
    <w:name w:val="toc 12"/>
    <w:next w:val="1"/>
    <w:autoRedefine/>
    <w:qFormat/>
    <w:uiPriority w:val="0"/>
    <w:pPr>
      <w:wordWrap w:val="0"/>
      <w:jc w:val="both"/>
    </w:pPr>
    <w:rPr>
      <w:rFonts w:ascii="Calibri" w:hAnsi="Calibri" w:eastAsia="宋体" w:cs="Times New Roman"/>
      <w:sz w:val="21"/>
      <w:lang w:val="en-US" w:eastAsia="zh-CN" w:bidi="ar-SA"/>
    </w:rPr>
  </w:style>
  <w:style w:type="paragraph" w:customStyle="1" w:styleId="404">
    <w:name w:val="xl95"/>
    <w:basedOn w:val="1"/>
    <w:next w:val="405"/>
    <w:autoRedefine/>
    <w:qFormat/>
    <w:uiPriority w:val="0"/>
    <w:pPr>
      <w:widowControl/>
      <w:shd w:val="clear" w:color="000000" w:fill="FFFFFF"/>
      <w:spacing w:before="280" w:after="280"/>
    </w:pPr>
    <w:rPr>
      <w:rFonts w:ascii="宋体" w:hAnsi="Calibri"/>
      <w:kern w:val="0"/>
      <w:sz w:val="20"/>
      <w:szCs w:val="20"/>
    </w:rPr>
  </w:style>
  <w:style w:type="paragraph" w:customStyle="1" w:styleId="405">
    <w:name w:val="toc 415"/>
    <w:next w:val="1"/>
    <w:autoRedefine/>
    <w:qFormat/>
    <w:uiPriority w:val="0"/>
    <w:pPr>
      <w:wordWrap w:val="0"/>
      <w:ind w:left="1275"/>
      <w:jc w:val="both"/>
    </w:pPr>
    <w:rPr>
      <w:rFonts w:ascii="Calibri" w:hAnsi="Calibri" w:eastAsia="宋体" w:cs="Times New Roman"/>
      <w:sz w:val="21"/>
      <w:lang w:val="en-US" w:eastAsia="zh-CN" w:bidi="ar-SA"/>
    </w:rPr>
  </w:style>
  <w:style w:type="paragraph" w:customStyle="1" w:styleId="406">
    <w:name w:val="toc 29"/>
    <w:next w:val="1"/>
    <w:autoRedefine/>
    <w:qFormat/>
    <w:uiPriority w:val="0"/>
    <w:pPr>
      <w:wordWrap w:val="0"/>
      <w:ind w:left="425"/>
      <w:jc w:val="both"/>
    </w:pPr>
    <w:rPr>
      <w:rFonts w:ascii="Calibri" w:hAnsi="Calibri" w:eastAsia="宋体" w:cs="Times New Roman"/>
      <w:sz w:val="21"/>
      <w:lang w:val="en-US" w:eastAsia="zh-CN" w:bidi="ar-SA"/>
    </w:rPr>
  </w:style>
  <w:style w:type="paragraph" w:customStyle="1" w:styleId="407">
    <w:name w:val="xl67"/>
    <w:basedOn w:val="1"/>
    <w:next w:val="408"/>
    <w:autoRedefine/>
    <w:qFormat/>
    <w:uiPriority w:val="0"/>
    <w:pPr>
      <w:widowControl/>
      <w:shd w:val="clear" w:color="000000" w:fill="FFFFFF"/>
      <w:spacing w:before="280" w:after="280"/>
      <w:jc w:val="center"/>
    </w:pPr>
    <w:rPr>
      <w:rFonts w:ascii="宋体" w:hAnsi="Calibri"/>
      <w:b/>
      <w:kern w:val="0"/>
      <w:sz w:val="20"/>
      <w:szCs w:val="20"/>
    </w:rPr>
  </w:style>
  <w:style w:type="paragraph" w:customStyle="1" w:styleId="408">
    <w:name w:val="toc 714"/>
    <w:next w:val="1"/>
    <w:autoRedefine/>
    <w:qFormat/>
    <w:uiPriority w:val="0"/>
    <w:pPr>
      <w:wordWrap w:val="0"/>
      <w:ind w:left="2550"/>
      <w:jc w:val="both"/>
    </w:pPr>
    <w:rPr>
      <w:rFonts w:ascii="Calibri" w:hAnsi="Calibri" w:eastAsia="宋体" w:cs="Times New Roman"/>
      <w:sz w:val="21"/>
      <w:lang w:val="en-US" w:eastAsia="zh-CN" w:bidi="ar-SA"/>
    </w:rPr>
  </w:style>
  <w:style w:type="paragraph" w:customStyle="1" w:styleId="409">
    <w:name w:val="toc 21"/>
    <w:next w:val="1"/>
    <w:autoRedefine/>
    <w:qFormat/>
    <w:uiPriority w:val="0"/>
    <w:pPr>
      <w:wordWrap w:val="0"/>
      <w:ind w:left="425"/>
      <w:jc w:val="both"/>
    </w:pPr>
    <w:rPr>
      <w:rFonts w:ascii="Calibri" w:hAnsi="Calibri" w:eastAsia="宋体" w:cs="Times New Roman"/>
      <w:sz w:val="21"/>
      <w:lang w:val="en-US" w:eastAsia="zh-CN" w:bidi="ar-SA"/>
    </w:rPr>
  </w:style>
  <w:style w:type="paragraph" w:customStyle="1" w:styleId="410">
    <w:name w:val="正文 A"/>
    <w:next w:val="327"/>
    <w:autoRedefine/>
    <w:qFormat/>
    <w:uiPriority w:val="0"/>
    <w:rPr>
      <w:rFonts w:ascii="Arial" w:hAnsi="Calibri" w:eastAsia="Arial Unicode MS" w:cs="Times New Roman"/>
      <w:color w:val="000000"/>
      <w:sz w:val="21"/>
      <w:lang w:val="en-US" w:eastAsia="zh-CN" w:bidi="ar-SA"/>
    </w:rPr>
  </w:style>
  <w:style w:type="paragraph" w:customStyle="1" w:styleId="411">
    <w:name w:val="toc 68"/>
    <w:next w:val="1"/>
    <w:autoRedefine/>
    <w:qFormat/>
    <w:uiPriority w:val="0"/>
    <w:pPr>
      <w:wordWrap w:val="0"/>
      <w:ind w:left="2125"/>
      <w:jc w:val="both"/>
    </w:pPr>
    <w:rPr>
      <w:rFonts w:ascii="Calibri" w:hAnsi="Calibri" w:eastAsia="宋体" w:cs="Times New Roman"/>
      <w:sz w:val="21"/>
      <w:lang w:val="en-US" w:eastAsia="zh-CN" w:bidi="ar-SA"/>
    </w:rPr>
  </w:style>
  <w:style w:type="paragraph" w:customStyle="1" w:styleId="412">
    <w:name w:val="toc 58"/>
    <w:next w:val="1"/>
    <w:autoRedefine/>
    <w:qFormat/>
    <w:uiPriority w:val="0"/>
    <w:pPr>
      <w:wordWrap w:val="0"/>
      <w:ind w:left="1700"/>
      <w:jc w:val="both"/>
    </w:pPr>
    <w:rPr>
      <w:rFonts w:ascii="Calibri" w:hAnsi="Calibri" w:eastAsia="宋体" w:cs="Times New Roman"/>
      <w:sz w:val="21"/>
      <w:lang w:val="en-US" w:eastAsia="zh-CN" w:bidi="ar-SA"/>
    </w:rPr>
  </w:style>
  <w:style w:type="paragraph" w:customStyle="1" w:styleId="413">
    <w:name w:val="xl88"/>
    <w:basedOn w:val="1"/>
    <w:next w:val="399"/>
    <w:autoRedefine/>
    <w:qFormat/>
    <w:uiPriority w:val="0"/>
    <w:pPr>
      <w:widowControl/>
      <w:shd w:val="clear" w:color="000000" w:fill="FFFFFF"/>
      <w:spacing w:before="280" w:after="280"/>
      <w:jc w:val="center"/>
    </w:pPr>
    <w:rPr>
      <w:rFonts w:ascii="宋体" w:hAnsi="Calibri"/>
      <w:kern w:val="0"/>
      <w:sz w:val="20"/>
      <w:szCs w:val="20"/>
    </w:rPr>
  </w:style>
  <w:style w:type="paragraph" w:customStyle="1" w:styleId="414">
    <w:name w:val="toc 71"/>
    <w:next w:val="1"/>
    <w:autoRedefine/>
    <w:qFormat/>
    <w:uiPriority w:val="0"/>
    <w:pPr>
      <w:wordWrap w:val="0"/>
      <w:ind w:left="2550"/>
      <w:jc w:val="both"/>
    </w:pPr>
    <w:rPr>
      <w:rFonts w:ascii="Calibri" w:hAnsi="Calibri" w:eastAsia="宋体" w:cs="Times New Roman"/>
      <w:sz w:val="21"/>
      <w:lang w:val="en-US" w:eastAsia="zh-CN" w:bidi="ar-SA"/>
    </w:rPr>
  </w:style>
  <w:style w:type="paragraph" w:customStyle="1" w:styleId="415">
    <w:name w:val="xl100"/>
    <w:basedOn w:val="1"/>
    <w:next w:val="416"/>
    <w:autoRedefine/>
    <w:qFormat/>
    <w:uiPriority w:val="0"/>
    <w:pPr>
      <w:widowControl/>
      <w:shd w:val="clear" w:color="000000" w:fill="FFFFFF"/>
      <w:spacing w:before="280" w:after="280"/>
    </w:pPr>
    <w:rPr>
      <w:rFonts w:ascii="宋体" w:hAnsi="Calibri"/>
      <w:kern w:val="0"/>
      <w:sz w:val="20"/>
      <w:szCs w:val="20"/>
    </w:rPr>
  </w:style>
  <w:style w:type="paragraph" w:customStyle="1" w:styleId="416">
    <w:name w:val="toc 510"/>
    <w:next w:val="1"/>
    <w:autoRedefine/>
    <w:qFormat/>
    <w:uiPriority w:val="0"/>
    <w:pPr>
      <w:wordWrap w:val="0"/>
      <w:ind w:left="1700"/>
      <w:jc w:val="both"/>
    </w:pPr>
    <w:rPr>
      <w:rFonts w:ascii="Calibri" w:hAnsi="Calibri" w:eastAsia="宋体" w:cs="Times New Roman"/>
      <w:sz w:val="21"/>
      <w:lang w:val="en-US" w:eastAsia="zh-CN" w:bidi="ar-SA"/>
    </w:rPr>
  </w:style>
  <w:style w:type="paragraph" w:customStyle="1" w:styleId="417">
    <w:name w:val="toc 314"/>
    <w:next w:val="1"/>
    <w:autoRedefine/>
    <w:qFormat/>
    <w:uiPriority w:val="0"/>
    <w:pPr>
      <w:wordWrap w:val="0"/>
      <w:ind w:left="850"/>
      <w:jc w:val="both"/>
    </w:pPr>
    <w:rPr>
      <w:rFonts w:ascii="Calibri" w:hAnsi="Calibri" w:eastAsia="宋体" w:cs="Times New Roman"/>
      <w:sz w:val="21"/>
      <w:lang w:val="en-US" w:eastAsia="zh-CN" w:bidi="ar-SA"/>
    </w:rPr>
  </w:style>
  <w:style w:type="paragraph" w:customStyle="1" w:styleId="418">
    <w:name w:val="xl114"/>
    <w:basedOn w:val="1"/>
    <w:next w:val="270"/>
    <w:autoRedefine/>
    <w:qFormat/>
    <w:uiPriority w:val="0"/>
    <w:pPr>
      <w:widowControl/>
      <w:shd w:val="clear" w:color="000000" w:fill="FFFFFF"/>
      <w:spacing w:before="280" w:after="280"/>
      <w:jc w:val="center"/>
    </w:pPr>
    <w:rPr>
      <w:rFonts w:ascii="宋体" w:hAnsi="Calibri"/>
      <w:b/>
      <w:kern w:val="0"/>
      <w:sz w:val="20"/>
      <w:szCs w:val="20"/>
    </w:rPr>
  </w:style>
  <w:style w:type="paragraph" w:customStyle="1" w:styleId="419">
    <w:name w:val="xl107"/>
    <w:basedOn w:val="1"/>
    <w:next w:val="420"/>
    <w:autoRedefine/>
    <w:qFormat/>
    <w:uiPriority w:val="0"/>
    <w:pPr>
      <w:widowControl/>
      <w:shd w:val="clear" w:color="000000" w:fill="FFFFFF"/>
      <w:spacing w:before="280" w:after="280"/>
    </w:pPr>
    <w:rPr>
      <w:rFonts w:ascii="宋体" w:hAnsi="Calibri"/>
      <w:kern w:val="0"/>
      <w:sz w:val="20"/>
      <w:szCs w:val="20"/>
    </w:rPr>
  </w:style>
  <w:style w:type="paragraph" w:customStyle="1" w:styleId="420">
    <w:name w:val="toc 610"/>
    <w:next w:val="1"/>
    <w:autoRedefine/>
    <w:qFormat/>
    <w:uiPriority w:val="0"/>
    <w:pPr>
      <w:wordWrap w:val="0"/>
      <w:ind w:left="2125"/>
      <w:jc w:val="both"/>
    </w:pPr>
    <w:rPr>
      <w:rFonts w:ascii="Calibri" w:hAnsi="Calibri" w:eastAsia="宋体" w:cs="Times New Roman"/>
      <w:sz w:val="21"/>
      <w:lang w:val="en-US" w:eastAsia="zh-CN" w:bidi="ar-SA"/>
    </w:rPr>
  </w:style>
  <w:style w:type="paragraph" w:customStyle="1" w:styleId="421">
    <w:name w:val="toc 22"/>
    <w:next w:val="1"/>
    <w:autoRedefine/>
    <w:qFormat/>
    <w:uiPriority w:val="0"/>
    <w:pPr>
      <w:wordWrap w:val="0"/>
      <w:ind w:left="425"/>
      <w:jc w:val="both"/>
    </w:pPr>
    <w:rPr>
      <w:rFonts w:ascii="Calibri" w:hAnsi="Calibri" w:eastAsia="宋体" w:cs="Times New Roman"/>
      <w:sz w:val="21"/>
      <w:lang w:val="en-US" w:eastAsia="zh-CN" w:bidi="ar-SA"/>
    </w:rPr>
  </w:style>
  <w:style w:type="paragraph" w:customStyle="1" w:styleId="422">
    <w:name w:val="xl90"/>
    <w:basedOn w:val="1"/>
    <w:next w:val="224"/>
    <w:autoRedefine/>
    <w:qFormat/>
    <w:uiPriority w:val="0"/>
    <w:pPr>
      <w:widowControl/>
      <w:shd w:val="clear" w:color="000000" w:fill="FFFFFF"/>
      <w:spacing w:before="280" w:after="280"/>
    </w:pPr>
    <w:rPr>
      <w:rFonts w:ascii="宋体" w:hAnsi="Calibri"/>
      <w:kern w:val="0"/>
      <w:sz w:val="18"/>
      <w:szCs w:val="20"/>
    </w:rPr>
  </w:style>
  <w:style w:type="paragraph" w:customStyle="1" w:styleId="423">
    <w:name w:val="toc 616"/>
    <w:next w:val="1"/>
    <w:autoRedefine/>
    <w:qFormat/>
    <w:uiPriority w:val="0"/>
    <w:pPr>
      <w:wordWrap w:val="0"/>
      <w:ind w:left="2125"/>
      <w:jc w:val="both"/>
    </w:pPr>
    <w:rPr>
      <w:rFonts w:ascii="Calibri" w:hAnsi="Calibri" w:eastAsia="宋体" w:cs="Times New Roman"/>
      <w:sz w:val="21"/>
      <w:lang w:val="en-US" w:eastAsia="zh-CN" w:bidi="ar-SA"/>
    </w:rPr>
  </w:style>
  <w:style w:type="paragraph" w:customStyle="1" w:styleId="424">
    <w:name w:val="toc 96"/>
    <w:next w:val="1"/>
    <w:autoRedefine/>
    <w:qFormat/>
    <w:uiPriority w:val="0"/>
    <w:pPr>
      <w:wordWrap w:val="0"/>
      <w:ind w:left="3400"/>
      <w:jc w:val="both"/>
    </w:pPr>
    <w:rPr>
      <w:rFonts w:ascii="Calibri" w:hAnsi="Calibri" w:eastAsia="宋体" w:cs="Times New Roman"/>
      <w:sz w:val="21"/>
      <w:lang w:val="en-US" w:eastAsia="zh-CN" w:bidi="ar-SA"/>
    </w:rPr>
  </w:style>
  <w:style w:type="paragraph" w:customStyle="1" w:styleId="425">
    <w:name w:val="toc 42"/>
    <w:next w:val="1"/>
    <w:autoRedefine/>
    <w:qFormat/>
    <w:uiPriority w:val="0"/>
    <w:pPr>
      <w:wordWrap w:val="0"/>
      <w:ind w:left="1275"/>
      <w:jc w:val="both"/>
    </w:pPr>
    <w:rPr>
      <w:rFonts w:ascii="Calibri" w:hAnsi="Calibri" w:eastAsia="宋体" w:cs="Times New Roman"/>
      <w:sz w:val="21"/>
      <w:lang w:val="en-US" w:eastAsia="zh-CN" w:bidi="ar-SA"/>
    </w:rPr>
  </w:style>
  <w:style w:type="paragraph" w:customStyle="1" w:styleId="426">
    <w:name w:val="xl117"/>
    <w:basedOn w:val="1"/>
    <w:next w:val="323"/>
    <w:autoRedefine/>
    <w:qFormat/>
    <w:uiPriority w:val="0"/>
    <w:pPr>
      <w:widowControl/>
      <w:shd w:val="clear" w:color="000000" w:fill="FFFFFF"/>
      <w:spacing w:before="280" w:after="280"/>
      <w:jc w:val="center"/>
    </w:pPr>
    <w:rPr>
      <w:rFonts w:ascii="Arial Narrow" w:hAnsi="Calibri"/>
      <w:kern w:val="0"/>
      <w:sz w:val="24"/>
      <w:szCs w:val="20"/>
    </w:rPr>
  </w:style>
  <w:style w:type="paragraph" w:customStyle="1" w:styleId="427">
    <w:name w:val="p15"/>
    <w:basedOn w:val="1"/>
    <w:next w:val="248"/>
    <w:autoRedefine/>
    <w:qFormat/>
    <w:uiPriority w:val="0"/>
    <w:pPr>
      <w:widowControl/>
      <w:ind w:firstLine="420"/>
    </w:pPr>
    <w:rPr>
      <w:rFonts w:hAnsi="Calibri"/>
      <w:kern w:val="0"/>
      <w:szCs w:val="20"/>
    </w:rPr>
  </w:style>
  <w:style w:type="paragraph" w:customStyle="1" w:styleId="428">
    <w:name w:val="xl87"/>
    <w:basedOn w:val="1"/>
    <w:next w:val="429"/>
    <w:autoRedefine/>
    <w:qFormat/>
    <w:uiPriority w:val="0"/>
    <w:pPr>
      <w:widowControl/>
      <w:shd w:val="clear" w:color="000000" w:fill="FFFFFF"/>
      <w:spacing w:before="280" w:after="280"/>
    </w:pPr>
    <w:rPr>
      <w:rFonts w:ascii="Arial" w:hAnsi="Calibri"/>
      <w:kern w:val="0"/>
      <w:sz w:val="18"/>
      <w:szCs w:val="20"/>
    </w:rPr>
  </w:style>
  <w:style w:type="paragraph" w:customStyle="1" w:styleId="429">
    <w:name w:val="toc 98"/>
    <w:next w:val="1"/>
    <w:autoRedefine/>
    <w:qFormat/>
    <w:uiPriority w:val="0"/>
    <w:pPr>
      <w:wordWrap w:val="0"/>
      <w:ind w:left="3400"/>
      <w:jc w:val="both"/>
    </w:pPr>
    <w:rPr>
      <w:rFonts w:ascii="Calibri" w:hAnsi="Calibri" w:eastAsia="宋体" w:cs="Times New Roman"/>
      <w:sz w:val="21"/>
      <w:lang w:val="en-US" w:eastAsia="zh-CN" w:bidi="ar-SA"/>
    </w:rPr>
  </w:style>
  <w:style w:type="paragraph" w:customStyle="1" w:styleId="430">
    <w:name w:val="列出段落7"/>
    <w:basedOn w:val="1"/>
    <w:next w:val="412"/>
    <w:autoRedefine/>
    <w:qFormat/>
    <w:uiPriority w:val="0"/>
    <w:pPr>
      <w:ind w:firstLine="420"/>
    </w:pPr>
    <w:rPr>
      <w:rFonts w:hAnsi="Calibri"/>
      <w:kern w:val="0"/>
      <w:szCs w:val="20"/>
    </w:rPr>
  </w:style>
  <w:style w:type="paragraph" w:customStyle="1" w:styleId="431">
    <w:name w:val="xl78"/>
    <w:basedOn w:val="1"/>
    <w:next w:val="402"/>
    <w:autoRedefine/>
    <w:qFormat/>
    <w:uiPriority w:val="0"/>
    <w:pPr>
      <w:widowControl/>
      <w:shd w:val="clear" w:color="000000" w:fill="FFFFFF"/>
      <w:spacing w:before="280" w:after="280"/>
    </w:pPr>
    <w:rPr>
      <w:rFonts w:ascii="宋体" w:hAnsi="Calibri"/>
      <w:b/>
      <w:kern w:val="0"/>
      <w:sz w:val="20"/>
      <w:szCs w:val="20"/>
    </w:rPr>
  </w:style>
  <w:style w:type="paragraph" w:customStyle="1" w:styleId="432">
    <w:name w:val="toc 516"/>
    <w:next w:val="1"/>
    <w:autoRedefine/>
    <w:qFormat/>
    <w:uiPriority w:val="0"/>
    <w:pPr>
      <w:wordWrap w:val="0"/>
      <w:ind w:left="1700"/>
      <w:jc w:val="both"/>
    </w:pPr>
    <w:rPr>
      <w:rFonts w:ascii="Calibri" w:hAnsi="Calibri" w:eastAsia="宋体" w:cs="Times New Roman"/>
      <w:sz w:val="21"/>
      <w:lang w:val="en-US" w:eastAsia="zh-CN" w:bidi="ar-SA"/>
    </w:rPr>
  </w:style>
  <w:style w:type="paragraph" w:customStyle="1" w:styleId="433">
    <w:name w:val="xl89"/>
    <w:basedOn w:val="1"/>
    <w:next w:val="367"/>
    <w:autoRedefine/>
    <w:qFormat/>
    <w:uiPriority w:val="0"/>
    <w:pPr>
      <w:widowControl/>
      <w:shd w:val="clear" w:color="000000" w:fill="FFFFFF"/>
      <w:spacing w:before="280" w:after="280"/>
    </w:pPr>
    <w:rPr>
      <w:rFonts w:ascii="宋体" w:hAnsi="Calibri"/>
      <w:kern w:val="0"/>
      <w:sz w:val="20"/>
      <w:szCs w:val="20"/>
    </w:rPr>
  </w:style>
  <w:style w:type="paragraph" w:customStyle="1" w:styleId="434">
    <w:name w:val="toc 910"/>
    <w:next w:val="1"/>
    <w:autoRedefine/>
    <w:qFormat/>
    <w:uiPriority w:val="0"/>
    <w:pPr>
      <w:wordWrap w:val="0"/>
      <w:ind w:left="3400"/>
      <w:jc w:val="both"/>
    </w:pPr>
    <w:rPr>
      <w:rFonts w:ascii="Calibri" w:hAnsi="Calibri" w:eastAsia="宋体" w:cs="Times New Roman"/>
      <w:sz w:val="21"/>
      <w:lang w:val="en-US" w:eastAsia="zh-CN" w:bidi="ar-SA"/>
    </w:rPr>
  </w:style>
  <w:style w:type="paragraph" w:customStyle="1" w:styleId="435">
    <w:name w:val="toc 34"/>
    <w:next w:val="1"/>
    <w:autoRedefine/>
    <w:qFormat/>
    <w:uiPriority w:val="0"/>
    <w:pPr>
      <w:wordWrap w:val="0"/>
      <w:ind w:left="850"/>
      <w:jc w:val="both"/>
    </w:pPr>
    <w:rPr>
      <w:rFonts w:ascii="Calibri" w:hAnsi="Calibri" w:eastAsia="宋体" w:cs="Times New Roman"/>
      <w:sz w:val="21"/>
      <w:lang w:val="en-US" w:eastAsia="zh-CN" w:bidi="ar-SA"/>
    </w:rPr>
  </w:style>
  <w:style w:type="paragraph" w:customStyle="1" w:styleId="436">
    <w:name w:val="toc 816"/>
    <w:next w:val="1"/>
    <w:autoRedefine/>
    <w:qFormat/>
    <w:uiPriority w:val="0"/>
    <w:pPr>
      <w:wordWrap w:val="0"/>
      <w:ind w:left="2975"/>
      <w:jc w:val="both"/>
    </w:pPr>
    <w:rPr>
      <w:rFonts w:ascii="Calibri" w:hAnsi="Calibri" w:eastAsia="宋体" w:cs="Times New Roman"/>
      <w:sz w:val="21"/>
      <w:lang w:val="en-US" w:eastAsia="zh-CN" w:bidi="ar-SA"/>
    </w:rPr>
  </w:style>
  <w:style w:type="paragraph" w:customStyle="1" w:styleId="437">
    <w:name w:val="toc 43"/>
    <w:next w:val="1"/>
    <w:autoRedefine/>
    <w:qFormat/>
    <w:uiPriority w:val="0"/>
    <w:pPr>
      <w:wordWrap w:val="0"/>
      <w:ind w:left="1275"/>
      <w:jc w:val="both"/>
    </w:pPr>
    <w:rPr>
      <w:rFonts w:ascii="Calibri" w:hAnsi="Calibri" w:eastAsia="宋体" w:cs="Times New Roman"/>
      <w:sz w:val="21"/>
      <w:lang w:val="en-US" w:eastAsia="zh-CN" w:bidi="ar-SA"/>
    </w:rPr>
  </w:style>
  <w:style w:type="paragraph" w:customStyle="1" w:styleId="438">
    <w:name w:val="toc 16"/>
    <w:next w:val="1"/>
    <w:autoRedefine/>
    <w:qFormat/>
    <w:uiPriority w:val="0"/>
    <w:pPr>
      <w:wordWrap w:val="0"/>
      <w:jc w:val="both"/>
    </w:pPr>
    <w:rPr>
      <w:rFonts w:ascii="Calibri" w:hAnsi="Calibri" w:eastAsia="宋体" w:cs="Times New Roman"/>
      <w:sz w:val="21"/>
      <w:lang w:val="en-US" w:eastAsia="zh-CN" w:bidi="ar-SA"/>
    </w:rPr>
  </w:style>
  <w:style w:type="paragraph" w:styleId="439">
    <w:name w:val="Quote"/>
    <w:next w:val="1"/>
    <w:link w:val="440"/>
    <w:autoRedefine/>
    <w:qFormat/>
    <w:uiPriority w:val="0"/>
    <w:pPr>
      <w:wordWrap w:val="0"/>
      <w:spacing w:before="200" w:after="160"/>
      <w:ind w:left="864" w:right="864"/>
      <w:jc w:val="center"/>
    </w:pPr>
    <w:rPr>
      <w:rFonts w:ascii="Calibri" w:hAnsi="Calibri" w:eastAsia="宋体" w:cs="Times New Roman"/>
      <w:i/>
      <w:sz w:val="21"/>
      <w:lang w:val="en-US" w:eastAsia="zh-CN" w:bidi="ar-SA"/>
    </w:rPr>
  </w:style>
  <w:style w:type="character" w:customStyle="1" w:styleId="440">
    <w:name w:val="引用 Char"/>
    <w:basedOn w:val="46"/>
    <w:link w:val="439"/>
    <w:autoRedefine/>
    <w:qFormat/>
    <w:uiPriority w:val="0"/>
    <w:rPr>
      <w:rFonts w:ascii="Calibri" w:hAnsi="Calibri"/>
      <w:i/>
      <w:sz w:val="21"/>
    </w:rPr>
  </w:style>
  <w:style w:type="paragraph" w:customStyle="1" w:styleId="441">
    <w:name w:val="toc 114"/>
    <w:next w:val="1"/>
    <w:autoRedefine/>
    <w:qFormat/>
    <w:uiPriority w:val="0"/>
    <w:pPr>
      <w:wordWrap w:val="0"/>
      <w:jc w:val="both"/>
    </w:pPr>
    <w:rPr>
      <w:rFonts w:ascii="Calibri" w:hAnsi="Calibri" w:eastAsia="宋体" w:cs="Times New Roman"/>
      <w:sz w:val="21"/>
      <w:lang w:val="en-US" w:eastAsia="zh-CN" w:bidi="ar-SA"/>
    </w:rPr>
  </w:style>
  <w:style w:type="paragraph" w:customStyle="1" w:styleId="442">
    <w:name w:val="xl119"/>
    <w:basedOn w:val="1"/>
    <w:next w:val="417"/>
    <w:autoRedefine/>
    <w:qFormat/>
    <w:uiPriority w:val="0"/>
    <w:pPr>
      <w:widowControl/>
      <w:shd w:val="clear" w:color="000000" w:fill="FFFFFF"/>
      <w:spacing w:before="280" w:after="280"/>
      <w:jc w:val="center"/>
    </w:pPr>
    <w:rPr>
      <w:rFonts w:ascii="宋体" w:hAnsi="Calibri"/>
      <w:b/>
      <w:kern w:val="0"/>
      <w:sz w:val="20"/>
      <w:szCs w:val="20"/>
    </w:rPr>
  </w:style>
  <w:style w:type="paragraph" w:customStyle="1" w:styleId="443">
    <w:name w:val="toc 37"/>
    <w:next w:val="1"/>
    <w:autoRedefine/>
    <w:qFormat/>
    <w:uiPriority w:val="0"/>
    <w:pPr>
      <w:wordWrap w:val="0"/>
      <w:ind w:left="850"/>
      <w:jc w:val="both"/>
    </w:pPr>
    <w:rPr>
      <w:rFonts w:ascii="Calibri" w:hAnsi="Calibri" w:eastAsia="宋体" w:cs="Times New Roman"/>
      <w:sz w:val="21"/>
      <w:lang w:val="en-US" w:eastAsia="zh-CN" w:bidi="ar-SA"/>
    </w:rPr>
  </w:style>
  <w:style w:type="paragraph" w:customStyle="1" w:styleId="444">
    <w:name w:val="xl109"/>
    <w:basedOn w:val="1"/>
    <w:next w:val="390"/>
    <w:autoRedefine/>
    <w:qFormat/>
    <w:uiPriority w:val="0"/>
    <w:pPr>
      <w:widowControl/>
      <w:shd w:val="clear" w:color="000000" w:fill="FFFFFF"/>
      <w:spacing w:before="280" w:after="280"/>
    </w:pPr>
    <w:rPr>
      <w:rFonts w:ascii="宋体" w:hAnsi="Calibri"/>
      <w:kern w:val="0"/>
      <w:sz w:val="20"/>
      <w:szCs w:val="20"/>
    </w:rPr>
  </w:style>
  <w:style w:type="paragraph" w:customStyle="1" w:styleId="445">
    <w:name w:val="toc 215"/>
    <w:next w:val="1"/>
    <w:autoRedefine/>
    <w:qFormat/>
    <w:uiPriority w:val="0"/>
    <w:pPr>
      <w:wordWrap w:val="0"/>
      <w:ind w:left="425"/>
      <w:jc w:val="both"/>
    </w:pPr>
    <w:rPr>
      <w:rFonts w:ascii="Calibri" w:hAnsi="Calibri" w:eastAsia="宋体" w:cs="Times New Roman"/>
      <w:sz w:val="21"/>
      <w:lang w:val="en-US" w:eastAsia="zh-CN" w:bidi="ar-SA"/>
    </w:rPr>
  </w:style>
  <w:style w:type="paragraph" w:customStyle="1" w:styleId="446">
    <w:name w:val="xl76"/>
    <w:basedOn w:val="1"/>
    <w:next w:val="398"/>
    <w:autoRedefine/>
    <w:qFormat/>
    <w:uiPriority w:val="0"/>
    <w:pPr>
      <w:widowControl/>
      <w:shd w:val="clear" w:color="000000" w:fill="FFFFFF"/>
      <w:spacing w:before="280" w:after="280"/>
      <w:jc w:val="center"/>
    </w:pPr>
    <w:rPr>
      <w:rFonts w:ascii="宋体" w:hAnsi="Calibri"/>
      <w:b/>
      <w:kern w:val="0"/>
      <w:sz w:val="20"/>
      <w:szCs w:val="20"/>
    </w:rPr>
  </w:style>
  <w:style w:type="paragraph" w:customStyle="1" w:styleId="447">
    <w:name w:val="toc 92"/>
    <w:next w:val="1"/>
    <w:autoRedefine/>
    <w:qFormat/>
    <w:uiPriority w:val="0"/>
    <w:pPr>
      <w:wordWrap w:val="0"/>
      <w:ind w:left="3400"/>
      <w:jc w:val="both"/>
    </w:pPr>
    <w:rPr>
      <w:rFonts w:ascii="Calibri" w:hAnsi="Calibri" w:eastAsia="宋体" w:cs="Times New Roman"/>
      <w:sz w:val="21"/>
      <w:lang w:val="en-US" w:eastAsia="zh-CN" w:bidi="ar-SA"/>
    </w:rPr>
  </w:style>
  <w:style w:type="paragraph" w:customStyle="1" w:styleId="448">
    <w:name w:val="toc 216"/>
    <w:next w:val="1"/>
    <w:autoRedefine/>
    <w:qFormat/>
    <w:uiPriority w:val="0"/>
    <w:pPr>
      <w:wordWrap w:val="0"/>
      <w:ind w:left="425"/>
      <w:jc w:val="both"/>
    </w:pPr>
    <w:rPr>
      <w:rFonts w:ascii="Calibri" w:hAnsi="Calibri" w:eastAsia="宋体" w:cs="Times New Roman"/>
      <w:sz w:val="21"/>
      <w:lang w:val="en-US" w:eastAsia="zh-CN" w:bidi="ar-SA"/>
    </w:rPr>
  </w:style>
  <w:style w:type="paragraph" w:customStyle="1" w:styleId="449">
    <w:name w:val="xl70"/>
    <w:basedOn w:val="1"/>
    <w:next w:val="375"/>
    <w:autoRedefine/>
    <w:qFormat/>
    <w:uiPriority w:val="0"/>
    <w:pPr>
      <w:widowControl/>
      <w:shd w:val="clear" w:color="000000" w:fill="FFFFFF"/>
      <w:spacing w:before="280" w:after="280"/>
    </w:pPr>
    <w:rPr>
      <w:rFonts w:ascii="宋体" w:hAnsi="Calibri"/>
      <w:kern w:val="0"/>
      <w:sz w:val="20"/>
      <w:szCs w:val="20"/>
    </w:rPr>
  </w:style>
  <w:style w:type="paragraph" w:customStyle="1" w:styleId="450">
    <w:name w:val="toc 33"/>
    <w:next w:val="1"/>
    <w:autoRedefine/>
    <w:qFormat/>
    <w:uiPriority w:val="0"/>
    <w:pPr>
      <w:wordWrap w:val="0"/>
      <w:ind w:left="850"/>
      <w:jc w:val="both"/>
    </w:pPr>
    <w:rPr>
      <w:rFonts w:ascii="Calibri" w:hAnsi="Calibri" w:eastAsia="宋体" w:cs="Times New Roman"/>
      <w:sz w:val="21"/>
      <w:lang w:val="en-US" w:eastAsia="zh-CN" w:bidi="ar-SA"/>
    </w:rPr>
  </w:style>
  <w:style w:type="paragraph" w:customStyle="1" w:styleId="451">
    <w:name w:val="toc 61"/>
    <w:next w:val="1"/>
    <w:autoRedefine/>
    <w:qFormat/>
    <w:uiPriority w:val="0"/>
    <w:pPr>
      <w:wordWrap w:val="0"/>
      <w:ind w:left="2125"/>
      <w:jc w:val="both"/>
    </w:pPr>
    <w:rPr>
      <w:rFonts w:ascii="Calibri" w:hAnsi="Calibri" w:eastAsia="宋体" w:cs="Times New Roman"/>
      <w:sz w:val="21"/>
      <w:lang w:val="en-US" w:eastAsia="zh-CN" w:bidi="ar-SA"/>
    </w:rPr>
  </w:style>
  <w:style w:type="paragraph" w:customStyle="1" w:styleId="452">
    <w:name w:val="xl98"/>
    <w:basedOn w:val="1"/>
    <w:next w:val="393"/>
    <w:autoRedefine/>
    <w:qFormat/>
    <w:uiPriority w:val="0"/>
    <w:pPr>
      <w:widowControl/>
      <w:shd w:val="clear" w:color="000000" w:fill="FFFFFF"/>
      <w:spacing w:before="280" w:after="280"/>
      <w:jc w:val="center"/>
    </w:pPr>
    <w:rPr>
      <w:rFonts w:ascii="宋体" w:hAnsi="Calibri"/>
      <w:kern w:val="0"/>
      <w:sz w:val="20"/>
      <w:szCs w:val="20"/>
    </w:rPr>
  </w:style>
  <w:style w:type="paragraph" w:customStyle="1" w:styleId="453">
    <w:name w:val="toc 26"/>
    <w:next w:val="1"/>
    <w:autoRedefine/>
    <w:qFormat/>
    <w:uiPriority w:val="0"/>
    <w:pPr>
      <w:wordWrap w:val="0"/>
      <w:ind w:left="425"/>
      <w:jc w:val="both"/>
    </w:pPr>
    <w:rPr>
      <w:rFonts w:ascii="Calibri" w:hAnsi="Calibri" w:eastAsia="宋体" w:cs="Times New Roman"/>
      <w:sz w:val="21"/>
      <w:lang w:val="en-US" w:eastAsia="zh-CN" w:bidi="ar-SA"/>
    </w:rPr>
  </w:style>
  <w:style w:type="paragraph" w:customStyle="1" w:styleId="454">
    <w:name w:val="toc 13"/>
    <w:next w:val="1"/>
    <w:autoRedefine/>
    <w:qFormat/>
    <w:uiPriority w:val="0"/>
    <w:pPr>
      <w:wordWrap w:val="0"/>
      <w:jc w:val="both"/>
    </w:pPr>
    <w:rPr>
      <w:rFonts w:ascii="Calibri" w:hAnsi="Calibri" w:eastAsia="宋体" w:cs="Times New Roman"/>
      <w:sz w:val="21"/>
      <w:lang w:val="en-US" w:eastAsia="zh-CN" w:bidi="ar-SA"/>
    </w:rPr>
  </w:style>
  <w:style w:type="paragraph" w:customStyle="1" w:styleId="455">
    <w:name w:val="目录 51"/>
    <w:next w:val="1"/>
    <w:autoRedefine/>
    <w:qFormat/>
    <w:uiPriority w:val="0"/>
    <w:pPr>
      <w:wordWrap w:val="0"/>
      <w:ind w:left="1700"/>
      <w:jc w:val="both"/>
    </w:pPr>
    <w:rPr>
      <w:rFonts w:ascii="Calibri" w:hAnsi="Calibri" w:eastAsia="宋体" w:cs="Times New Roman"/>
      <w:sz w:val="21"/>
      <w:lang w:val="en-US" w:eastAsia="zh-CN" w:bidi="ar-SA"/>
    </w:rPr>
  </w:style>
  <w:style w:type="paragraph" w:customStyle="1" w:styleId="456">
    <w:name w:val="xl101"/>
    <w:basedOn w:val="1"/>
    <w:next w:val="424"/>
    <w:autoRedefine/>
    <w:qFormat/>
    <w:uiPriority w:val="0"/>
    <w:pPr>
      <w:widowControl/>
      <w:spacing w:before="280" w:after="280"/>
    </w:pPr>
    <w:rPr>
      <w:rFonts w:ascii="宋体" w:hAnsi="Calibri"/>
      <w:kern w:val="0"/>
      <w:sz w:val="20"/>
      <w:szCs w:val="20"/>
    </w:rPr>
  </w:style>
  <w:style w:type="paragraph" w:customStyle="1" w:styleId="457">
    <w:name w:val="toc 75"/>
    <w:next w:val="1"/>
    <w:autoRedefine/>
    <w:qFormat/>
    <w:uiPriority w:val="0"/>
    <w:pPr>
      <w:wordWrap w:val="0"/>
      <w:ind w:left="2550"/>
      <w:jc w:val="both"/>
    </w:pPr>
    <w:rPr>
      <w:rFonts w:ascii="Calibri" w:hAnsi="Calibri" w:eastAsia="宋体" w:cs="Times New Roman"/>
      <w:sz w:val="21"/>
      <w:lang w:val="en-US" w:eastAsia="zh-CN" w:bidi="ar-SA"/>
    </w:rPr>
  </w:style>
  <w:style w:type="paragraph" w:customStyle="1" w:styleId="458">
    <w:name w:val="toc 715"/>
    <w:next w:val="1"/>
    <w:autoRedefine/>
    <w:qFormat/>
    <w:uiPriority w:val="0"/>
    <w:pPr>
      <w:wordWrap w:val="0"/>
      <w:ind w:left="2550"/>
      <w:jc w:val="both"/>
    </w:pPr>
    <w:rPr>
      <w:rFonts w:ascii="Calibri" w:hAnsi="Calibri" w:eastAsia="宋体" w:cs="Times New Roman"/>
      <w:sz w:val="21"/>
      <w:lang w:val="en-US" w:eastAsia="zh-CN" w:bidi="ar-SA"/>
    </w:rPr>
  </w:style>
  <w:style w:type="paragraph" w:styleId="459">
    <w:name w:val="Intense Quote"/>
    <w:next w:val="1"/>
    <w:link w:val="460"/>
    <w:autoRedefine/>
    <w:qFormat/>
    <w:uiPriority w:val="0"/>
    <w:pPr>
      <w:wordWrap w:val="0"/>
      <w:spacing w:before="360" w:after="360"/>
      <w:ind w:left="950" w:right="950"/>
      <w:jc w:val="center"/>
    </w:pPr>
    <w:rPr>
      <w:rFonts w:ascii="Calibri" w:hAnsi="Calibri" w:eastAsia="宋体" w:cs="Times New Roman"/>
      <w:i/>
      <w:sz w:val="21"/>
      <w:lang w:val="en-US" w:eastAsia="zh-CN" w:bidi="ar-SA"/>
    </w:rPr>
  </w:style>
  <w:style w:type="character" w:customStyle="1" w:styleId="460">
    <w:name w:val="明显引用 Char"/>
    <w:basedOn w:val="46"/>
    <w:link w:val="459"/>
    <w:autoRedefine/>
    <w:qFormat/>
    <w:uiPriority w:val="0"/>
    <w:rPr>
      <w:rFonts w:ascii="Calibri" w:hAnsi="Calibri"/>
      <w:i/>
      <w:sz w:val="21"/>
    </w:rPr>
  </w:style>
  <w:style w:type="paragraph" w:customStyle="1" w:styleId="461">
    <w:name w:val="Char Char Char Char Char Char Char"/>
    <w:basedOn w:val="1"/>
    <w:next w:val="445"/>
    <w:autoRedefine/>
    <w:qFormat/>
    <w:uiPriority w:val="0"/>
    <w:pPr>
      <w:widowControl/>
      <w:spacing w:after="160" w:line="240" w:lineRule="exact"/>
    </w:pPr>
    <w:rPr>
      <w:rFonts w:hAnsi="Calibri"/>
      <w:kern w:val="0"/>
      <w:szCs w:val="20"/>
    </w:rPr>
  </w:style>
  <w:style w:type="paragraph" w:customStyle="1" w:styleId="462">
    <w:name w:val="toc 23"/>
    <w:next w:val="1"/>
    <w:autoRedefine/>
    <w:qFormat/>
    <w:uiPriority w:val="0"/>
    <w:pPr>
      <w:wordWrap w:val="0"/>
      <w:ind w:left="425"/>
      <w:jc w:val="both"/>
    </w:pPr>
    <w:rPr>
      <w:rFonts w:ascii="Calibri" w:hAnsi="Calibri" w:eastAsia="宋体" w:cs="Times New Roman"/>
      <w:sz w:val="21"/>
      <w:lang w:val="en-US" w:eastAsia="zh-CN" w:bidi="ar-SA"/>
    </w:rPr>
  </w:style>
  <w:style w:type="paragraph" w:customStyle="1" w:styleId="463">
    <w:name w:val="目录 61"/>
    <w:next w:val="1"/>
    <w:autoRedefine/>
    <w:qFormat/>
    <w:uiPriority w:val="0"/>
    <w:pPr>
      <w:wordWrap w:val="0"/>
      <w:ind w:left="2125"/>
      <w:jc w:val="both"/>
    </w:pPr>
    <w:rPr>
      <w:rFonts w:ascii="Calibri" w:hAnsi="Calibri" w:eastAsia="宋体" w:cs="Times New Roman"/>
      <w:sz w:val="21"/>
      <w:lang w:val="en-US" w:eastAsia="zh-CN" w:bidi="ar-SA"/>
    </w:rPr>
  </w:style>
  <w:style w:type="paragraph" w:customStyle="1" w:styleId="464">
    <w:name w:val="toc 97"/>
    <w:next w:val="1"/>
    <w:autoRedefine/>
    <w:qFormat/>
    <w:uiPriority w:val="0"/>
    <w:pPr>
      <w:wordWrap w:val="0"/>
      <w:ind w:left="3400"/>
      <w:jc w:val="both"/>
    </w:pPr>
    <w:rPr>
      <w:rFonts w:ascii="Calibri" w:hAnsi="Calibri" w:eastAsia="宋体" w:cs="Times New Roman"/>
      <w:sz w:val="21"/>
      <w:lang w:val="en-US" w:eastAsia="zh-CN" w:bidi="ar-SA"/>
    </w:rPr>
  </w:style>
  <w:style w:type="paragraph" w:customStyle="1" w:styleId="465">
    <w:name w:val="toc 74"/>
    <w:next w:val="1"/>
    <w:autoRedefine/>
    <w:qFormat/>
    <w:uiPriority w:val="0"/>
    <w:pPr>
      <w:wordWrap w:val="0"/>
      <w:ind w:left="2550"/>
      <w:jc w:val="both"/>
    </w:pPr>
    <w:rPr>
      <w:rFonts w:ascii="Calibri" w:hAnsi="Calibri" w:eastAsia="宋体" w:cs="Times New Roman"/>
      <w:sz w:val="21"/>
      <w:lang w:val="en-US" w:eastAsia="zh-CN" w:bidi="ar-SA"/>
    </w:rPr>
  </w:style>
  <w:style w:type="paragraph" w:customStyle="1" w:styleId="466">
    <w:name w:val="xl64"/>
    <w:basedOn w:val="1"/>
    <w:next w:val="441"/>
    <w:autoRedefine/>
    <w:qFormat/>
    <w:uiPriority w:val="0"/>
    <w:pPr>
      <w:widowControl/>
      <w:shd w:val="clear" w:color="000000" w:fill="FFFFFF"/>
      <w:spacing w:before="280" w:after="280"/>
    </w:pPr>
    <w:rPr>
      <w:rFonts w:ascii="宋体" w:hAnsi="Calibri"/>
      <w:kern w:val="0"/>
      <w:sz w:val="20"/>
      <w:szCs w:val="20"/>
    </w:rPr>
  </w:style>
  <w:style w:type="paragraph" w:customStyle="1" w:styleId="467">
    <w:name w:val="xl82"/>
    <w:basedOn w:val="1"/>
    <w:next w:val="286"/>
    <w:autoRedefine/>
    <w:qFormat/>
    <w:uiPriority w:val="0"/>
    <w:pPr>
      <w:widowControl/>
      <w:shd w:val="clear" w:color="000000" w:fill="FFFFFF"/>
      <w:spacing w:before="280" w:after="280"/>
    </w:pPr>
    <w:rPr>
      <w:rFonts w:ascii="宋体" w:hAnsi="Calibri"/>
      <w:kern w:val="0"/>
      <w:sz w:val="20"/>
      <w:szCs w:val="20"/>
    </w:rPr>
  </w:style>
  <w:style w:type="paragraph" w:customStyle="1" w:styleId="468">
    <w:name w:val="toc 32"/>
    <w:next w:val="1"/>
    <w:autoRedefine/>
    <w:qFormat/>
    <w:uiPriority w:val="0"/>
    <w:pPr>
      <w:wordWrap w:val="0"/>
      <w:ind w:left="850"/>
      <w:jc w:val="both"/>
    </w:pPr>
    <w:rPr>
      <w:rFonts w:ascii="Calibri" w:hAnsi="Calibri" w:eastAsia="宋体" w:cs="Times New Roman"/>
      <w:sz w:val="21"/>
      <w:lang w:val="en-US" w:eastAsia="zh-CN" w:bidi="ar-SA"/>
    </w:rPr>
  </w:style>
  <w:style w:type="paragraph" w:customStyle="1" w:styleId="469">
    <w:name w:val="xl77"/>
    <w:basedOn w:val="1"/>
    <w:next w:val="434"/>
    <w:autoRedefine/>
    <w:qFormat/>
    <w:uiPriority w:val="0"/>
    <w:pPr>
      <w:widowControl/>
      <w:shd w:val="clear" w:color="000000" w:fill="FFFFFF"/>
      <w:spacing w:before="280" w:after="280"/>
      <w:jc w:val="center"/>
    </w:pPr>
    <w:rPr>
      <w:rFonts w:ascii="宋体" w:hAnsi="Calibri"/>
      <w:kern w:val="0"/>
      <w:sz w:val="20"/>
      <w:szCs w:val="20"/>
    </w:rPr>
  </w:style>
  <w:style w:type="character" w:customStyle="1" w:styleId="470">
    <w:name w:val="正文缩进 Char1"/>
    <w:autoRedefine/>
    <w:qFormat/>
    <w:uiPriority w:val="0"/>
    <w:rPr>
      <w:rFonts w:eastAsia="宋体"/>
      <w:kern w:val="2"/>
      <w:sz w:val="21"/>
      <w:lang w:val="en-US" w:eastAsia="zh-CN" w:bidi="ar-SA"/>
    </w:rPr>
  </w:style>
  <w:style w:type="character" w:customStyle="1" w:styleId="471">
    <w:name w:val="fielderror"/>
    <w:basedOn w:val="46"/>
    <w:autoRedefine/>
    <w:qFormat/>
    <w:uiPriority w:val="0"/>
    <w:rPr>
      <w:color w:val="800000"/>
    </w:rPr>
  </w:style>
  <w:style w:type="character" w:customStyle="1" w:styleId="472">
    <w:name w:val="hilite6"/>
    <w:basedOn w:val="46"/>
    <w:autoRedefine/>
    <w:qFormat/>
    <w:uiPriority w:val="0"/>
    <w:rPr>
      <w:color w:val="000000"/>
    </w:rPr>
  </w:style>
  <w:style w:type="character" w:customStyle="1" w:styleId="473">
    <w:name w:val="active6"/>
    <w:basedOn w:val="46"/>
    <w:autoRedefine/>
    <w:qFormat/>
    <w:uiPriority w:val="0"/>
    <w:rPr>
      <w:color w:val="FFFFFF"/>
    </w:rPr>
  </w:style>
  <w:style w:type="character" w:customStyle="1" w:styleId="474">
    <w:name w:val="inline-help"/>
    <w:basedOn w:val="46"/>
    <w:autoRedefine/>
    <w:qFormat/>
    <w:uiPriority w:val="0"/>
  </w:style>
  <w:style w:type="character" w:customStyle="1" w:styleId="475">
    <w:name w:val="active"/>
    <w:basedOn w:val="46"/>
    <w:autoRedefine/>
    <w:qFormat/>
    <w:uiPriority w:val="0"/>
    <w:rPr>
      <w:color w:val="FFFFFF"/>
    </w:rPr>
  </w:style>
  <w:style w:type="table" w:customStyle="1" w:styleId="476">
    <w:name w:val="网格型1"/>
    <w:basedOn w:val="43"/>
    <w:autoRedefine/>
    <w:qFormat/>
    <w:uiPriority w:val="39"/>
    <w:pPr>
      <w:widowControl w:val="0"/>
      <w:jc w:val="both"/>
    </w:pPr>
    <w:rPr>
      <w:rFonts w:eastAsiaTheme="minorEastAsi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477">
    <w:name w:val="修订2"/>
    <w:autoRedefine/>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68</Pages>
  <Words>9962</Words>
  <Characters>10788</Characters>
  <Lines>423</Lines>
  <Paragraphs>119</Paragraphs>
  <TotalTime>8</TotalTime>
  <ScaleCrop>false</ScaleCrop>
  <LinksUpToDate>false</LinksUpToDate>
  <CharactersWithSpaces>10887</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2021-05-07T05:47:00Z</dcterms:created>
  <dc:creator>thsware</dc:creator>
  <cp:lastModifiedBy>箴言</cp:lastModifiedBy>
  <cp:lastPrinted>2021-05-16T11:04:00Z</cp:lastPrinted>
  <dcterms:modified xsi:type="dcterms:W3CDTF">2025-08-07T08:51:36Z</dcterms:modified>
  <dc:title>招  标　文　件</dc:title>
  <cp:revision>124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A90B1F00BC144E4B9F03E7357A8C749D_13</vt:lpwstr>
  </property>
  <property fmtid="{D5CDD505-2E9C-101B-9397-08002B2CF9AE}" pid="4" name="KSOTemplateDocerSaveRecord">
    <vt:lpwstr>eyJoZGlkIjoiNWViZDUzM2Q0MzcwZDk3NWQ3Mzc4NmVjOThjYWVmZTEiLCJ1c2VySWQiOiIyNDY0MjQ1NjcifQ==</vt:lpwstr>
  </property>
</Properties>
</file>