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DDD0EB">
      <w:pPr>
        <w:adjustRightInd w:val="0"/>
        <w:snapToGrid w:val="0"/>
        <w:jc w:val="both"/>
        <w:rPr>
          <w:b/>
          <w:color w:val="auto"/>
          <w:sz w:val="36"/>
          <w:szCs w:val="36"/>
          <w:highlight w:val="none"/>
        </w:rPr>
      </w:pPr>
    </w:p>
    <w:p w14:paraId="3F5C7244">
      <w:pPr>
        <w:adjustRightInd w:val="0"/>
        <w:snapToGrid w:val="0"/>
        <w:jc w:val="both"/>
        <w:rPr>
          <w:b/>
          <w:color w:val="auto"/>
          <w:sz w:val="36"/>
          <w:szCs w:val="36"/>
          <w:highlight w:val="none"/>
        </w:rPr>
      </w:pPr>
    </w:p>
    <w:p w14:paraId="4752D83E">
      <w:pPr>
        <w:adjustRightInd w:val="0"/>
        <w:snapToGrid w:val="0"/>
        <w:jc w:val="both"/>
        <w:rPr>
          <w:b/>
          <w:color w:val="auto"/>
          <w:sz w:val="36"/>
          <w:szCs w:val="36"/>
          <w:highlight w:val="none"/>
        </w:rPr>
      </w:pPr>
    </w:p>
    <w:p w14:paraId="488CB72C">
      <w:pPr>
        <w:adjustRightInd w:val="0"/>
        <w:snapToGrid w:val="0"/>
        <w:jc w:val="both"/>
        <w:rPr>
          <w:b/>
          <w:color w:val="auto"/>
          <w:sz w:val="36"/>
          <w:szCs w:val="36"/>
          <w:highlight w:val="none"/>
        </w:rPr>
      </w:pPr>
    </w:p>
    <w:p w14:paraId="5F989A9E">
      <w:pPr>
        <w:adjustRightInd w:val="0"/>
        <w:snapToGrid w:val="0"/>
        <w:jc w:val="both"/>
        <w:rPr>
          <w:b/>
          <w:color w:val="auto"/>
          <w:sz w:val="36"/>
          <w:szCs w:val="36"/>
          <w:highlight w:val="none"/>
        </w:rPr>
      </w:pPr>
    </w:p>
    <w:p w14:paraId="74DD9169">
      <w:pPr>
        <w:adjustRightInd w:val="0"/>
        <w:snapToGrid w:val="0"/>
        <w:jc w:val="both"/>
        <w:rPr>
          <w:b/>
          <w:color w:val="auto"/>
          <w:sz w:val="36"/>
          <w:szCs w:val="36"/>
          <w:highlight w:val="none"/>
        </w:rPr>
      </w:pPr>
    </w:p>
    <w:p w14:paraId="7723CCB6">
      <w:pPr>
        <w:adjustRightInd w:val="0"/>
        <w:snapToGrid w:val="0"/>
        <w:jc w:val="center"/>
        <w:rPr>
          <w:b/>
          <w:color w:val="auto"/>
          <w:sz w:val="36"/>
          <w:szCs w:val="36"/>
          <w:highlight w:val="none"/>
        </w:rPr>
      </w:pPr>
    </w:p>
    <w:p w14:paraId="010B927A">
      <w:pPr>
        <w:adjustRightInd w:val="0"/>
        <w:snapToGrid w:val="0"/>
        <w:jc w:val="both"/>
        <w:rPr>
          <w:b/>
          <w:color w:val="auto"/>
          <w:sz w:val="36"/>
          <w:szCs w:val="36"/>
          <w:highlight w:val="none"/>
        </w:rPr>
      </w:pPr>
    </w:p>
    <w:p w14:paraId="33EEF3F9">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包14：神经药物多模态评价平台</w:t>
      </w:r>
    </w:p>
    <w:p w14:paraId="61E920AC">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设备用户需求说明书</w:t>
      </w:r>
    </w:p>
    <w:p w14:paraId="31C12169">
      <w:pPr>
        <w:adjustRightInd w:val="0"/>
        <w:snapToGrid w:val="0"/>
        <w:jc w:val="both"/>
        <w:rPr>
          <w:b/>
          <w:color w:val="auto"/>
          <w:sz w:val="36"/>
          <w:szCs w:val="36"/>
          <w:highlight w:val="none"/>
        </w:rPr>
      </w:pPr>
    </w:p>
    <w:p w14:paraId="6BC73F76">
      <w:pPr>
        <w:adjustRightInd w:val="0"/>
        <w:snapToGrid w:val="0"/>
        <w:jc w:val="both"/>
        <w:rPr>
          <w:b/>
          <w:color w:val="auto"/>
          <w:sz w:val="36"/>
          <w:szCs w:val="36"/>
          <w:highlight w:val="none"/>
        </w:rPr>
      </w:pPr>
    </w:p>
    <w:p w14:paraId="4D26D4D3">
      <w:pPr>
        <w:adjustRightInd w:val="0"/>
        <w:snapToGrid w:val="0"/>
        <w:jc w:val="both"/>
        <w:rPr>
          <w:b/>
          <w:color w:val="auto"/>
          <w:sz w:val="36"/>
          <w:szCs w:val="36"/>
          <w:highlight w:val="none"/>
        </w:rPr>
      </w:pPr>
    </w:p>
    <w:p w14:paraId="74BF2C23">
      <w:pPr>
        <w:adjustRightInd w:val="0"/>
        <w:snapToGrid w:val="0"/>
        <w:jc w:val="both"/>
        <w:rPr>
          <w:b/>
          <w:color w:val="auto"/>
          <w:sz w:val="36"/>
          <w:szCs w:val="36"/>
          <w:highlight w:val="none"/>
        </w:rPr>
      </w:pPr>
    </w:p>
    <w:p w14:paraId="1A4BC0B9">
      <w:pPr>
        <w:adjustRightInd w:val="0"/>
        <w:snapToGrid w:val="0"/>
        <w:jc w:val="both"/>
        <w:rPr>
          <w:b/>
          <w:color w:val="auto"/>
          <w:sz w:val="36"/>
          <w:szCs w:val="36"/>
          <w:highlight w:val="none"/>
        </w:rPr>
      </w:pPr>
    </w:p>
    <w:p w14:paraId="44F2C420">
      <w:pPr>
        <w:adjustRightInd w:val="0"/>
        <w:snapToGrid w:val="0"/>
        <w:jc w:val="both"/>
        <w:rPr>
          <w:b/>
          <w:color w:val="auto"/>
          <w:sz w:val="36"/>
          <w:szCs w:val="36"/>
          <w:highlight w:val="none"/>
        </w:rPr>
      </w:pPr>
    </w:p>
    <w:p w14:paraId="3ABDC6CF">
      <w:pPr>
        <w:adjustRightInd w:val="0"/>
        <w:snapToGrid w:val="0"/>
        <w:jc w:val="both"/>
        <w:rPr>
          <w:b/>
          <w:color w:val="auto"/>
          <w:sz w:val="36"/>
          <w:szCs w:val="36"/>
          <w:highlight w:val="none"/>
        </w:rPr>
      </w:pPr>
    </w:p>
    <w:p w14:paraId="463B46AA">
      <w:pPr>
        <w:adjustRightInd w:val="0"/>
        <w:snapToGrid w:val="0"/>
        <w:jc w:val="both"/>
        <w:rPr>
          <w:b/>
          <w:color w:val="auto"/>
          <w:sz w:val="36"/>
          <w:szCs w:val="36"/>
          <w:highlight w:val="none"/>
        </w:rPr>
      </w:pPr>
    </w:p>
    <w:p w14:paraId="4D537ACB">
      <w:pPr>
        <w:adjustRightInd w:val="0"/>
        <w:snapToGrid w:val="0"/>
        <w:jc w:val="both"/>
        <w:rPr>
          <w:b/>
          <w:color w:val="auto"/>
          <w:sz w:val="36"/>
          <w:szCs w:val="36"/>
          <w:highlight w:val="none"/>
        </w:rPr>
      </w:pPr>
    </w:p>
    <w:p w14:paraId="52B3313E">
      <w:pPr>
        <w:adjustRightInd w:val="0"/>
        <w:snapToGrid w:val="0"/>
        <w:jc w:val="both"/>
        <w:rPr>
          <w:b/>
          <w:color w:val="auto"/>
          <w:sz w:val="36"/>
          <w:szCs w:val="36"/>
          <w:highlight w:val="none"/>
        </w:rPr>
      </w:pPr>
    </w:p>
    <w:p w14:paraId="2DD2FF76">
      <w:pPr>
        <w:adjustRightInd w:val="0"/>
        <w:snapToGrid w:val="0"/>
        <w:jc w:val="center"/>
        <w:rPr>
          <w:rFonts w:hint="eastAsia" w:ascii="微软雅黑" w:hAnsi="微软雅黑" w:eastAsia="微软雅黑" w:cs="微软雅黑"/>
          <w:b/>
          <w:color w:val="auto"/>
          <w:sz w:val="24"/>
          <w:szCs w:val="24"/>
          <w:highlight w:val="none"/>
        </w:rPr>
      </w:pPr>
    </w:p>
    <w:p w14:paraId="2942657D">
      <w:pPr>
        <w:adjustRightInd w:val="0"/>
        <w:snapToGrid w:val="0"/>
        <w:jc w:val="center"/>
        <w:rPr>
          <w:rFonts w:hint="eastAsia" w:ascii="微软雅黑" w:hAnsi="微软雅黑" w:eastAsia="微软雅黑" w:cs="微软雅黑"/>
          <w:b/>
          <w:color w:val="auto"/>
          <w:sz w:val="24"/>
          <w:szCs w:val="24"/>
          <w:highlight w:val="none"/>
        </w:rPr>
      </w:pPr>
    </w:p>
    <w:sdt>
      <w:sdtPr>
        <w:rPr>
          <w:rFonts w:ascii="宋体" w:hAnsi="宋体" w:eastAsia="宋体" w:cstheme="minorBidi"/>
          <w:snapToGrid/>
          <w:kern w:val="2"/>
          <w:sz w:val="21"/>
          <w:szCs w:val="24"/>
          <w:lang w:val="en-US" w:eastAsia="zh-CN" w:bidi="ar-SA"/>
        </w:rPr>
        <w:id w:val="147461273"/>
        <w15:color w:val="DBDBDB"/>
        <w:docPartObj>
          <w:docPartGallery w:val="Table of Contents"/>
          <w:docPartUnique/>
        </w:docPartObj>
      </w:sdtPr>
      <w:sdtEndPr>
        <w:rPr>
          <w:rFonts w:hint="eastAsia" w:ascii="微软雅黑" w:hAnsi="微软雅黑" w:eastAsia="微软雅黑" w:cs="微软雅黑"/>
          <w:b/>
          <w:snapToGrid/>
          <w:color w:val="auto"/>
          <w:kern w:val="2"/>
          <w:sz w:val="21"/>
          <w:szCs w:val="24"/>
          <w:highlight w:val="none"/>
          <w:lang w:val="en-US" w:eastAsia="zh-CN" w:bidi="ar-SA"/>
        </w:rPr>
      </w:sdtEndPr>
      <w:sdtContent>
        <w:p w14:paraId="4D8BF489">
          <w:pPr>
            <w:keepNext w:val="0"/>
            <w:keepLines w:val="0"/>
            <w:pageBreakBefore w:val="0"/>
            <w:widowControl w:val="0"/>
            <w:kinsoku/>
            <w:wordWrap/>
            <w:overflowPunct/>
            <w:topLinePunct w:val="0"/>
            <w:autoSpaceDE/>
            <w:autoSpaceDN/>
            <w:bidi w:val="0"/>
            <w:adjustRightInd w:val="0"/>
            <w:snapToGrid w:val="0"/>
            <w:spacing w:before="0" w:after="0" w:afterLines="0" w:line="320" w:lineRule="exact"/>
            <w:ind w:left="0" w:leftChars="0" w:right="0" w:rightChars="0" w:firstLine="0" w:firstLineChars="0"/>
            <w:jc w:val="center"/>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目录</w:t>
          </w:r>
        </w:p>
        <w:p w14:paraId="047FD1B9">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b/>
              <w:color w:val="auto"/>
              <w:sz w:val="24"/>
              <w:szCs w:val="24"/>
              <w:highlight w:val="none"/>
            </w:rPr>
            <w:fldChar w:fldCharType="begin"/>
          </w:r>
          <w:r>
            <w:rPr>
              <w:rFonts w:hint="eastAsia" w:ascii="微软雅黑" w:hAnsi="微软雅黑" w:eastAsia="微软雅黑" w:cs="微软雅黑"/>
              <w:b/>
              <w:color w:val="auto"/>
              <w:sz w:val="24"/>
              <w:szCs w:val="24"/>
              <w:highlight w:val="none"/>
            </w:rPr>
            <w:instrText xml:space="preserve">TOC \o "1-2" \h \u </w:instrText>
          </w:r>
          <w:r>
            <w:rPr>
              <w:rFonts w:hint="eastAsia" w:ascii="微软雅黑" w:hAnsi="微软雅黑" w:eastAsia="微软雅黑" w:cs="微软雅黑"/>
              <w:b/>
              <w:color w:val="auto"/>
              <w:sz w:val="24"/>
              <w:szCs w:val="24"/>
              <w:highlight w:val="none"/>
            </w:rPr>
            <w:fldChar w:fldCharType="separate"/>
          </w: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_Toc29448 </w:instrText>
          </w:r>
          <w:r>
            <w:rPr>
              <w:rFonts w:hint="eastAsia" w:ascii="微软雅黑" w:hAnsi="微软雅黑" w:eastAsia="微软雅黑" w:cs="微软雅黑"/>
              <w:szCs w:val="24"/>
              <w:highlight w:val="none"/>
            </w:rPr>
            <w:fldChar w:fldCharType="separate"/>
          </w:r>
          <w:r>
            <w:rPr>
              <w:rFonts w:hint="default" w:ascii="Times New Roman" w:hAnsi="Times New Roman" w:eastAsia="宋体" w:cs="Arial"/>
              <w:bCs/>
              <w:szCs w:val="21"/>
            </w:rPr>
            <w:t xml:space="preserve">1. </w:t>
          </w:r>
          <w:r>
            <w:rPr>
              <w:rFonts w:hint="eastAsia" w:ascii="微软雅黑" w:hAnsi="微软雅黑" w:eastAsia="微软雅黑" w:cs="微软雅黑"/>
              <w:szCs w:val="21"/>
              <w:highlight w:val="none"/>
            </w:rPr>
            <w:t>目的</w:t>
          </w:r>
          <w:r>
            <w:tab/>
          </w:r>
          <w:r>
            <w:fldChar w:fldCharType="begin"/>
          </w:r>
          <w:r>
            <w:instrText xml:space="preserve"> PAGEREF _Toc29448 \h </w:instrText>
          </w:r>
          <w:r>
            <w:fldChar w:fldCharType="separate"/>
          </w:r>
          <w:r>
            <w:t>3</w:t>
          </w:r>
          <w:r>
            <w:fldChar w:fldCharType="end"/>
          </w:r>
          <w:r>
            <w:rPr>
              <w:rFonts w:hint="eastAsia" w:ascii="微软雅黑" w:hAnsi="微软雅黑" w:eastAsia="微软雅黑" w:cs="微软雅黑"/>
              <w:color w:val="auto"/>
              <w:szCs w:val="24"/>
              <w:highlight w:val="none"/>
            </w:rPr>
            <w:fldChar w:fldCharType="end"/>
          </w:r>
        </w:p>
        <w:p w14:paraId="1571972D">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_Toc29667 </w:instrText>
          </w:r>
          <w:r>
            <w:rPr>
              <w:rFonts w:hint="eastAsia" w:ascii="微软雅黑" w:hAnsi="微软雅黑" w:eastAsia="微软雅黑" w:cs="微软雅黑"/>
              <w:szCs w:val="24"/>
              <w:highlight w:val="none"/>
            </w:rPr>
            <w:fldChar w:fldCharType="separate"/>
          </w:r>
          <w:r>
            <w:rPr>
              <w:rFonts w:hint="default" w:ascii="Times New Roman" w:hAnsi="Times New Roman" w:eastAsia="宋体" w:cs="Arial"/>
              <w:bCs/>
              <w:szCs w:val="21"/>
            </w:rPr>
            <w:t xml:space="preserve">2. </w:t>
          </w:r>
          <w:r>
            <w:rPr>
              <w:rFonts w:hint="eastAsia" w:ascii="微软雅黑" w:hAnsi="微软雅黑" w:eastAsia="微软雅黑" w:cs="微软雅黑"/>
              <w:szCs w:val="21"/>
              <w:highlight w:val="none"/>
            </w:rPr>
            <w:t>范围</w:t>
          </w:r>
          <w:r>
            <w:tab/>
          </w:r>
          <w:r>
            <w:fldChar w:fldCharType="begin"/>
          </w:r>
          <w:r>
            <w:instrText xml:space="preserve"> PAGEREF _Toc29667 \h </w:instrText>
          </w:r>
          <w:r>
            <w:fldChar w:fldCharType="separate"/>
          </w:r>
          <w:r>
            <w:t>3</w:t>
          </w:r>
          <w:r>
            <w:fldChar w:fldCharType="end"/>
          </w:r>
          <w:r>
            <w:rPr>
              <w:rFonts w:hint="eastAsia" w:ascii="微软雅黑" w:hAnsi="微软雅黑" w:eastAsia="微软雅黑" w:cs="微软雅黑"/>
              <w:color w:val="auto"/>
              <w:szCs w:val="24"/>
              <w:highlight w:val="none"/>
            </w:rPr>
            <w:fldChar w:fldCharType="end"/>
          </w:r>
        </w:p>
        <w:p w14:paraId="2D7F9E9E">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_Toc3389 </w:instrText>
          </w:r>
          <w:r>
            <w:rPr>
              <w:rFonts w:hint="eastAsia" w:ascii="微软雅黑" w:hAnsi="微软雅黑" w:eastAsia="微软雅黑" w:cs="微软雅黑"/>
              <w:szCs w:val="24"/>
              <w:highlight w:val="none"/>
            </w:rPr>
            <w:fldChar w:fldCharType="separate"/>
          </w:r>
          <w:r>
            <w:rPr>
              <w:rFonts w:hint="default" w:ascii="Times New Roman" w:hAnsi="Times New Roman" w:eastAsia="宋体" w:cs="Arial"/>
              <w:bCs/>
              <w:szCs w:val="21"/>
            </w:rPr>
            <w:t xml:space="preserve">3. </w:t>
          </w:r>
          <w:r>
            <w:rPr>
              <w:rFonts w:hint="eastAsia" w:ascii="微软雅黑" w:hAnsi="微软雅黑" w:eastAsia="微软雅黑" w:cs="微软雅黑"/>
              <w:szCs w:val="21"/>
              <w:highlight w:val="none"/>
            </w:rPr>
            <w:t>参考文件</w:t>
          </w:r>
          <w:r>
            <w:tab/>
          </w:r>
          <w:r>
            <w:fldChar w:fldCharType="begin"/>
          </w:r>
          <w:r>
            <w:instrText xml:space="preserve"> PAGEREF _Toc3389 \h </w:instrText>
          </w:r>
          <w:r>
            <w:fldChar w:fldCharType="separate"/>
          </w:r>
          <w:r>
            <w:t>3</w:t>
          </w:r>
          <w:r>
            <w:fldChar w:fldCharType="end"/>
          </w:r>
          <w:r>
            <w:rPr>
              <w:rFonts w:hint="eastAsia" w:ascii="微软雅黑" w:hAnsi="微软雅黑" w:eastAsia="微软雅黑" w:cs="微软雅黑"/>
              <w:color w:val="auto"/>
              <w:szCs w:val="24"/>
              <w:highlight w:val="none"/>
            </w:rPr>
            <w:fldChar w:fldCharType="end"/>
          </w:r>
        </w:p>
        <w:p w14:paraId="3609CE8F">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_Toc21593 </w:instrText>
          </w:r>
          <w:r>
            <w:rPr>
              <w:rFonts w:hint="eastAsia" w:ascii="微软雅黑" w:hAnsi="微软雅黑" w:eastAsia="微软雅黑" w:cs="微软雅黑"/>
              <w:szCs w:val="24"/>
              <w:highlight w:val="none"/>
            </w:rPr>
            <w:fldChar w:fldCharType="separate"/>
          </w:r>
          <w:r>
            <w:rPr>
              <w:rFonts w:hint="default" w:ascii="Times New Roman" w:hAnsi="Times New Roman" w:eastAsia="微软雅黑" w:cs="Times New Roman"/>
              <w:bCs/>
              <w:szCs w:val="21"/>
            </w:rPr>
            <w:t xml:space="preserve">3.1. </w:t>
          </w:r>
          <w:r>
            <w:rPr>
              <w:rFonts w:hint="eastAsia" w:ascii="微软雅黑" w:hAnsi="微软雅黑" w:eastAsia="微软雅黑" w:cs="微软雅黑"/>
              <w:szCs w:val="21"/>
              <w:highlight w:val="none"/>
              <w:lang w:val="en-US" w:eastAsia="zh-CN"/>
            </w:rPr>
            <w:t>法规遵循</w:t>
          </w:r>
          <w:r>
            <w:tab/>
          </w:r>
          <w:r>
            <w:fldChar w:fldCharType="begin"/>
          </w:r>
          <w:r>
            <w:instrText xml:space="preserve"> PAGEREF _Toc21593 \h </w:instrText>
          </w:r>
          <w:r>
            <w:fldChar w:fldCharType="separate"/>
          </w:r>
          <w:r>
            <w:t>3</w:t>
          </w:r>
          <w:r>
            <w:fldChar w:fldCharType="end"/>
          </w:r>
          <w:r>
            <w:rPr>
              <w:rFonts w:hint="eastAsia" w:ascii="微软雅黑" w:hAnsi="微软雅黑" w:eastAsia="微软雅黑" w:cs="微软雅黑"/>
              <w:color w:val="auto"/>
              <w:szCs w:val="24"/>
              <w:highlight w:val="none"/>
            </w:rPr>
            <w:fldChar w:fldCharType="end"/>
          </w:r>
        </w:p>
        <w:p w14:paraId="0E8F7FC1">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_Toc20666 </w:instrText>
          </w:r>
          <w:r>
            <w:rPr>
              <w:rFonts w:hint="eastAsia" w:ascii="微软雅黑" w:hAnsi="微软雅黑" w:eastAsia="微软雅黑" w:cs="微软雅黑"/>
              <w:szCs w:val="24"/>
              <w:highlight w:val="none"/>
            </w:rPr>
            <w:fldChar w:fldCharType="separate"/>
          </w:r>
          <w:r>
            <w:rPr>
              <w:rFonts w:hint="default" w:ascii="Times New Roman" w:hAnsi="Times New Roman" w:eastAsia="微软雅黑" w:cs="Times New Roman"/>
              <w:bCs/>
              <w:szCs w:val="21"/>
            </w:rPr>
            <w:t xml:space="preserve">3.2. </w:t>
          </w:r>
          <w:r>
            <w:rPr>
              <w:rFonts w:hint="eastAsia" w:ascii="微软雅黑" w:hAnsi="微软雅黑" w:eastAsia="微软雅黑" w:cs="微软雅黑"/>
              <w:szCs w:val="21"/>
              <w:highlight w:val="none"/>
              <w:lang w:val="en-US" w:eastAsia="zh-CN"/>
            </w:rPr>
            <w:t>自动化工程规范</w:t>
          </w:r>
          <w:r>
            <w:tab/>
          </w:r>
          <w:r>
            <w:fldChar w:fldCharType="begin"/>
          </w:r>
          <w:r>
            <w:instrText xml:space="preserve"> PAGEREF _Toc20666 \h </w:instrText>
          </w:r>
          <w:r>
            <w:fldChar w:fldCharType="separate"/>
          </w:r>
          <w:r>
            <w:t>4</w:t>
          </w:r>
          <w:r>
            <w:fldChar w:fldCharType="end"/>
          </w:r>
          <w:r>
            <w:rPr>
              <w:rFonts w:hint="eastAsia" w:ascii="微软雅黑" w:hAnsi="微软雅黑" w:eastAsia="微软雅黑" w:cs="微软雅黑"/>
              <w:color w:val="auto"/>
              <w:szCs w:val="24"/>
              <w:highlight w:val="none"/>
            </w:rPr>
            <w:fldChar w:fldCharType="end"/>
          </w:r>
        </w:p>
        <w:p w14:paraId="763909E8">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_Toc1256 </w:instrText>
          </w:r>
          <w:r>
            <w:rPr>
              <w:rFonts w:hint="eastAsia" w:ascii="微软雅黑" w:hAnsi="微软雅黑" w:eastAsia="微软雅黑" w:cs="微软雅黑"/>
              <w:szCs w:val="24"/>
              <w:highlight w:val="none"/>
            </w:rPr>
            <w:fldChar w:fldCharType="separate"/>
          </w:r>
          <w:r>
            <w:rPr>
              <w:rFonts w:hint="default" w:ascii="Times New Roman" w:hAnsi="Times New Roman" w:eastAsia="宋体" w:cs="Arial"/>
              <w:bCs/>
              <w:szCs w:val="21"/>
            </w:rPr>
            <w:t xml:space="preserve">4. </w:t>
          </w:r>
          <w:r>
            <w:rPr>
              <w:rFonts w:hint="eastAsia" w:ascii="微软雅黑" w:hAnsi="微软雅黑" w:eastAsia="微软雅黑" w:cs="微软雅黑"/>
              <w:szCs w:val="21"/>
              <w:highlight w:val="none"/>
            </w:rPr>
            <w:t>缩写与定义</w:t>
          </w:r>
          <w:r>
            <w:tab/>
          </w:r>
          <w:r>
            <w:fldChar w:fldCharType="begin"/>
          </w:r>
          <w:r>
            <w:instrText xml:space="preserve"> PAGEREF _Toc1256 \h </w:instrText>
          </w:r>
          <w:r>
            <w:fldChar w:fldCharType="separate"/>
          </w:r>
          <w:r>
            <w:t>5</w:t>
          </w:r>
          <w:r>
            <w:fldChar w:fldCharType="end"/>
          </w:r>
          <w:r>
            <w:rPr>
              <w:rFonts w:hint="eastAsia" w:ascii="微软雅黑" w:hAnsi="微软雅黑" w:eastAsia="微软雅黑" w:cs="微软雅黑"/>
              <w:color w:val="auto"/>
              <w:szCs w:val="24"/>
              <w:highlight w:val="none"/>
            </w:rPr>
            <w:fldChar w:fldCharType="end"/>
          </w:r>
        </w:p>
        <w:p w14:paraId="5424ED87">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_Toc20764 </w:instrText>
          </w:r>
          <w:r>
            <w:rPr>
              <w:rFonts w:hint="eastAsia" w:ascii="微软雅黑" w:hAnsi="微软雅黑" w:eastAsia="微软雅黑" w:cs="微软雅黑"/>
              <w:szCs w:val="24"/>
              <w:highlight w:val="none"/>
            </w:rPr>
            <w:fldChar w:fldCharType="separate"/>
          </w:r>
          <w:r>
            <w:rPr>
              <w:rFonts w:hint="default" w:ascii="Times New Roman" w:hAnsi="Times New Roman" w:eastAsia="宋体" w:cs="Arial"/>
              <w:bCs/>
              <w:szCs w:val="21"/>
            </w:rPr>
            <w:t xml:space="preserve">5. </w:t>
          </w:r>
          <w:r>
            <w:rPr>
              <w:rFonts w:hint="eastAsia" w:ascii="微软雅黑" w:hAnsi="微软雅黑" w:eastAsia="微软雅黑" w:cs="微软雅黑"/>
              <w:szCs w:val="21"/>
              <w:highlight w:val="none"/>
            </w:rPr>
            <w:t>设备描述</w:t>
          </w:r>
          <w:r>
            <w:tab/>
          </w:r>
          <w:r>
            <w:fldChar w:fldCharType="begin"/>
          </w:r>
          <w:r>
            <w:instrText xml:space="preserve"> PAGEREF _Toc20764 \h </w:instrText>
          </w:r>
          <w:r>
            <w:fldChar w:fldCharType="separate"/>
          </w:r>
          <w:r>
            <w:t>5</w:t>
          </w:r>
          <w:r>
            <w:fldChar w:fldCharType="end"/>
          </w:r>
          <w:r>
            <w:rPr>
              <w:rFonts w:hint="eastAsia" w:ascii="微软雅黑" w:hAnsi="微软雅黑" w:eastAsia="微软雅黑" w:cs="微软雅黑"/>
              <w:color w:val="auto"/>
              <w:szCs w:val="24"/>
              <w:highlight w:val="none"/>
            </w:rPr>
            <w:fldChar w:fldCharType="end"/>
          </w:r>
        </w:p>
        <w:p w14:paraId="0C1AB6BD">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_Toc17468 </w:instrText>
          </w:r>
          <w:r>
            <w:rPr>
              <w:rFonts w:hint="eastAsia" w:ascii="微软雅黑" w:hAnsi="微软雅黑" w:eastAsia="微软雅黑" w:cs="微软雅黑"/>
              <w:szCs w:val="24"/>
              <w:highlight w:val="none"/>
            </w:rPr>
            <w:fldChar w:fldCharType="separate"/>
          </w:r>
          <w:r>
            <w:rPr>
              <w:rFonts w:hint="default" w:ascii="Times New Roman" w:hAnsi="Times New Roman" w:eastAsia="宋体" w:cs="Arial"/>
              <w:bCs/>
              <w:szCs w:val="21"/>
            </w:rPr>
            <w:t xml:space="preserve">6. </w:t>
          </w:r>
          <w:r>
            <w:rPr>
              <w:rFonts w:hint="eastAsia" w:ascii="微软雅黑" w:hAnsi="微软雅黑" w:eastAsia="微软雅黑" w:cs="微软雅黑"/>
              <w:szCs w:val="21"/>
              <w:highlight w:val="none"/>
              <w:lang w:val="en-US" w:eastAsia="zh-CN"/>
            </w:rPr>
            <w:t>用户需求</w:t>
          </w:r>
          <w:r>
            <w:rPr>
              <w:rFonts w:hint="eastAsia" w:ascii="微软雅黑" w:hAnsi="微软雅黑" w:eastAsia="微软雅黑" w:cs="微软雅黑"/>
              <w:szCs w:val="21"/>
              <w:highlight w:val="none"/>
            </w:rPr>
            <w:t>内容</w:t>
          </w:r>
          <w:r>
            <w:tab/>
          </w:r>
          <w:r>
            <w:fldChar w:fldCharType="begin"/>
          </w:r>
          <w:r>
            <w:instrText xml:space="preserve"> PAGEREF _Toc17468 \h </w:instrText>
          </w:r>
          <w:r>
            <w:fldChar w:fldCharType="separate"/>
          </w:r>
          <w:r>
            <w:t>6</w:t>
          </w:r>
          <w:r>
            <w:fldChar w:fldCharType="end"/>
          </w:r>
          <w:r>
            <w:rPr>
              <w:rFonts w:hint="eastAsia" w:ascii="微软雅黑" w:hAnsi="微软雅黑" w:eastAsia="微软雅黑" w:cs="微软雅黑"/>
              <w:color w:val="auto"/>
              <w:szCs w:val="24"/>
              <w:highlight w:val="none"/>
            </w:rPr>
            <w:fldChar w:fldCharType="end"/>
          </w:r>
        </w:p>
        <w:p w14:paraId="5C0F91EB">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_Toc28118 </w:instrText>
          </w:r>
          <w:r>
            <w:rPr>
              <w:rFonts w:hint="eastAsia" w:ascii="微软雅黑" w:hAnsi="微软雅黑" w:eastAsia="微软雅黑" w:cs="微软雅黑"/>
              <w:szCs w:val="24"/>
              <w:highlight w:val="none"/>
            </w:rPr>
            <w:fldChar w:fldCharType="separate"/>
          </w:r>
          <w:r>
            <w:rPr>
              <w:rFonts w:hint="default" w:ascii="Times New Roman" w:hAnsi="Times New Roman" w:eastAsia="微软雅黑" w:cs="Times New Roman"/>
              <w:bCs/>
              <w:szCs w:val="21"/>
            </w:rPr>
            <w:t xml:space="preserve">6.1. </w:t>
          </w:r>
          <w:r>
            <w:rPr>
              <w:rFonts w:hint="eastAsia" w:ascii="微软雅黑" w:hAnsi="微软雅黑" w:eastAsia="微软雅黑" w:cs="微软雅黑"/>
              <w:szCs w:val="21"/>
              <w:highlight w:val="none"/>
              <w:lang w:val="en-US" w:eastAsia="zh-CN"/>
            </w:rPr>
            <w:t>总体需求</w:t>
          </w:r>
          <w:r>
            <w:tab/>
          </w:r>
          <w:r>
            <w:fldChar w:fldCharType="begin"/>
          </w:r>
          <w:r>
            <w:instrText xml:space="preserve"> PAGEREF _Toc28118 \h </w:instrText>
          </w:r>
          <w:r>
            <w:fldChar w:fldCharType="separate"/>
          </w:r>
          <w:r>
            <w:t>6</w:t>
          </w:r>
          <w:r>
            <w:fldChar w:fldCharType="end"/>
          </w:r>
          <w:r>
            <w:rPr>
              <w:rFonts w:hint="eastAsia" w:ascii="微软雅黑" w:hAnsi="微软雅黑" w:eastAsia="微软雅黑" w:cs="微软雅黑"/>
              <w:color w:val="auto"/>
              <w:szCs w:val="24"/>
              <w:highlight w:val="none"/>
            </w:rPr>
            <w:fldChar w:fldCharType="end"/>
          </w:r>
        </w:p>
        <w:p w14:paraId="474C2CBD">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_Toc2443 </w:instrText>
          </w:r>
          <w:r>
            <w:rPr>
              <w:rFonts w:hint="eastAsia" w:ascii="微软雅黑" w:hAnsi="微软雅黑" w:eastAsia="微软雅黑" w:cs="微软雅黑"/>
              <w:szCs w:val="24"/>
              <w:highlight w:val="none"/>
            </w:rPr>
            <w:fldChar w:fldCharType="separate"/>
          </w:r>
          <w:r>
            <w:rPr>
              <w:rFonts w:hint="default" w:ascii="Times New Roman" w:hAnsi="Times New Roman" w:eastAsia="微软雅黑" w:cs="Times New Roman"/>
              <w:bCs/>
              <w:kern w:val="0"/>
              <w:szCs w:val="21"/>
            </w:rPr>
            <w:t xml:space="preserve">6.2. </w:t>
          </w:r>
          <w:r>
            <w:rPr>
              <w:rFonts w:hint="eastAsia" w:ascii="微软雅黑" w:hAnsi="微软雅黑" w:eastAsia="微软雅黑" w:cs="微软雅黑"/>
              <w:szCs w:val="21"/>
              <w:highlight w:val="none"/>
            </w:rPr>
            <w:t>近红外光谱脑功能成像系统</w:t>
          </w:r>
          <w:r>
            <w:tab/>
          </w:r>
          <w:r>
            <w:fldChar w:fldCharType="begin"/>
          </w:r>
          <w:r>
            <w:instrText xml:space="preserve"> PAGEREF _Toc2443 \h </w:instrText>
          </w:r>
          <w:r>
            <w:fldChar w:fldCharType="separate"/>
          </w:r>
          <w:r>
            <w:t>7</w:t>
          </w:r>
          <w:r>
            <w:fldChar w:fldCharType="end"/>
          </w:r>
          <w:r>
            <w:rPr>
              <w:rFonts w:hint="eastAsia" w:ascii="微软雅黑" w:hAnsi="微软雅黑" w:eastAsia="微软雅黑" w:cs="微软雅黑"/>
              <w:color w:val="auto"/>
              <w:szCs w:val="24"/>
              <w:highlight w:val="none"/>
            </w:rPr>
            <w:fldChar w:fldCharType="end"/>
          </w:r>
        </w:p>
        <w:p w14:paraId="6B0A3CF9">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_Toc18578 </w:instrText>
          </w:r>
          <w:r>
            <w:rPr>
              <w:rFonts w:hint="eastAsia" w:ascii="微软雅黑" w:hAnsi="微软雅黑" w:eastAsia="微软雅黑" w:cs="微软雅黑"/>
              <w:szCs w:val="24"/>
              <w:highlight w:val="none"/>
            </w:rPr>
            <w:fldChar w:fldCharType="separate"/>
          </w:r>
          <w:r>
            <w:rPr>
              <w:rFonts w:hint="default" w:ascii="Times New Roman" w:hAnsi="Times New Roman" w:eastAsia="微软雅黑" w:cs="Times New Roman"/>
              <w:bCs/>
              <w:szCs w:val="21"/>
            </w:rPr>
            <w:t xml:space="preserve">6.3. </w:t>
          </w:r>
          <w:r>
            <w:rPr>
              <w:rFonts w:hint="eastAsia" w:ascii="微软雅黑" w:hAnsi="微软雅黑" w:eastAsia="微软雅黑" w:cs="微软雅黑"/>
              <w:szCs w:val="21"/>
              <w:highlight w:val="none"/>
            </w:rPr>
            <w:t>便携式神经电生理系统</w:t>
          </w:r>
          <w:r>
            <w:tab/>
          </w:r>
          <w:r>
            <w:fldChar w:fldCharType="begin"/>
          </w:r>
          <w:r>
            <w:instrText xml:space="preserve"> PAGEREF _Toc18578 \h </w:instrText>
          </w:r>
          <w:r>
            <w:fldChar w:fldCharType="separate"/>
          </w:r>
          <w:r>
            <w:t>12</w:t>
          </w:r>
          <w:r>
            <w:fldChar w:fldCharType="end"/>
          </w:r>
          <w:r>
            <w:rPr>
              <w:rFonts w:hint="eastAsia" w:ascii="微软雅黑" w:hAnsi="微软雅黑" w:eastAsia="微软雅黑" w:cs="微软雅黑"/>
              <w:color w:val="auto"/>
              <w:szCs w:val="24"/>
              <w:highlight w:val="none"/>
            </w:rPr>
            <w:fldChar w:fldCharType="end"/>
          </w:r>
        </w:p>
        <w:p w14:paraId="005B0355">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_Toc504 </w:instrText>
          </w:r>
          <w:r>
            <w:rPr>
              <w:rFonts w:hint="eastAsia" w:ascii="微软雅黑" w:hAnsi="微软雅黑" w:eastAsia="微软雅黑" w:cs="微软雅黑"/>
              <w:szCs w:val="24"/>
              <w:highlight w:val="none"/>
            </w:rPr>
            <w:fldChar w:fldCharType="separate"/>
          </w:r>
          <w:r>
            <w:rPr>
              <w:rFonts w:hint="default" w:ascii="Times New Roman" w:hAnsi="Times New Roman" w:eastAsia="微软雅黑" w:cs="Times New Roman"/>
              <w:bCs/>
              <w:szCs w:val="21"/>
            </w:rPr>
            <w:t xml:space="preserve">6.4. </w:t>
          </w:r>
          <w:r>
            <w:rPr>
              <w:rFonts w:hint="eastAsia" w:ascii="微软雅黑" w:hAnsi="微软雅黑" w:eastAsia="微软雅黑" w:cs="微软雅黑"/>
              <w:szCs w:val="21"/>
              <w:highlight w:val="none"/>
            </w:rPr>
            <w:t>穿戴式经颅刺激训练仪</w:t>
          </w:r>
          <w:r>
            <w:tab/>
          </w:r>
          <w:r>
            <w:fldChar w:fldCharType="begin"/>
          </w:r>
          <w:r>
            <w:instrText xml:space="preserve"> PAGEREF _Toc504 \h </w:instrText>
          </w:r>
          <w:r>
            <w:fldChar w:fldCharType="separate"/>
          </w:r>
          <w:r>
            <w:t>13</w:t>
          </w:r>
          <w:r>
            <w:fldChar w:fldCharType="end"/>
          </w:r>
          <w:r>
            <w:rPr>
              <w:rFonts w:hint="eastAsia" w:ascii="微软雅黑" w:hAnsi="微软雅黑" w:eastAsia="微软雅黑" w:cs="微软雅黑"/>
              <w:color w:val="auto"/>
              <w:szCs w:val="24"/>
              <w:highlight w:val="none"/>
            </w:rPr>
            <w:fldChar w:fldCharType="end"/>
          </w:r>
        </w:p>
        <w:p w14:paraId="5C2DF42B">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_Toc11137 </w:instrText>
          </w:r>
          <w:r>
            <w:rPr>
              <w:rFonts w:hint="eastAsia" w:ascii="微软雅黑" w:hAnsi="微软雅黑" w:eastAsia="微软雅黑" w:cs="微软雅黑"/>
              <w:szCs w:val="24"/>
              <w:highlight w:val="none"/>
            </w:rPr>
            <w:fldChar w:fldCharType="separate"/>
          </w:r>
          <w:r>
            <w:rPr>
              <w:rFonts w:hint="default" w:ascii="Times New Roman" w:hAnsi="Times New Roman" w:eastAsia="微软雅黑" w:cs="Times New Roman"/>
              <w:bCs/>
              <w:szCs w:val="21"/>
            </w:rPr>
            <w:t xml:space="preserve">6.5. </w:t>
          </w:r>
          <w:r>
            <w:rPr>
              <w:rFonts w:hint="eastAsia" w:ascii="微软雅黑" w:hAnsi="微软雅黑" w:eastAsia="微软雅黑" w:cs="微软雅黑"/>
              <w:szCs w:val="21"/>
              <w:highlight w:val="none"/>
            </w:rPr>
            <w:t>超声脑功能成像系统</w:t>
          </w:r>
          <w:r>
            <w:tab/>
          </w:r>
          <w:r>
            <w:fldChar w:fldCharType="begin"/>
          </w:r>
          <w:r>
            <w:instrText xml:space="preserve"> PAGEREF _Toc11137 \h </w:instrText>
          </w:r>
          <w:r>
            <w:fldChar w:fldCharType="separate"/>
          </w:r>
          <w:r>
            <w:t>14</w:t>
          </w:r>
          <w:r>
            <w:fldChar w:fldCharType="end"/>
          </w:r>
          <w:r>
            <w:rPr>
              <w:rFonts w:hint="eastAsia" w:ascii="微软雅黑" w:hAnsi="微软雅黑" w:eastAsia="微软雅黑" w:cs="微软雅黑"/>
              <w:color w:val="auto"/>
              <w:szCs w:val="24"/>
              <w:highlight w:val="none"/>
            </w:rPr>
            <w:fldChar w:fldCharType="end"/>
          </w:r>
        </w:p>
        <w:p w14:paraId="17E71A03">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_Toc16937 </w:instrText>
          </w:r>
          <w:r>
            <w:rPr>
              <w:rFonts w:hint="eastAsia" w:ascii="微软雅黑" w:hAnsi="微软雅黑" w:eastAsia="微软雅黑" w:cs="微软雅黑"/>
              <w:szCs w:val="24"/>
              <w:highlight w:val="none"/>
            </w:rPr>
            <w:fldChar w:fldCharType="separate"/>
          </w:r>
          <w:r>
            <w:rPr>
              <w:rFonts w:hint="default" w:ascii="Times New Roman" w:hAnsi="Times New Roman" w:eastAsia="微软雅黑" w:cs="Times New Roman"/>
              <w:bCs/>
              <w:szCs w:val="21"/>
            </w:rPr>
            <w:t xml:space="preserve">6.6. </w:t>
          </w:r>
          <w:r>
            <w:rPr>
              <w:rFonts w:hint="eastAsia" w:ascii="微软雅黑" w:hAnsi="微软雅黑" w:eastAsia="微软雅黑" w:cs="微软雅黑"/>
              <w:szCs w:val="21"/>
              <w:highlight w:val="none"/>
            </w:rPr>
            <w:t>超声动物声谱采集系统</w:t>
          </w:r>
          <w:r>
            <w:tab/>
          </w:r>
          <w:r>
            <w:fldChar w:fldCharType="begin"/>
          </w:r>
          <w:r>
            <w:instrText xml:space="preserve"> PAGEREF _Toc16937 \h </w:instrText>
          </w:r>
          <w:r>
            <w:fldChar w:fldCharType="separate"/>
          </w:r>
          <w:r>
            <w:t>15</w:t>
          </w:r>
          <w:r>
            <w:fldChar w:fldCharType="end"/>
          </w:r>
          <w:r>
            <w:rPr>
              <w:rFonts w:hint="eastAsia" w:ascii="微软雅黑" w:hAnsi="微软雅黑" w:eastAsia="微软雅黑" w:cs="微软雅黑"/>
              <w:color w:val="auto"/>
              <w:szCs w:val="24"/>
              <w:highlight w:val="none"/>
            </w:rPr>
            <w:fldChar w:fldCharType="end"/>
          </w:r>
        </w:p>
        <w:p w14:paraId="3A8A4E22">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_Toc18205 </w:instrText>
          </w:r>
          <w:r>
            <w:rPr>
              <w:rFonts w:hint="eastAsia" w:ascii="微软雅黑" w:hAnsi="微软雅黑" w:eastAsia="微软雅黑" w:cs="微软雅黑"/>
              <w:szCs w:val="24"/>
              <w:highlight w:val="none"/>
            </w:rPr>
            <w:fldChar w:fldCharType="separate"/>
          </w:r>
          <w:r>
            <w:rPr>
              <w:rFonts w:hint="default" w:ascii="Times New Roman" w:hAnsi="Times New Roman" w:eastAsia="微软雅黑" w:cs="Times New Roman"/>
              <w:bCs/>
              <w:szCs w:val="21"/>
            </w:rPr>
            <w:t xml:space="preserve">6.7. </w:t>
          </w:r>
          <w:r>
            <w:rPr>
              <w:rFonts w:hint="eastAsia" w:ascii="微软雅黑" w:hAnsi="微软雅黑" w:eastAsia="微软雅黑" w:cs="微软雅黑"/>
              <w:szCs w:val="21"/>
              <w:highlight w:val="none"/>
            </w:rPr>
            <w:t>穿戴式意识障碍治疗系统</w:t>
          </w:r>
          <w:r>
            <w:tab/>
          </w:r>
          <w:r>
            <w:fldChar w:fldCharType="begin"/>
          </w:r>
          <w:r>
            <w:instrText xml:space="preserve"> PAGEREF _Toc18205 \h </w:instrText>
          </w:r>
          <w:r>
            <w:fldChar w:fldCharType="separate"/>
          </w:r>
          <w:r>
            <w:t>16</w:t>
          </w:r>
          <w:r>
            <w:fldChar w:fldCharType="end"/>
          </w:r>
          <w:r>
            <w:rPr>
              <w:rFonts w:hint="eastAsia" w:ascii="微软雅黑" w:hAnsi="微软雅黑" w:eastAsia="微软雅黑" w:cs="微软雅黑"/>
              <w:color w:val="auto"/>
              <w:szCs w:val="24"/>
              <w:highlight w:val="none"/>
            </w:rPr>
            <w:fldChar w:fldCharType="end"/>
          </w:r>
        </w:p>
        <w:p w14:paraId="02928C8C">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_Toc5482 </w:instrText>
          </w:r>
          <w:r>
            <w:rPr>
              <w:rFonts w:hint="eastAsia" w:ascii="微软雅黑" w:hAnsi="微软雅黑" w:eastAsia="微软雅黑" w:cs="微软雅黑"/>
              <w:szCs w:val="24"/>
              <w:highlight w:val="none"/>
            </w:rPr>
            <w:fldChar w:fldCharType="separate"/>
          </w:r>
          <w:r>
            <w:rPr>
              <w:rFonts w:hint="default" w:ascii="Times New Roman" w:hAnsi="Times New Roman" w:eastAsia="微软雅黑" w:cs="Times New Roman"/>
              <w:bCs/>
              <w:szCs w:val="21"/>
              <w:lang w:bidi="hi-IN"/>
            </w:rPr>
            <w:t xml:space="preserve">6.8. </w:t>
          </w:r>
          <w:r>
            <w:rPr>
              <w:rFonts w:hint="eastAsia" w:ascii="微软雅黑" w:hAnsi="微软雅黑" w:eastAsia="微软雅黑" w:cs="微软雅黑"/>
              <w:szCs w:val="21"/>
              <w:highlight w:val="none"/>
            </w:rPr>
            <w:t>高密度神经电极</w:t>
          </w:r>
          <w:r>
            <w:tab/>
          </w:r>
          <w:r>
            <w:fldChar w:fldCharType="begin"/>
          </w:r>
          <w:r>
            <w:instrText xml:space="preserve"> PAGEREF _Toc5482 \h </w:instrText>
          </w:r>
          <w:r>
            <w:fldChar w:fldCharType="separate"/>
          </w:r>
          <w:r>
            <w:t>17</w:t>
          </w:r>
          <w:r>
            <w:fldChar w:fldCharType="end"/>
          </w:r>
          <w:r>
            <w:rPr>
              <w:rFonts w:hint="eastAsia" w:ascii="微软雅黑" w:hAnsi="微软雅黑" w:eastAsia="微软雅黑" w:cs="微软雅黑"/>
              <w:color w:val="auto"/>
              <w:szCs w:val="24"/>
              <w:highlight w:val="none"/>
            </w:rPr>
            <w:fldChar w:fldCharType="end"/>
          </w:r>
        </w:p>
        <w:p w14:paraId="14114F36">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_Toc11065 </w:instrText>
          </w:r>
          <w:r>
            <w:rPr>
              <w:rFonts w:hint="eastAsia" w:ascii="微软雅黑" w:hAnsi="微软雅黑" w:eastAsia="微软雅黑" w:cs="微软雅黑"/>
              <w:szCs w:val="24"/>
              <w:highlight w:val="none"/>
            </w:rPr>
            <w:fldChar w:fldCharType="separate"/>
          </w:r>
          <w:r>
            <w:rPr>
              <w:rFonts w:hint="default" w:ascii="Times New Roman" w:hAnsi="Times New Roman" w:eastAsia="微软雅黑" w:cs="Times New Roman"/>
              <w:bCs/>
              <w:szCs w:val="21"/>
            </w:rPr>
            <w:t xml:space="preserve">6.9. </w:t>
          </w:r>
          <w:r>
            <w:rPr>
              <w:rFonts w:hint="eastAsia" w:ascii="微软雅黑" w:hAnsi="微软雅黑" w:eastAsia="微软雅黑" w:cs="微软雅黑"/>
              <w:szCs w:val="21"/>
              <w:highlight w:val="none"/>
            </w:rPr>
            <w:t>基于脑电的溯源定位系统</w:t>
          </w:r>
          <w:r>
            <w:tab/>
          </w:r>
          <w:r>
            <w:fldChar w:fldCharType="begin"/>
          </w:r>
          <w:r>
            <w:instrText xml:space="preserve"> PAGEREF _Toc11065 \h </w:instrText>
          </w:r>
          <w:r>
            <w:fldChar w:fldCharType="separate"/>
          </w:r>
          <w:r>
            <w:t>18</w:t>
          </w:r>
          <w:r>
            <w:fldChar w:fldCharType="end"/>
          </w:r>
          <w:r>
            <w:rPr>
              <w:rFonts w:hint="eastAsia" w:ascii="微软雅黑" w:hAnsi="微软雅黑" w:eastAsia="微软雅黑" w:cs="微软雅黑"/>
              <w:color w:val="auto"/>
              <w:szCs w:val="24"/>
              <w:highlight w:val="none"/>
            </w:rPr>
            <w:fldChar w:fldCharType="end"/>
          </w:r>
        </w:p>
        <w:p w14:paraId="0DDC9901">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_Toc24341 </w:instrText>
          </w:r>
          <w:r>
            <w:rPr>
              <w:rFonts w:hint="eastAsia" w:ascii="微软雅黑" w:hAnsi="微软雅黑" w:eastAsia="微软雅黑" w:cs="微软雅黑"/>
              <w:szCs w:val="24"/>
              <w:highlight w:val="none"/>
            </w:rPr>
            <w:fldChar w:fldCharType="separate"/>
          </w:r>
          <w:r>
            <w:rPr>
              <w:rFonts w:hint="default" w:ascii="Times New Roman" w:hAnsi="Times New Roman" w:eastAsia="微软雅黑" w:cs="Times New Roman"/>
              <w:bCs/>
              <w:szCs w:val="21"/>
              <w:lang w:val="en-US" w:eastAsia="zh-CN"/>
            </w:rPr>
            <w:t xml:space="preserve">6.10. </w:t>
          </w:r>
          <w:r>
            <w:rPr>
              <w:rFonts w:hint="eastAsia" w:ascii="微软雅黑" w:hAnsi="微软雅黑" w:eastAsia="微软雅黑" w:cs="微软雅黑"/>
              <w:szCs w:val="21"/>
              <w:highlight w:val="none"/>
              <w:lang w:val="en-US" w:eastAsia="zh-CN"/>
            </w:rPr>
            <w:t>脑电系统</w:t>
          </w:r>
          <w:r>
            <w:tab/>
          </w:r>
          <w:r>
            <w:fldChar w:fldCharType="begin"/>
          </w:r>
          <w:r>
            <w:instrText xml:space="preserve"> PAGEREF _Toc24341 \h </w:instrText>
          </w:r>
          <w:r>
            <w:fldChar w:fldCharType="separate"/>
          </w:r>
          <w:r>
            <w:t>20</w:t>
          </w:r>
          <w:r>
            <w:fldChar w:fldCharType="end"/>
          </w:r>
          <w:r>
            <w:rPr>
              <w:rFonts w:hint="eastAsia" w:ascii="微软雅黑" w:hAnsi="微软雅黑" w:eastAsia="微软雅黑" w:cs="微软雅黑"/>
              <w:color w:val="auto"/>
              <w:szCs w:val="24"/>
              <w:highlight w:val="none"/>
            </w:rPr>
            <w:fldChar w:fldCharType="end"/>
          </w:r>
        </w:p>
        <w:p w14:paraId="6727EAA3">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_Toc15698 </w:instrText>
          </w:r>
          <w:r>
            <w:rPr>
              <w:rFonts w:hint="eastAsia" w:ascii="微软雅黑" w:hAnsi="微软雅黑" w:eastAsia="微软雅黑" w:cs="微软雅黑"/>
              <w:szCs w:val="24"/>
              <w:highlight w:val="none"/>
            </w:rPr>
            <w:fldChar w:fldCharType="separate"/>
          </w:r>
          <w:r>
            <w:rPr>
              <w:rFonts w:hint="default" w:ascii="Times New Roman" w:hAnsi="Times New Roman" w:eastAsia="微软雅黑" w:cs="Times New Roman"/>
              <w:bCs/>
              <w:szCs w:val="21"/>
            </w:rPr>
            <w:t xml:space="preserve">6.11. </w:t>
          </w:r>
          <w:r>
            <w:rPr>
              <w:rFonts w:hint="eastAsia" w:ascii="微软雅黑" w:hAnsi="微软雅黑" w:eastAsia="微软雅黑" w:cs="微软雅黑"/>
              <w:szCs w:val="21"/>
              <w:highlight w:val="none"/>
            </w:rPr>
            <w:t>穿戴式无线多通道脑电采集系统</w:t>
          </w:r>
          <w:r>
            <w:tab/>
          </w:r>
          <w:r>
            <w:fldChar w:fldCharType="begin"/>
          </w:r>
          <w:r>
            <w:instrText xml:space="preserve"> PAGEREF _Toc15698 \h </w:instrText>
          </w:r>
          <w:r>
            <w:fldChar w:fldCharType="separate"/>
          </w:r>
          <w:r>
            <w:t>22</w:t>
          </w:r>
          <w:r>
            <w:fldChar w:fldCharType="end"/>
          </w:r>
          <w:r>
            <w:rPr>
              <w:rFonts w:hint="eastAsia" w:ascii="微软雅黑" w:hAnsi="微软雅黑" w:eastAsia="微软雅黑" w:cs="微软雅黑"/>
              <w:color w:val="auto"/>
              <w:szCs w:val="24"/>
              <w:highlight w:val="none"/>
            </w:rPr>
            <w:fldChar w:fldCharType="end"/>
          </w:r>
        </w:p>
        <w:p w14:paraId="2734E498">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_Toc26653 </w:instrText>
          </w:r>
          <w:r>
            <w:rPr>
              <w:rFonts w:hint="eastAsia" w:ascii="微软雅黑" w:hAnsi="微软雅黑" w:eastAsia="微软雅黑" w:cs="微软雅黑"/>
              <w:szCs w:val="24"/>
              <w:highlight w:val="none"/>
            </w:rPr>
            <w:fldChar w:fldCharType="separate"/>
          </w:r>
          <w:r>
            <w:rPr>
              <w:rFonts w:hint="default" w:ascii="Times New Roman" w:hAnsi="Times New Roman" w:eastAsia="微软雅黑" w:cs="Times New Roman"/>
              <w:bCs/>
              <w:szCs w:val="21"/>
            </w:rPr>
            <w:t xml:space="preserve">6.12. </w:t>
          </w:r>
          <w:r>
            <w:rPr>
              <w:rFonts w:hint="eastAsia" w:ascii="微软雅黑" w:hAnsi="微软雅黑" w:eastAsia="微软雅黑" w:cs="微软雅黑"/>
              <w:szCs w:val="21"/>
              <w:highlight w:val="none"/>
            </w:rPr>
            <w:t>高通量无创神经电刺激系统</w:t>
          </w:r>
          <w:r>
            <w:tab/>
          </w:r>
          <w:r>
            <w:fldChar w:fldCharType="begin"/>
          </w:r>
          <w:r>
            <w:instrText xml:space="preserve"> PAGEREF _Toc26653 \h </w:instrText>
          </w:r>
          <w:r>
            <w:fldChar w:fldCharType="separate"/>
          </w:r>
          <w:r>
            <w:t>24</w:t>
          </w:r>
          <w:r>
            <w:fldChar w:fldCharType="end"/>
          </w:r>
          <w:r>
            <w:rPr>
              <w:rFonts w:hint="eastAsia" w:ascii="微软雅黑" w:hAnsi="微软雅黑" w:eastAsia="微软雅黑" w:cs="微软雅黑"/>
              <w:color w:val="auto"/>
              <w:szCs w:val="24"/>
              <w:highlight w:val="none"/>
            </w:rPr>
            <w:fldChar w:fldCharType="end"/>
          </w:r>
        </w:p>
        <w:p w14:paraId="7308CB9F">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_Toc15980 </w:instrText>
          </w:r>
          <w:r>
            <w:rPr>
              <w:rFonts w:hint="eastAsia" w:ascii="微软雅黑" w:hAnsi="微软雅黑" w:eastAsia="微软雅黑" w:cs="微软雅黑"/>
              <w:szCs w:val="24"/>
              <w:highlight w:val="none"/>
            </w:rPr>
            <w:fldChar w:fldCharType="separate"/>
          </w:r>
          <w:r>
            <w:rPr>
              <w:rFonts w:hint="default" w:ascii="Times New Roman" w:hAnsi="Times New Roman" w:eastAsia="微软雅黑" w:cs="Times New Roman"/>
              <w:bCs/>
              <w:kern w:val="0"/>
              <w:szCs w:val="21"/>
            </w:rPr>
            <w:t xml:space="preserve">6.13. </w:t>
          </w:r>
          <w:r>
            <w:rPr>
              <w:rFonts w:hint="eastAsia" w:ascii="微软雅黑" w:hAnsi="微软雅黑" w:eastAsia="微软雅黑" w:cs="微软雅黑"/>
              <w:bCs w:val="0"/>
              <w:snapToGrid/>
              <w:kern w:val="2"/>
              <w:szCs w:val="21"/>
              <w:highlight w:val="none"/>
              <w:lang w:val="en-US" w:eastAsia="zh-CN" w:bidi="ar-SA"/>
            </w:rPr>
            <w:t>经颅电刺激系统</w:t>
          </w:r>
          <w:r>
            <w:tab/>
          </w:r>
          <w:r>
            <w:fldChar w:fldCharType="begin"/>
          </w:r>
          <w:r>
            <w:instrText xml:space="preserve"> PAGEREF _Toc15980 \h </w:instrText>
          </w:r>
          <w:r>
            <w:fldChar w:fldCharType="separate"/>
          </w:r>
          <w:r>
            <w:t>26</w:t>
          </w:r>
          <w:r>
            <w:fldChar w:fldCharType="end"/>
          </w:r>
          <w:r>
            <w:rPr>
              <w:rFonts w:hint="eastAsia" w:ascii="微软雅黑" w:hAnsi="微软雅黑" w:eastAsia="微软雅黑" w:cs="微软雅黑"/>
              <w:color w:val="auto"/>
              <w:szCs w:val="24"/>
              <w:highlight w:val="none"/>
            </w:rPr>
            <w:fldChar w:fldCharType="end"/>
          </w:r>
        </w:p>
        <w:p w14:paraId="631973AE">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_Toc478 </w:instrText>
          </w:r>
          <w:r>
            <w:rPr>
              <w:rFonts w:hint="eastAsia" w:ascii="微软雅黑" w:hAnsi="微软雅黑" w:eastAsia="微软雅黑" w:cs="微软雅黑"/>
              <w:szCs w:val="24"/>
              <w:highlight w:val="none"/>
            </w:rPr>
            <w:fldChar w:fldCharType="separate"/>
          </w:r>
          <w:r>
            <w:rPr>
              <w:rFonts w:hint="default" w:ascii="Times New Roman" w:hAnsi="Times New Roman" w:eastAsia="微软雅黑" w:cs="Times New Roman"/>
              <w:bCs/>
              <w:snapToGrid/>
              <w:kern w:val="2"/>
              <w:szCs w:val="21"/>
              <w:lang w:val="en-US" w:eastAsia="zh-CN" w:bidi="ar-SA"/>
            </w:rPr>
            <w:t xml:space="preserve">6.14. </w:t>
          </w:r>
          <w:r>
            <w:rPr>
              <w:rFonts w:hint="eastAsia" w:ascii="微软雅黑" w:hAnsi="微软雅黑" w:eastAsia="微软雅黑" w:cs="微软雅黑"/>
              <w:bCs w:val="0"/>
              <w:snapToGrid/>
              <w:kern w:val="2"/>
              <w:szCs w:val="21"/>
              <w:highlight w:val="none"/>
              <w:lang w:val="en-US" w:eastAsia="zh-CN" w:bidi="ar-SA"/>
            </w:rPr>
            <w:t>安装调试及培训、验证和文件需求</w:t>
          </w:r>
          <w:r>
            <w:tab/>
          </w:r>
          <w:r>
            <w:fldChar w:fldCharType="begin"/>
          </w:r>
          <w:r>
            <w:instrText xml:space="preserve"> PAGEREF _Toc478 \h </w:instrText>
          </w:r>
          <w:r>
            <w:fldChar w:fldCharType="separate"/>
          </w:r>
          <w:r>
            <w:t>27</w:t>
          </w:r>
          <w:r>
            <w:fldChar w:fldCharType="end"/>
          </w:r>
          <w:r>
            <w:rPr>
              <w:rFonts w:hint="eastAsia" w:ascii="微软雅黑" w:hAnsi="微软雅黑" w:eastAsia="微软雅黑" w:cs="微软雅黑"/>
              <w:color w:val="auto"/>
              <w:szCs w:val="24"/>
              <w:highlight w:val="none"/>
            </w:rPr>
            <w:fldChar w:fldCharType="end"/>
          </w:r>
        </w:p>
        <w:p w14:paraId="22580113">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_Toc17686 </w:instrText>
          </w:r>
          <w:r>
            <w:rPr>
              <w:rFonts w:hint="eastAsia" w:ascii="微软雅黑" w:hAnsi="微软雅黑" w:eastAsia="微软雅黑" w:cs="微软雅黑"/>
              <w:szCs w:val="24"/>
              <w:highlight w:val="none"/>
            </w:rPr>
            <w:fldChar w:fldCharType="separate"/>
          </w:r>
          <w:r>
            <w:rPr>
              <w:rFonts w:hint="default" w:ascii="Times New Roman" w:hAnsi="Times New Roman" w:eastAsia="微软雅黑" w:cs="Times New Roman"/>
              <w:bCs/>
              <w:szCs w:val="21"/>
            </w:rPr>
            <w:t xml:space="preserve">6.15. </w:t>
          </w:r>
          <w:r>
            <w:rPr>
              <w:rFonts w:hint="eastAsia" w:ascii="微软雅黑" w:hAnsi="微软雅黑" w:eastAsia="微软雅黑" w:cs="微软雅黑"/>
              <w:bCs w:val="0"/>
              <w:szCs w:val="21"/>
              <w:highlight w:val="none"/>
              <w:lang w:val="en-US" w:eastAsia="zh-CN"/>
            </w:rPr>
            <w:t>包装及运输需求</w:t>
          </w:r>
          <w:r>
            <w:tab/>
          </w:r>
          <w:r>
            <w:fldChar w:fldCharType="begin"/>
          </w:r>
          <w:r>
            <w:instrText xml:space="preserve"> PAGEREF _Toc17686 \h </w:instrText>
          </w:r>
          <w:r>
            <w:fldChar w:fldCharType="separate"/>
          </w:r>
          <w:r>
            <w:t>27</w:t>
          </w:r>
          <w:r>
            <w:fldChar w:fldCharType="end"/>
          </w:r>
          <w:r>
            <w:rPr>
              <w:rFonts w:hint="eastAsia" w:ascii="微软雅黑" w:hAnsi="微软雅黑" w:eastAsia="微软雅黑" w:cs="微软雅黑"/>
              <w:color w:val="auto"/>
              <w:szCs w:val="24"/>
              <w:highlight w:val="none"/>
            </w:rPr>
            <w:fldChar w:fldCharType="end"/>
          </w:r>
        </w:p>
        <w:p w14:paraId="2EADD06F">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_Toc28850 </w:instrText>
          </w:r>
          <w:r>
            <w:rPr>
              <w:rFonts w:hint="eastAsia" w:ascii="微软雅黑" w:hAnsi="微软雅黑" w:eastAsia="微软雅黑" w:cs="微软雅黑"/>
              <w:szCs w:val="24"/>
              <w:highlight w:val="none"/>
            </w:rPr>
            <w:fldChar w:fldCharType="separate"/>
          </w:r>
          <w:r>
            <w:rPr>
              <w:rFonts w:hint="default" w:ascii="Times New Roman" w:hAnsi="Times New Roman" w:eastAsia="微软雅黑" w:cs="Times New Roman"/>
              <w:bCs/>
              <w:szCs w:val="21"/>
              <w:lang w:val="en-US" w:eastAsia="zh-CN"/>
            </w:rPr>
            <w:t xml:space="preserve">6.16. </w:t>
          </w:r>
          <w:r>
            <w:rPr>
              <w:rFonts w:hint="eastAsia" w:ascii="微软雅黑" w:hAnsi="微软雅黑" w:eastAsia="微软雅黑" w:cs="微软雅黑"/>
              <w:bCs w:val="0"/>
              <w:szCs w:val="21"/>
              <w:highlight w:val="none"/>
              <w:lang w:val="en-US" w:eastAsia="zh-CN"/>
            </w:rPr>
            <w:t>维护和售后需求</w:t>
          </w:r>
          <w:r>
            <w:tab/>
          </w:r>
          <w:r>
            <w:fldChar w:fldCharType="begin"/>
          </w:r>
          <w:r>
            <w:instrText xml:space="preserve"> PAGEREF _Toc28850 \h </w:instrText>
          </w:r>
          <w:r>
            <w:fldChar w:fldCharType="separate"/>
          </w:r>
          <w:r>
            <w:t>27</w:t>
          </w:r>
          <w:r>
            <w:fldChar w:fldCharType="end"/>
          </w:r>
          <w:r>
            <w:rPr>
              <w:rFonts w:hint="eastAsia" w:ascii="微软雅黑" w:hAnsi="微软雅黑" w:eastAsia="微软雅黑" w:cs="微软雅黑"/>
              <w:color w:val="auto"/>
              <w:szCs w:val="24"/>
              <w:highlight w:val="none"/>
            </w:rPr>
            <w:fldChar w:fldCharType="end"/>
          </w:r>
        </w:p>
        <w:p w14:paraId="185B8255">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_Toc29763 </w:instrText>
          </w:r>
          <w:r>
            <w:rPr>
              <w:rFonts w:hint="eastAsia" w:ascii="微软雅黑" w:hAnsi="微软雅黑" w:eastAsia="微软雅黑" w:cs="微软雅黑"/>
              <w:szCs w:val="24"/>
              <w:highlight w:val="none"/>
            </w:rPr>
            <w:fldChar w:fldCharType="separate"/>
          </w:r>
          <w:r>
            <w:rPr>
              <w:rFonts w:hint="default" w:ascii="Times New Roman" w:hAnsi="Times New Roman" w:eastAsia="宋体" w:cs="Arial"/>
              <w:bCs/>
              <w:szCs w:val="21"/>
              <w:lang w:val="en-US" w:eastAsia="zh-CN"/>
            </w:rPr>
            <w:t xml:space="preserve">7. </w:t>
          </w:r>
          <w:r>
            <w:rPr>
              <w:rFonts w:hint="eastAsia" w:ascii="微软雅黑" w:hAnsi="微软雅黑" w:eastAsia="微软雅黑" w:cs="微软雅黑"/>
              <w:szCs w:val="21"/>
              <w:highlight w:val="none"/>
              <w:lang w:val="en-US" w:eastAsia="zh-CN"/>
            </w:rPr>
            <w:t>验收标准</w:t>
          </w:r>
          <w:r>
            <w:tab/>
          </w:r>
          <w:r>
            <w:fldChar w:fldCharType="begin"/>
          </w:r>
          <w:r>
            <w:instrText xml:space="preserve"> PAGEREF _Toc29763 \h </w:instrText>
          </w:r>
          <w:r>
            <w:fldChar w:fldCharType="separate"/>
          </w:r>
          <w:r>
            <w:t>28</w:t>
          </w:r>
          <w:r>
            <w:fldChar w:fldCharType="end"/>
          </w:r>
          <w:r>
            <w:rPr>
              <w:rFonts w:hint="eastAsia" w:ascii="微软雅黑" w:hAnsi="微软雅黑" w:eastAsia="微软雅黑" w:cs="微软雅黑"/>
              <w:color w:val="auto"/>
              <w:szCs w:val="24"/>
              <w:highlight w:val="none"/>
            </w:rPr>
            <w:fldChar w:fldCharType="end"/>
          </w:r>
        </w:p>
        <w:p w14:paraId="1904BC5A">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_Toc25553 </w:instrText>
          </w:r>
          <w:r>
            <w:rPr>
              <w:rFonts w:hint="eastAsia" w:ascii="微软雅黑" w:hAnsi="微软雅黑" w:eastAsia="微软雅黑" w:cs="微软雅黑"/>
              <w:szCs w:val="24"/>
              <w:highlight w:val="none"/>
            </w:rPr>
            <w:fldChar w:fldCharType="separate"/>
          </w:r>
          <w:r>
            <w:rPr>
              <w:rFonts w:hint="default" w:ascii="Times New Roman" w:hAnsi="Times New Roman" w:eastAsia="宋体" w:cs="Arial"/>
              <w:bCs/>
              <w:szCs w:val="21"/>
              <w:lang w:val="en-US" w:eastAsia="zh-CN"/>
            </w:rPr>
            <w:t xml:space="preserve">8. </w:t>
          </w:r>
          <w:r>
            <w:rPr>
              <w:rFonts w:hint="eastAsia" w:ascii="微软雅黑" w:hAnsi="微软雅黑" w:eastAsia="微软雅黑" w:cs="微软雅黑"/>
              <w:szCs w:val="21"/>
              <w:highlight w:val="none"/>
              <w:lang w:val="en-US" w:eastAsia="zh-CN"/>
            </w:rPr>
            <w:t>保密约定</w:t>
          </w:r>
          <w:r>
            <w:tab/>
          </w:r>
          <w:r>
            <w:fldChar w:fldCharType="begin"/>
          </w:r>
          <w:r>
            <w:instrText xml:space="preserve"> PAGEREF _Toc25553 \h </w:instrText>
          </w:r>
          <w:r>
            <w:fldChar w:fldCharType="separate"/>
          </w:r>
          <w:r>
            <w:t>28</w:t>
          </w:r>
          <w:r>
            <w:fldChar w:fldCharType="end"/>
          </w:r>
          <w:r>
            <w:rPr>
              <w:rFonts w:hint="eastAsia" w:ascii="微软雅黑" w:hAnsi="微软雅黑" w:eastAsia="微软雅黑" w:cs="微软雅黑"/>
              <w:color w:val="auto"/>
              <w:szCs w:val="24"/>
              <w:highlight w:val="none"/>
            </w:rPr>
            <w:fldChar w:fldCharType="end"/>
          </w:r>
        </w:p>
        <w:p w14:paraId="5712C2DC">
          <w:pPr>
            <w:pStyle w:val="22"/>
            <w:keepNext w:val="0"/>
            <w:keepLines w:val="0"/>
            <w:pageBreakBefore w:val="0"/>
            <w:widowControl w:val="0"/>
            <w:tabs>
              <w:tab w:val="right" w:leader="dot" w:pos="9638"/>
            </w:tabs>
            <w:kinsoku/>
            <w:wordWrap/>
            <w:overflowPunct/>
            <w:topLinePunct w:val="0"/>
            <w:autoSpaceDE/>
            <w:autoSpaceDN/>
            <w:bidi w:val="0"/>
            <w:adjustRightInd w:val="0"/>
            <w:snapToGrid w:val="0"/>
            <w:spacing w:after="0" w:afterLines="0" w:line="264" w:lineRule="auto"/>
            <w:textAlignment w:val="auto"/>
          </w:pPr>
          <w:r>
            <w:rPr>
              <w:rFonts w:hint="eastAsia" w:ascii="微软雅黑" w:hAnsi="微软雅黑" w:eastAsia="微软雅黑" w:cs="微软雅黑"/>
              <w:color w:val="auto"/>
              <w:szCs w:val="24"/>
              <w:highlight w:val="none"/>
            </w:rPr>
            <w:fldChar w:fldCharType="begin"/>
          </w:r>
          <w:r>
            <w:rPr>
              <w:rFonts w:hint="eastAsia" w:ascii="微软雅黑" w:hAnsi="微软雅黑" w:eastAsia="微软雅黑" w:cs="微软雅黑"/>
              <w:szCs w:val="24"/>
              <w:highlight w:val="none"/>
            </w:rPr>
            <w:instrText xml:space="preserve"> HYPERLINK \l _Toc15889 </w:instrText>
          </w:r>
          <w:r>
            <w:rPr>
              <w:rFonts w:hint="eastAsia" w:ascii="微软雅黑" w:hAnsi="微软雅黑" w:eastAsia="微软雅黑" w:cs="微软雅黑"/>
              <w:szCs w:val="24"/>
              <w:highlight w:val="none"/>
            </w:rPr>
            <w:fldChar w:fldCharType="separate"/>
          </w:r>
          <w:r>
            <w:rPr>
              <w:rFonts w:hint="default" w:ascii="Times New Roman" w:hAnsi="Times New Roman" w:eastAsia="宋体" w:cs="Arial"/>
              <w:bCs/>
              <w:szCs w:val="21"/>
              <w:lang w:val="en-US" w:eastAsia="zh-CN"/>
            </w:rPr>
            <w:t xml:space="preserve">9. </w:t>
          </w:r>
          <w:r>
            <w:rPr>
              <w:rFonts w:hint="eastAsia" w:ascii="微软雅黑" w:hAnsi="微软雅黑" w:eastAsia="微软雅黑" w:cs="微软雅黑"/>
              <w:szCs w:val="21"/>
              <w:highlight w:val="none"/>
              <w:lang w:val="en-US" w:eastAsia="zh-CN"/>
            </w:rPr>
            <w:t>修订历史</w:t>
          </w:r>
          <w:r>
            <w:tab/>
          </w:r>
          <w:r>
            <w:fldChar w:fldCharType="begin"/>
          </w:r>
          <w:r>
            <w:instrText xml:space="preserve"> PAGEREF _Toc15889 \h </w:instrText>
          </w:r>
          <w:r>
            <w:fldChar w:fldCharType="separate"/>
          </w:r>
          <w:r>
            <w:t>28</w:t>
          </w:r>
          <w:r>
            <w:fldChar w:fldCharType="end"/>
          </w:r>
          <w:r>
            <w:rPr>
              <w:rFonts w:hint="eastAsia" w:ascii="微软雅黑" w:hAnsi="微软雅黑" w:eastAsia="微软雅黑" w:cs="微软雅黑"/>
              <w:color w:val="auto"/>
              <w:szCs w:val="24"/>
              <w:highlight w:val="none"/>
            </w:rPr>
            <w:fldChar w:fldCharType="end"/>
          </w:r>
        </w:p>
        <w:p w14:paraId="6DAD984A">
          <w:pPr>
            <w:keepNext w:val="0"/>
            <w:keepLines w:val="0"/>
            <w:pageBreakBefore w:val="0"/>
            <w:widowControl w:val="0"/>
            <w:kinsoku/>
            <w:wordWrap/>
            <w:overflowPunct/>
            <w:topLinePunct w:val="0"/>
            <w:autoSpaceDE/>
            <w:autoSpaceDN/>
            <w:bidi w:val="0"/>
            <w:adjustRightInd w:val="0"/>
            <w:snapToGrid w:val="0"/>
            <w:spacing w:afterLines="0" w:line="320" w:lineRule="exact"/>
            <w:jc w:val="center"/>
            <w:textAlignment w:val="auto"/>
            <w:rPr>
              <w:rFonts w:hint="eastAsia" w:ascii="微软雅黑" w:hAnsi="微软雅黑" w:eastAsia="微软雅黑" w:cs="微软雅黑"/>
              <w:b/>
              <w:snapToGrid/>
              <w:color w:val="auto"/>
              <w:kern w:val="2"/>
              <w:sz w:val="21"/>
              <w:szCs w:val="24"/>
              <w:highlight w:val="none"/>
              <w:lang w:val="en-US" w:eastAsia="zh-CN" w:bidi="ar-SA"/>
            </w:rPr>
          </w:pPr>
          <w:r>
            <w:rPr>
              <w:rFonts w:hint="eastAsia" w:ascii="微软雅黑" w:hAnsi="微软雅黑" w:eastAsia="微软雅黑" w:cs="微软雅黑"/>
              <w:color w:val="auto"/>
              <w:szCs w:val="24"/>
              <w:highlight w:val="none"/>
            </w:rPr>
            <w:fldChar w:fldCharType="end"/>
          </w:r>
        </w:p>
      </w:sdtContent>
    </w:sdt>
    <w:p w14:paraId="44E9D14D">
      <w:pPr>
        <w:adjustRightInd w:val="0"/>
        <w:snapToGrid w:val="0"/>
        <w:jc w:val="center"/>
        <w:rPr>
          <w:rFonts w:hint="eastAsia" w:ascii="微软雅黑" w:hAnsi="微软雅黑" w:eastAsia="微软雅黑" w:cs="微软雅黑"/>
          <w:b/>
          <w:snapToGrid/>
          <w:color w:val="auto"/>
          <w:kern w:val="2"/>
          <w:sz w:val="21"/>
          <w:szCs w:val="24"/>
          <w:highlight w:val="none"/>
          <w:lang w:val="en-US" w:eastAsia="zh-CN" w:bidi="ar-SA"/>
        </w:rPr>
      </w:pPr>
    </w:p>
    <w:p w14:paraId="05C6C9AA">
      <w:pPr>
        <w:adjustRightInd w:val="0"/>
        <w:snapToGrid w:val="0"/>
        <w:spacing w:line="20" w:lineRule="exact"/>
        <w:rPr>
          <w:color w:val="auto"/>
          <w:szCs w:val="21"/>
          <w:highlight w:val="none"/>
        </w:rPr>
      </w:pPr>
    </w:p>
    <w:p w14:paraId="55490F94">
      <w:pPr>
        <w:adjustRightInd w:val="0"/>
        <w:snapToGrid w:val="0"/>
        <w:spacing w:line="20" w:lineRule="exact"/>
        <w:rPr>
          <w:color w:val="auto"/>
          <w:szCs w:val="21"/>
          <w:highlight w:val="none"/>
        </w:rPr>
      </w:pPr>
    </w:p>
    <w:tbl>
      <w:tblPr>
        <w:tblStyle w:val="29"/>
        <w:tblpPr w:leftFromText="180" w:rightFromText="180" w:vertAnchor="text" w:tblpXSpec="center" w:tblpY="1"/>
        <w:tblOverlap w:val="never"/>
        <w:tblW w:w="4876" w:type="pct"/>
        <w:jc w:val="center"/>
        <w:tblLayout w:type="fixed"/>
        <w:tblCellMar>
          <w:top w:w="0" w:type="dxa"/>
          <w:left w:w="108" w:type="dxa"/>
          <w:bottom w:w="0" w:type="dxa"/>
          <w:right w:w="108" w:type="dxa"/>
        </w:tblCellMar>
      </w:tblPr>
      <w:tblGrid>
        <w:gridCol w:w="1340"/>
        <w:gridCol w:w="6675"/>
        <w:gridCol w:w="1595"/>
      </w:tblGrid>
      <w:tr w14:paraId="5F4C3F82">
        <w:tblPrEx>
          <w:tblCellMar>
            <w:top w:w="0" w:type="dxa"/>
            <w:left w:w="108" w:type="dxa"/>
            <w:bottom w:w="0" w:type="dxa"/>
            <w:right w:w="108" w:type="dxa"/>
          </w:tblCellMar>
        </w:tblPrEx>
        <w:trPr>
          <w:trHeight w:val="397" w:hRule="atLeast"/>
          <w:jc w:val="center"/>
        </w:trPr>
        <w:tc>
          <w:tcPr>
            <w:tcW w:w="5000" w:type="pct"/>
            <w:gridSpan w:val="3"/>
          </w:tcPr>
          <w:p w14:paraId="47753F0A">
            <w:pPr>
              <w:keepNext w:val="0"/>
              <w:keepLines w:val="0"/>
              <w:pageBreakBefore w:val="0"/>
              <w:numPr>
                <w:ilvl w:val="0"/>
                <w:numId w:val="4"/>
              </w:numPr>
              <w:kinsoku/>
              <w:wordWrap/>
              <w:overflowPunct/>
              <w:topLinePunct w:val="0"/>
              <w:bidi w:val="0"/>
              <w:spacing w:after="0" w:afterLines="0" w:line="400" w:lineRule="exact"/>
              <w:ind w:left="425" w:leftChars="0" w:hanging="425" w:firstLineChars="0"/>
              <w:outlineLvl w:val="0"/>
              <w:rPr>
                <w:rFonts w:hint="eastAsia" w:ascii="微软雅黑" w:hAnsi="微软雅黑" w:eastAsia="微软雅黑" w:cs="微软雅黑"/>
                <w:b/>
                <w:color w:val="auto"/>
                <w:sz w:val="21"/>
                <w:szCs w:val="21"/>
                <w:highlight w:val="none"/>
              </w:rPr>
            </w:pPr>
            <w:bookmarkStart w:id="0" w:name="_Toc10307"/>
            <w:bookmarkStart w:id="1" w:name="_Toc148535266"/>
            <w:bookmarkStart w:id="2" w:name="_Toc2092"/>
            <w:bookmarkStart w:id="3" w:name="_Toc10619"/>
            <w:bookmarkStart w:id="4" w:name="_Toc2674"/>
            <w:bookmarkStart w:id="5" w:name="_Toc26753"/>
            <w:bookmarkStart w:id="6" w:name="_Toc26588"/>
            <w:bookmarkStart w:id="7" w:name="_Toc19933"/>
            <w:bookmarkStart w:id="8" w:name="_Toc6054"/>
            <w:bookmarkStart w:id="9" w:name="_Toc3003"/>
            <w:bookmarkStart w:id="10" w:name="_Toc29324"/>
            <w:bookmarkStart w:id="11" w:name="_Toc29448"/>
            <w:bookmarkStart w:id="12" w:name="_Toc5371"/>
            <w:bookmarkStart w:id="13" w:name="_Toc22697"/>
            <w:bookmarkStart w:id="14" w:name="_Toc18971"/>
            <w:r>
              <w:rPr>
                <w:rFonts w:hint="eastAsia" w:ascii="微软雅黑" w:hAnsi="微软雅黑" w:eastAsia="微软雅黑" w:cs="微软雅黑"/>
                <w:b/>
                <w:color w:val="auto"/>
                <w:sz w:val="21"/>
                <w:szCs w:val="21"/>
                <w:highlight w:val="none"/>
              </w:rPr>
              <w:t>目的</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tc>
      </w:tr>
      <w:tr w14:paraId="434E3D62">
        <w:tblPrEx>
          <w:tblCellMar>
            <w:top w:w="0" w:type="dxa"/>
            <w:left w:w="108" w:type="dxa"/>
            <w:bottom w:w="0" w:type="dxa"/>
            <w:right w:w="108" w:type="dxa"/>
          </w:tblCellMar>
        </w:tblPrEx>
        <w:trPr>
          <w:trHeight w:val="90" w:hRule="atLeast"/>
          <w:jc w:val="center"/>
        </w:trPr>
        <w:tc>
          <w:tcPr>
            <w:tcW w:w="697" w:type="pct"/>
            <w:vAlign w:val="top"/>
          </w:tcPr>
          <w:p w14:paraId="164B8833">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p>
        </w:tc>
        <w:tc>
          <w:tcPr>
            <w:tcW w:w="4302" w:type="pct"/>
            <w:gridSpan w:val="2"/>
            <w:vAlign w:val="top"/>
          </w:tcPr>
          <w:p w14:paraId="340B040F">
            <w:pPr>
              <w:keepNext w:val="0"/>
              <w:keepLines w:val="0"/>
              <w:pageBreakBefore w:val="0"/>
              <w:widowControl w:val="0"/>
              <w:kinsoku/>
              <w:wordWrap/>
              <w:overflowPunct/>
              <w:topLinePunct w:val="0"/>
              <w:autoSpaceDE/>
              <w:autoSpaceDN/>
              <w:bidi w:val="0"/>
              <w:adjustRightInd/>
              <w:snapToGrid/>
              <w:spacing w:after="0" w:afterLines="0" w:line="400" w:lineRule="exact"/>
              <w:textAlignment w:val="auto"/>
              <w:rPr>
                <w:rFonts w:hint="eastAsia" w:ascii="微软雅黑" w:hAnsi="微软雅黑" w:eastAsia="微软雅黑" w:cs="微软雅黑"/>
                <w:color w:val="auto"/>
                <w:sz w:val="21"/>
                <w:szCs w:val="21"/>
                <w:highlight w:val="none"/>
              </w:rPr>
            </w:pPr>
            <w:bookmarkStart w:id="15" w:name="_Toc211435715"/>
            <w:r>
              <w:rPr>
                <w:rFonts w:hint="eastAsia" w:ascii="微软雅黑" w:hAnsi="微软雅黑" w:eastAsia="微软雅黑" w:cs="微软雅黑"/>
                <w:color w:val="auto"/>
                <w:sz w:val="21"/>
                <w:szCs w:val="21"/>
                <w:highlight w:val="none"/>
              </w:rPr>
              <w:t>本URS文件根据实验室的要求编制，描述了实验室各设备的要求，供应商应以确认本公司的控制标准为依据进行系统的初步规格选型、功能设计并最终完成详细设计，为设备采购选型和设备验证提供充分依据。</w:t>
            </w:r>
          </w:p>
          <w:p w14:paraId="18E90552">
            <w:pPr>
              <w:keepNext w:val="0"/>
              <w:keepLines w:val="0"/>
              <w:pageBreakBefore w:val="0"/>
              <w:widowControl w:val="0"/>
              <w:kinsoku/>
              <w:wordWrap/>
              <w:overflowPunct/>
              <w:topLinePunct w:val="0"/>
              <w:autoSpaceDE/>
              <w:autoSpaceDN/>
              <w:bidi w:val="0"/>
              <w:adjustRightInd/>
              <w:snapToGrid/>
              <w:spacing w:after="0" w:afterLines="0" w:line="400" w:lineRule="exact"/>
              <w:textAlignment w:val="auto"/>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本URS文件仅提出基本的技术要求，并未限制设备生产商具有更高的设计与制造标准和更加完善的功能、配置、性能以及更优异的部件。</w:t>
            </w:r>
            <w:bookmarkEnd w:id="15"/>
          </w:p>
        </w:tc>
      </w:tr>
      <w:tr w14:paraId="647CB6CB">
        <w:tblPrEx>
          <w:tblCellMar>
            <w:top w:w="0" w:type="dxa"/>
            <w:left w:w="108" w:type="dxa"/>
            <w:bottom w:w="0" w:type="dxa"/>
            <w:right w:w="108" w:type="dxa"/>
          </w:tblCellMar>
        </w:tblPrEx>
        <w:trPr>
          <w:trHeight w:val="397" w:hRule="atLeast"/>
          <w:jc w:val="center"/>
        </w:trPr>
        <w:tc>
          <w:tcPr>
            <w:tcW w:w="5000" w:type="pct"/>
            <w:gridSpan w:val="3"/>
          </w:tcPr>
          <w:p w14:paraId="7B601638">
            <w:pPr>
              <w:keepNext w:val="0"/>
              <w:keepLines w:val="0"/>
              <w:pageBreakBefore w:val="0"/>
              <w:numPr>
                <w:ilvl w:val="0"/>
                <w:numId w:val="4"/>
              </w:numPr>
              <w:kinsoku/>
              <w:wordWrap/>
              <w:overflowPunct/>
              <w:topLinePunct w:val="0"/>
              <w:bidi w:val="0"/>
              <w:spacing w:after="0" w:afterLines="0" w:line="400" w:lineRule="exact"/>
              <w:ind w:left="425" w:leftChars="0" w:hanging="425" w:firstLineChars="0"/>
              <w:outlineLvl w:val="0"/>
              <w:rPr>
                <w:rFonts w:hint="eastAsia" w:ascii="微软雅黑" w:hAnsi="微软雅黑" w:eastAsia="微软雅黑" w:cs="微软雅黑"/>
                <w:b/>
                <w:color w:val="auto"/>
                <w:sz w:val="21"/>
                <w:szCs w:val="21"/>
                <w:highlight w:val="none"/>
              </w:rPr>
            </w:pPr>
            <w:bookmarkStart w:id="16" w:name="_Toc2321"/>
            <w:bookmarkStart w:id="17" w:name="_Toc23305"/>
            <w:bookmarkStart w:id="18" w:name="_Toc10877"/>
            <w:bookmarkStart w:id="19" w:name="_Toc22155"/>
            <w:bookmarkStart w:id="20" w:name="_Toc27638"/>
            <w:bookmarkStart w:id="21" w:name="_Toc11653"/>
            <w:bookmarkStart w:id="22" w:name="_Toc13524"/>
            <w:bookmarkStart w:id="23" w:name="_Toc19027"/>
            <w:bookmarkStart w:id="24" w:name="_Toc27027"/>
            <w:bookmarkStart w:id="25" w:name="_Toc27270"/>
            <w:bookmarkStart w:id="26" w:name="_Toc148535267"/>
            <w:bookmarkStart w:id="27" w:name="_Toc6824"/>
            <w:bookmarkStart w:id="28" w:name="_Toc20110"/>
            <w:bookmarkStart w:id="29" w:name="_Toc10122"/>
            <w:bookmarkStart w:id="30" w:name="_Toc29667"/>
            <w:r>
              <w:rPr>
                <w:rFonts w:hint="eastAsia" w:ascii="微软雅黑" w:hAnsi="微软雅黑" w:eastAsia="微软雅黑" w:cs="微软雅黑"/>
                <w:b/>
                <w:color w:val="auto"/>
                <w:sz w:val="21"/>
                <w:szCs w:val="21"/>
                <w:highlight w:val="none"/>
              </w:rPr>
              <w:t>范围</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tc>
      </w:tr>
      <w:tr w14:paraId="26C4E574">
        <w:tblPrEx>
          <w:tblCellMar>
            <w:top w:w="0" w:type="dxa"/>
            <w:left w:w="108" w:type="dxa"/>
            <w:bottom w:w="0" w:type="dxa"/>
            <w:right w:w="108" w:type="dxa"/>
          </w:tblCellMar>
        </w:tblPrEx>
        <w:trPr>
          <w:trHeight w:val="90" w:hRule="atLeast"/>
          <w:jc w:val="center"/>
        </w:trPr>
        <w:tc>
          <w:tcPr>
            <w:tcW w:w="697" w:type="pct"/>
          </w:tcPr>
          <w:p w14:paraId="31689AF5">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p>
        </w:tc>
        <w:tc>
          <w:tcPr>
            <w:tcW w:w="4302" w:type="pct"/>
            <w:gridSpan w:val="2"/>
          </w:tcPr>
          <w:p w14:paraId="0C4C159D">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bookmarkStart w:id="31" w:name="_Toc211435718"/>
            <w:r>
              <w:rPr>
                <w:rFonts w:hint="eastAsia" w:ascii="微软雅黑" w:hAnsi="微软雅黑" w:eastAsia="微软雅黑" w:cs="微软雅黑"/>
                <w:bCs/>
                <w:color w:val="auto"/>
                <w:sz w:val="21"/>
                <w:szCs w:val="21"/>
                <w:highlight w:val="none"/>
              </w:rPr>
              <w:t>供货范围包括脑电系统、经颅电刺激系统、近红外光谱脑功能成像系统、穿戴式意识障碍治疗系统、超声脑功能成像系统、便携式神经电生理系统、穿戴式经颅刺激训练仪、超声动物声谱采集系统、高密度神经电极、基于脑电的溯源定位系统、穿戴式无线多通道脑电采集系统、高通量无创神经电刺激系统以及相应的安装、调试、验证及验收。</w:t>
            </w:r>
            <w:bookmarkEnd w:id="31"/>
          </w:p>
        </w:tc>
      </w:tr>
      <w:tr w14:paraId="4B759C4C">
        <w:tblPrEx>
          <w:tblCellMar>
            <w:top w:w="0" w:type="dxa"/>
            <w:left w:w="108" w:type="dxa"/>
            <w:bottom w:w="0" w:type="dxa"/>
            <w:right w:w="108" w:type="dxa"/>
          </w:tblCellMar>
        </w:tblPrEx>
        <w:trPr>
          <w:trHeight w:val="397" w:hRule="atLeast"/>
          <w:jc w:val="center"/>
        </w:trPr>
        <w:tc>
          <w:tcPr>
            <w:tcW w:w="5000" w:type="pct"/>
            <w:gridSpan w:val="3"/>
          </w:tcPr>
          <w:p w14:paraId="6C16B396">
            <w:pPr>
              <w:keepNext w:val="0"/>
              <w:keepLines w:val="0"/>
              <w:pageBreakBefore w:val="0"/>
              <w:numPr>
                <w:ilvl w:val="0"/>
                <w:numId w:val="4"/>
              </w:numPr>
              <w:kinsoku/>
              <w:wordWrap/>
              <w:overflowPunct/>
              <w:topLinePunct w:val="0"/>
              <w:bidi w:val="0"/>
              <w:spacing w:after="0" w:afterLines="0" w:line="400" w:lineRule="exact"/>
              <w:ind w:left="425" w:leftChars="0" w:hanging="425" w:firstLineChars="0"/>
              <w:outlineLvl w:val="0"/>
              <w:rPr>
                <w:rFonts w:hint="eastAsia" w:ascii="微软雅黑" w:hAnsi="微软雅黑" w:eastAsia="微软雅黑" w:cs="微软雅黑"/>
                <w:b/>
                <w:color w:val="auto"/>
                <w:sz w:val="21"/>
                <w:szCs w:val="21"/>
                <w:highlight w:val="none"/>
              </w:rPr>
            </w:pPr>
            <w:bookmarkStart w:id="32" w:name="_Toc4096"/>
            <w:bookmarkStart w:id="33" w:name="_Toc15910"/>
            <w:bookmarkStart w:id="34" w:name="_Toc148535269"/>
            <w:bookmarkStart w:id="35" w:name="_Toc18705"/>
            <w:bookmarkStart w:id="36" w:name="_Toc24102"/>
            <w:bookmarkStart w:id="37" w:name="_Toc3389"/>
            <w:bookmarkStart w:id="38" w:name="_Toc23191"/>
            <w:bookmarkStart w:id="39" w:name="_Toc16961"/>
            <w:bookmarkStart w:id="40" w:name="_Toc21454"/>
            <w:bookmarkStart w:id="41" w:name="_Toc27551"/>
            <w:bookmarkStart w:id="42" w:name="_Toc11961"/>
            <w:bookmarkStart w:id="43" w:name="_Toc3394"/>
            <w:bookmarkStart w:id="44" w:name="_Toc26993"/>
            <w:r>
              <w:rPr>
                <w:rFonts w:hint="eastAsia" w:ascii="微软雅黑" w:hAnsi="微软雅黑" w:eastAsia="微软雅黑" w:cs="微软雅黑"/>
                <w:b/>
                <w:color w:val="auto"/>
                <w:sz w:val="21"/>
                <w:szCs w:val="21"/>
                <w:highlight w:val="none"/>
              </w:rPr>
              <w:t>参考文件</w:t>
            </w:r>
            <w:bookmarkEnd w:id="32"/>
            <w:bookmarkEnd w:id="33"/>
            <w:bookmarkEnd w:id="34"/>
            <w:bookmarkEnd w:id="35"/>
            <w:bookmarkEnd w:id="36"/>
            <w:bookmarkEnd w:id="37"/>
            <w:bookmarkEnd w:id="38"/>
            <w:bookmarkEnd w:id="39"/>
            <w:bookmarkEnd w:id="40"/>
            <w:bookmarkEnd w:id="41"/>
            <w:bookmarkEnd w:id="42"/>
            <w:bookmarkEnd w:id="43"/>
            <w:bookmarkEnd w:id="44"/>
          </w:p>
          <w:p w14:paraId="0808CDC9">
            <w:pPr>
              <w:keepNext w:val="0"/>
              <w:keepLines w:val="0"/>
              <w:pageBreakBefore w:val="0"/>
              <w:numPr>
                <w:ilvl w:val="1"/>
                <w:numId w:val="4"/>
              </w:numPr>
              <w:kinsoku/>
              <w:wordWrap/>
              <w:overflowPunct/>
              <w:topLinePunct w:val="0"/>
              <w:bidi w:val="0"/>
              <w:spacing w:after="0" w:afterLines="0" w:line="400" w:lineRule="exact"/>
              <w:ind w:left="777" w:leftChars="0" w:hanging="567" w:firstLineChars="0"/>
              <w:outlineLvl w:val="0"/>
              <w:rPr>
                <w:rFonts w:hint="eastAsia" w:ascii="微软雅黑" w:hAnsi="微软雅黑" w:eastAsia="微软雅黑" w:cs="微软雅黑"/>
                <w:b/>
                <w:color w:val="auto"/>
                <w:sz w:val="21"/>
                <w:szCs w:val="21"/>
                <w:highlight w:val="none"/>
              </w:rPr>
            </w:pPr>
            <w:bookmarkStart w:id="45" w:name="_Toc8722"/>
            <w:bookmarkStart w:id="46" w:name="_Toc21593"/>
            <w:r>
              <w:rPr>
                <w:rFonts w:hint="eastAsia" w:ascii="微软雅黑" w:hAnsi="微软雅黑" w:eastAsia="微软雅黑" w:cs="微软雅黑"/>
                <w:b/>
                <w:color w:val="auto"/>
                <w:sz w:val="21"/>
                <w:szCs w:val="21"/>
                <w:highlight w:val="none"/>
                <w:lang w:val="en-US" w:eastAsia="zh-CN"/>
              </w:rPr>
              <w:t>法规遵循</w:t>
            </w:r>
            <w:bookmarkEnd w:id="45"/>
            <w:bookmarkEnd w:id="46"/>
          </w:p>
        </w:tc>
      </w:tr>
      <w:tr w14:paraId="25D4A0CE">
        <w:tblPrEx>
          <w:tblCellMar>
            <w:top w:w="0" w:type="dxa"/>
            <w:left w:w="108" w:type="dxa"/>
            <w:bottom w:w="0" w:type="dxa"/>
            <w:right w:w="108" w:type="dxa"/>
          </w:tblCellMar>
        </w:tblPrEx>
        <w:trPr>
          <w:trHeight w:val="6224" w:hRule="atLeast"/>
          <w:jc w:val="center"/>
        </w:trPr>
        <w:tc>
          <w:tcPr>
            <w:tcW w:w="5000" w:type="pct"/>
            <w:gridSpan w:val="3"/>
            <w:tcBorders>
              <w:top w:val="nil"/>
              <w:left w:val="nil"/>
              <w:bottom w:val="single" w:color="auto" w:sz="4" w:space="0"/>
              <w:right w:val="nil"/>
            </w:tcBorders>
          </w:tcPr>
          <w:tbl>
            <w:tblPr>
              <w:tblStyle w:val="29"/>
              <w:tblW w:w="9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7"/>
              <w:gridCol w:w="8201"/>
            </w:tblGrid>
            <w:tr w14:paraId="0201F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23" w:type="pct"/>
                  <w:shd w:val="clear" w:color="auto" w:fill="D8D8D8" w:themeFill="background1" w:themeFillShade="D9"/>
                  <w:vAlign w:val="center"/>
                </w:tcPr>
                <w:p w14:paraId="591124D9">
                  <w:pPr>
                    <w:keepNext w:val="0"/>
                    <w:keepLines w:val="0"/>
                    <w:pageBreakBefore w:val="0"/>
                    <w:kinsoku/>
                    <w:wordWrap/>
                    <w:overflowPunct/>
                    <w:topLinePunct w:val="0"/>
                    <w:autoSpaceDE w:val="0"/>
                    <w:autoSpaceDN w:val="0"/>
                    <w:bidi w:val="0"/>
                    <w:adjustRightInd w:val="0"/>
                    <w:spacing w:after="0" w:afterLines="0" w:line="400" w:lineRule="exact"/>
                    <w:jc w:val="center"/>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法规类别</w:t>
                  </w:r>
                </w:p>
              </w:tc>
              <w:tc>
                <w:tcPr>
                  <w:tcW w:w="4276" w:type="pct"/>
                  <w:shd w:val="clear" w:color="auto" w:fill="D8D8D8" w:themeFill="background1" w:themeFillShade="D9"/>
                  <w:vAlign w:val="center"/>
                </w:tcPr>
                <w:p w14:paraId="72D262D6">
                  <w:pPr>
                    <w:keepNext w:val="0"/>
                    <w:keepLines w:val="0"/>
                    <w:pageBreakBefore w:val="0"/>
                    <w:kinsoku/>
                    <w:wordWrap/>
                    <w:overflowPunct/>
                    <w:topLinePunct w:val="0"/>
                    <w:autoSpaceDE w:val="0"/>
                    <w:autoSpaceDN w:val="0"/>
                    <w:bidi w:val="0"/>
                    <w:adjustRightInd w:val="0"/>
                    <w:spacing w:after="0" w:afterLines="0" w:line="400" w:lineRule="exact"/>
                    <w:jc w:val="center"/>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法规标准</w:t>
                  </w:r>
                </w:p>
              </w:tc>
            </w:tr>
            <w:tr w14:paraId="57441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2CE46DE7">
                  <w:pPr>
                    <w:keepNext w:val="0"/>
                    <w:keepLines w:val="0"/>
                    <w:pageBreakBefore w:val="0"/>
                    <w:kinsoku/>
                    <w:wordWrap/>
                    <w:overflowPunct/>
                    <w:topLinePunct w:val="0"/>
                    <w:autoSpaceDE w:val="0"/>
                    <w:autoSpaceDN w:val="0"/>
                    <w:bidi w:val="0"/>
                    <w:adjustRightInd w:val="0"/>
                    <w:spacing w:after="0" w:afterLines="0" w:line="400" w:lineRule="exact"/>
                    <w:jc w:val="center"/>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GMP合规</w:t>
                  </w:r>
                </w:p>
              </w:tc>
              <w:tc>
                <w:tcPr>
                  <w:tcW w:w="4276" w:type="pct"/>
                  <w:vAlign w:val="center"/>
                </w:tcPr>
                <w:p w14:paraId="6B01EF41">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(PIC/S)GMP     药用产品良好生产实践指南</w:t>
                  </w:r>
                </w:p>
                <w:p w14:paraId="11EBA140">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中国GMP及其附录《药品生产质量管理规范》（2023修订版）</w:t>
                  </w:r>
                </w:p>
                <w:p w14:paraId="4C7109FC">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中国药品生产验证指南（2003版）</w:t>
                  </w:r>
                </w:p>
              </w:tc>
            </w:tr>
            <w:tr w14:paraId="0995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6EFA2CD9">
                  <w:pPr>
                    <w:keepNext w:val="0"/>
                    <w:keepLines w:val="0"/>
                    <w:pageBreakBefore w:val="0"/>
                    <w:kinsoku/>
                    <w:wordWrap/>
                    <w:overflowPunct/>
                    <w:topLinePunct w:val="0"/>
                    <w:autoSpaceDE w:val="0"/>
                    <w:autoSpaceDN w:val="0"/>
                    <w:bidi w:val="0"/>
                    <w:adjustRightInd w:val="0"/>
                    <w:spacing w:after="0" w:afterLines="0" w:line="400" w:lineRule="exact"/>
                    <w:jc w:val="center"/>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工程实施</w:t>
                  </w:r>
                </w:p>
              </w:tc>
              <w:tc>
                <w:tcPr>
                  <w:tcW w:w="4276" w:type="pct"/>
                  <w:vAlign w:val="center"/>
                </w:tcPr>
                <w:p w14:paraId="0F5E50D9">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ISPE-Good Engineering Practice良好施工规范</w:t>
                  </w:r>
                </w:p>
                <w:p w14:paraId="509CA1D3">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GB 50093-2013《自动化仪表工程施工及质量验收规范》</w:t>
                  </w:r>
                </w:p>
                <w:p w14:paraId="4815E124">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rPr>
                    <w:t xml:space="preserve">GB 93-86《工业自动化仪表安装施工规范》 </w:t>
                  </w:r>
                  <w:r>
                    <w:rPr>
                      <w:rFonts w:hint="eastAsia" w:ascii="微软雅黑" w:hAnsi="微软雅黑" w:cs="微软雅黑"/>
                      <w:color w:val="auto"/>
                      <w:sz w:val="21"/>
                      <w:szCs w:val="21"/>
                      <w:highlight w:val="none"/>
                      <w:lang w:val="en-US" w:eastAsia="zh-CN"/>
                    </w:rPr>
                    <w:t xml:space="preserve"> </w:t>
                  </w:r>
                  <w:bookmarkStart w:id="146" w:name="_GoBack"/>
                  <w:bookmarkEnd w:id="146"/>
                </w:p>
                <w:p w14:paraId="4BD5672A">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GB 17213.1-18 《工业过程控制阀》 </w:t>
                  </w:r>
                </w:p>
                <w:p w14:paraId="59BD2F1A">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HGT 21581-2010《自控安装图册(上、下册)》</w:t>
                  </w:r>
                </w:p>
                <w:p w14:paraId="6A77F129">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GB8566-1988《计算机软件开发规范》</w:t>
                  </w:r>
                </w:p>
                <w:p w14:paraId="73E62AA5">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GB9386-1988《计算机软件测试文件编制规范》 </w:t>
                  </w:r>
                </w:p>
                <w:p w14:paraId="140A947D">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YBJ-1989《计算机设备安装与调试工程施工及验收规范》 </w:t>
                  </w:r>
                </w:p>
              </w:tc>
            </w:tr>
            <w:tr w14:paraId="74E7F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40ED3134">
                  <w:pPr>
                    <w:keepNext w:val="0"/>
                    <w:keepLines w:val="0"/>
                    <w:pageBreakBefore w:val="0"/>
                    <w:kinsoku/>
                    <w:wordWrap/>
                    <w:overflowPunct/>
                    <w:topLinePunct w:val="0"/>
                    <w:autoSpaceDE w:val="0"/>
                    <w:autoSpaceDN w:val="0"/>
                    <w:bidi w:val="0"/>
                    <w:adjustRightInd w:val="0"/>
                    <w:spacing w:after="0" w:afterLines="0" w:line="400" w:lineRule="exact"/>
                    <w:jc w:val="center"/>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自控设计</w:t>
                  </w:r>
                </w:p>
              </w:tc>
              <w:tc>
                <w:tcPr>
                  <w:tcW w:w="4276" w:type="pct"/>
                  <w:vAlign w:val="center"/>
                </w:tcPr>
                <w:p w14:paraId="63930DD3">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HGT 20507-2014 《自动化仪表选型设计规范》</w:t>
                  </w:r>
                </w:p>
                <w:p w14:paraId="50B70CB0">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HGT 20511-2014 《信号报警及联锁系统设计规范》</w:t>
                  </w:r>
                </w:p>
                <w:p w14:paraId="5A9E7F1A">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HGT 20513-2014《仪表系统接地设计规范》</w:t>
                  </w:r>
                </w:p>
                <w:p w14:paraId="680DADF4">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HG 20570-95   《工艺系统工程设计技术规范》</w:t>
                  </w:r>
                </w:p>
                <w:p w14:paraId="11297985">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HG 20559.1-1993 《管道仪表流程图设计内容和深度规定》</w:t>
                  </w:r>
                </w:p>
                <w:p w14:paraId="1E792AA3">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HG/T 20700-2000《可编程控制器系统工程设计规定》</w:t>
                  </w:r>
                </w:p>
                <w:p w14:paraId="27C74185">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HG/T 20505-2000《过程测量和控制仪表功能标志和图形符号》</w:t>
                  </w:r>
                </w:p>
                <w:p w14:paraId="27A17E11">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HG/T 20508-2000《控制室设计规定》</w:t>
                  </w:r>
                </w:p>
                <w:p w14:paraId="7D1BC1A2">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HG/T 20509-2000《仪表供电设计规定》</w:t>
                  </w:r>
                </w:p>
                <w:p w14:paraId="75E0B724">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HG/T 20512-2000《仪表配管配线设计规定》</w:t>
                  </w:r>
                </w:p>
                <w:p w14:paraId="35E64A4E">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SH 3092-2013《石油化工分散控制系统设计规范》</w:t>
                  </w:r>
                </w:p>
              </w:tc>
            </w:tr>
            <w:tr w14:paraId="35C3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23" w:type="pct"/>
                  <w:vAlign w:val="center"/>
                </w:tcPr>
                <w:p w14:paraId="76306854">
                  <w:pPr>
                    <w:keepNext w:val="0"/>
                    <w:keepLines w:val="0"/>
                    <w:pageBreakBefore w:val="0"/>
                    <w:kinsoku/>
                    <w:wordWrap/>
                    <w:overflowPunct/>
                    <w:topLinePunct w:val="0"/>
                    <w:autoSpaceDE w:val="0"/>
                    <w:autoSpaceDN w:val="0"/>
                    <w:bidi w:val="0"/>
                    <w:adjustRightInd w:val="0"/>
                    <w:spacing w:after="0" w:afterLines="0" w:line="400" w:lineRule="exact"/>
                    <w:jc w:val="center"/>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机械制造</w:t>
                  </w:r>
                </w:p>
              </w:tc>
              <w:tc>
                <w:tcPr>
                  <w:tcW w:w="4276" w:type="pct"/>
                  <w:vAlign w:val="center"/>
                </w:tcPr>
                <w:p w14:paraId="4C7BD371">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JBT 9237.1-1999 工业自动化仪表工作条件腐蚀和侵蚀影响</w:t>
                  </w:r>
                </w:p>
              </w:tc>
            </w:tr>
            <w:tr w14:paraId="3E77C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3" w:type="pct"/>
                  <w:vMerge w:val="restart"/>
                  <w:vAlign w:val="center"/>
                </w:tcPr>
                <w:p w14:paraId="4DF0662F">
                  <w:pPr>
                    <w:keepNext w:val="0"/>
                    <w:keepLines w:val="0"/>
                    <w:pageBreakBefore w:val="0"/>
                    <w:kinsoku/>
                    <w:wordWrap/>
                    <w:overflowPunct/>
                    <w:topLinePunct w:val="0"/>
                    <w:autoSpaceDE w:val="0"/>
                    <w:autoSpaceDN w:val="0"/>
                    <w:bidi w:val="0"/>
                    <w:adjustRightInd w:val="0"/>
                    <w:spacing w:after="0" w:afterLines="0" w:line="400" w:lineRule="exact"/>
                    <w:jc w:val="center"/>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安全控制</w:t>
                  </w:r>
                </w:p>
              </w:tc>
              <w:tc>
                <w:tcPr>
                  <w:tcW w:w="4276" w:type="pct"/>
                  <w:vAlign w:val="center"/>
                </w:tcPr>
                <w:p w14:paraId="2E876436">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ISA 99  Security for Industrial Automation and Control Systems </w:t>
                  </w:r>
                </w:p>
                <w:p w14:paraId="105F4C34">
                  <w:pPr>
                    <w:keepNext w:val="0"/>
                    <w:keepLines w:val="0"/>
                    <w:pageBreakBefore w:val="0"/>
                    <w:kinsoku/>
                    <w:wordWrap/>
                    <w:overflowPunct/>
                    <w:topLinePunct w:val="0"/>
                    <w:autoSpaceDE w:val="0"/>
                    <w:autoSpaceDN w:val="0"/>
                    <w:bidi w:val="0"/>
                    <w:adjustRightInd w:val="0"/>
                    <w:snapToGrid w:val="0"/>
                    <w:spacing w:after="0" w:afterLines="0" w:line="400" w:lineRule="exact"/>
                    <w:ind w:firstLine="1155" w:firstLineChars="550"/>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安全工业自动化和控制系统</w:t>
                  </w:r>
                </w:p>
                <w:p w14:paraId="1B01AAF6">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Guide to Industrial Control Systems (ICS) Security</w:t>
                  </w:r>
                </w:p>
                <w:p w14:paraId="2C0411F5">
                  <w:pPr>
                    <w:keepNext w:val="0"/>
                    <w:keepLines w:val="0"/>
                    <w:pageBreakBefore w:val="0"/>
                    <w:kinsoku/>
                    <w:wordWrap/>
                    <w:overflowPunct/>
                    <w:topLinePunct w:val="0"/>
                    <w:autoSpaceDE w:val="0"/>
                    <w:autoSpaceDN w:val="0"/>
                    <w:bidi w:val="0"/>
                    <w:adjustRightInd w:val="0"/>
                    <w:snapToGrid w:val="0"/>
                    <w:spacing w:after="0" w:afterLines="0" w:line="400" w:lineRule="exact"/>
                    <w:ind w:firstLine="1155" w:firstLineChars="550"/>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工业控制系统安全指南</w:t>
                  </w:r>
                </w:p>
              </w:tc>
            </w:tr>
            <w:tr w14:paraId="6536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Merge w:val="continue"/>
                  <w:vAlign w:val="center"/>
                </w:tcPr>
                <w:p w14:paraId="30E1085F">
                  <w:pPr>
                    <w:keepNext w:val="0"/>
                    <w:keepLines w:val="0"/>
                    <w:pageBreakBefore w:val="0"/>
                    <w:kinsoku/>
                    <w:wordWrap/>
                    <w:overflowPunct/>
                    <w:topLinePunct w:val="0"/>
                    <w:autoSpaceDE w:val="0"/>
                    <w:autoSpaceDN w:val="0"/>
                    <w:bidi w:val="0"/>
                    <w:adjustRightInd w:val="0"/>
                    <w:spacing w:after="0" w:afterLines="0" w:line="400" w:lineRule="exact"/>
                    <w:rPr>
                      <w:rFonts w:hint="eastAsia" w:ascii="微软雅黑" w:hAnsi="微软雅黑" w:eastAsia="微软雅黑" w:cs="微软雅黑"/>
                      <w:b/>
                      <w:color w:val="auto"/>
                      <w:sz w:val="21"/>
                      <w:szCs w:val="21"/>
                      <w:highlight w:val="none"/>
                    </w:rPr>
                  </w:pPr>
                </w:p>
              </w:tc>
              <w:tc>
                <w:tcPr>
                  <w:tcW w:w="4276" w:type="pct"/>
                  <w:vAlign w:val="center"/>
                </w:tcPr>
                <w:p w14:paraId="416A9AFF">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GB50058-1992  《爆炸和火灾危险环境电力装置设计规范》</w:t>
                  </w:r>
                </w:p>
                <w:p w14:paraId="02F31489">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ISA 60079-26-2011爆炸性环境.第26部分I级0区分类危险场所使用的设备</w:t>
                  </w:r>
                </w:p>
                <w:p w14:paraId="1BFD91BB">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SHB-Z06-1999《石油化工紧急停车及安全联锁系统设计导则》</w:t>
                  </w:r>
                </w:p>
                <w:p w14:paraId="5E2E6FFF">
                  <w:pPr>
                    <w:keepNext w:val="0"/>
                    <w:keepLines w:val="0"/>
                    <w:pageBreakBefore w:val="0"/>
                    <w:kinsoku/>
                    <w:wordWrap/>
                    <w:overflowPunct/>
                    <w:topLinePunct w:val="0"/>
                    <w:autoSpaceDE w:val="0"/>
                    <w:autoSpaceDN w:val="0"/>
                    <w:bidi w:val="0"/>
                    <w:adjustRightInd w:val="0"/>
                    <w:snapToGrid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GB50166-2007 《火灾自动报警系统施工及验收规范》</w:t>
                  </w:r>
                </w:p>
                <w:p w14:paraId="203B2F29">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ANSI/IEEE RP12.6《危险区域（分等级）本安系统的安装》 </w:t>
                  </w:r>
                </w:p>
              </w:tc>
            </w:tr>
          </w:tbl>
          <w:p w14:paraId="1E6DBA6D">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p>
        </w:tc>
      </w:tr>
      <w:tr w14:paraId="7C419203">
        <w:tblPrEx>
          <w:tblCellMar>
            <w:top w:w="0" w:type="dxa"/>
            <w:left w:w="108" w:type="dxa"/>
            <w:bottom w:w="0" w:type="dxa"/>
            <w:right w:w="108" w:type="dxa"/>
          </w:tblCellMar>
        </w:tblPrEx>
        <w:trPr>
          <w:trHeight w:val="397" w:hRule="atLeast"/>
          <w:jc w:val="center"/>
        </w:trPr>
        <w:tc>
          <w:tcPr>
            <w:tcW w:w="5000" w:type="pct"/>
            <w:gridSpan w:val="3"/>
            <w:tcBorders>
              <w:top w:val="single" w:color="auto" w:sz="4" w:space="0"/>
              <w:left w:val="single" w:color="auto" w:sz="4" w:space="0"/>
              <w:bottom w:val="single" w:color="auto" w:sz="4" w:space="0"/>
              <w:right w:val="single" w:color="auto" w:sz="4" w:space="0"/>
            </w:tcBorders>
          </w:tcPr>
          <w:p w14:paraId="671F5C61">
            <w:pPr>
              <w:keepNext w:val="0"/>
              <w:keepLines w:val="0"/>
              <w:pageBreakBefore w:val="0"/>
              <w:numPr>
                <w:ilvl w:val="1"/>
                <w:numId w:val="4"/>
              </w:numPr>
              <w:kinsoku/>
              <w:wordWrap/>
              <w:overflowPunct/>
              <w:topLinePunct w:val="0"/>
              <w:bidi w:val="0"/>
              <w:spacing w:after="0" w:afterLines="0" w:line="400" w:lineRule="exact"/>
              <w:ind w:left="777" w:leftChars="0" w:hanging="567" w:firstLineChars="0"/>
              <w:outlineLvl w:val="0"/>
              <w:rPr>
                <w:rFonts w:hint="eastAsia" w:ascii="微软雅黑" w:hAnsi="微软雅黑" w:eastAsia="微软雅黑" w:cs="微软雅黑"/>
                <w:b/>
                <w:color w:val="auto"/>
                <w:sz w:val="21"/>
                <w:szCs w:val="21"/>
                <w:highlight w:val="none"/>
              </w:rPr>
            </w:pPr>
            <w:bookmarkStart w:id="47" w:name="_Toc9614"/>
            <w:bookmarkStart w:id="48" w:name="_Toc20666"/>
            <w:r>
              <w:rPr>
                <w:rFonts w:hint="eastAsia" w:ascii="微软雅黑" w:hAnsi="微软雅黑" w:eastAsia="微软雅黑" w:cs="微软雅黑"/>
                <w:b/>
                <w:color w:val="auto"/>
                <w:sz w:val="21"/>
                <w:szCs w:val="21"/>
                <w:highlight w:val="none"/>
                <w:lang w:val="en-US" w:eastAsia="zh-CN"/>
              </w:rPr>
              <w:t>自动化工程规范</w:t>
            </w:r>
            <w:bookmarkEnd w:id="47"/>
            <w:bookmarkEnd w:id="48"/>
          </w:p>
          <w:p w14:paraId="611E0BA3">
            <w:pPr>
              <w:keepNext w:val="0"/>
              <w:keepLines w:val="0"/>
              <w:pageBreakBefore w:val="0"/>
              <w:tabs>
                <w:tab w:val="left" w:pos="1473"/>
              </w:tabs>
              <w:kinsoku/>
              <w:wordWrap/>
              <w:overflowPunct/>
              <w:topLinePunct w:val="0"/>
              <w:bidi w:val="0"/>
              <w:adjustRightInd w:val="0"/>
              <w:snapToGrid w:val="0"/>
              <w:spacing w:after="0" w:afterLines="0" w:line="400" w:lineRule="exact"/>
              <w:ind w:left="630" w:firstLine="210" w:firstLineChars="100"/>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HGT 20573-2012 分散型控制系统工程设计规范</w:t>
            </w:r>
          </w:p>
          <w:p w14:paraId="611E0BA4">
            <w:pPr>
              <w:keepNext w:val="0"/>
              <w:keepLines w:val="0"/>
              <w:pageBreakBefore w:val="0"/>
              <w:numPr>
                <w:ilvl w:val="1"/>
                <w:numId w:val="5"/>
              </w:numPr>
              <w:tabs>
                <w:tab w:val="left" w:pos="1473"/>
              </w:tabs>
              <w:kinsoku/>
              <w:wordWrap/>
              <w:overflowPunct/>
              <w:topLinePunct w:val="0"/>
              <w:bidi w:val="0"/>
              <w:adjustRightInd w:val="0"/>
              <w:snapToGrid w:val="0"/>
              <w:spacing w:after="0" w:afterLines="0" w:line="400" w:lineRule="exact"/>
              <w:ind w:left="630" w:leftChars="300"/>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ISA-S 5.1      仪表符号及标识</w:t>
            </w:r>
          </w:p>
          <w:p w14:paraId="611E0BA5">
            <w:pPr>
              <w:keepNext w:val="0"/>
              <w:keepLines w:val="0"/>
              <w:pageBreakBefore w:val="0"/>
              <w:numPr>
                <w:ilvl w:val="1"/>
                <w:numId w:val="5"/>
              </w:numPr>
              <w:tabs>
                <w:tab w:val="left" w:pos="1473"/>
              </w:tabs>
              <w:kinsoku/>
              <w:wordWrap/>
              <w:overflowPunct/>
              <w:topLinePunct w:val="0"/>
              <w:bidi w:val="0"/>
              <w:adjustRightInd w:val="0"/>
              <w:snapToGrid w:val="0"/>
              <w:spacing w:after="0" w:afterLines="0" w:line="400" w:lineRule="exact"/>
              <w:ind w:left="630" w:leftChars="300"/>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IEC-144        低压盘柜及控制器的防护</w:t>
            </w:r>
          </w:p>
          <w:p w14:paraId="611E0BA6">
            <w:pPr>
              <w:keepNext w:val="0"/>
              <w:keepLines w:val="0"/>
              <w:pageBreakBefore w:val="0"/>
              <w:numPr>
                <w:ilvl w:val="1"/>
                <w:numId w:val="5"/>
              </w:numPr>
              <w:tabs>
                <w:tab w:val="left" w:pos="1473"/>
              </w:tabs>
              <w:kinsoku/>
              <w:wordWrap/>
              <w:overflowPunct/>
              <w:topLinePunct w:val="0"/>
              <w:bidi w:val="0"/>
              <w:adjustRightInd w:val="0"/>
              <w:snapToGrid w:val="0"/>
              <w:spacing w:after="0" w:afterLines="0" w:line="400" w:lineRule="exact"/>
              <w:ind w:left="630" w:leftChars="300"/>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IEC-61131      可编程控制器</w:t>
            </w:r>
          </w:p>
          <w:p w14:paraId="611E0BA7">
            <w:pPr>
              <w:keepNext w:val="0"/>
              <w:keepLines w:val="0"/>
              <w:pageBreakBefore w:val="0"/>
              <w:numPr>
                <w:ilvl w:val="1"/>
                <w:numId w:val="5"/>
              </w:numPr>
              <w:tabs>
                <w:tab w:val="left" w:pos="1473"/>
              </w:tabs>
              <w:kinsoku/>
              <w:wordWrap/>
              <w:overflowPunct/>
              <w:topLinePunct w:val="0"/>
              <w:bidi w:val="0"/>
              <w:adjustRightInd w:val="0"/>
              <w:snapToGrid w:val="0"/>
              <w:spacing w:after="0" w:afterLines="0" w:line="400" w:lineRule="exact"/>
              <w:ind w:left="630" w:leftChars="300"/>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IEC            国际电工委员会标准</w:t>
            </w:r>
          </w:p>
          <w:p w14:paraId="611E0BA8">
            <w:pPr>
              <w:keepNext w:val="0"/>
              <w:keepLines w:val="0"/>
              <w:pageBreakBefore w:val="0"/>
              <w:numPr>
                <w:ilvl w:val="1"/>
                <w:numId w:val="5"/>
              </w:numPr>
              <w:tabs>
                <w:tab w:val="left" w:pos="1473"/>
              </w:tabs>
              <w:kinsoku/>
              <w:wordWrap/>
              <w:overflowPunct/>
              <w:topLinePunct w:val="0"/>
              <w:bidi w:val="0"/>
              <w:adjustRightInd w:val="0"/>
              <w:snapToGrid w:val="0"/>
              <w:spacing w:after="0" w:afterLines="0" w:line="400" w:lineRule="exact"/>
              <w:ind w:left="630" w:leftChars="300"/>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自动化仪表工程施工及质量验收规范GB50093-2013</w:t>
            </w:r>
          </w:p>
          <w:p w14:paraId="611E0BA9">
            <w:pPr>
              <w:keepNext w:val="0"/>
              <w:keepLines w:val="0"/>
              <w:pageBreakBefore w:val="0"/>
              <w:numPr>
                <w:ilvl w:val="1"/>
                <w:numId w:val="5"/>
              </w:numPr>
              <w:tabs>
                <w:tab w:val="left" w:pos="1473"/>
              </w:tabs>
              <w:kinsoku/>
              <w:wordWrap/>
              <w:overflowPunct/>
              <w:topLinePunct w:val="0"/>
              <w:bidi w:val="0"/>
              <w:adjustRightInd w:val="0"/>
              <w:snapToGrid w:val="0"/>
              <w:spacing w:after="0" w:afterLines="0" w:line="400" w:lineRule="exact"/>
              <w:ind w:left="630" w:leftChars="300"/>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爆炸性环境用防爆电气设备GB3836-2010</w:t>
            </w:r>
          </w:p>
          <w:p w14:paraId="611E0BAA">
            <w:pPr>
              <w:keepNext w:val="0"/>
              <w:keepLines w:val="0"/>
              <w:pageBreakBefore w:val="0"/>
              <w:numPr>
                <w:ilvl w:val="1"/>
                <w:numId w:val="5"/>
              </w:numPr>
              <w:tabs>
                <w:tab w:val="left" w:pos="1473"/>
              </w:tabs>
              <w:kinsoku/>
              <w:wordWrap/>
              <w:overflowPunct/>
              <w:topLinePunct w:val="0"/>
              <w:bidi w:val="0"/>
              <w:adjustRightInd w:val="0"/>
              <w:snapToGrid w:val="0"/>
              <w:spacing w:after="0" w:afterLines="0" w:line="400" w:lineRule="exact"/>
              <w:ind w:left="630" w:leftChars="300"/>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自动化仪表安装工程质量检验评定标准GBJ131—90</w:t>
            </w:r>
          </w:p>
          <w:p w14:paraId="611E0BAB">
            <w:pPr>
              <w:keepNext w:val="0"/>
              <w:keepLines w:val="0"/>
              <w:pageBreakBefore w:val="0"/>
              <w:numPr>
                <w:ilvl w:val="1"/>
                <w:numId w:val="5"/>
              </w:numPr>
              <w:tabs>
                <w:tab w:val="left" w:pos="1473"/>
              </w:tabs>
              <w:kinsoku/>
              <w:wordWrap/>
              <w:overflowPunct/>
              <w:topLinePunct w:val="0"/>
              <w:bidi w:val="0"/>
              <w:adjustRightInd w:val="0"/>
              <w:snapToGrid w:val="0"/>
              <w:spacing w:after="0" w:afterLines="0" w:line="400" w:lineRule="exact"/>
              <w:ind w:left="630" w:leftChars="300"/>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分散型控制系统工程设计规定HG/T20573—95</w:t>
            </w:r>
          </w:p>
          <w:p w14:paraId="611E0BAC">
            <w:pPr>
              <w:keepNext w:val="0"/>
              <w:keepLines w:val="0"/>
              <w:pageBreakBefore w:val="0"/>
              <w:numPr>
                <w:ilvl w:val="1"/>
                <w:numId w:val="5"/>
              </w:numPr>
              <w:tabs>
                <w:tab w:val="left" w:pos="1473"/>
              </w:tabs>
              <w:kinsoku/>
              <w:wordWrap/>
              <w:overflowPunct/>
              <w:topLinePunct w:val="0"/>
              <w:bidi w:val="0"/>
              <w:adjustRightInd w:val="0"/>
              <w:snapToGrid w:val="0"/>
              <w:spacing w:after="0" w:afterLines="0" w:line="400" w:lineRule="exact"/>
              <w:ind w:left="630" w:leftChars="300"/>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工业自动化仪表工程施工验收规范GBJ—93—86</w:t>
            </w:r>
          </w:p>
          <w:p w14:paraId="611E0BAD">
            <w:pPr>
              <w:keepNext w:val="0"/>
              <w:keepLines w:val="0"/>
              <w:pageBreakBefore w:val="0"/>
              <w:numPr>
                <w:ilvl w:val="1"/>
                <w:numId w:val="5"/>
              </w:numPr>
              <w:tabs>
                <w:tab w:val="left" w:pos="1473"/>
              </w:tabs>
              <w:kinsoku/>
              <w:wordWrap/>
              <w:overflowPunct/>
              <w:topLinePunct w:val="0"/>
              <w:bidi w:val="0"/>
              <w:adjustRightInd w:val="0"/>
              <w:snapToGrid w:val="0"/>
              <w:spacing w:after="0" w:afterLines="0" w:line="400" w:lineRule="exact"/>
              <w:ind w:left="630" w:leftChars="300"/>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自控专业设计管理规定HG/T 20636-1998</w:t>
            </w:r>
          </w:p>
          <w:p w14:paraId="611E0BAE">
            <w:pPr>
              <w:keepNext w:val="0"/>
              <w:keepLines w:val="0"/>
              <w:pageBreakBefore w:val="0"/>
              <w:numPr>
                <w:ilvl w:val="1"/>
                <w:numId w:val="5"/>
              </w:numPr>
              <w:tabs>
                <w:tab w:val="left" w:pos="1473"/>
              </w:tabs>
              <w:kinsoku/>
              <w:wordWrap/>
              <w:overflowPunct/>
              <w:topLinePunct w:val="0"/>
              <w:bidi w:val="0"/>
              <w:adjustRightInd w:val="0"/>
              <w:snapToGrid w:val="0"/>
              <w:spacing w:after="0" w:afterLines="0" w:line="400" w:lineRule="exact"/>
              <w:ind w:left="630" w:leftChars="300"/>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自控专业工程设计文件的编制规定HG/T 20637-1998</w:t>
            </w:r>
          </w:p>
          <w:p w14:paraId="611E0BAF">
            <w:pPr>
              <w:keepNext w:val="0"/>
              <w:keepLines w:val="0"/>
              <w:pageBreakBefore w:val="0"/>
              <w:numPr>
                <w:ilvl w:val="1"/>
                <w:numId w:val="5"/>
              </w:numPr>
              <w:tabs>
                <w:tab w:val="left" w:pos="1473"/>
              </w:tabs>
              <w:kinsoku/>
              <w:wordWrap/>
              <w:overflowPunct/>
              <w:topLinePunct w:val="0"/>
              <w:bidi w:val="0"/>
              <w:adjustRightInd w:val="0"/>
              <w:snapToGrid w:val="0"/>
              <w:spacing w:after="0" w:afterLines="0" w:line="400" w:lineRule="exact"/>
              <w:ind w:left="630" w:leftChars="300"/>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自控专业工程设计文件深度的规定HG/T 20638-1998</w:t>
            </w:r>
          </w:p>
          <w:p w14:paraId="611E0BB0">
            <w:pPr>
              <w:keepNext w:val="0"/>
              <w:keepLines w:val="0"/>
              <w:pageBreakBefore w:val="0"/>
              <w:numPr>
                <w:ilvl w:val="1"/>
                <w:numId w:val="5"/>
              </w:numPr>
              <w:tabs>
                <w:tab w:val="left" w:pos="1473"/>
              </w:tabs>
              <w:kinsoku/>
              <w:wordWrap/>
              <w:overflowPunct/>
              <w:topLinePunct w:val="0"/>
              <w:bidi w:val="0"/>
              <w:adjustRightInd w:val="0"/>
              <w:snapToGrid w:val="0"/>
              <w:spacing w:after="0" w:afterLines="0" w:line="400" w:lineRule="exact"/>
              <w:ind w:left="630" w:leftChars="300"/>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电力建设施工及验收技术规范（热工仪表及控制装置篇）SDJ279—90</w:t>
            </w:r>
          </w:p>
          <w:p w14:paraId="611E0BB1">
            <w:pPr>
              <w:keepNext w:val="0"/>
              <w:keepLines w:val="0"/>
              <w:pageBreakBefore w:val="0"/>
              <w:numPr>
                <w:ilvl w:val="1"/>
                <w:numId w:val="5"/>
              </w:numPr>
              <w:tabs>
                <w:tab w:val="left" w:pos="1473"/>
              </w:tabs>
              <w:kinsoku/>
              <w:wordWrap/>
              <w:overflowPunct/>
              <w:topLinePunct w:val="0"/>
              <w:bidi w:val="0"/>
              <w:adjustRightInd w:val="0"/>
              <w:snapToGrid w:val="0"/>
              <w:spacing w:after="0" w:afterLines="0" w:line="400" w:lineRule="exact"/>
              <w:ind w:left="630" w:leftChars="300"/>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建筑电气安装工程质量检验评定标准GBJ303—88</w:t>
            </w:r>
          </w:p>
          <w:p w14:paraId="611E0BB2">
            <w:pPr>
              <w:keepNext w:val="0"/>
              <w:keepLines w:val="0"/>
              <w:pageBreakBefore w:val="0"/>
              <w:numPr>
                <w:ilvl w:val="1"/>
                <w:numId w:val="5"/>
              </w:numPr>
              <w:tabs>
                <w:tab w:val="left" w:pos="1473"/>
              </w:tabs>
              <w:kinsoku/>
              <w:wordWrap/>
              <w:overflowPunct/>
              <w:topLinePunct w:val="0"/>
              <w:bidi w:val="0"/>
              <w:adjustRightInd w:val="0"/>
              <w:snapToGrid w:val="0"/>
              <w:spacing w:after="0" w:afterLines="0" w:line="400" w:lineRule="exact"/>
              <w:ind w:left="630" w:leftChars="300"/>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工艺系统设计管理规定HG20557-93</w:t>
            </w:r>
          </w:p>
          <w:p w14:paraId="611E0BB3">
            <w:pPr>
              <w:keepNext w:val="0"/>
              <w:keepLines w:val="0"/>
              <w:pageBreakBefore w:val="0"/>
              <w:numPr>
                <w:ilvl w:val="1"/>
                <w:numId w:val="5"/>
              </w:numPr>
              <w:tabs>
                <w:tab w:val="left" w:pos="1473"/>
              </w:tabs>
              <w:kinsoku/>
              <w:wordWrap/>
              <w:overflowPunct/>
              <w:topLinePunct w:val="0"/>
              <w:bidi w:val="0"/>
              <w:adjustRightInd w:val="0"/>
              <w:snapToGrid w:val="0"/>
              <w:spacing w:after="0" w:afterLines="0" w:line="400" w:lineRule="exact"/>
              <w:ind w:left="630" w:leftChars="300"/>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管道仪表流程图设计规定HG20559-93</w:t>
            </w:r>
          </w:p>
          <w:p w14:paraId="611E0BB4">
            <w:pPr>
              <w:keepNext w:val="0"/>
              <w:keepLines w:val="0"/>
              <w:pageBreakBefore w:val="0"/>
              <w:numPr>
                <w:ilvl w:val="1"/>
                <w:numId w:val="5"/>
              </w:numPr>
              <w:tabs>
                <w:tab w:val="left" w:pos="1473"/>
              </w:tabs>
              <w:kinsoku/>
              <w:wordWrap/>
              <w:overflowPunct/>
              <w:topLinePunct w:val="0"/>
              <w:bidi w:val="0"/>
              <w:adjustRightInd w:val="0"/>
              <w:snapToGrid w:val="0"/>
              <w:spacing w:after="0" w:afterLines="0" w:line="400" w:lineRule="exact"/>
              <w:ind w:left="630" w:leftChars="300"/>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建筑电气设计技术规范</w:t>
            </w:r>
          </w:p>
          <w:p w14:paraId="611E0BB5">
            <w:pPr>
              <w:keepNext w:val="0"/>
              <w:keepLines w:val="0"/>
              <w:pageBreakBefore w:val="0"/>
              <w:numPr>
                <w:ilvl w:val="1"/>
                <w:numId w:val="5"/>
              </w:numPr>
              <w:tabs>
                <w:tab w:val="left" w:pos="1473"/>
              </w:tabs>
              <w:kinsoku/>
              <w:wordWrap/>
              <w:overflowPunct/>
              <w:topLinePunct w:val="0"/>
              <w:bidi w:val="0"/>
              <w:adjustRightInd w:val="0"/>
              <w:snapToGrid w:val="0"/>
              <w:spacing w:after="0" w:afterLines="0" w:line="400" w:lineRule="exact"/>
              <w:ind w:left="630" w:leftChars="300"/>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安全：依照 CE 标准。（中国电气标准）</w:t>
            </w:r>
          </w:p>
          <w:p w14:paraId="6771B175">
            <w:pPr>
              <w:keepNext w:val="0"/>
              <w:keepLines w:val="0"/>
              <w:pageBreakBefore w:val="0"/>
              <w:numPr>
                <w:ilvl w:val="1"/>
                <w:numId w:val="5"/>
              </w:numPr>
              <w:tabs>
                <w:tab w:val="left" w:pos="1473"/>
              </w:tabs>
              <w:kinsoku/>
              <w:wordWrap/>
              <w:overflowPunct/>
              <w:topLinePunct w:val="0"/>
              <w:bidi w:val="0"/>
              <w:adjustRightInd w:val="0"/>
              <w:snapToGrid w:val="0"/>
              <w:spacing w:after="0" w:afterLines="0" w:line="400" w:lineRule="exact"/>
              <w:ind w:left="630" w:leftChars="300"/>
              <w:jc w:val="left"/>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color w:val="auto"/>
                <w:sz w:val="21"/>
                <w:szCs w:val="21"/>
                <w:highlight w:val="none"/>
              </w:rPr>
              <w:t>噪音：依照 CE 标准，不得高于70dBA</w:t>
            </w:r>
          </w:p>
          <w:p w14:paraId="4A24E9C8">
            <w:pPr>
              <w:keepNext w:val="0"/>
              <w:keepLines w:val="0"/>
              <w:pageBreakBefore w:val="0"/>
              <w:numPr>
                <w:ilvl w:val="0"/>
                <w:numId w:val="4"/>
              </w:numPr>
              <w:kinsoku/>
              <w:wordWrap/>
              <w:overflowPunct/>
              <w:topLinePunct w:val="0"/>
              <w:bidi w:val="0"/>
              <w:spacing w:after="0" w:afterLines="0" w:line="400" w:lineRule="exact"/>
              <w:ind w:left="425" w:leftChars="0" w:hanging="425" w:firstLineChars="0"/>
              <w:outlineLvl w:val="0"/>
              <w:rPr>
                <w:rFonts w:hint="eastAsia" w:ascii="微软雅黑" w:hAnsi="微软雅黑" w:eastAsia="微软雅黑" w:cs="微软雅黑"/>
                <w:b/>
                <w:color w:val="auto"/>
                <w:sz w:val="21"/>
                <w:szCs w:val="21"/>
                <w:highlight w:val="none"/>
              </w:rPr>
            </w:pPr>
            <w:bookmarkStart w:id="49" w:name="_Toc20210"/>
            <w:bookmarkStart w:id="50" w:name="_Toc1256"/>
            <w:r>
              <w:rPr>
                <w:rFonts w:hint="eastAsia" w:ascii="微软雅黑" w:hAnsi="微软雅黑" w:eastAsia="微软雅黑" w:cs="微软雅黑"/>
                <w:b/>
                <w:color w:val="auto"/>
                <w:sz w:val="21"/>
                <w:szCs w:val="21"/>
                <w:highlight w:val="none"/>
              </w:rPr>
              <w:t>缩写与定义</w:t>
            </w:r>
            <w:bookmarkEnd w:id="49"/>
            <w:bookmarkEnd w:id="50"/>
          </w:p>
        </w:tc>
      </w:tr>
      <w:tr w14:paraId="2D866E0C">
        <w:tblPrEx>
          <w:tblCellMar>
            <w:top w:w="0" w:type="dxa"/>
            <w:left w:w="108" w:type="dxa"/>
            <w:bottom w:w="0" w:type="dxa"/>
            <w:right w:w="108" w:type="dxa"/>
          </w:tblCellMar>
        </w:tblPrEx>
        <w:trPr>
          <w:trHeight w:val="397" w:hRule="atLeast"/>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tbl>
            <w:tblPr>
              <w:tblStyle w:val="29"/>
              <w:tblW w:w="9690"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1903"/>
              <w:gridCol w:w="7787"/>
            </w:tblGrid>
            <w:tr w14:paraId="0EB298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tblHeader/>
                <w:jc w:val="center"/>
              </w:trPr>
              <w:tc>
                <w:tcPr>
                  <w:tcW w:w="982" w:type="pct"/>
                  <w:tcBorders>
                    <w:top w:val="nil"/>
                    <w:left w:val="single" w:color="000000" w:sz="4" w:space="0"/>
                    <w:bottom w:val="single" w:color="000000" w:sz="4" w:space="0"/>
                    <w:right w:val="single" w:color="000000" w:sz="4" w:space="0"/>
                  </w:tcBorders>
                  <w:shd w:val="clear" w:color="auto" w:fill="D9D9D9"/>
                  <w:vAlign w:val="center"/>
                </w:tcPr>
                <w:p w14:paraId="2A1F8D6E">
                  <w:pPr>
                    <w:pStyle w:val="79"/>
                    <w:keepNext w:val="0"/>
                    <w:keepLines w:val="0"/>
                    <w:pageBreakBefore w:val="0"/>
                    <w:kinsoku/>
                    <w:wordWrap/>
                    <w:overflowPunct/>
                    <w:topLinePunct w:val="0"/>
                    <w:bidi w:val="0"/>
                    <w:snapToGrid w:val="0"/>
                    <w:spacing w:line="400" w:lineRule="exact"/>
                    <w:jc w:val="center"/>
                    <w:rPr>
                      <w:rFonts w:hint="eastAsia" w:ascii="微软雅黑" w:hAnsi="微软雅黑" w:eastAsia="微软雅黑" w:cs="微软雅黑"/>
                      <w:b/>
                      <w:color w:val="auto"/>
                      <w:sz w:val="21"/>
                      <w:szCs w:val="21"/>
                      <w:highlight w:val="none"/>
                      <w:lang w:val="zh-CN"/>
                    </w:rPr>
                  </w:pPr>
                  <w:r>
                    <w:rPr>
                      <w:rFonts w:hint="eastAsia" w:ascii="微软雅黑" w:hAnsi="微软雅黑" w:eastAsia="微软雅黑" w:cs="微软雅黑"/>
                      <w:b/>
                      <w:color w:val="auto"/>
                      <w:sz w:val="21"/>
                      <w:szCs w:val="21"/>
                      <w:highlight w:val="none"/>
                      <w:lang w:val="zh-CN"/>
                    </w:rPr>
                    <w:t>缩写</w:t>
                  </w:r>
                </w:p>
              </w:tc>
              <w:tc>
                <w:tcPr>
                  <w:tcW w:w="4017" w:type="pct"/>
                  <w:tcBorders>
                    <w:top w:val="nil"/>
                    <w:left w:val="single" w:color="000000" w:sz="4" w:space="0"/>
                    <w:bottom w:val="single" w:color="000000" w:sz="4" w:space="0"/>
                    <w:right w:val="nil"/>
                  </w:tcBorders>
                  <w:shd w:val="clear" w:color="auto" w:fill="D9D9D9"/>
                  <w:vAlign w:val="center"/>
                </w:tcPr>
                <w:p w14:paraId="37EF4CA5">
                  <w:pPr>
                    <w:pStyle w:val="79"/>
                    <w:keepNext w:val="0"/>
                    <w:keepLines w:val="0"/>
                    <w:pageBreakBefore w:val="0"/>
                    <w:kinsoku/>
                    <w:wordWrap/>
                    <w:overflowPunct/>
                    <w:topLinePunct w:val="0"/>
                    <w:bidi w:val="0"/>
                    <w:snapToGrid w:val="0"/>
                    <w:spacing w:line="400" w:lineRule="exact"/>
                    <w:jc w:val="center"/>
                    <w:rPr>
                      <w:rFonts w:hint="eastAsia" w:ascii="微软雅黑" w:hAnsi="微软雅黑" w:eastAsia="微软雅黑" w:cs="微软雅黑"/>
                      <w:b/>
                      <w:color w:val="auto"/>
                      <w:sz w:val="21"/>
                      <w:szCs w:val="21"/>
                      <w:highlight w:val="none"/>
                      <w:lang w:val="zh-CN"/>
                    </w:rPr>
                  </w:pPr>
                  <w:r>
                    <w:rPr>
                      <w:rFonts w:hint="eastAsia" w:ascii="微软雅黑" w:hAnsi="微软雅黑" w:eastAsia="微软雅黑" w:cs="微软雅黑"/>
                      <w:b/>
                      <w:color w:val="auto"/>
                      <w:sz w:val="21"/>
                      <w:szCs w:val="21"/>
                      <w:highlight w:val="none"/>
                      <w:lang w:val="zh-CN"/>
                    </w:rPr>
                    <w:t>全称及翻译</w:t>
                  </w:r>
                </w:p>
              </w:tc>
            </w:tr>
            <w:tr w14:paraId="12D81FD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3BA11FB4">
                  <w:pPr>
                    <w:pStyle w:val="80"/>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CIP</w:t>
                  </w:r>
                </w:p>
              </w:tc>
              <w:tc>
                <w:tcPr>
                  <w:tcW w:w="4017" w:type="pct"/>
                  <w:tcBorders>
                    <w:top w:val="single" w:color="000000" w:sz="4" w:space="0"/>
                    <w:left w:val="single" w:color="000000" w:sz="4" w:space="0"/>
                    <w:bottom w:val="single" w:color="000000" w:sz="4" w:space="0"/>
                    <w:right w:val="nil"/>
                  </w:tcBorders>
                  <w:vAlign w:val="center"/>
                </w:tcPr>
                <w:p w14:paraId="17A11192">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Clean In Place设备在线清洗（无拆卸）</w:t>
                  </w:r>
                </w:p>
              </w:tc>
            </w:tr>
            <w:tr w14:paraId="1C6B88B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4C1E51E8">
                  <w:pPr>
                    <w:pStyle w:val="80"/>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SIP</w:t>
                  </w:r>
                </w:p>
              </w:tc>
              <w:tc>
                <w:tcPr>
                  <w:tcW w:w="4017" w:type="pct"/>
                  <w:tcBorders>
                    <w:top w:val="single" w:color="000000" w:sz="4" w:space="0"/>
                    <w:left w:val="single" w:color="000000" w:sz="4" w:space="0"/>
                    <w:bottom w:val="single" w:color="000000" w:sz="4" w:space="0"/>
                    <w:right w:val="nil"/>
                  </w:tcBorders>
                  <w:vAlign w:val="center"/>
                </w:tcPr>
                <w:p w14:paraId="1B4B596F">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Sterilization In Place设备在线灭菌（无拆卸）</w:t>
                  </w:r>
                </w:p>
              </w:tc>
            </w:tr>
            <w:tr w14:paraId="10D2F7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17096D7F">
                  <w:pPr>
                    <w:pStyle w:val="80"/>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DQ</w:t>
                  </w:r>
                </w:p>
              </w:tc>
              <w:tc>
                <w:tcPr>
                  <w:tcW w:w="4017" w:type="pct"/>
                  <w:tcBorders>
                    <w:top w:val="single" w:color="000000" w:sz="4" w:space="0"/>
                    <w:left w:val="single" w:color="000000" w:sz="4" w:space="0"/>
                    <w:bottom w:val="single" w:color="000000" w:sz="4" w:space="0"/>
                    <w:right w:val="nil"/>
                  </w:tcBorders>
                  <w:vAlign w:val="center"/>
                </w:tcPr>
                <w:p w14:paraId="0C4E4D1B">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Design Qualification设计确认</w:t>
                  </w:r>
                </w:p>
              </w:tc>
            </w:tr>
            <w:tr w14:paraId="07ECD1C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67D91862">
                  <w:pPr>
                    <w:pStyle w:val="80"/>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IQ</w:t>
                  </w:r>
                </w:p>
              </w:tc>
              <w:tc>
                <w:tcPr>
                  <w:tcW w:w="4017" w:type="pct"/>
                  <w:tcBorders>
                    <w:top w:val="single" w:color="000000" w:sz="4" w:space="0"/>
                    <w:left w:val="single" w:color="000000" w:sz="4" w:space="0"/>
                    <w:bottom w:val="single" w:color="000000" w:sz="4" w:space="0"/>
                    <w:right w:val="nil"/>
                  </w:tcBorders>
                  <w:vAlign w:val="center"/>
                </w:tcPr>
                <w:p w14:paraId="2A4AFE81">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Installation Qualification安装确认</w:t>
                  </w:r>
                </w:p>
              </w:tc>
            </w:tr>
            <w:tr w14:paraId="70D9977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407EF745">
                  <w:pPr>
                    <w:pStyle w:val="80"/>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OQ</w:t>
                  </w:r>
                </w:p>
              </w:tc>
              <w:tc>
                <w:tcPr>
                  <w:tcW w:w="4017" w:type="pct"/>
                  <w:tcBorders>
                    <w:top w:val="single" w:color="000000" w:sz="4" w:space="0"/>
                    <w:left w:val="single" w:color="000000" w:sz="4" w:space="0"/>
                    <w:bottom w:val="single" w:color="000000" w:sz="4" w:space="0"/>
                    <w:right w:val="nil"/>
                  </w:tcBorders>
                  <w:vAlign w:val="center"/>
                </w:tcPr>
                <w:p w14:paraId="0D4CC5FA">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Operational Qualification运行确认</w:t>
                  </w:r>
                </w:p>
              </w:tc>
            </w:tr>
            <w:tr w14:paraId="3F02DB7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17BEEAA2">
                  <w:pPr>
                    <w:pStyle w:val="80"/>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PQ</w:t>
                  </w:r>
                </w:p>
              </w:tc>
              <w:tc>
                <w:tcPr>
                  <w:tcW w:w="4017" w:type="pct"/>
                  <w:tcBorders>
                    <w:top w:val="single" w:color="000000" w:sz="4" w:space="0"/>
                    <w:left w:val="single" w:color="000000" w:sz="4" w:space="0"/>
                    <w:bottom w:val="single" w:color="000000" w:sz="4" w:space="0"/>
                    <w:right w:val="nil"/>
                  </w:tcBorders>
                  <w:vAlign w:val="center"/>
                </w:tcPr>
                <w:p w14:paraId="5E45B5AC">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Performance Qualification性能确认</w:t>
                  </w:r>
                </w:p>
              </w:tc>
            </w:tr>
            <w:tr w14:paraId="463387F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1768152E">
                  <w:pPr>
                    <w:pStyle w:val="80"/>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GMP</w:t>
                  </w:r>
                </w:p>
              </w:tc>
              <w:tc>
                <w:tcPr>
                  <w:tcW w:w="4017" w:type="pct"/>
                  <w:tcBorders>
                    <w:top w:val="single" w:color="000000" w:sz="4" w:space="0"/>
                    <w:left w:val="single" w:color="000000" w:sz="4" w:space="0"/>
                    <w:bottom w:val="single" w:color="000000" w:sz="4" w:space="0"/>
                    <w:right w:val="nil"/>
                  </w:tcBorders>
                  <w:vAlign w:val="center"/>
                </w:tcPr>
                <w:p w14:paraId="004E9265">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Good Manufacturing Practices药品生产质量管理规范</w:t>
                  </w:r>
                </w:p>
              </w:tc>
            </w:tr>
            <w:tr w14:paraId="35BEA60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3D187B35">
                  <w:pPr>
                    <w:pStyle w:val="80"/>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EU-GMP</w:t>
                  </w:r>
                </w:p>
              </w:tc>
              <w:tc>
                <w:tcPr>
                  <w:tcW w:w="4017" w:type="pct"/>
                  <w:tcBorders>
                    <w:top w:val="single" w:color="000000" w:sz="4" w:space="0"/>
                    <w:left w:val="single" w:color="000000" w:sz="4" w:space="0"/>
                    <w:bottom w:val="single" w:color="000000" w:sz="4" w:space="0"/>
                    <w:right w:val="nil"/>
                  </w:tcBorders>
                  <w:vAlign w:val="center"/>
                </w:tcPr>
                <w:p w14:paraId="680DA6F8">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European –Good Manufacturing Practice欧洲GMP</w:t>
                  </w:r>
                </w:p>
              </w:tc>
            </w:tr>
            <w:tr w14:paraId="06E97DC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5D3769E4">
                  <w:pPr>
                    <w:pStyle w:val="80"/>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FAT</w:t>
                  </w:r>
                </w:p>
              </w:tc>
              <w:tc>
                <w:tcPr>
                  <w:tcW w:w="4017" w:type="pct"/>
                  <w:tcBorders>
                    <w:top w:val="single" w:color="000000" w:sz="4" w:space="0"/>
                    <w:left w:val="single" w:color="000000" w:sz="4" w:space="0"/>
                    <w:bottom w:val="single" w:color="000000" w:sz="4" w:space="0"/>
                    <w:right w:val="nil"/>
                  </w:tcBorders>
                  <w:vAlign w:val="center"/>
                </w:tcPr>
                <w:p w14:paraId="15155469">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Factory Acceptance Test供应商验收测试</w:t>
                  </w:r>
                </w:p>
              </w:tc>
            </w:tr>
            <w:tr w14:paraId="740600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790988BE">
                  <w:pPr>
                    <w:pStyle w:val="80"/>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SAT</w:t>
                  </w:r>
                </w:p>
              </w:tc>
              <w:tc>
                <w:tcPr>
                  <w:tcW w:w="4017" w:type="pct"/>
                  <w:tcBorders>
                    <w:top w:val="single" w:color="000000" w:sz="4" w:space="0"/>
                    <w:left w:val="single" w:color="000000" w:sz="4" w:space="0"/>
                    <w:bottom w:val="single" w:color="000000" w:sz="4" w:space="0"/>
                    <w:right w:val="nil"/>
                  </w:tcBorders>
                  <w:vAlign w:val="center"/>
                </w:tcPr>
                <w:p w14:paraId="2CBB454D">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Site Acceptance Test 现场验收测试</w:t>
                  </w:r>
                </w:p>
              </w:tc>
            </w:tr>
            <w:tr w14:paraId="2C1B15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1C0B358B">
                  <w:pPr>
                    <w:pStyle w:val="80"/>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FDA</w:t>
                  </w:r>
                </w:p>
              </w:tc>
              <w:tc>
                <w:tcPr>
                  <w:tcW w:w="4017" w:type="pct"/>
                  <w:tcBorders>
                    <w:top w:val="single" w:color="000000" w:sz="4" w:space="0"/>
                    <w:left w:val="single" w:color="000000" w:sz="4" w:space="0"/>
                    <w:bottom w:val="single" w:color="000000" w:sz="4" w:space="0"/>
                    <w:right w:val="nil"/>
                  </w:tcBorders>
                  <w:vAlign w:val="center"/>
                </w:tcPr>
                <w:p w14:paraId="35EDF2CC">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US Food and Drug Administration美国食品和药物管理局</w:t>
                  </w:r>
                </w:p>
              </w:tc>
            </w:tr>
            <w:tr w14:paraId="468CE5E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7B1BA7B8">
                  <w:pPr>
                    <w:pStyle w:val="80"/>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FDS</w:t>
                  </w:r>
                </w:p>
              </w:tc>
              <w:tc>
                <w:tcPr>
                  <w:tcW w:w="4017" w:type="pct"/>
                  <w:tcBorders>
                    <w:top w:val="single" w:color="000000" w:sz="4" w:space="0"/>
                    <w:left w:val="single" w:color="000000" w:sz="4" w:space="0"/>
                    <w:bottom w:val="single" w:color="000000" w:sz="4" w:space="0"/>
                    <w:right w:val="nil"/>
                  </w:tcBorders>
                  <w:vAlign w:val="center"/>
                </w:tcPr>
                <w:p w14:paraId="6E5176AA">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Functional design specifications功能设计标准</w:t>
                  </w:r>
                </w:p>
              </w:tc>
            </w:tr>
            <w:tr w14:paraId="4FA1034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69" w:hRule="atLeast"/>
                <w:jc w:val="center"/>
              </w:trPr>
              <w:tc>
                <w:tcPr>
                  <w:tcW w:w="982" w:type="pct"/>
                  <w:tcBorders>
                    <w:top w:val="single" w:color="000000" w:sz="4" w:space="0"/>
                    <w:left w:val="nil"/>
                    <w:bottom w:val="single" w:color="000000" w:sz="4" w:space="0"/>
                    <w:right w:val="single" w:color="000000" w:sz="4" w:space="0"/>
                  </w:tcBorders>
                  <w:vAlign w:val="center"/>
                </w:tcPr>
                <w:p w14:paraId="3FF7FA6D">
                  <w:pPr>
                    <w:pStyle w:val="80"/>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ASME BPE</w:t>
                  </w:r>
                </w:p>
              </w:tc>
              <w:tc>
                <w:tcPr>
                  <w:tcW w:w="4017" w:type="pct"/>
                  <w:tcBorders>
                    <w:top w:val="single" w:color="000000" w:sz="4" w:space="0"/>
                    <w:left w:val="single" w:color="000000" w:sz="4" w:space="0"/>
                    <w:bottom w:val="single" w:color="000000" w:sz="4" w:space="0"/>
                    <w:right w:val="nil"/>
                  </w:tcBorders>
                  <w:vAlign w:val="center"/>
                </w:tcPr>
                <w:p w14:paraId="3D69B1F7">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The American Society of Mechanical Engineers Bioprocessing Equipment美国机械工程师协会生物加工设备</w:t>
                  </w:r>
                </w:p>
              </w:tc>
            </w:tr>
            <w:tr w14:paraId="31F2563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single" w:color="000000" w:sz="4" w:space="0"/>
                    <w:right w:val="single" w:color="000000" w:sz="4" w:space="0"/>
                  </w:tcBorders>
                  <w:vAlign w:val="center"/>
                </w:tcPr>
                <w:p w14:paraId="10FCA501">
                  <w:pPr>
                    <w:pStyle w:val="80"/>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EHS</w:t>
                  </w:r>
                </w:p>
              </w:tc>
              <w:tc>
                <w:tcPr>
                  <w:tcW w:w="4017" w:type="pct"/>
                  <w:tcBorders>
                    <w:top w:val="single" w:color="000000" w:sz="4" w:space="0"/>
                    <w:left w:val="single" w:color="000000" w:sz="4" w:space="0"/>
                    <w:bottom w:val="single" w:color="000000" w:sz="4" w:space="0"/>
                    <w:right w:val="nil"/>
                  </w:tcBorders>
                  <w:vAlign w:val="center"/>
                </w:tcPr>
                <w:p w14:paraId="697034D8">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Environment、Health、Safety健康、安全与环境</w:t>
                  </w:r>
                </w:p>
              </w:tc>
            </w:tr>
            <w:tr w14:paraId="33E4A19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54" w:hRule="atLeast"/>
                <w:jc w:val="center"/>
              </w:trPr>
              <w:tc>
                <w:tcPr>
                  <w:tcW w:w="982" w:type="pct"/>
                  <w:tcBorders>
                    <w:top w:val="single" w:color="000000" w:sz="4" w:space="0"/>
                    <w:left w:val="nil"/>
                    <w:bottom w:val="nil"/>
                    <w:right w:val="single" w:color="000000" w:sz="4" w:space="0"/>
                  </w:tcBorders>
                  <w:vAlign w:val="center"/>
                </w:tcPr>
                <w:p w14:paraId="3244AA9A">
                  <w:pPr>
                    <w:pStyle w:val="80"/>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PW</w:t>
                  </w:r>
                </w:p>
              </w:tc>
              <w:tc>
                <w:tcPr>
                  <w:tcW w:w="4017" w:type="pct"/>
                  <w:tcBorders>
                    <w:top w:val="single" w:color="000000" w:sz="4" w:space="0"/>
                    <w:left w:val="single" w:color="000000" w:sz="4" w:space="0"/>
                    <w:bottom w:val="nil"/>
                    <w:right w:val="nil"/>
                  </w:tcBorders>
                  <w:vAlign w:val="center"/>
                </w:tcPr>
                <w:p w14:paraId="2E6A31BE">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Purified Water 纯化水</w:t>
                  </w:r>
                </w:p>
              </w:tc>
            </w:tr>
          </w:tbl>
          <w:p w14:paraId="0C84F93E">
            <w:pPr>
              <w:keepNext w:val="0"/>
              <w:keepLines w:val="0"/>
              <w:pageBreakBefore w:val="0"/>
              <w:kinsoku/>
              <w:wordWrap/>
              <w:overflowPunct/>
              <w:topLinePunct w:val="0"/>
              <w:bidi w:val="0"/>
              <w:spacing w:after="0" w:afterLines="0" w:line="400" w:lineRule="exact"/>
              <w:jc w:val="left"/>
              <w:rPr>
                <w:rStyle w:val="60"/>
                <w:rFonts w:hint="eastAsia" w:ascii="微软雅黑" w:hAnsi="微软雅黑" w:eastAsia="微软雅黑" w:cs="微软雅黑"/>
                <w:color w:val="auto"/>
                <w:sz w:val="21"/>
                <w:szCs w:val="21"/>
                <w:highlight w:val="none"/>
              </w:rPr>
            </w:pPr>
          </w:p>
        </w:tc>
      </w:tr>
      <w:tr w14:paraId="2B450FB2">
        <w:tblPrEx>
          <w:tblCellMar>
            <w:top w:w="0" w:type="dxa"/>
            <w:left w:w="108" w:type="dxa"/>
            <w:bottom w:w="0" w:type="dxa"/>
            <w:right w:w="108" w:type="dxa"/>
          </w:tblCellMar>
        </w:tblPrEx>
        <w:trPr>
          <w:trHeight w:val="397" w:hRule="atLeast"/>
          <w:jc w:val="center"/>
        </w:trPr>
        <w:tc>
          <w:tcPr>
            <w:tcW w:w="5000" w:type="pct"/>
            <w:gridSpan w:val="3"/>
            <w:tcBorders>
              <w:top w:val="single" w:color="auto" w:sz="4" w:space="0"/>
            </w:tcBorders>
          </w:tcPr>
          <w:p w14:paraId="5FA901A2">
            <w:pPr>
              <w:keepNext w:val="0"/>
              <w:keepLines w:val="0"/>
              <w:pageBreakBefore w:val="0"/>
              <w:numPr>
                <w:ilvl w:val="0"/>
                <w:numId w:val="4"/>
              </w:numPr>
              <w:kinsoku/>
              <w:wordWrap/>
              <w:overflowPunct/>
              <w:topLinePunct w:val="0"/>
              <w:bidi w:val="0"/>
              <w:spacing w:after="0" w:afterLines="0" w:line="400" w:lineRule="exact"/>
              <w:ind w:left="425" w:leftChars="0" w:hanging="425" w:firstLineChars="0"/>
              <w:outlineLvl w:val="0"/>
              <w:rPr>
                <w:rFonts w:hint="eastAsia" w:ascii="微软雅黑" w:hAnsi="微软雅黑" w:eastAsia="微软雅黑" w:cs="微软雅黑"/>
                <w:b/>
                <w:color w:val="auto"/>
                <w:sz w:val="21"/>
                <w:szCs w:val="21"/>
                <w:highlight w:val="none"/>
              </w:rPr>
            </w:pPr>
            <w:bookmarkStart w:id="51" w:name="_Toc4591"/>
            <w:bookmarkStart w:id="52" w:name="_Toc24422"/>
            <w:bookmarkStart w:id="53" w:name="_Toc14116"/>
            <w:bookmarkStart w:id="54" w:name="_Toc12888"/>
            <w:bookmarkStart w:id="55" w:name="_Toc22503"/>
            <w:bookmarkStart w:id="56" w:name="_Toc148535271"/>
            <w:bookmarkStart w:id="57" w:name="_Toc12608"/>
            <w:bookmarkStart w:id="58" w:name="_Toc26306"/>
            <w:bookmarkStart w:id="59" w:name="_Toc11851"/>
            <w:bookmarkStart w:id="60" w:name="_Toc20764"/>
            <w:bookmarkStart w:id="61" w:name="_Toc20996"/>
            <w:bookmarkStart w:id="62" w:name="_Toc5271"/>
            <w:bookmarkStart w:id="63" w:name="_Toc23229"/>
            <w:bookmarkStart w:id="64" w:name="_Toc26274"/>
            <w:bookmarkStart w:id="65" w:name="_Toc26139"/>
            <w:r>
              <w:rPr>
                <w:rFonts w:hint="eastAsia" w:ascii="微软雅黑" w:hAnsi="微软雅黑" w:eastAsia="微软雅黑" w:cs="微软雅黑"/>
                <w:b/>
                <w:color w:val="auto"/>
                <w:sz w:val="21"/>
                <w:szCs w:val="21"/>
                <w:highlight w:val="none"/>
              </w:rPr>
              <w:t>设备描述</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tc>
      </w:tr>
      <w:tr w14:paraId="00A5B576">
        <w:tblPrEx>
          <w:tblCellMar>
            <w:top w:w="0" w:type="dxa"/>
            <w:left w:w="108" w:type="dxa"/>
            <w:bottom w:w="0" w:type="dxa"/>
            <w:right w:w="108" w:type="dxa"/>
          </w:tblCellMar>
        </w:tblPrEx>
        <w:trPr>
          <w:trHeight w:val="397" w:hRule="atLeast"/>
          <w:jc w:val="center"/>
        </w:trPr>
        <w:tc>
          <w:tcPr>
            <w:tcW w:w="5000" w:type="pct"/>
            <w:gridSpan w:val="3"/>
          </w:tcPr>
          <w:tbl>
            <w:tblPr>
              <w:tblStyle w:val="29"/>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6887"/>
              <w:gridCol w:w="1513"/>
            </w:tblGrid>
            <w:tr w14:paraId="12BB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5" w:type="pct"/>
                  <w:shd w:val="clear" w:color="auto" w:fill="D7D7D7" w:themeFill="background1" w:themeFillShade="D8"/>
                  <w:noWrap/>
                  <w:vAlign w:val="center"/>
                </w:tcPr>
                <w:p w14:paraId="76174F2D">
                  <w:pPr>
                    <w:keepNext w:val="0"/>
                    <w:keepLines w:val="0"/>
                    <w:pageBreakBefore w:val="0"/>
                    <w:widowControl/>
                    <w:kinsoku/>
                    <w:wordWrap/>
                    <w:overflowPunct/>
                    <w:topLinePunct w:val="0"/>
                    <w:bidi w:val="0"/>
                    <w:spacing w:after="0" w:afterLines="0" w:line="400" w:lineRule="exact"/>
                    <w:jc w:val="center"/>
                    <w:rPr>
                      <w:rFonts w:hint="eastAsia" w:ascii="微软雅黑" w:hAnsi="微软雅黑" w:eastAsia="微软雅黑" w:cs="微软雅黑"/>
                      <w:b/>
                      <w:bCs/>
                      <w:color w:val="auto"/>
                      <w:kern w:val="0"/>
                      <w:sz w:val="21"/>
                      <w:szCs w:val="21"/>
                      <w:highlight w:val="none"/>
                    </w:rPr>
                  </w:pPr>
                  <w:bookmarkStart w:id="66" w:name="_Toc211435746"/>
                  <w:r>
                    <w:rPr>
                      <w:rFonts w:hint="eastAsia" w:ascii="微软雅黑" w:hAnsi="微软雅黑" w:eastAsia="微软雅黑" w:cs="微软雅黑"/>
                      <w:b/>
                      <w:bCs/>
                      <w:color w:val="auto"/>
                      <w:kern w:val="0"/>
                      <w:sz w:val="21"/>
                      <w:szCs w:val="21"/>
                      <w:highlight w:val="none"/>
                    </w:rPr>
                    <w:t>序号</w:t>
                  </w:r>
                </w:p>
              </w:tc>
              <w:tc>
                <w:tcPr>
                  <w:tcW w:w="3594" w:type="pct"/>
                  <w:shd w:val="clear" w:color="auto" w:fill="D7D7D7" w:themeFill="background1" w:themeFillShade="D8"/>
                  <w:noWrap/>
                  <w:vAlign w:val="center"/>
                </w:tcPr>
                <w:p w14:paraId="3D1DDC98">
                  <w:pPr>
                    <w:keepNext w:val="0"/>
                    <w:keepLines w:val="0"/>
                    <w:pageBreakBefore w:val="0"/>
                    <w:widowControl/>
                    <w:kinsoku/>
                    <w:wordWrap/>
                    <w:overflowPunct/>
                    <w:topLinePunct w:val="0"/>
                    <w:bidi w:val="0"/>
                    <w:spacing w:after="0" w:afterLines="0" w:line="400" w:lineRule="exact"/>
                    <w:jc w:val="center"/>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bCs/>
                      <w:color w:val="auto"/>
                      <w:kern w:val="0"/>
                      <w:sz w:val="21"/>
                      <w:szCs w:val="21"/>
                      <w:highlight w:val="none"/>
                    </w:rPr>
                    <w:t>设备名称</w:t>
                  </w:r>
                </w:p>
              </w:tc>
              <w:tc>
                <w:tcPr>
                  <w:tcW w:w="789" w:type="pct"/>
                  <w:shd w:val="clear" w:color="auto" w:fill="D7D7D7" w:themeFill="background1" w:themeFillShade="D8"/>
                  <w:noWrap/>
                  <w:vAlign w:val="center"/>
                </w:tcPr>
                <w:p w14:paraId="14816CC0">
                  <w:pPr>
                    <w:keepNext w:val="0"/>
                    <w:keepLines w:val="0"/>
                    <w:pageBreakBefore w:val="0"/>
                    <w:widowControl/>
                    <w:kinsoku/>
                    <w:wordWrap/>
                    <w:overflowPunct/>
                    <w:topLinePunct w:val="0"/>
                    <w:bidi w:val="0"/>
                    <w:spacing w:after="0" w:afterLines="0" w:line="400" w:lineRule="exact"/>
                    <w:jc w:val="center"/>
                    <w:rPr>
                      <w:rFonts w:hint="eastAsia" w:ascii="微软雅黑" w:hAnsi="微软雅黑" w:eastAsia="微软雅黑" w:cs="微软雅黑"/>
                      <w:b/>
                      <w:bCs/>
                      <w:color w:val="auto"/>
                      <w:kern w:val="0"/>
                      <w:sz w:val="21"/>
                      <w:szCs w:val="21"/>
                      <w:highlight w:val="none"/>
                    </w:rPr>
                  </w:pPr>
                  <w:r>
                    <w:rPr>
                      <w:rFonts w:hint="eastAsia" w:ascii="微软雅黑" w:hAnsi="微软雅黑" w:eastAsia="微软雅黑" w:cs="微软雅黑"/>
                      <w:b/>
                      <w:bCs/>
                      <w:color w:val="auto"/>
                      <w:kern w:val="0"/>
                      <w:sz w:val="21"/>
                      <w:szCs w:val="21"/>
                      <w:highlight w:val="none"/>
                    </w:rPr>
                    <w:t>数量/台</w:t>
                  </w:r>
                </w:p>
              </w:tc>
            </w:tr>
            <w:tr w14:paraId="4E93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615" w:type="pct"/>
                  <w:noWrap/>
                  <w:vAlign w:val="center"/>
                </w:tcPr>
                <w:p w14:paraId="66DCD6A4">
                  <w:pPr>
                    <w:keepNext w:val="0"/>
                    <w:keepLines w:val="0"/>
                    <w:pageBreakBefore w:val="0"/>
                    <w:widowControl/>
                    <w:kinsoku/>
                    <w:wordWrap/>
                    <w:overflowPunct/>
                    <w:topLinePunct w:val="0"/>
                    <w:bidi w:val="0"/>
                    <w:spacing w:after="0" w:afterLines="0" w:line="40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1</w:t>
                  </w:r>
                </w:p>
              </w:tc>
              <w:tc>
                <w:tcPr>
                  <w:tcW w:w="3594" w:type="pct"/>
                  <w:noWrap/>
                  <w:vAlign w:val="center"/>
                </w:tcPr>
                <w:p w14:paraId="40EA2748">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kern w:val="0"/>
                      <w:sz w:val="21"/>
                      <w:szCs w:val="21"/>
                      <w:highlight w:val="none"/>
                      <w:lang w:val="en-US" w:eastAsia="zh-CN" w:bidi="ar"/>
                    </w:rPr>
                    <w:t>近红外光谱脑功能成像系统</w:t>
                  </w:r>
                </w:p>
              </w:tc>
              <w:tc>
                <w:tcPr>
                  <w:tcW w:w="1513" w:type="dxa"/>
                  <w:noWrap/>
                  <w:vAlign w:val="center"/>
                </w:tcPr>
                <w:p w14:paraId="6CEA2F11">
                  <w:pPr>
                    <w:keepNext w:val="0"/>
                    <w:keepLines w:val="0"/>
                    <w:pageBreakBefore w:val="0"/>
                    <w:widowControl/>
                    <w:suppressLineNumbers w:val="0"/>
                    <w:kinsoku/>
                    <w:wordWrap/>
                    <w:overflowPunct/>
                    <w:topLinePunct w:val="0"/>
                    <w:bidi w:val="0"/>
                    <w:spacing w:after="0" w:afterLines="0" w:line="400" w:lineRule="exact"/>
                    <w:jc w:val="center"/>
                    <w:textAlignment w:val="center"/>
                    <w:rPr>
                      <w:rFonts w:hint="eastAsia" w:ascii="微软雅黑" w:hAnsi="微软雅黑" w:eastAsia="微软雅黑" w:cs="微软雅黑"/>
                      <w:color w:val="auto"/>
                      <w:kern w:val="0"/>
                      <w:sz w:val="21"/>
                      <w:szCs w:val="21"/>
                      <w:highlight w:val="none"/>
                      <w:lang w:val="en-US" w:eastAsia="zh-CN" w:bidi="ar"/>
                    </w:rPr>
                  </w:pPr>
                  <w:r>
                    <w:rPr>
                      <w:rFonts w:hint="eastAsia" w:ascii="微软雅黑" w:hAnsi="微软雅黑" w:eastAsia="微软雅黑" w:cs="微软雅黑"/>
                      <w:i w:val="0"/>
                      <w:iCs w:val="0"/>
                      <w:snapToGrid/>
                      <w:color w:val="auto"/>
                      <w:kern w:val="0"/>
                      <w:sz w:val="21"/>
                      <w:szCs w:val="21"/>
                      <w:highlight w:val="none"/>
                      <w:u w:val="none"/>
                      <w:lang w:val="en-US" w:eastAsia="zh-CN" w:bidi="ar"/>
                    </w:rPr>
                    <w:t>1</w:t>
                  </w:r>
                </w:p>
              </w:tc>
            </w:tr>
            <w:tr w14:paraId="12476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615" w:type="pct"/>
                  <w:noWrap/>
                  <w:vAlign w:val="center"/>
                </w:tcPr>
                <w:p w14:paraId="6E0283F4">
                  <w:pPr>
                    <w:keepNext w:val="0"/>
                    <w:keepLines w:val="0"/>
                    <w:pageBreakBefore w:val="0"/>
                    <w:widowControl/>
                    <w:kinsoku/>
                    <w:wordWrap/>
                    <w:overflowPunct/>
                    <w:topLinePunct w:val="0"/>
                    <w:bidi w:val="0"/>
                    <w:spacing w:after="0" w:afterLines="0" w:line="40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2</w:t>
                  </w:r>
                </w:p>
              </w:tc>
              <w:tc>
                <w:tcPr>
                  <w:tcW w:w="6887" w:type="dxa"/>
                  <w:noWrap/>
                  <w:vAlign w:val="center"/>
                </w:tcPr>
                <w:p w14:paraId="31FFAD7C">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kern w:val="0"/>
                      <w:sz w:val="21"/>
                      <w:szCs w:val="21"/>
                      <w:highlight w:val="none"/>
                      <w:lang w:bidi="ar"/>
                    </w:rPr>
                  </w:pPr>
                  <w:r>
                    <w:rPr>
                      <w:rFonts w:hint="eastAsia" w:ascii="微软雅黑" w:hAnsi="微软雅黑" w:eastAsia="微软雅黑" w:cs="微软雅黑"/>
                      <w:color w:val="auto"/>
                      <w:kern w:val="0"/>
                      <w:sz w:val="21"/>
                      <w:szCs w:val="21"/>
                      <w:highlight w:val="none"/>
                      <w:lang w:val="en-US" w:eastAsia="zh-CN" w:bidi="ar"/>
                    </w:rPr>
                    <w:t>便携式神经电生理系统</w:t>
                  </w:r>
                </w:p>
              </w:tc>
              <w:tc>
                <w:tcPr>
                  <w:tcW w:w="1513" w:type="dxa"/>
                  <w:noWrap/>
                  <w:vAlign w:val="center"/>
                </w:tcPr>
                <w:p w14:paraId="56BD828F">
                  <w:pPr>
                    <w:keepNext w:val="0"/>
                    <w:keepLines w:val="0"/>
                    <w:pageBreakBefore w:val="0"/>
                    <w:widowControl/>
                    <w:suppressLineNumbers w:val="0"/>
                    <w:kinsoku/>
                    <w:wordWrap/>
                    <w:overflowPunct/>
                    <w:topLinePunct w:val="0"/>
                    <w:bidi w:val="0"/>
                    <w:spacing w:after="0" w:afterLines="0" w:line="400" w:lineRule="exact"/>
                    <w:jc w:val="center"/>
                    <w:textAlignment w:val="center"/>
                    <w:rPr>
                      <w:rFonts w:hint="default" w:ascii="微软雅黑" w:hAnsi="微软雅黑" w:eastAsia="微软雅黑" w:cs="微软雅黑"/>
                      <w:color w:val="auto"/>
                      <w:kern w:val="0"/>
                      <w:sz w:val="21"/>
                      <w:szCs w:val="21"/>
                      <w:highlight w:val="none"/>
                      <w:lang w:val="en-US" w:eastAsia="zh-CN" w:bidi="ar"/>
                    </w:rPr>
                  </w:pPr>
                  <w:r>
                    <w:rPr>
                      <w:rFonts w:hint="eastAsia" w:ascii="微软雅黑" w:hAnsi="微软雅黑" w:cs="微软雅黑"/>
                      <w:color w:val="auto"/>
                      <w:kern w:val="0"/>
                      <w:sz w:val="21"/>
                      <w:szCs w:val="21"/>
                      <w:highlight w:val="none"/>
                      <w:lang w:val="en-US" w:eastAsia="zh-CN" w:bidi="ar"/>
                    </w:rPr>
                    <w:t>2</w:t>
                  </w:r>
                </w:p>
              </w:tc>
            </w:tr>
            <w:tr w14:paraId="17EA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615" w:type="pct"/>
                  <w:noWrap/>
                  <w:vAlign w:val="center"/>
                </w:tcPr>
                <w:p w14:paraId="65AD497C">
                  <w:pPr>
                    <w:keepNext w:val="0"/>
                    <w:keepLines w:val="0"/>
                    <w:pageBreakBefore w:val="0"/>
                    <w:widowControl/>
                    <w:kinsoku/>
                    <w:wordWrap/>
                    <w:overflowPunct/>
                    <w:topLinePunct w:val="0"/>
                    <w:bidi w:val="0"/>
                    <w:spacing w:after="0" w:afterLines="0" w:line="40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3</w:t>
                  </w:r>
                </w:p>
              </w:tc>
              <w:tc>
                <w:tcPr>
                  <w:tcW w:w="6887" w:type="dxa"/>
                  <w:noWrap/>
                  <w:vAlign w:val="center"/>
                </w:tcPr>
                <w:p w14:paraId="7455DB99">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kern w:val="0"/>
                      <w:sz w:val="21"/>
                      <w:szCs w:val="21"/>
                      <w:highlight w:val="none"/>
                      <w:lang w:bidi="ar"/>
                    </w:rPr>
                  </w:pPr>
                  <w:r>
                    <w:rPr>
                      <w:rFonts w:hint="eastAsia" w:ascii="微软雅黑" w:hAnsi="微软雅黑" w:eastAsia="微软雅黑" w:cs="微软雅黑"/>
                      <w:color w:val="auto"/>
                      <w:kern w:val="0"/>
                      <w:sz w:val="21"/>
                      <w:szCs w:val="21"/>
                      <w:highlight w:val="none"/>
                      <w:lang w:val="en-US" w:eastAsia="zh-CN" w:bidi="ar"/>
                    </w:rPr>
                    <w:t>穿戴式经颅刺激训练仪</w:t>
                  </w:r>
                </w:p>
              </w:tc>
              <w:tc>
                <w:tcPr>
                  <w:tcW w:w="1513" w:type="dxa"/>
                  <w:noWrap/>
                  <w:vAlign w:val="center"/>
                </w:tcPr>
                <w:p w14:paraId="3F0285E1">
                  <w:pPr>
                    <w:keepNext w:val="0"/>
                    <w:keepLines w:val="0"/>
                    <w:pageBreakBefore w:val="0"/>
                    <w:widowControl/>
                    <w:suppressLineNumbers w:val="0"/>
                    <w:kinsoku/>
                    <w:wordWrap/>
                    <w:overflowPunct/>
                    <w:topLinePunct w:val="0"/>
                    <w:bidi w:val="0"/>
                    <w:spacing w:after="0" w:afterLines="0" w:line="400" w:lineRule="exact"/>
                    <w:jc w:val="center"/>
                    <w:textAlignment w:val="center"/>
                    <w:rPr>
                      <w:rFonts w:hint="eastAsia" w:ascii="微软雅黑" w:hAnsi="微软雅黑" w:eastAsia="微软雅黑" w:cs="微软雅黑"/>
                      <w:color w:val="auto"/>
                      <w:kern w:val="0"/>
                      <w:sz w:val="21"/>
                      <w:szCs w:val="21"/>
                      <w:highlight w:val="none"/>
                      <w:lang w:bidi="ar"/>
                    </w:rPr>
                  </w:pPr>
                  <w:r>
                    <w:rPr>
                      <w:rFonts w:hint="eastAsia" w:ascii="微软雅黑" w:hAnsi="微软雅黑" w:eastAsia="微软雅黑" w:cs="微软雅黑"/>
                      <w:i w:val="0"/>
                      <w:iCs w:val="0"/>
                      <w:snapToGrid/>
                      <w:color w:val="auto"/>
                      <w:kern w:val="0"/>
                      <w:sz w:val="21"/>
                      <w:szCs w:val="21"/>
                      <w:highlight w:val="none"/>
                      <w:u w:val="none"/>
                      <w:lang w:val="en-US" w:eastAsia="zh-CN" w:bidi="ar"/>
                    </w:rPr>
                    <w:t>1</w:t>
                  </w:r>
                </w:p>
              </w:tc>
            </w:tr>
            <w:tr w14:paraId="7159F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noWrap/>
                  <w:vAlign w:val="center"/>
                </w:tcPr>
                <w:p w14:paraId="0D6F9D6E">
                  <w:pPr>
                    <w:keepNext w:val="0"/>
                    <w:keepLines w:val="0"/>
                    <w:pageBreakBefore w:val="0"/>
                    <w:widowControl/>
                    <w:kinsoku/>
                    <w:wordWrap/>
                    <w:overflowPunct/>
                    <w:topLinePunct w:val="0"/>
                    <w:bidi w:val="0"/>
                    <w:spacing w:after="0" w:afterLines="0" w:line="400" w:lineRule="exact"/>
                    <w:jc w:val="center"/>
                    <w:rPr>
                      <w:rFonts w:hint="eastAsia" w:ascii="微软雅黑" w:hAnsi="微软雅黑" w:eastAsia="微软雅黑" w:cs="微软雅黑"/>
                      <w:color w:val="auto"/>
                      <w:kern w:val="0"/>
                      <w:sz w:val="21"/>
                      <w:szCs w:val="21"/>
                      <w:highlight w:val="none"/>
                      <w:lang w:eastAsia="zh-CN"/>
                    </w:rPr>
                  </w:pPr>
                  <w:r>
                    <w:rPr>
                      <w:rFonts w:hint="eastAsia" w:ascii="微软雅黑" w:hAnsi="微软雅黑" w:eastAsia="微软雅黑" w:cs="微软雅黑"/>
                      <w:color w:val="auto"/>
                      <w:kern w:val="0"/>
                      <w:sz w:val="21"/>
                      <w:szCs w:val="21"/>
                      <w:highlight w:val="none"/>
                      <w:lang w:val="en-US" w:eastAsia="zh-CN"/>
                    </w:rPr>
                    <w:t>4</w:t>
                  </w:r>
                </w:p>
              </w:tc>
              <w:tc>
                <w:tcPr>
                  <w:tcW w:w="6887" w:type="dxa"/>
                  <w:noWrap/>
                  <w:vAlign w:val="center"/>
                </w:tcPr>
                <w:p w14:paraId="00FD29A7">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kern w:val="0"/>
                      <w:sz w:val="21"/>
                      <w:szCs w:val="21"/>
                      <w:highlight w:val="none"/>
                      <w:lang w:bidi="ar"/>
                    </w:rPr>
                  </w:pPr>
                  <w:r>
                    <w:rPr>
                      <w:rFonts w:hint="eastAsia" w:ascii="微软雅黑" w:hAnsi="微软雅黑" w:eastAsia="微软雅黑" w:cs="微软雅黑"/>
                      <w:color w:val="auto"/>
                      <w:kern w:val="0"/>
                      <w:sz w:val="21"/>
                      <w:szCs w:val="21"/>
                      <w:highlight w:val="none"/>
                      <w:lang w:val="en-US" w:eastAsia="zh-CN" w:bidi="ar"/>
                    </w:rPr>
                    <w:t>超声脑功能成像系统</w:t>
                  </w:r>
                </w:p>
              </w:tc>
              <w:tc>
                <w:tcPr>
                  <w:tcW w:w="1513" w:type="dxa"/>
                  <w:noWrap/>
                  <w:vAlign w:val="center"/>
                </w:tcPr>
                <w:p w14:paraId="6656A03D">
                  <w:pPr>
                    <w:keepNext w:val="0"/>
                    <w:keepLines w:val="0"/>
                    <w:pageBreakBefore w:val="0"/>
                    <w:widowControl/>
                    <w:suppressLineNumbers w:val="0"/>
                    <w:kinsoku/>
                    <w:wordWrap/>
                    <w:overflowPunct/>
                    <w:topLinePunct w:val="0"/>
                    <w:bidi w:val="0"/>
                    <w:spacing w:after="0" w:afterLines="0" w:line="400" w:lineRule="exact"/>
                    <w:jc w:val="center"/>
                    <w:textAlignment w:val="center"/>
                    <w:rPr>
                      <w:rFonts w:hint="eastAsia" w:ascii="微软雅黑" w:hAnsi="微软雅黑" w:eastAsia="微软雅黑" w:cs="微软雅黑"/>
                      <w:color w:val="auto"/>
                      <w:kern w:val="0"/>
                      <w:sz w:val="21"/>
                      <w:szCs w:val="21"/>
                      <w:highlight w:val="none"/>
                      <w:lang w:bidi="ar"/>
                    </w:rPr>
                  </w:pPr>
                  <w:r>
                    <w:rPr>
                      <w:rFonts w:hint="eastAsia" w:ascii="微软雅黑" w:hAnsi="微软雅黑" w:eastAsia="微软雅黑" w:cs="微软雅黑"/>
                      <w:i w:val="0"/>
                      <w:iCs w:val="0"/>
                      <w:snapToGrid/>
                      <w:color w:val="auto"/>
                      <w:kern w:val="0"/>
                      <w:sz w:val="21"/>
                      <w:szCs w:val="21"/>
                      <w:highlight w:val="none"/>
                      <w:u w:val="none"/>
                      <w:lang w:val="en-US" w:eastAsia="zh-CN" w:bidi="ar"/>
                    </w:rPr>
                    <w:t>1</w:t>
                  </w:r>
                </w:p>
              </w:tc>
            </w:tr>
            <w:tr w14:paraId="5928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noWrap/>
                  <w:vAlign w:val="center"/>
                </w:tcPr>
                <w:p w14:paraId="0994B0C9">
                  <w:pPr>
                    <w:keepNext w:val="0"/>
                    <w:keepLines w:val="0"/>
                    <w:pageBreakBefore w:val="0"/>
                    <w:widowControl/>
                    <w:kinsoku/>
                    <w:wordWrap/>
                    <w:overflowPunct/>
                    <w:topLinePunct w:val="0"/>
                    <w:bidi w:val="0"/>
                    <w:spacing w:after="0" w:afterLines="0" w:line="400" w:lineRule="exact"/>
                    <w:jc w:val="center"/>
                    <w:rPr>
                      <w:rFonts w:hint="eastAsia" w:ascii="微软雅黑" w:hAnsi="微软雅黑" w:eastAsia="微软雅黑" w:cs="微软雅黑"/>
                      <w:color w:val="auto"/>
                      <w:kern w:val="0"/>
                      <w:sz w:val="21"/>
                      <w:szCs w:val="21"/>
                      <w:highlight w:val="none"/>
                      <w:lang w:eastAsia="zh-CN"/>
                    </w:rPr>
                  </w:pPr>
                  <w:r>
                    <w:rPr>
                      <w:rFonts w:hint="eastAsia" w:ascii="微软雅黑" w:hAnsi="微软雅黑" w:eastAsia="微软雅黑" w:cs="微软雅黑"/>
                      <w:color w:val="auto"/>
                      <w:kern w:val="0"/>
                      <w:sz w:val="21"/>
                      <w:szCs w:val="21"/>
                      <w:highlight w:val="none"/>
                      <w:lang w:val="en-US" w:eastAsia="zh-CN"/>
                    </w:rPr>
                    <w:t>5</w:t>
                  </w:r>
                </w:p>
              </w:tc>
              <w:tc>
                <w:tcPr>
                  <w:tcW w:w="6887" w:type="dxa"/>
                  <w:noWrap/>
                  <w:vAlign w:val="center"/>
                </w:tcPr>
                <w:p w14:paraId="5D8BF563">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kern w:val="0"/>
                      <w:sz w:val="21"/>
                      <w:szCs w:val="21"/>
                      <w:highlight w:val="none"/>
                      <w:lang w:eastAsia="zh-CN" w:bidi="ar"/>
                    </w:rPr>
                  </w:pPr>
                  <w:r>
                    <w:rPr>
                      <w:rFonts w:hint="eastAsia" w:ascii="微软雅黑" w:hAnsi="微软雅黑" w:eastAsia="微软雅黑" w:cs="微软雅黑"/>
                      <w:color w:val="auto"/>
                      <w:kern w:val="0"/>
                      <w:sz w:val="21"/>
                      <w:szCs w:val="21"/>
                      <w:highlight w:val="none"/>
                      <w:lang w:val="en-US" w:eastAsia="zh-CN" w:bidi="ar"/>
                    </w:rPr>
                    <w:t>超声动物声谱采集系统</w:t>
                  </w:r>
                </w:p>
              </w:tc>
              <w:tc>
                <w:tcPr>
                  <w:tcW w:w="1513" w:type="dxa"/>
                  <w:noWrap/>
                  <w:vAlign w:val="center"/>
                </w:tcPr>
                <w:p w14:paraId="02AE0E12">
                  <w:pPr>
                    <w:keepNext w:val="0"/>
                    <w:keepLines w:val="0"/>
                    <w:pageBreakBefore w:val="0"/>
                    <w:widowControl/>
                    <w:suppressLineNumbers w:val="0"/>
                    <w:kinsoku/>
                    <w:wordWrap/>
                    <w:overflowPunct/>
                    <w:topLinePunct w:val="0"/>
                    <w:bidi w:val="0"/>
                    <w:spacing w:after="0" w:afterLines="0" w:line="400" w:lineRule="exact"/>
                    <w:jc w:val="center"/>
                    <w:textAlignment w:val="center"/>
                    <w:rPr>
                      <w:rFonts w:hint="eastAsia" w:ascii="微软雅黑" w:hAnsi="微软雅黑" w:eastAsia="微软雅黑" w:cs="微软雅黑"/>
                      <w:color w:val="auto"/>
                      <w:kern w:val="0"/>
                      <w:sz w:val="21"/>
                      <w:szCs w:val="21"/>
                      <w:highlight w:val="none"/>
                      <w:lang w:val="en-US" w:eastAsia="zh-CN" w:bidi="ar"/>
                    </w:rPr>
                  </w:pPr>
                  <w:r>
                    <w:rPr>
                      <w:rFonts w:hint="eastAsia" w:ascii="微软雅黑" w:hAnsi="微软雅黑" w:eastAsia="微软雅黑" w:cs="微软雅黑"/>
                      <w:i w:val="0"/>
                      <w:iCs w:val="0"/>
                      <w:snapToGrid/>
                      <w:color w:val="auto"/>
                      <w:kern w:val="0"/>
                      <w:sz w:val="21"/>
                      <w:szCs w:val="21"/>
                      <w:highlight w:val="none"/>
                      <w:u w:val="none"/>
                      <w:lang w:val="en-US" w:eastAsia="zh-CN" w:bidi="ar"/>
                    </w:rPr>
                    <w:t>3</w:t>
                  </w:r>
                </w:p>
              </w:tc>
            </w:tr>
            <w:tr w14:paraId="3A25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180" w:type="dxa"/>
                  <w:noWrap/>
                  <w:vAlign w:val="center"/>
                </w:tcPr>
                <w:p w14:paraId="2BE2657F">
                  <w:pPr>
                    <w:keepNext w:val="0"/>
                    <w:keepLines w:val="0"/>
                    <w:pageBreakBefore w:val="0"/>
                    <w:widowControl/>
                    <w:kinsoku/>
                    <w:wordWrap/>
                    <w:overflowPunct/>
                    <w:topLinePunct w:val="0"/>
                    <w:bidi w:val="0"/>
                    <w:spacing w:after="0" w:afterLines="0" w:line="400" w:lineRule="exact"/>
                    <w:jc w:val="center"/>
                    <w:rPr>
                      <w:rFonts w:hint="eastAsia" w:ascii="微软雅黑" w:hAnsi="微软雅黑" w:eastAsia="微软雅黑" w:cs="微软雅黑"/>
                      <w:color w:val="auto"/>
                      <w:kern w:val="0"/>
                      <w:sz w:val="21"/>
                      <w:szCs w:val="21"/>
                      <w:highlight w:val="none"/>
                      <w:lang w:val="en-US" w:eastAsia="zh-CN"/>
                    </w:rPr>
                  </w:pPr>
                  <w:r>
                    <w:rPr>
                      <w:rFonts w:hint="eastAsia" w:ascii="微软雅黑" w:hAnsi="微软雅黑" w:eastAsia="微软雅黑" w:cs="微软雅黑"/>
                      <w:color w:val="auto"/>
                      <w:kern w:val="0"/>
                      <w:sz w:val="21"/>
                      <w:szCs w:val="21"/>
                      <w:highlight w:val="none"/>
                      <w:lang w:val="en-US" w:eastAsia="zh-CN"/>
                    </w:rPr>
                    <w:t>6</w:t>
                  </w:r>
                </w:p>
              </w:tc>
              <w:tc>
                <w:tcPr>
                  <w:tcW w:w="6887" w:type="dxa"/>
                  <w:noWrap/>
                  <w:vAlign w:val="center"/>
                </w:tcPr>
                <w:p w14:paraId="6423D7D9">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kern w:val="0"/>
                      <w:sz w:val="21"/>
                      <w:szCs w:val="21"/>
                      <w:highlight w:val="none"/>
                      <w:lang w:val="en-US" w:eastAsia="zh-CN" w:bidi="ar"/>
                    </w:rPr>
                  </w:pPr>
                  <w:r>
                    <w:rPr>
                      <w:rFonts w:hint="eastAsia" w:ascii="微软雅黑" w:hAnsi="微软雅黑" w:eastAsia="微软雅黑" w:cs="微软雅黑"/>
                      <w:color w:val="auto"/>
                      <w:kern w:val="0"/>
                      <w:sz w:val="21"/>
                      <w:szCs w:val="21"/>
                      <w:highlight w:val="none"/>
                      <w:lang w:val="en-US" w:eastAsia="zh-CN" w:bidi="ar"/>
                    </w:rPr>
                    <w:t>穿戴式意识障碍治疗系统</w:t>
                  </w:r>
                </w:p>
              </w:tc>
              <w:tc>
                <w:tcPr>
                  <w:tcW w:w="1513" w:type="dxa"/>
                  <w:noWrap/>
                  <w:vAlign w:val="center"/>
                </w:tcPr>
                <w:p w14:paraId="60A40189">
                  <w:pPr>
                    <w:keepNext w:val="0"/>
                    <w:keepLines w:val="0"/>
                    <w:pageBreakBefore w:val="0"/>
                    <w:widowControl/>
                    <w:suppressLineNumbers w:val="0"/>
                    <w:kinsoku/>
                    <w:wordWrap/>
                    <w:overflowPunct/>
                    <w:topLinePunct w:val="0"/>
                    <w:bidi w:val="0"/>
                    <w:spacing w:after="0" w:afterLines="0" w:line="400" w:lineRule="exact"/>
                    <w:jc w:val="center"/>
                    <w:textAlignment w:val="center"/>
                    <w:rPr>
                      <w:rFonts w:hint="default" w:ascii="微软雅黑" w:hAnsi="微软雅黑" w:eastAsia="微软雅黑" w:cs="微软雅黑"/>
                      <w:color w:val="auto"/>
                      <w:kern w:val="0"/>
                      <w:sz w:val="21"/>
                      <w:szCs w:val="21"/>
                      <w:highlight w:val="none"/>
                      <w:lang w:val="en-US" w:eastAsia="zh-CN" w:bidi="ar"/>
                    </w:rPr>
                  </w:pPr>
                  <w:r>
                    <w:rPr>
                      <w:rFonts w:hint="eastAsia" w:ascii="微软雅黑" w:hAnsi="微软雅黑" w:cs="微软雅黑"/>
                      <w:color w:val="auto"/>
                      <w:kern w:val="0"/>
                      <w:sz w:val="21"/>
                      <w:szCs w:val="21"/>
                      <w:highlight w:val="none"/>
                      <w:lang w:val="en-US" w:eastAsia="zh-CN" w:bidi="ar"/>
                    </w:rPr>
                    <w:t>1</w:t>
                  </w:r>
                </w:p>
              </w:tc>
            </w:tr>
            <w:tr w14:paraId="2A14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180" w:type="dxa"/>
                  <w:noWrap/>
                  <w:vAlign w:val="center"/>
                </w:tcPr>
                <w:p w14:paraId="452B1421">
                  <w:pPr>
                    <w:keepNext w:val="0"/>
                    <w:keepLines w:val="0"/>
                    <w:pageBreakBefore w:val="0"/>
                    <w:widowControl/>
                    <w:kinsoku/>
                    <w:wordWrap/>
                    <w:overflowPunct/>
                    <w:topLinePunct w:val="0"/>
                    <w:bidi w:val="0"/>
                    <w:spacing w:after="0" w:afterLines="0" w:line="400" w:lineRule="exact"/>
                    <w:jc w:val="center"/>
                    <w:rPr>
                      <w:rFonts w:hint="eastAsia" w:ascii="微软雅黑" w:hAnsi="微软雅黑" w:eastAsia="微软雅黑" w:cs="微软雅黑"/>
                      <w:color w:val="auto"/>
                      <w:kern w:val="0"/>
                      <w:sz w:val="21"/>
                      <w:szCs w:val="21"/>
                      <w:highlight w:val="none"/>
                      <w:lang w:val="en-US" w:eastAsia="zh-CN"/>
                    </w:rPr>
                  </w:pPr>
                  <w:r>
                    <w:rPr>
                      <w:rFonts w:hint="eastAsia" w:ascii="微软雅黑" w:hAnsi="微软雅黑" w:eastAsia="微软雅黑" w:cs="微软雅黑"/>
                      <w:color w:val="auto"/>
                      <w:kern w:val="0"/>
                      <w:sz w:val="21"/>
                      <w:szCs w:val="21"/>
                      <w:highlight w:val="none"/>
                      <w:lang w:val="en-US" w:eastAsia="zh-CN"/>
                    </w:rPr>
                    <w:t>7</w:t>
                  </w:r>
                </w:p>
              </w:tc>
              <w:tc>
                <w:tcPr>
                  <w:tcW w:w="6887" w:type="dxa"/>
                  <w:noWrap/>
                  <w:vAlign w:val="center"/>
                </w:tcPr>
                <w:p w14:paraId="388F256E">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kern w:val="0"/>
                      <w:sz w:val="21"/>
                      <w:szCs w:val="21"/>
                      <w:highlight w:val="none"/>
                      <w:lang w:val="en-US" w:eastAsia="zh-CN" w:bidi="ar"/>
                    </w:rPr>
                  </w:pPr>
                  <w:r>
                    <w:rPr>
                      <w:rFonts w:hint="eastAsia" w:ascii="微软雅黑" w:hAnsi="微软雅黑" w:eastAsia="微软雅黑" w:cs="微软雅黑"/>
                      <w:color w:val="auto"/>
                      <w:kern w:val="0"/>
                      <w:sz w:val="21"/>
                      <w:szCs w:val="21"/>
                      <w:highlight w:val="none"/>
                      <w:lang w:val="en-US" w:eastAsia="zh-CN" w:bidi="ar"/>
                    </w:rPr>
                    <w:t>高密度神经电极</w:t>
                  </w:r>
                </w:p>
              </w:tc>
              <w:tc>
                <w:tcPr>
                  <w:tcW w:w="1513" w:type="dxa"/>
                  <w:noWrap/>
                  <w:vAlign w:val="center"/>
                </w:tcPr>
                <w:p w14:paraId="7F20D4F0">
                  <w:pPr>
                    <w:keepNext w:val="0"/>
                    <w:keepLines w:val="0"/>
                    <w:pageBreakBefore w:val="0"/>
                    <w:widowControl/>
                    <w:suppressLineNumbers w:val="0"/>
                    <w:kinsoku/>
                    <w:wordWrap/>
                    <w:overflowPunct/>
                    <w:topLinePunct w:val="0"/>
                    <w:bidi w:val="0"/>
                    <w:spacing w:after="0" w:afterLines="0" w:line="400" w:lineRule="exact"/>
                    <w:jc w:val="center"/>
                    <w:textAlignment w:val="center"/>
                    <w:rPr>
                      <w:rFonts w:hint="eastAsia" w:ascii="微软雅黑" w:hAnsi="微软雅黑" w:eastAsia="微软雅黑" w:cs="微软雅黑"/>
                      <w:color w:val="auto"/>
                      <w:kern w:val="0"/>
                      <w:sz w:val="21"/>
                      <w:szCs w:val="21"/>
                      <w:highlight w:val="none"/>
                      <w:lang w:val="en-US" w:eastAsia="zh-CN" w:bidi="ar"/>
                    </w:rPr>
                  </w:pPr>
                  <w:r>
                    <w:rPr>
                      <w:rFonts w:hint="eastAsia" w:ascii="微软雅黑" w:hAnsi="微软雅黑" w:eastAsia="微软雅黑" w:cs="微软雅黑"/>
                      <w:i w:val="0"/>
                      <w:iCs w:val="0"/>
                      <w:snapToGrid/>
                      <w:color w:val="auto"/>
                      <w:kern w:val="0"/>
                      <w:sz w:val="21"/>
                      <w:szCs w:val="21"/>
                      <w:highlight w:val="none"/>
                      <w:u w:val="none"/>
                      <w:lang w:val="en-US" w:eastAsia="zh-CN" w:bidi="ar"/>
                    </w:rPr>
                    <w:t>10</w:t>
                  </w:r>
                </w:p>
              </w:tc>
            </w:tr>
            <w:tr w14:paraId="4D89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180" w:type="dxa"/>
                  <w:noWrap/>
                  <w:vAlign w:val="center"/>
                </w:tcPr>
                <w:p w14:paraId="4ACD04F5">
                  <w:pPr>
                    <w:keepNext w:val="0"/>
                    <w:keepLines w:val="0"/>
                    <w:pageBreakBefore w:val="0"/>
                    <w:widowControl/>
                    <w:kinsoku/>
                    <w:wordWrap/>
                    <w:overflowPunct/>
                    <w:topLinePunct w:val="0"/>
                    <w:bidi w:val="0"/>
                    <w:spacing w:after="0" w:afterLines="0" w:line="400" w:lineRule="exact"/>
                    <w:jc w:val="center"/>
                    <w:rPr>
                      <w:rFonts w:hint="eastAsia" w:ascii="微软雅黑" w:hAnsi="微软雅黑" w:eastAsia="微软雅黑" w:cs="微软雅黑"/>
                      <w:color w:val="auto"/>
                      <w:kern w:val="0"/>
                      <w:sz w:val="21"/>
                      <w:szCs w:val="21"/>
                      <w:highlight w:val="none"/>
                      <w:lang w:val="en-US" w:eastAsia="zh-CN"/>
                    </w:rPr>
                  </w:pPr>
                  <w:r>
                    <w:rPr>
                      <w:rFonts w:hint="eastAsia" w:ascii="微软雅黑" w:hAnsi="微软雅黑" w:eastAsia="微软雅黑" w:cs="微软雅黑"/>
                      <w:color w:val="auto"/>
                      <w:kern w:val="0"/>
                      <w:sz w:val="21"/>
                      <w:szCs w:val="21"/>
                      <w:highlight w:val="none"/>
                      <w:lang w:val="en-US" w:eastAsia="zh-CN"/>
                    </w:rPr>
                    <w:t>8</w:t>
                  </w:r>
                </w:p>
              </w:tc>
              <w:tc>
                <w:tcPr>
                  <w:tcW w:w="6887" w:type="dxa"/>
                  <w:noWrap/>
                  <w:vAlign w:val="center"/>
                </w:tcPr>
                <w:p w14:paraId="1E006932">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kern w:val="0"/>
                      <w:sz w:val="21"/>
                      <w:szCs w:val="21"/>
                      <w:highlight w:val="none"/>
                      <w:lang w:val="en-US" w:eastAsia="zh-CN" w:bidi="ar"/>
                    </w:rPr>
                  </w:pPr>
                  <w:r>
                    <w:rPr>
                      <w:rFonts w:hint="eastAsia" w:ascii="微软雅黑" w:hAnsi="微软雅黑" w:eastAsia="微软雅黑" w:cs="微软雅黑"/>
                      <w:color w:val="auto"/>
                      <w:kern w:val="0"/>
                      <w:sz w:val="21"/>
                      <w:szCs w:val="21"/>
                      <w:highlight w:val="none"/>
                      <w:lang w:val="en-US" w:eastAsia="zh-CN" w:bidi="ar"/>
                    </w:rPr>
                    <w:t>基于脑电的溯源定位系统</w:t>
                  </w:r>
                </w:p>
              </w:tc>
              <w:tc>
                <w:tcPr>
                  <w:tcW w:w="1513" w:type="dxa"/>
                  <w:noWrap/>
                  <w:vAlign w:val="center"/>
                </w:tcPr>
                <w:p w14:paraId="5C5C9A29">
                  <w:pPr>
                    <w:keepNext w:val="0"/>
                    <w:keepLines w:val="0"/>
                    <w:pageBreakBefore w:val="0"/>
                    <w:widowControl/>
                    <w:suppressLineNumbers w:val="0"/>
                    <w:kinsoku/>
                    <w:wordWrap/>
                    <w:overflowPunct/>
                    <w:topLinePunct w:val="0"/>
                    <w:bidi w:val="0"/>
                    <w:spacing w:after="0" w:afterLines="0" w:line="400" w:lineRule="exact"/>
                    <w:jc w:val="center"/>
                    <w:textAlignment w:val="center"/>
                    <w:rPr>
                      <w:rFonts w:hint="eastAsia" w:ascii="微软雅黑" w:hAnsi="微软雅黑" w:eastAsia="微软雅黑" w:cs="微软雅黑"/>
                      <w:color w:val="auto"/>
                      <w:kern w:val="0"/>
                      <w:sz w:val="21"/>
                      <w:szCs w:val="21"/>
                      <w:highlight w:val="none"/>
                      <w:lang w:val="en-US" w:eastAsia="zh-CN" w:bidi="ar"/>
                    </w:rPr>
                  </w:pPr>
                  <w:r>
                    <w:rPr>
                      <w:rFonts w:hint="eastAsia" w:ascii="微软雅黑" w:hAnsi="微软雅黑" w:eastAsia="微软雅黑" w:cs="微软雅黑"/>
                      <w:i w:val="0"/>
                      <w:iCs w:val="0"/>
                      <w:snapToGrid/>
                      <w:color w:val="auto"/>
                      <w:kern w:val="0"/>
                      <w:sz w:val="21"/>
                      <w:szCs w:val="21"/>
                      <w:highlight w:val="none"/>
                      <w:u w:val="none"/>
                      <w:lang w:val="en-US" w:eastAsia="zh-CN" w:bidi="ar"/>
                    </w:rPr>
                    <w:t>1</w:t>
                  </w:r>
                </w:p>
              </w:tc>
            </w:tr>
            <w:tr w14:paraId="61BFD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180" w:type="dxa"/>
                  <w:noWrap/>
                  <w:vAlign w:val="center"/>
                </w:tcPr>
                <w:p w14:paraId="5EFD3D3B">
                  <w:pPr>
                    <w:keepNext w:val="0"/>
                    <w:keepLines w:val="0"/>
                    <w:pageBreakBefore w:val="0"/>
                    <w:widowControl/>
                    <w:kinsoku/>
                    <w:wordWrap/>
                    <w:overflowPunct/>
                    <w:topLinePunct w:val="0"/>
                    <w:bidi w:val="0"/>
                    <w:spacing w:after="0" w:afterLines="0" w:line="400" w:lineRule="exact"/>
                    <w:jc w:val="center"/>
                    <w:rPr>
                      <w:rFonts w:hint="eastAsia" w:ascii="微软雅黑" w:hAnsi="微软雅黑" w:eastAsia="微软雅黑" w:cs="微软雅黑"/>
                      <w:color w:val="auto"/>
                      <w:kern w:val="0"/>
                      <w:sz w:val="21"/>
                      <w:szCs w:val="21"/>
                      <w:highlight w:val="none"/>
                      <w:lang w:val="en-US" w:eastAsia="zh-CN"/>
                    </w:rPr>
                  </w:pPr>
                  <w:r>
                    <w:rPr>
                      <w:rFonts w:hint="eastAsia" w:ascii="微软雅黑" w:hAnsi="微软雅黑" w:eastAsia="微软雅黑" w:cs="微软雅黑"/>
                      <w:color w:val="auto"/>
                      <w:kern w:val="0"/>
                      <w:sz w:val="21"/>
                      <w:szCs w:val="21"/>
                      <w:highlight w:val="none"/>
                      <w:lang w:val="en-US" w:eastAsia="zh-CN"/>
                    </w:rPr>
                    <w:t>9</w:t>
                  </w:r>
                </w:p>
              </w:tc>
              <w:tc>
                <w:tcPr>
                  <w:tcW w:w="6887" w:type="dxa"/>
                  <w:noWrap/>
                  <w:vAlign w:val="center"/>
                </w:tcPr>
                <w:p w14:paraId="7106B4C6">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kern w:val="0"/>
                      <w:sz w:val="21"/>
                      <w:szCs w:val="21"/>
                      <w:highlight w:val="none"/>
                      <w:lang w:val="en-US" w:eastAsia="zh-CN" w:bidi="ar"/>
                    </w:rPr>
                  </w:pPr>
                  <w:r>
                    <w:rPr>
                      <w:rFonts w:hint="eastAsia" w:ascii="微软雅黑" w:hAnsi="微软雅黑" w:eastAsia="微软雅黑" w:cs="微软雅黑"/>
                      <w:color w:val="auto"/>
                      <w:kern w:val="0"/>
                      <w:sz w:val="21"/>
                      <w:szCs w:val="21"/>
                      <w:highlight w:val="none"/>
                      <w:lang w:val="en-US" w:eastAsia="zh-CN" w:bidi="ar"/>
                    </w:rPr>
                    <w:t>脑电系统</w:t>
                  </w:r>
                </w:p>
              </w:tc>
              <w:tc>
                <w:tcPr>
                  <w:tcW w:w="1513" w:type="dxa"/>
                  <w:noWrap/>
                  <w:vAlign w:val="center"/>
                </w:tcPr>
                <w:p w14:paraId="67A8DFBC">
                  <w:pPr>
                    <w:keepNext w:val="0"/>
                    <w:keepLines w:val="0"/>
                    <w:pageBreakBefore w:val="0"/>
                    <w:widowControl/>
                    <w:suppressLineNumbers w:val="0"/>
                    <w:kinsoku/>
                    <w:wordWrap/>
                    <w:overflowPunct/>
                    <w:topLinePunct w:val="0"/>
                    <w:bidi w:val="0"/>
                    <w:spacing w:after="0" w:afterLines="0" w:line="400" w:lineRule="exact"/>
                    <w:jc w:val="center"/>
                    <w:textAlignment w:val="center"/>
                    <w:rPr>
                      <w:rFonts w:hint="eastAsia" w:ascii="微软雅黑" w:hAnsi="微软雅黑" w:eastAsia="微软雅黑" w:cs="微软雅黑"/>
                      <w:color w:val="auto"/>
                      <w:kern w:val="0"/>
                      <w:sz w:val="21"/>
                      <w:szCs w:val="21"/>
                      <w:highlight w:val="none"/>
                      <w:lang w:val="en-US" w:eastAsia="zh-CN" w:bidi="ar"/>
                    </w:rPr>
                  </w:pPr>
                  <w:r>
                    <w:rPr>
                      <w:rFonts w:hint="eastAsia" w:ascii="微软雅黑" w:hAnsi="微软雅黑" w:eastAsia="微软雅黑" w:cs="微软雅黑"/>
                      <w:i w:val="0"/>
                      <w:iCs w:val="0"/>
                      <w:snapToGrid/>
                      <w:color w:val="auto"/>
                      <w:kern w:val="0"/>
                      <w:sz w:val="21"/>
                      <w:szCs w:val="21"/>
                      <w:highlight w:val="none"/>
                      <w:u w:val="none"/>
                      <w:lang w:val="en-US" w:eastAsia="zh-CN" w:bidi="ar"/>
                    </w:rPr>
                    <w:t>1</w:t>
                  </w:r>
                </w:p>
              </w:tc>
            </w:tr>
            <w:tr w14:paraId="3B93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noWrap/>
                  <w:vAlign w:val="center"/>
                </w:tcPr>
                <w:p w14:paraId="7C9107A5">
                  <w:pPr>
                    <w:keepNext w:val="0"/>
                    <w:keepLines w:val="0"/>
                    <w:pageBreakBefore w:val="0"/>
                    <w:widowControl/>
                    <w:kinsoku/>
                    <w:wordWrap/>
                    <w:overflowPunct/>
                    <w:topLinePunct w:val="0"/>
                    <w:bidi w:val="0"/>
                    <w:spacing w:after="0" w:afterLines="0" w:line="400" w:lineRule="exact"/>
                    <w:jc w:val="center"/>
                    <w:rPr>
                      <w:rFonts w:hint="eastAsia" w:ascii="微软雅黑" w:hAnsi="微软雅黑" w:eastAsia="微软雅黑" w:cs="微软雅黑"/>
                      <w:color w:val="auto"/>
                      <w:kern w:val="0"/>
                      <w:sz w:val="21"/>
                      <w:szCs w:val="21"/>
                      <w:highlight w:val="none"/>
                      <w:lang w:val="en-US" w:eastAsia="zh-CN"/>
                    </w:rPr>
                  </w:pPr>
                  <w:r>
                    <w:rPr>
                      <w:rFonts w:hint="eastAsia" w:ascii="微软雅黑" w:hAnsi="微软雅黑" w:eastAsia="微软雅黑" w:cs="微软雅黑"/>
                      <w:color w:val="auto"/>
                      <w:kern w:val="0"/>
                      <w:sz w:val="21"/>
                      <w:szCs w:val="21"/>
                      <w:highlight w:val="none"/>
                      <w:lang w:val="en-US" w:eastAsia="zh-CN"/>
                    </w:rPr>
                    <w:t>10</w:t>
                  </w:r>
                </w:p>
              </w:tc>
              <w:tc>
                <w:tcPr>
                  <w:tcW w:w="6887" w:type="dxa"/>
                  <w:noWrap/>
                  <w:vAlign w:val="center"/>
                </w:tcPr>
                <w:p w14:paraId="1ADC6631">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kern w:val="0"/>
                      <w:sz w:val="21"/>
                      <w:szCs w:val="21"/>
                      <w:highlight w:val="none"/>
                      <w:lang w:val="en-US" w:eastAsia="zh-CN" w:bidi="ar"/>
                    </w:rPr>
                  </w:pPr>
                  <w:r>
                    <w:rPr>
                      <w:rFonts w:hint="eastAsia" w:ascii="微软雅黑" w:hAnsi="微软雅黑" w:eastAsia="微软雅黑" w:cs="微软雅黑"/>
                      <w:color w:val="auto"/>
                      <w:kern w:val="0"/>
                      <w:sz w:val="21"/>
                      <w:szCs w:val="21"/>
                      <w:highlight w:val="none"/>
                      <w:lang w:val="en-US" w:eastAsia="zh-CN" w:bidi="ar"/>
                    </w:rPr>
                    <w:t>穿戴式无线多通道脑电采集系统</w:t>
                  </w:r>
                </w:p>
              </w:tc>
              <w:tc>
                <w:tcPr>
                  <w:tcW w:w="1513" w:type="dxa"/>
                  <w:noWrap/>
                  <w:vAlign w:val="center"/>
                </w:tcPr>
                <w:p w14:paraId="2CFBD409">
                  <w:pPr>
                    <w:keepNext w:val="0"/>
                    <w:keepLines w:val="0"/>
                    <w:pageBreakBefore w:val="0"/>
                    <w:widowControl/>
                    <w:suppressLineNumbers w:val="0"/>
                    <w:kinsoku/>
                    <w:wordWrap/>
                    <w:overflowPunct/>
                    <w:topLinePunct w:val="0"/>
                    <w:bidi w:val="0"/>
                    <w:spacing w:after="0" w:afterLines="0" w:line="400" w:lineRule="exact"/>
                    <w:jc w:val="center"/>
                    <w:textAlignment w:val="center"/>
                    <w:rPr>
                      <w:rFonts w:hint="eastAsia" w:ascii="微软雅黑" w:hAnsi="微软雅黑" w:eastAsia="微软雅黑" w:cs="微软雅黑"/>
                      <w:color w:val="auto"/>
                      <w:kern w:val="0"/>
                      <w:sz w:val="21"/>
                      <w:szCs w:val="21"/>
                      <w:highlight w:val="none"/>
                      <w:lang w:val="en-US" w:eastAsia="zh-CN" w:bidi="ar"/>
                    </w:rPr>
                  </w:pPr>
                  <w:r>
                    <w:rPr>
                      <w:rFonts w:hint="eastAsia" w:ascii="微软雅黑" w:hAnsi="微软雅黑" w:eastAsia="微软雅黑" w:cs="微软雅黑"/>
                      <w:i w:val="0"/>
                      <w:iCs w:val="0"/>
                      <w:snapToGrid/>
                      <w:color w:val="auto"/>
                      <w:kern w:val="0"/>
                      <w:sz w:val="21"/>
                      <w:szCs w:val="21"/>
                      <w:highlight w:val="none"/>
                      <w:u w:val="none"/>
                      <w:lang w:val="en-US" w:eastAsia="zh-CN" w:bidi="ar"/>
                    </w:rPr>
                    <w:t>1</w:t>
                  </w:r>
                </w:p>
              </w:tc>
            </w:tr>
            <w:tr w14:paraId="786A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noWrap/>
                  <w:vAlign w:val="center"/>
                </w:tcPr>
                <w:p w14:paraId="6AF81821">
                  <w:pPr>
                    <w:keepNext w:val="0"/>
                    <w:keepLines w:val="0"/>
                    <w:pageBreakBefore w:val="0"/>
                    <w:widowControl/>
                    <w:kinsoku/>
                    <w:wordWrap/>
                    <w:overflowPunct/>
                    <w:topLinePunct w:val="0"/>
                    <w:bidi w:val="0"/>
                    <w:spacing w:after="0" w:afterLines="0" w:line="400" w:lineRule="exact"/>
                    <w:jc w:val="center"/>
                    <w:rPr>
                      <w:rFonts w:hint="eastAsia" w:ascii="微软雅黑" w:hAnsi="微软雅黑" w:eastAsia="微软雅黑" w:cs="微软雅黑"/>
                      <w:color w:val="auto"/>
                      <w:kern w:val="0"/>
                      <w:sz w:val="21"/>
                      <w:szCs w:val="21"/>
                      <w:highlight w:val="none"/>
                      <w:lang w:val="en-US" w:eastAsia="zh-CN"/>
                    </w:rPr>
                  </w:pPr>
                  <w:r>
                    <w:rPr>
                      <w:rFonts w:hint="eastAsia" w:ascii="微软雅黑" w:hAnsi="微软雅黑" w:eastAsia="微软雅黑" w:cs="微软雅黑"/>
                      <w:color w:val="auto"/>
                      <w:kern w:val="0"/>
                      <w:sz w:val="21"/>
                      <w:szCs w:val="21"/>
                      <w:highlight w:val="none"/>
                      <w:lang w:val="en-US" w:eastAsia="zh-CN"/>
                    </w:rPr>
                    <w:t>11</w:t>
                  </w:r>
                </w:p>
              </w:tc>
              <w:tc>
                <w:tcPr>
                  <w:tcW w:w="6887" w:type="dxa"/>
                  <w:noWrap/>
                  <w:vAlign w:val="center"/>
                </w:tcPr>
                <w:p w14:paraId="428A473F">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kern w:val="0"/>
                      <w:sz w:val="21"/>
                      <w:szCs w:val="21"/>
                      <w:highlight w:val="none"/>
                      <w:lang w:val="en-US" w:eastAsia="zh-CN" w:bidi="ar"/>
                    </w:rPr>
                  </w:pPr>
                  <w:r>
                    <w:rPr>
                      <w:rFonts w:hint="eastAsia" w:ascii="微软雅黑" w:hAnsi="微软雅黑" w:eastAsia="微软雅黑" w:cs="微软雅黑"/>
                      <w:color w:val="auto"/>
                      <w:kern w:val="0"/>
                      <w:sz w:val="21"/>
                      <w:szCs w:val="21"/>
                      <w:highlight w:val="none"/>
                      <w:lang w:val="en-US" w:eastAsia="zh-CN" w:bidi="ar"/>
                    </w:rPr>
                    <w:t>高通量无创神经电刺激系统</w:t>
                  </w:r>
                </w:p>
              </w:tc>
              <w:tc>
                <w:tcPr>
                  <w:tcW w:w="1513" w:type="dxa"/>
                  <w:noWrap/>
                  <w:vAlign w:val="center"/>
                </w:tcPr>
                <w:p w14:paraId="2B4AD55E">
                  <w:pPr>
                    <w:keepNext w:val="0"/>
                    <w:keepLines w:val="0"/>
                    <w:pageBreakBefore w:val="0"/>
                    <w:widowControl/>
                    <w:suppressLineNumbers w:val="0"/>
                    <w:kinsoku/>
                    <w:wordWrap/>
                    <w:overflowPunct/>
                    <w:topLinePunct w:val="0"/>
                    <w:bidi w:val="0"/>
                    <w:spacing w:after="0" w:afterLines="0" w:line="400" w:lineRule="exact"/>
                    <w:jc w:val="center"/>
                    <w:textAlignment w:val="center"/>
                    <w:rPr>
                      <w:rFonts w:hint="eastAsia" w:ascii="微软雅黑" w:hAnsi="微软雅黑" w:eastAsia="微软雅黑" w:cs="微软雅黑"/>
                      <w:color w:val="auto"/>
                      <w:kern w:val="0"/>
                      <w:sz w:val="21"/>
                      <w:szCs w:val="21"/>
                      <w:highlight w:val="none"/>
                      <w:lang w:val="en-US" w:eastAsia="zh-CN" w:bidi="ar"/>
                    </w:rPr>
                  </w:pPr>
                  <w:r>
                    <w:rPr>
                      <w:rFonts w:hint="eastAsia" w:ascii="微软雅黑" w:hAnsi="微软雅黑" w:eastAsia="微软雅黑" w:cs="微软雅黑"/>
                      <w:i w:val="0"/>
                      <w:iCs w:val="0"/>
                      <w:snapToGrid/>
                      <w:color w:val="auto"/>
                      <w:kern w:val="0"/>
                      <w:sz w:val="21"/>
                      <w:szCs w:val="21"/>
                      <w:highlight w:val="none"/>
                      <w:u w:val="none"/>
                      <w:lang w:val="en-US" w:eastAsia="zh-CN" w:bidi="ar"/>
                    </w:rPr>
                    <w:t>1</w:t>
                  </w:r>
                </w:p>
              </w:tc>
            </w:tr>
            <w:tr w14:paraId="2066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15" w:type="pct"/>
                  <w:noWrap/>
                  <w:vAlign w:val="center"/>
                </w:tcPr>
                <w:p w14:paraId="733DB582">
                  <w:pPr>
                    <w:keepNext w:val="0"/>
                    <w:keepLines w:val="0"/>
                    <w:pageBreakBefore w:val="0"/>
                    <w:widowControl/>
                    <w:kinsoku/>
                    <w:wordWrap/>
                    <w:overflowPunct/>
                    <w:topLinePunct w:val="0"/>
                    <w:bidi w:val="0"/>
                    <w:spacing w:after="0" w:afterLines="0" w:line="400" w:lineRule="exact"/>
                    <w:jc w:val="center"/>
                    <w:rPr>
                      <w:rFonts w:hint="eastAsia" w:ascii="微软雅黑" w:hAnsi="微软雅黑" w:eastAsia="微软雅黑" w:cs="微软雅黑"/>
                      <w:color w:val="auto"/>
                      <w:kern w:val="0"/>
                      <w:sz w:val="21"/>
                      <w:szCs w:val="21"/>
                      <w:highlight w:val="none"/>
                      <w:lang w:val="en-US" w:eastAsia="zh-CN"/>
                    </w:rPr>
                  </w:pPr>
                  <w:r>
                    <w:rPr>
                      <w:rFonts w:hint="eastAsia" w:ascii="微软雅黑" w:hAnsi="微软雅黑" w:eastAsia="微软雅黑" w:cs="微软雅黑"/>
                      <w:color w:val="auto"/>
                      <w:kern w:val="0"/>
                      <w:sz w:val="21"/>
                      <w:szCs w:val="21"/>
                      <w:highlight w:val="none"/>
                      <w:lang w:val="en-US" w:eastAsia="zh-CN"/>
                    </w:rPr>
                    <w:t>12</w:t>
                  </w:r>
                </w:p>
              </w:tc>
              <w:tc>
                <w:tcPr>
                  <w:tcW w:w="6887" w:type="dxa"/>
                  <w:noWrap/>
                  <w:vAlign w:val="center"/>
                </w:tcPr>
                <w:p w14:paraId="02317348">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kern w:val="0"/>
                      <w:sz w:val="21"/>
                      <w:szCs w:val="21"/>
                      <w:highlight w:val="none"/>
                      <w:lang w:val="en-US" w:eastAsia="zh-CN" w:bidi="ar"/>
                    </w:rPr>
                  </w:pPr>
                  <w:r>
                    <w:rPr>
                      <w:rFonts w:hint="eastAsia" w:ascii="微软雅黑" w:hAnsi="微软雅黑" w:eastAsia="微软雅黑" w:cs="微软雅黑"/>
                      <w:color w:val="auto"/>
                      <w:kern w:val="0"/>
                      <w:sz w:val="21"/>
                      <w:szCs w:val="21"/>
                      <w:highlight w:val="none"/>
                      <w:lang w:val="en-US" w:eastAsia="zh-CN" w:bidi="ar"/>
                    </w:rPr>
                    <w:t>经颅电刺激系统</w:t>
                  </w:r>
                </w:p>
              </w:tc>
              <w:tc>
                <w:tcPr>
                  <w:tcW w:w="1513" w:type="dxa"/>
                  <w:noWrap/>
                  <w:vAlign w:val="center"/>
                </w:tcPr>
                <w:p w14:paraId="066E319A">
                  <w:pPr>
                    <w:keepNext w:val="0"/>
                    <w:keepLines w:val="0"/>
                    <w:pageBreakBefore w:val="0"/>
                    <w:widowControl/>
                    <w:suppressLineNumbers w:val="0"/>
                    <w:kinsoku/>
                    <w:wordWrap/>
                    <w:overflowPunct/>
                    <w:topLinePunct w:val="0"/>
                    <w:bidi w:val="0"/>
                    <w:spacing w:after="0" w:afterLines="0" w:line="400" w:lineRule="exact"/>
                    <w:jc w:val="center"/>
                    <w:textAlignment w:val="center"/>
                    <w:rPr>
                      <w:rFonts w:hint="eastAsia" w:ascii="微软雅黑" w:hAnsi="微软雅黑" w:eastAsia="微软雅黑" w:cs="微软雅黑"/>
                      <w:color w:val="auto"/>
                      <w:kern w:val="0"/>
                      <w:sz w:val="21"/>
                      <w:szCs w:val="21"/>
                      <w:highlight w:val="none"/>
                      <w:lang w:val="en-US" w:eastAsia="zh-CN" w:bidi="ar"/>
                    </w:rPr>
                  </w:pPr>
                  <w:r>
                    <w:rPr>
                      <w:rFonts w:hint="eastAsia" w:ascii="微软雅黑" w:hAnsi="微软雅黑" w:eastAsia="微软雅黑" w:cs="微软雅黑"/>
                      <w:i w:val="0"/>
                      <w:iCs w:val="0"/>
                      <w:snapToGrid/>
                      <w:color w:val="auto"/>
                      <w:kern w:val="0"/>
                      <w:sz w:val="21"/>
                      <w:szCs w:val="21"/>
                      <w:highlight w:val="none"/>
                      <w:u w:val="none"/>
                      <w:lang w:val="en-US" w:eastAsia="zh-CN" w:bidi="ar"/>
                    </w:rPr>
                    <w:t>1</w:t>
                  </w:r>
                </w:p>
              </w:tc>
            </w:tr>
            <w:bookmarkEnd w:id="66"/>
          </w:tbl>
          <w:p w14:paraId="1869EF24">
            <w:pPr>
              <w:keepNext w:val="0"/>
              <w:keepLines w:val="0"/>
              <w:pageBreakBefore w:val="0"/>
              <w:widowControl w:val="0"/>
              <w:kinsoku/>
              <w:wordWrap/>
              <w:overflowPunct/>
              <w:topLinePunct w:val="0"/>
              <w:autoSpaceDE/>
              <w:autoSpaceDN/>
              <w:bidi w:val="0"/>
              <w:adjustRightInd/>
              <w:snapToGrid/>
              <w:spacing w:after="0" w:afterLines="0" w:line="400" w:lineRule="exact"/>
              <w:textAlignment w:val="auto"/>
              <w:rPr>
                <w:rFonts w:hint="eastAsia" w:ascii="微软雅黑" w:hAnsi="微软雅黑" w:eastAsia="微软雅黑" w:cs="微软雅黑"/>
                <w:color w:val="auto"/>
                <w:sz w:val="21"/>
                <w:szCs w:val="21"/>
                <w:highlight w:val="none"/>
                <w:lang w:eastAsia="zh-CN"/>
              </w:rPr>
            </w:pPr>
          </w:p>
        </w:tc>
      </w:tr>
      <w:tr w14:paraId="24293206">
        <w:tblPrEx>
          <w:tblCellMar>
            <w:top w:w="0" w:type="dxa"/>
            <w:left w:w="108" w:type="dxa"/>
            <w:bottom w:w="0" w:type="dxa"/>
            <w:right w:w="108" w:type="dxa"/>
          </w:tblCellMar>
        </w:tblPrEx>
        <w:trPr>
          <w:trHeight w:val="397" w:hRule="atLeast"/>
          <w:jc w:val="center"/>
        </w:trPr>
        <w:tc>
          <w:tcPr>
            <w:tcW w:w="5000" w:type="pct"/>
            <w:gridSpan w:val="3"/>
            <w:tcBorders>
              <w:bottom w:val="single" w:color="auto" w:sz="4" w:space="0"/>
            </w:tcBorders>
          </w:tcPr>
          <w:p w14:paraId="2E769034">
            <w:pPr>
              <w:keepNext w:val="0"/>
              <w:keepLines w:val="0"/>
              <w:pageBreakBefore w:val="0"/>
              <w:numPr>
                <w:ilvl w:val="0"/>
                <w:numId w:val="4"/>
              </w:numPr>
              <w:kinsoku/>
              <w:wordWrap/>
              <w:overflowPunct/>
              <w:topLinePunct w:val="0"/>
              <w:bidi w:val="0"/>
              <w:spacing w:after="0" w:afterLines="0" w:line="400" w:lineRule="exact"/>
              <w:ind w:left="425" w:leftChars="0" w:hanging="425" w:firstLineChars="0"/>
              <w:outlineLvl w:val="0"/>
              <w:rPr>
                <w:rFonts w:hint="eastAsia" w:ascii="微软雅黑" w:hAnsi="微软雅黑" w:eastAsia="微软雅黑" w:cs="微软雅黑"/>
                <w:b/>
                <w:bCs/>
                <w:color w:val="auto"/>
                <w:sz w:val="21"/>
                <w:szCs w:val="21"/>
                <w:highlight w:val="none"/>
              </w:rPr>
            </w:pPr>
            <w:bookmarkStart w:id="67" w:name="_Toc31764"/>
            <w:bookmarkStart w:id="68" w:name="_Toc23468"/>
            <w:bookmarkStart w:id="69" w:name="_Toc17468"/>
            <w:bookmarkStart w:id="70" w:name="_Toc148535272"/>
            <w:bookmarkStart w:id="71" w:name="_Toc6026"/>
            <w:bookmarkStart w:id="72" w:name="_Toc6799"/>
            <w:bookmarkStart w:id="73" w:name="_Toc13269"/>
            <w:bookmarkStart w:id="74" w:name="_Toc16444"/>
            <w:bookmarkStart w:id="75" w:name="_Toc27975"/>
            <w:bookmarkStart w:id="76" w:name="_Toc14353"/>
            <w:bookmarkStart w:id="77" w:name="_Toc5034"/>
            <w:bookmarkStart w:id="78" w:name="_Toc8798"/>
            <w:bookmarkStart w:id="79" w:name="_Toc23136"/>
            <w:bookmarkStart w:id="80" w:name="_Toc15208"/>
            <w:bookmarkStart w:id="81" w:name="_Toc9640"/>
            <w:r>
              <w:rPr>
                <w:rFonts w:hint="eastAsia" w:ascii="微软雅黑" w:hAnsi="微软雅黑" w:eastAsia="微软雅黑" w:cs="微软雅黑"/>
                <w:b/>
                <w:color w:val="auto"/>
                <w:sz w:val="21"/>
                <w:szCs w:val="21"/>
                <w:highlight w:val="none"/>
                <w:lang w:val="en-US" w:eastAsia="zh-CN"/>
              </w:rPr>
              <w:t>用户需求</w:t>
            </w:r>
            <w:r>
              <w:rPr>
                <w:rFonts w:hint="eastAsia" w:ascii="微软雅黑" w:hAnsi="微软雅黑" w:eastAsia="微软雅黑" w:cs="微软雅黑"/>
                <w:b/>
                <w:color w:val="auto"/>
                <w:sz w:val="21"/>
                <w:szCs w:val="21"/>
                <w:highlight w:val="none"/>
              </w:rPr>
              <w:t>内容</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304FFAA7">
            <w:pPr>
              <w:keepNext w:val="0"/>
              <w:keepLines w:val="0"/>
              <w:pageBreakBefore w:val="0"/>
              <w:numPr>
                <w:ilvl w:val="1"/>
                <w:numId w:val="4"/>
              </w:numPr>
              <w:kinsoku/>
              <w:wordWrap/>
              <w:overflowPunct/>
              <w:topLinePunct w:val="0"/>
              <w:bidi w:val="0"/>
              <w:spacing w:after="0" w:afterLines="0" w:line="400" w:lineRule="exact"/>
              <w:ind w:left="777" w:leftChars="0" w:hanging="567" w:firstLineChars="0"/>
              <w:outlineLvl w:val="0"/>
              <w:rPr>
                <w:rFonts w:hint="eastAsia" w:ascii="微软雅黑" w:hAnsi="微软雅黑" w:eastAsia="微软雅黑" w:cs="微软雅黑"/>
                <w:b/>
                <w:bCs/>
                <w:color w:val="auto"/>
                <w:sz w:val="21"/>
                <w:szCs w:val="21"/>
                <w:highlight w:val="none"/>
              </w:rPr>
            </w:pPr>
            <w:bookmarkStart w:id="82" w:name="_Toc28118"/>
            <w:bookmarkStart w:id="83" w:name="_Toc6113"/>
            <w:r>
              <w:rPr>
                <w:rFonts w:hint="eastAsia" w:ascii="微软雅黑" w:hAnsi="微软雅黑" w:eastAsia="微软雅黑" w:cs="微软雅黑"/>
                <w:b/>
                <w:color w:val="auto"/>
                <w:sz w:val="21"/>
                <w:szCs w:val="21"/>
                <w:highlight w:val="none"/>
                <w:lang w:val="en-US" w:eastAsia="zh-CN"/>
              </w:rPr>
              <w:t>总体需求</w:t>
            </w:r>
            <w:bookmarkEnd w:id="82"/>
            <w:bookmarkEnd w:id="83"/>
          </w:p>
        </w:tc>
      </w:tr>
      <w:tr w14:paraId="075E5986">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BFBFBF"/>
            <w:vAlign w:val="center"/>
          </w:tcPr>
          <w:p w14:paraId="25FF384A">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snapToGrid/>
                <w:color w:val="auto"/>
                <w:kern w:val="2"/>
                <w:sz w:val="21"/>
                <w:szCs w:val="21"/>
                <w:highlight w:val="none"/>
                <w:lang w:val="en-US" w:eastAsia="zh-CN" w:bidi="ar-SA"/>
              </w:rPr>
            </w:pPr>
            <w:bookmarkStart w:id="84" w:name="_Toc14005"/>
            <w:bookmarkEnd w:id="84"/>
            <w:bookmarkStart w:id="85" w:name="_Toc4716"/>
            <w:bookmarkEnd w:id="85"/>
            <w:r>
              <w:rPr>
                <w:rFonts w:hint="eastAsia" w:ascii="微软雅黑" w:hAnsi="微软雅黑" w:eastAsia="微软雅黑" w:cs="微软雅黑"/>
                <w:b/>
                <w:bCs/>
                <w:color w:val="auto"/>
                <w:sz w:val="21"/>
                <w:szCs w:val="21"/>
                <w:highlight w:val="none"/>
              </w:rPr>
              <w:t>序号</w:t>
            </w:r>
          </w:p>
        </w:tc>
        <w:tc>
          <w:tcPr>
            <w:tcW w:w="3472" w:type="pct"/>
            <w:tcBorders>
              <w:top w:val="single" w:color="auto" w:sz="4" w:space="0"/>
              <w:left w:val="single" w:color="auto" w:sz="4" w:space="0"/>
              <w:bottom w:val="single" w:color="auto" w:sz="4" w:space="0"/>
              <w:right w:val="single" w:color="auto" w:sz="4" w:space="0"/>
            </w:tcBorders>
            <w:shd w:val="clear" w:color="auto" w:fill="BFBFBF"/>
            <w:vAlign w:val="center"/>
          </w:tcPr>
          <w:p w14:paraId="03F12191">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snapToGrid/>
                <w:color w:val="auto"/>
                <w:kern w:val="2"/>
                <w:sz w:val="21"/>
                <w:szCs w:val="21"/>
                <w:highlight w:val="none"/>
                <w:lang w:val="en-US" w:eastAsia="zh-CN" w:bidi="ar-SA"/>
              </w:rPr>
            </w:pPr>
            <w:r>
              <w:rPr>
                <w:rFonts w:hint="eastAsia" w:ascii="微软雅黑" w:hAnsi="微软雅黑" w:eastAsia="微软雅黑" w:cs="微软雅黑"/>
                <w:b/>
                <w:bCs/>
                <w:color w:val="auto"/>
                <w:sz w:val="21"/>
                <w:szCs w:val="21"/>
                <w:highlight w:val="none"/>
              </w:rPr>
              <w:t>需求</w:t>
            </w:r>
            <w:r>
              <w:rPr>
                <w:rFonts w:hint="eastAsia" w:ascii="微软雅黑" w:hAnsi="微软雅黑" w:cs="微软雅黑"/>
                <w:b/>
                <w:bCs/>
                <w:color w:val="auto"/>
                <w:sz w:val="21"/>
                <w:szCs w:val="21"/>
                <w:highlight w:val="none"/>
                <w:lang w:val="en-US" w:eastAsia="zh-CN"/>
              </w:rPr>
              <w:t>描述</w:t>
            </w:r>
          </w:p>
        </w:tc>
        <w:tc>
          <w:tcPr>
            <w:tcW w:w="829" w:type="pct"/>
            <w:tcBorders>
              <w:top w:val="single" w:color="auto" w:sz="4" w:space="0"/>
              <w:left w:val="single" w:color="auto" w:sz="4" w:space="0"/>
              <w:bottom w:val="single" w:color="auto" w:sz="4" w:space="0"/>
              <w:right w:val="single" w:color="auto" w:sz="4" w:space="0"/>
            </w:tcBorders>
            <w:shd w:val="clear" w:color="auto" w:fill="BFBFBF"/>
            <w:vAlign w:val="center"/>
          </w:tcPr>
          <w:p w14:paraId="2FCFD4F1">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snapToGrid/>
                <w:color w:val="auto"/>
                <w:kern w:val="2"/>
                <w:sz w:val="21"/>
                <w:szCs w:val="21"/>
                <w:highlight w:val="none"/>
                <w:lang w:val="en-US" w:eastAsia="zh-CN" w:bidi="ar-SA"/>
              </w:rPr>
            </w:pPr>
            <w:r>
              <w:rPr>
                <w:rFonts w:hint="eastAsia" w:ascii="微软雅黑" w:hAnsi="微软雅黑" w:eastAsia="微软雅黑" w:cs="微软雅黑"/>
                <w:b/>
                <w:bCs/>
                <w:color w:val="auto"/>
                <w:sz w:val="21"/>
                <w:szCs w:val="21"/>
                <w:highlight w:val="none"/>
              </w:rPr>
              <w:t>必需/期望</w:t>
            </w:r>
          </w:p>
        </w:tc>
      </w:tr>
      <w:tr w14:paraId="0E48C221">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48D235CC">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71778D5E">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it-IT" w:eastAsia="zh-CN" w:bidi="ar-SA"/>
              </w:rPr>
            </w:pPr>
            <w:r>
              <w:rPr>
                <w:rFonts w:hint="eastAsia" w:ascii="微软雅黑" w:hAnsi="微软雅黑" w:eastAsia="微软雅黑" w:cs="微软雅黑"/>
                <w:color w:val="auto"/>
                <w:sz w:val="21"/>
                <w:szCs w:val="21"/>
                <w:highlight w:val="none"/>
              </w:rPr>
              <w:t>法规符合：符合实验室所属领域的法规（如FDA 21 CFR Part 11、EU IVDR、中国《医疗器械监督管理条例》）。</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06B1C09E">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rPr>
              <w:t>必需</w:t>
            </w:r>
          </w:p>
        </w:tc>
      </w:tr>
      <w:tr w14:paraId="3208B5E8">
        <w:tblPrEx>
          <w:tblCellMar>
            <w:top w:w="0" w:type="dxa"/>
            <w:left w:w="108" w:type="dxa"/>
            <w:bottom w:w="0" w:type="dxa"/>
            <w:right w:w="108" w:type="dxa"/>
          </w:tblCellMar>
        </w:tblPrEx>
        <w:trPr>
          <w:trHeight w:val="90"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6C3BB479">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6B380D2E">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安全标准：电气安全（IEC 61010）、生物安全（如BSL-2防护）、化学防护（耐腐蚀材料）。</w:t>
            </w:r>
          </w:p>
          <w:p w14:paraId="4A847B4E">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数据完整性：具备审计追踪、电子签名（如符合ALCOA+原则）。</w:t>
            </w:r>
          </w:p>
          <w:p w14:paraId="2EA79201">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rPr>
              <w:t>电气防护必需满足国家标准或行业标准。</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78ACDFC3">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rPr>
              <w:t>必需</w:t>
            </w:r>
          </w:p>
        </w:tc>
      </w:tr>
      <w:tr w14:paraId="67906D62">
        <w:tblPrEx>
          <w:tblCellMar>
            <w:top w:w="0" w:type="dxa"/>
            <w:left w:w="108" w:type="dxa"/>
            <w:bottom w:w="0" w:type="dxa"/>
            <w:right w:w="108" w:type="dxa"/>
          </w:tblCellMar>
        </w:tblPrEx>
        <w:trPr>
          <w:trHeight w:val="90"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5C48FE28">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4FC4B127">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rPr>
              <w:t>人机交互：界面直观（触摸屏/多语言支持）、操作流程简化</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67EEE483">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rPr>
              <w:t>必需</w:t>
            </w:r>
          </w:p>
        </w:tc>
      </w:tr>
      <w:tr w14:paraId="5D19B93E">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2DCD8E23">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7CD488B9">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仪器仪表要求：</w:t>
            </w:r>
          </w:p>
          <w:p w14:paraId="58007B25">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设备所用全部电器元件均应具有完整的技术资料以及质量证明文件。根据工艺需求选择适当的仪器仪表，用于工艺，安全和实验控制，仪器仪表由供方提供参考，用户选择，设备供应商提供接口形式，用户确认接口形式，符合国家及行业安装和设计标准。</w:t>
            </w:r>
          </w:p>
          <w:p w14:paraId="5E383FCD">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rPr>
              <w:t>（2）仪器仪表应当考虑在不同部位的酸洗钝化及部分高盐工况、低PH等的特殊需求，并满足需求来配置，监测器变送模块需满足自动化控制的需要，操作维护简单方便。</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735FB8F1">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rPr>
              <w:t>必需</w:t>
            </w:r>
          </w:p>
        </w:tc>
      </w:tr>
      <w:tr w14:paraId="46961ED7">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30DF9378">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70E360BD">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施工要求：</w:t>
            </w:r>
          </w:p>
          <w:p w14:paraId="30B5C0DE">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（1）系统的设计和施工必需完全符合相关国家或行业标准。</w:t>
            </w:r>
          </w:p>
          <w:p w14:paraId="781E7E63">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rPr>
              <w:t>（2）配电管线安装符合规范，所有设备和控制配线应贴上标签并经确认。</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25328153">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rPr>
              <w:t>必需</w:t>
            </w:r>
          </w:p>
        </w:tc>
      </w:tr>
      <w:tr w14:paraId="058CE251">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734540B5">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79A4F15B">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lang w:bidi="en-US"/>
              </w:rPr>
            </w:pPr>
            <w:r>
              <w:rPr>
                <w:rFonts w:hint="eastAsia" w:ascii="微软雅黑" w:hAnsi="微软雅黑" w:eastAsia="微软雅黑" w:cs="微软雅黑"/>
                <w:color w:val="auto"/>
                <w:sz w:val="21"/>
                <w:szCs w:val="21"/>
                <w:highlight w:val="none"/>
              </w:rPr>
              <w:t>标示要求：</w:t>
            </w:r>
          </w:p>
          <w:p w14:paraId="0D47AB5E">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（1）须对部件、仪器仪表、转换控制面板、管道以及电气柜内的线路等进行适当的标示，且应确保其与图纸的一致性和可追踪性。标示必需经久耐用，不易污损。</w:t>
            </w:r>
          </w:p>
          <w:p w14:paraId="1A4D6CA4">
            <w:pPr>
              <w:keepNext w:val="0"/>
              <w:keepLines w:val="0"/>
              <w:pageBreakBefore w:val="0"/>
              <w:widowControl/>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（2）工艺管道的物料流向进行标示； 须对部件、仪器仪表、转换控制面板、管道以及电气柜内的线路等进行适当的标示，且应确保其与图纸的一致性和可追踪性。</w:t>
            </w:r>
          </w:p>
          <w:p w14:paraId="20CA84D8">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rPr>
              <w:t>（3）以标签或设备编号标注于P&amp;ID或数据库上的仪表、组件和阀门均应当提供相应的铭牌和标签，铭牌上应当雕刻该部件的标签或设备编号，并永久固定在该部件上。</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4B177932">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rPr>
              <w:t>必需</w:t>
            </w:r>
          </w:p>
        </w:tc>
      </w:tr>
      <w:tr w14:paraId="1D7FCBE8">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038F654F">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6F09BA68">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lang w:bidi="en-US"/>
              </w:rPr>
            </w:pPr>
            <w:r>
              <w:rPr>
                <w:rFonts w:hint="eastAsia" w:ascii="微软雅黑" w:hAnsi="微软雅黑" w:eastAsia="微软雅黑" w:cs="微软雅黑"/>
                <w:color w:val="auto"/>
                <w:sz w:val="21"/>
                <w:szCs w:val="21"/>
                <w:highlight w:val="none"/>
              </w:rPr>
              <w:t>实验室及公用系统要求：</w:t>
            </w:r>
          </w:p>
          <w:p w14:paraId="6FAF9B1E">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rPr>
              <w:t>供方应根据需方的实验室设施规划提供设备安装布局图供需方参考，其操作控制面板在现场适宜的位置安装以利于操作。供方应提供设备所需的详细动力系统和配套设施要求。（可以在项目施工过程中提供）</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26B2BD63">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rPr>
              <w:t>必需</w:t>
            </w:r>
          </w:p>
        </w:tc>
      </w:tr>
      <w:tr w14:paraId="0C3C410B">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7EB72375">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468690B5">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EHS要求：</w:t>
            </w:r>
          </w:p>
          <w:p w14:paraId="4CBC2939">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（1）设备的设计、构造等应符合中国相关环境、健康和安全法规、规范的要求。</w:t>
            </w:r>
          </w:p>
          <w:p w14:paraId="09D92B97">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（2）设备应不对装置之外环境构成污染，应采取防漏、隔热、防噪声等措施。</w:t>
            </w:r>
          </w:p>
          <w:p w14:paraId="1B7AD843">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（3）存在安全隐患和风险的地方应在合适的位置张贴安全警示标识。</w:t>
            </w:r>
          </w:p>
          <w:p w14:paraId="7F7CF71D">
            <w:pPr>
              <w:pStyle w:val="80"/>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rPr>
              <w:t>（4）容易发生伤害风险的部位应设置相应的机械和电气防护。</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3710524E">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rPr>
              <w:t>必需</w:t>
            </w:r>
          </w:p>
        </w:tc>
      </w:tr>
      <w:tr w14:paraId="629E3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3"/>
            <w:tcBorders>
              <w:top w:val="single" w:color="auto" w:sz="4" w:space="0"/>
              <w:left w:val="nil"/>
              <w:bottom w:val="nil"/>
              <w:right w:val="nil"/>
              <w:tl2br w:val="nil"/>
              <w:tr2bl w:val="nil"/>
            </w:tcBorders>
            <w:noWrap w:val="0"/>
            <w:vAlign w:val="top"/>
          </w:tcPr>
          <w:p w14:paraId="4A15CD2F">
            <w:pPr>
              <w:keepNext w:val="0"/>
              <w:keepLines w:val="0"/>
              <w:pageBreakBefore w:val="0"/>
              <w:numPr>
                <w:ilvl w:val="1"/>
                <w:numId w:val="4"/>
              </w:numPr>
              <w:kinsoku/>
              <w:wordWrap/>
              <w:overflowPunct/>
              <w:topLinePunct w:val="0"/>
              <w:bidi w:val="0"/>
              <w:spacing w:after="0" w:afterLines="0" w:line="400" w:lineRule="exact"/>
              <w:outlineLvl w:val="0"/>
              <w:rPr>
                <w:rFonts w:hint="eastAsia" w:ascii="微软雅黑" w:hAnsi="微软雅黑" w:eastAsia="微软雅黑" w:cs="微软雅黑"/>
                <w:color w:val="auto"/>
                <w:kern w:val="0"/>
                <w:sz w:val="21"/>
                <w:szCs w:val="21"/>
                <w:highlight w:val="none"/>
              </w:rPr>
            </w:pPr>
            <w:bookmarkStart w:id="86" w:name="_Toc12897"/>
            <w:bookmarkEnd w:id="86"/>
            <w:bookmarkStart w:id="87" w:name="_Toc17481"/>
            <w:bookmarkEnd w:id="87"/>
            <w:bookmarkStart w:id="88" w:name="_Toc2443"/>
            <w:bookmarkStart w:id="89" w:name="_Toc10039"/>
            <w:r>
              <w:rPr>
                <w:rFonts w:hint="eastAsia" w:ascii="微软雅黑" w:hAnsi="微软雅黑" w:eastAsia="微软雅黑" w:cs="微软雅黑"/>
                <w:b/>
                <w:color w:val="auto"/>
                <w:sz w:val="21"/>
                <w:szCs w:val="21"/>
                <w:highlight w:val="none"/>
              </w:rPr>
              <w:t>近红外光谱脑功能成像系统</w:t>
            </w:r>
            <w:bookmarkEnd w:id="88"/>
            <w:bookmarkEnd w:id="89"/>
          </w:p>
        </w:tc>
      </w:tr>
      <w:tr w14:paraId="1AB13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4EAEA850">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URS编号</w:t>
            </w:r>
          </w:p>
        </w:tc>
        <w:tc>
          <w:tcPr>
            <w:tcW w:w="3472"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68C7FD2A">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需求描述</w:t>
            </w:r>
          </w:p>
        </w:tc>
        <w:tc>
          <w:tcPr>
            <w:tcW w:w="829"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53402A14">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期望/必需</w:t>
            </w:r>
          </w:p>
        </w:tc>
      </w:tr>
      <w:tr w14:paraId="74BEB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09D24E">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315F131A">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主机：实时检测脑血红蛋白（氧化HbO、还原HbR、总HbT）浓度变化信息；</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9200CF">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09FCD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2FEA8A">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6D5E6A76">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★探头：单主机，非级联，≥63有效探测通道（非断层），支持多脑区同步检测，包括≥24发射探头，≥16接收探头；</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8FB058">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52A57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C64592">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2B2856F">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探测器类型：探测器为雪崩二极管APD，非其他类光电二极管，探测微弱光信号更灵敏，探测灵敏度≤0.5 pW；内置在金属主机内、非外置，通过光纤与人体连接；与外置探测器相比，电磁屏蔽好，抗干扰能力强；</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018091">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33151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EAECE7">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50C24961">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测量时间分辨率：≥11Hz，实时捕捉血氧响应信号；</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26C9F6">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0775B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18572CB">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79E207D0">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▲光源类型：LED光源，非激光光源，光源安全等级为豁免级，安全性高； </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728CE2">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5E4E4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C16AA1">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59AE69EE">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光源波长：双波长，距离血红蛋白等位点波长（~800nm）有足够偏移，800nm以下光源波长（宜波长）需要低于750nm，保障检测准确度；</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7B3443">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21B64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8C9661">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102B4F8E">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光源采集方式：提供730nm宜波长，距离血红蛋白等位点波长远，并且避免了700nm以下组织强光吸收，信噪比高，准确度高；光源采用分时采集，不同时点亮，彻底消除不同探测通道之间的相互串扰和混淆，检测更准确；</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9E271E">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25479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2179FF">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1E9BE6B0">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波长间隔：最长波与最短波之间的波长间隔≥120nm；</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1F6DCC">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41747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6503F6">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431CE0CD">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发射探头光功率：单波长≥50mW，更高亮度、安全的近红外光照明，更有效地克服生物组织的光吸收衰减； </w:t>
            </w:r>
            <w:r>
              <w:rPr>
                <w:rFonts w:hint="eastAsia" w:ascii="微软雅黑" w:hAnsi="微软雅黑" w:eastAsia="微软雅黑" w:cs="微软雅黑"/>
                <w:b/>
                <w:bCs/>
                <w:color w:val="auto"/>
                <w:sz w:val="21"/>
                <w:szCs w:val="21"/>
                <w:highlight w:val="none"/>
              </w:rPr>
              <w:t>提供正规第三方机构出具的检测报告首页和对应关键页作为证明材料；</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A12283">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365B4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55C0D9">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021A7D3D">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检测探头动态范围：≥100dB，支撑儿童、成人、老年人等不同人群，从额叶到有头发的顶叶不同脑区的高质量探测需要；</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6017416">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2F1CF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CEC2DC">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7FA139BB">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自适应增益调整：提供≥120dB的动态范围，一键自适应光源功率-探测增益调整，解决额叶、顶叶、枕叶等不同脑区信号强度差异大的挑战，在不同脑区均有优异的信号质量表现；</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A7B0D9">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30F06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7D2209">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156FBCE7">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▲便携性：主机为金属外壳，坚固耐用，主机重量＜1.5kg；可支持无线功能，与电脑无线连接、工作距离大于20米；</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97E7B1">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6D7F1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E5CB0F">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73686FAA">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可穿戴：背包穿戴式采集，抗运动干扰能力强，适用于自然活动状态下脑功能活动信号采集；</w:t>
            </w:r>
            <w:r>
              <w:rPr>
                <w:rFonts w:hint="eastAsia" w:ascii="微软雅黑" w:hAnsi="微软雅黑" w:eastAsia="微软雅黑" w:cs="微软雅黑"/>
                <w:b/>
                <w:bCs/>
                <w:color w:val="auto"/>
                <w:sz w:val="21"/>
                <w:szCs w:val="21"/>
                <w:highlight w:val="none"/>
              </w:rPr>
              <w:t>提供厂家近红外设备支撑国内研究机构发表的穿戴功能的学术论文（SCI论文或中文核心期刊）</w:t>
            </w:r>
            <w:r>
              <w:rPr>
                <w:rFonts w:hint="eastAsia" w:ascii="微软雅黑" w:hAnsi="微软雅黑" w:cs="微软雅黑"/>
                <w:b/>
                <w:bCs/>
                <w:color w:val="auto"/>
                <w:sz w:val="21"/>
                <w:szCs w:val="21"/>
                <w:highlight w:val="none"/>
                <w:lang w:val="en-US" w:eastAsia="zh-CN"/>
              </w:rPr>
              <w:t>或厂家公开发布的印刷资料（产品彩页或技术白皮书）</w:t>
            </w:r>
            <w:r>
              <w:rPr>
                <w:rFonts w:hint="eastAsia" w:ascii="微软雅黑" w:hAnsi="微软雅黑" w:eastAsia="微软雅黑" w:cs="微软雅黑"/>
                <w:b/>
                <w:bCs/>
                <w:color w:val="auto"/>
                <w:sz w:val="21"/>
                <w:szCs w:val="21"/>
                <w:highlight w:val="none"/>
              </w:rPr>
              <w:t>作为证明材料；</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5CD4AD">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02F84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D3E318">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6AC24034">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头帽：支持全头检测，尺寸可选，适用于不同头围人群；可自由配置探头于感兴趣的大脑区域；</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2E68AA">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1BB87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A92669">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1DAAA179">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探头防水性达到IPX7或以上，探头与头帽均具备生物安全相容性；</w:t>
            </w:r>
            <w:r>
              <w:rPr>
                <w:rFonts w:hint="eastAsia" w:ascii="微软雅黑" w:hAnsi="微软雅黑" w:eastAsia="微软雅黑" w:cs="微软雅黑"/>
                <w:b/>
                <w:bCs/>
                <w:color w:val="auto"/>
                <w:sz w:val="21"/>
                <w:szCs w:val="21"/>
                <w:highlight w:val="none"/>
              </w:rPr>
              <w:t>提供具备CMA或CNAS认证资质的第三方专业检测机构出具的防水性、生物安全相容性检测报告作为证明材料；</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DB44F2">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26D9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D10FCD">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1396C676">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支持与各品牌不同规格型号脑电（EEG）、tDCS、TMS联用；</w:t>
            </w:r>
            <w:r>
              <w:rPr>
                <w:rFonts w:hint="eastAsia" w:ascii="微软雅黑" w:hAnsi="微软雅黑" w:eastAsia="微软雅黑" w:cs="微软雅黑"/>
                <w:b/>
                <w:bCs/>
                <w:color w:val="auto"/>
                <w:sz w:val="21"/>
                <w:szCs w:val="21"/>
                <w:highlight w:val="none"/>
              </w:rPr>
              <w:t>提供厂家近红外设备支撑国内研究机构发表的近红外联用功能的学术论文（SCI论文或中文核心期刊）</w:t>
            </w:r>
            <w:r>
              <w:rPr>
                <w:rFonts w:hint="eastAsia" w:ascii="微软雅黑" w:hAnsi="微软雅黑" w:cs="微软雅黑"/>
                <w:b/>
                <w:bCs/>
                <w:color w:val="auto"/>
                <w:sz w:val="21"/>
                <w:szCs w:val="21"/>
                <w:highlight w:val="none"/>
                <w:lang w:val="en-US" w:eastAsia="zh-CN"/>
              </w:rPr>
              <w:t>或厂家公开发布的印刷资料（产品彩页或技术白皮书）</w:t>
            </w:r>
            <w:r>
              <w:rPr>
                <w:rFonts w:hint="eastAsia" w:ascii="微软雅黑" w:hAnsi="微软雅黑" w:eastAsia="微软雅黑" w:cs="微软雅黑"/>
                <w:b/>
                <w:bCs/>
                <w:color w:val="auto"/>
                <w:sz w:val="21"/>
                <w:szCs w:val="21"/>
                <w:highlight w:val="none"/>
              </w:rPr>
              <w:t>作为证明材料；</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9D03431">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3A49E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73AFFD">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35ED32F7">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与整机同品牌采集软件：获得计算机软件著作权登记证书；支持层叠曲线、散布曲线、拓扑二维图像和拓扑三维MRI图像融合显示等多种信号显示方式，同时同屏显示HBO、HBR、HBT三个3D脑激活图；</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EC1BCE">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6E37B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15D650">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03B1FF29">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探头排布与信号同屏显示，实时信号观测和解读更全面；信号质量实时监测，方便用户及时调整；自动增益调整，一键快速达到最优系统工作状态；</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B27D9A">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6FCB0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6B8117">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2A1BFF6">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支持视频、音频同步录制，同步记录实验过程，方便用户整合脑响应图谱、行为学、实验环境等多层次信息；</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25F189">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2172A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CF42071">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0F9FFF0C">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内置自定义数据分析模块，支持自定义时间窗、特征值、感兴趣区域（Region of Interest， ROI），以及ROI计算因子，并能够执行相应计算； </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40C5F6">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6A10E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45AFD2">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4B71C8C4">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提供与整机同品牌专用科学研究分析软件，非第三方开源软件； </w:t>
            </w:r>
            <w:r>
              <w:rPr>
                <w:rFonts w:hint="eastAsia" w:ascii="微软雅黑" w:hAnsi="微软雅黑" w:eastAsia="微软雅黑" w:cs="微软雅黑"/>
                <w:b/>
                <w:bCs/>
                <w:color w:val="auto"/>
                <w:sz w:val="21"/>
                <w:szCs w:val="21"/>
                <w:highlight w:val="none"/>
              </w:rPr>
              <w:t>提供软件著作权证书材料证明；</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F957AB">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05474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1E68F2">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479E347B">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与整机同品牌科学研究分析软件，非第三方开源软件，具备一站式数据分析功能，提供数据预处理、伪迹识别与校正、事件编辑、区块平均脑激活计算、一般线性模型GLM脑激活计算、脑网络连接计算、统计分析、批处理、结果可视化、超扫描分析等功能；已支撑发表一篇或以上的SCI论文证明其学术认可度，</w:t>
            </w:r>
            <w:r>
              <w:rPr>
                <w:rFonts w:hint="eastAsia" w:ascii="微软雅黑" w:hAnsi="微软雅黑" w:eastAsia="微软雅黑" w:cs="微软雅黑"/>
                <w:b/>
                <w:bCs/>
                <w:color w:val="auto"/>
                <w:sz w:val="21"/>
                <w:szCs w:val="21"/>
                <w:highlight w:val="none"/>
              </w:rPr>
              <w:t>提供厂家近红外分析软件支撑国内研究机构发表的SCI论文首页、引用标注页</w:t>
            </w:r>
            <w:r>
              <w:rPr>
                <w:rFonts w:hint="eastAsia" w:ascii="微软雅黑" w:hAnsi="微软雅黑" w:cs="微软雅黑"/>
                <w:b/>
                <w:bCs/>
                <w:color w:val="auto"/>
                <w:sz w:val="21"/>
                <w:szCs w:val="21"/>
                <w:highlight w:val="none"/>
                <w:lang w:val="en-US" w:eastAsia="zh-CN"/>
              </w:rPr>
              <w:t>或厂家公开发布的印刷资料（产品彩页或技术白皮书）</w:t>
            </w:r>
            <w:r>
              <w:rPr>
                <w:rFonts w:hint="eastAsia" w:ascii="微软雅黑" w:hAnsi="微软雅黑" w:eastAsia="微软雅黑" w:cs="微软雅黑"/>
                <w:b/>
                <w:bCs/>
                <w:color w:val="auto"/>
                <w:sz w:val="21"/>
                <w:szCs w:val="21"/>
                <w:highlight w:val="none"/>
              </w:rPr>
              <w:t>作为证明材料；</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DBE223">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475F5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F5481A0">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0AA5D4DA">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整机同品牌科学研究分析软件，支持一般线性模型GLM分析；支持单样本T-test、双样本T-test、配对T-test、方差分析F-test数据分析；支持个体、群组数据分析；提供p值的FDR矫正；</w:t>
            </w:r>
            <w:r>
              <w:rPr>
                <w:rFonts w:hint="eastAsia" w:ascii="微软雅黑" w:hAnsi="微软雅黑" w:eastAsia="微软雅黑" w:cs="微软雅黑"/>
                <w:b/>
                <w:bCs/>
                <w:color w:val="auto"/>
                <w:sz w:val="21"/>
                <w:szCs w:val="21"/>
                <w:highlight w:val="none"/>
              </w:rPr>
              <w:t>提供国内具备CMA或CNAS认证资质的第三方机构出具的检测报告首页和对应关键页作为证明材料；</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17C730">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17486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594FD1">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3D280E27">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与整机同品牌科学研究分析软件，支持脑网络连接计算；脑网络分析结果可呈现功能连接矩阵图，矩阵图可按用户自定义感兴趣脑区（ROI）顺序进行排列并包含ROI标识；</w:t>
            </w:r>
            <w:r>
              <w:rPr>
                <w:rFonts w:hint="eastAsia" w:ascii="微软雅黑" w:hAnsi="微软雅黑" w:eastAsia="微软雅黑" w:cs="微软雅黑"/>
                <w:b/>
                <w:bCs/>
                <w:color w:val="auto"/>
                <w:sz w:val="21"/>
                <w:szCs w:val="21"/>
                <w:highlight w:val="none"/>
              </w:rPr>
              <w:t>提供SCI论文首页，分析软件标注页，以及脑网络连接计算功能图示页</w:t>
            </w:r>
            <w:r>
              <w:rPr>
                <w:rFonts w:hint="eastAsia" w:ascii="微软雅黑" w:hAnsi="微软雅黑" w:cs="微软雅黑"/>
                <w:b/>
                <w:bCs/>
                <w:color w:val="auto"/>
                <w:sz w:val="21"/>
                <w:szCs w:val="21"/>
                <w:highlight w:val="none"/>
                <w:lang w:val="en-US" w:eastAsia="zh-CN"/>
              </w:rPr>
              <w:t>或厂家公开发布的印刷资料（产品彩页或技术白皮书）</w:t>
            </w:r>
            <w:r>
              <w:rPr>
                <w:rFonts w:hint="eastAsia" w:ascii="微软雅黑" w:hAnsi="微软雅黑" w:eastAsia="微软雅黑" w:cs="微软雅黑"/>
                <w:b/>
                <w:bCs/>
                <w:color w:val="auto"/>
                <w:sz w:val="21"/>
                <w:szCs w:val="21"/>
                <w:highlight w:val="none"/>
              </w:rPr>
              <w:t>作为证明材料；</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EAAD5D">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66856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4DC8FE">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549539B2">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与整机同品牌数据分析软件，应支持基于变异系数（Coefficient of Variation，CV）的通道质量定量评估，能够以图形化（散点图）方式显示各通道 CV 数值及质量阈值线，实现通道质量的直观判定；并支持在同一界面内通过基于图形界面的交互式点选方式对超出阈值的异常通道进行标记或剔除；</w:t>
            </w:r>
            <w:r>
              <w:rPr>
                <w:rFonts w:hint="eastAsia" w:ascii="微软雅黑" w:hAnsi="微软雅黑" w:eastAsia="微软雅黑" w:cs="微软雅黑"/>
                <w:b/>
                <w:bCs/>
                <w:color w:val="auto"/>
                <w:sz w:val="21"/>
                <w:szCs w:val="21"/>
                <w:highlight w:val="none"/>
              </w:rPr>
              <w:t>提供功能演示</w:t>
            </w:r>
            <w:r>
              <w:rPr>
                <w:rFonts w:hint="eastAsia" w:ascii="微软雅黑" w:hAnsi="微软雅黑" w:cs="微软雅黑"/>
                <w:b/>
                <w:bCs/>
                <w:color w:val="auto"/>
                <w:sz w:val="21"/>
                <w:szCs w:val="21"/>
                <w:highlight w:val="none"/>
                <w:lang w:val="en-US" w:eastAsia="zh-CN"/>
              </w:rPr>
              <w:t>截图</w:t>
            </w:r>
            <w:r>
              <w:rPr>
                <w:rFonts w:hint="eastAsia" w:ascii="微软雅黑" w:hAnsi="微软雅黑" w:eastAsia="微软雅黑" w:cs="微软雅黑"/>
                <w:b/>
                <w:bCs/>
                <w:color w:val="auto"/>
                <w:sz w:val="21"/>
                <w:szCs w:val="21"/>
                <w:highlight w:val="none"/>
              </w:rPr>
              <w:t>作为证明材料；</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5A235F">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13358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3140E1">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88CB367">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与整机同品牌科学研究分析软件，个体（Level 1）、群组（Level 2）数据统计：提供脑网络分析功能的个体（Level 1）、群组(Level 2)数据统计：支持个体和群组水平的2个及以上感兴趣区（ROI）的自定义设置及图谱排布编辑；支持自定义时间区间划定，脑网络连接系数计算可选Pearson或Cross规则，矩阵类型可定义为ZMap或RMap，并支持阈值化计算；支持输出功能连接矩阵、2个及以上ROI水平和全通道的2种二维功能连接图谱和5种视角的三维脑功能连接图谱与连接参数的计算和导出；支持脑网络连接系数群组统计分析，统计校验支持t检验或单因素方差分析；可定义群组内相同SD数据的ROI；</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9A3BAF2">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4626F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5354994">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6C9DB3BD">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与整机同品牌科学研究分析软件，脑连接分析：支持个体数据脑连接计算及双脑数据神经同步计算，提供≥3种脑连接分析功能，提供≥2种二维脑连接图谱，提供≥5种视角的三维脑功能连接图谱</w:t>
            </w:r>
            <w:r>
              <w:rPr>
                <w:rFonts w:hint="eastAsia" w:ascii="微软雅黑" w:hAnsi="微软雅黑" w:eastAsia="微软雅黑" w:cs="微软雅黑"/>
                <w:b/>
                <w:bCs/>
                <w:color w:val="auto"/>
                <w:sz w:val="21"/>
                <w:szCs w:val="21"/>
                <w:highlight w:val="none"/>
              </w:rPr>
              <w:t>；提供国内具备CMA或CNAS认证资质的第三方机构出具的检测报告首页和对应关键页作为证明材料；</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10C716">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797E4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AA51E32">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14BB5DDD">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与整机同品牌科学研究分析软件，应支持新生儿、婴幼儿个体水平功能连接三维脑图的可视化交互与参数化设置，支持通过图形化界面点选方式对功能连接三维图谱进行配置；</w:t>
            </w:r>
            <w:r>
              <w:rPr>
                <w:rFonts w:hint="eastAsia" w:ascii="微软雅黑" w:hAnsi="微软雅黑" w:eastAsia="微软雅黑" w:cs="微软雅黑"/>
                <w:b/>
                <w:bCs/>
                <w:color w:val="auto"/>
                <w:sz w:val="21"/>
                <w:szCs w:val="21"/>
                <w:highlight w:val="none"/>
              </w:rPr>
              <w:t>提供软件实际操作演示</w:t>
            </w:r>
            <w:r>
              <w:rPr>
                <w:rFonts w:hint="eastAsia" w:ascii="微软雅黑" w:hAnsi="微软雅黑" w:cs="微软雅黑"/>
                <w:b/>
                <w:bCs/>
                <w:color w:val="auto"/>
                <w:sz w:val="21"/>
                <w:szCs w:val="21"/>
                <w:highlight w:val="none"/>
                <w:lang w:val="en-US" w:eastAsia="zh-CN"/>
              </w:rPr>
              <w:t>截图</w:t>
            </w:r>
            <w:r>
              <w:rPr>
                <w:rFonts w:hint="eastAsia" w:ascii="微软雅黑" w:hAnsi="微软雅黑" w:eastAsia="微软雅黑" w:cs="微软雅黑"/>
                <w:b/>
                <w:bCs/>
                <w:color w:val="auto"/>
                <w:sz w:val="21"/>
                <w:szCs w:val="21"/>
                <w:highlight w:val="none"/>
              </w:rPr>
              <w:t>作为证明材料；</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30CE770">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69237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AAC5EC">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53533E53">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与整机同品牌科学研究分析软件，提供大于等于4种标准脑模型模版，提供Automatic Anatomical Labeling脑分区标签、Brodamnn Area(Talairach daemon)脑分区标签、Brodamnn Area(Chris rorden’MRIcro) 脑分区标签、LPBA40脑分区标签；支持导出所有发射极、接收极和通道的MNI坐标和脑分区信息；支持导入定位信息；</w:t>
            </w:r>
            <w:r>
              <w:rPr>
                <w:rFonts w:hint="eastAsia" w:ascii="微软雅黑" w:hAnsi="微软雅黑" w:eastAsia="微软雅黑" w:cs="微软雅黑"/>
                <w:b/>
                <w:bCs/>
                <w:color w:val="auto"/>
                <w:sz w:val="21"/>
                <w:szCs w:val="21"/>
                <w:highlight w:val="none"/>
              </w:rPr>
              <w:t>提供国内具备CMA或CNAS认证资质的第三方机构出具的检测报告首页和对应关键页作为证明材料；</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D864A8">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5A34B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D08E37">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A17E0D8">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与整机同品牌科学研究分析软件，脑激活图谱支持视角，背景颜色、光照方向，脑模型颜色、透明度，头模的可视化、透明度，发射和接收探头圆球标识大小、颜色，发射和接收探头文字大小、颜色、可视化、字体，坏通道可视化，激活图谱的插值、非插值显示，多种colorbar可选、colorbar的最大值、最小值，均可以自定义设置；</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DFDB6F">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70BCB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A61D7A">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3BC68753">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与整机同品牌科学研究分析软件，BlockAverage计算：提供BlockAverage计算功能，能够自定义计算条件，能够设置5种特征值的计算，包括均值、差值、重心值、积分值、斜率</w:t>
            </w:r>
            <w:r>
              <w:rPr>
                <w:rFonts w:hint="eastAsia" w:ascii="微软雅黑" w:hAnsi="微软雅黑" w:eastAsia="微软雅黑" w:cs="微软雅黑"/>
                <w:b/>
                <w:bCs/>
                <w:color w:val="auto"/>
                <w:sz w:val="21"/>
                <w:szCs w:val="21"/>
                <w:highlight w:val="none"/>
              </w:rPr>
              <w:t>；提供国内具备CMA或CNAS认证资质的第三方机构出具的检测报告首页和对应关键页作为证明材料；</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4CED40">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1F4F1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2A8BCB">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0BA6C905">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与整机同品牌科学研究分析软件，三维脑图结果支持多视图同屏同时显示，包含正视图、左视图、右视图、后视图、俯视图及任意角度自由转换，便于用户直观观察脑活动分布状态；</w:t>
            </w:r>
            <w:r>
              <w:rPr>
                <w:rFonts w:hint="eastAsia" w:ascii="微软雅黑" w:hAnsi="微软雅黑" w:eastAsia="微软雅黑" w:cs="微软雅黑"/>
                <w:b/>
                <w:bCs/>
                <w:color w:val="auto"/>
                <w:sz w:val="21"/>
                <w:szCs w:val="21"/>
                <w:highlight w:val="none"/>
              </w:rPr>
              <w:t>提供软件截图作为证明材料；</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D827BF">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2945E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CAF033">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E1D292A">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与整机同品牌科学研究分析软件，一键批处理：支持BlockAverage、功能连接、GLM的数据文件一键批量处理，简化操作，提高分析效率；</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BB6F72">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7F463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DA188E">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CE4CFBC">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与整机同品牌科学研究分析软件，超扫描数据分析：支持对超扫描采集的双数据进行小波变换相干性（wavelet transform coherence）分析；支持超扫描小波变换相干分析的数值和图片结果一键批量导出；</w:t>
            </w:r>
            <w:r>
              <w:rPr>
                <w:rFonts w:hint="eastAsia" w:ascii="微软雅黑" w:hAnsi="微软雅黑" w:eastAsia="微软雅黑" w:cs="微软雅黑"/>
                <w:b/>
                <w:bCs/>
                <w:color w:val="auto"/>
                <w:sz w:val="21"/>
                <w:szCs w:val="21"/>
                <w:highlight w:val="none"/>
              </w:rPr>
              <w:t>提供国内具备CMA或CNAS认证资质的第三方机构出具的检测报告首页和对应关键页作为证明材料；</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618B04">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43C54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422423">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13F07ABB">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与整机同品牌科学研究分析软件，超扫描支持脑间同位及异位通道间的WTC值的计算，并支持群体统计的单样本T检验、双样本T检验、配对T检验、单因素方差分析；</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585AC68">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30EF3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92F24BD">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A92D45B">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与整机同品牌科学研究分析软件，图论分析：支持≥12种图论指标计算；</w:t>
            </w:r>
            <w:r>
              <w:rPr>
                <w:rFonts w:hint="eastAsia" w:ascii="微软雅黑" w:hAnsi="微软雅黑" w:eastAsia="微软雅黑" w:cs="微软雅黑"/>
                <w:b/>
                <w:bCs/>
                <w:color w:val="auto"/>
                <w:sz w:val="21"/>
                <w:szCs w:val="21"/>
                <w:highlight w:val="none"/>
              </w:rPr>
              <w:t>提供软件截图作为证明材料；</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17AEE2">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2B5C7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714571">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2BB693A">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配置要求：</w:t>
            </w:r>
          </w:p>
          <w:p w14:paraId="465DAA2C">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便携式近红外脑功能成像装置主机</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1台</w:t>
            </w:r>
          </w:p>
          <w:p w14:paraId="22A74BF4">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发射接收探头</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1套</w:t>
            </w:r>
          </w:p>
          <w:p w14:paraId="4ADB5285">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无线传输器</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1个</w:t>
            </w:r>
          </w:p>
          <w:p w14:paraId="601E09AC">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便携式工作站</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1台</w:t>
            </w:r>
          </w:p>
          <w:p w14:paraId="7F984C6B">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转运箱</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1个</w:t>
            </w:r>
          </w:p>
          <w:p w14:paraId="13370D71">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头帽</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2顶</w:t>
            </w:r>
          </w:p>
          <w:p w14:paraId="72C9FC1D">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7</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近红外脑功能成像装置系统软件</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1套</w:t>
            </w:r>
          </w:p>
          <w:p w14:paraId="72EA03CD">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8</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近红外脑功能成像数据分析软件</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1套</w:t>
            </w:r>
          </w:p>
          <w:p w14:paraId="3CBF8C62">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9</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加密锁</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1套</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7D9F66">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66428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170"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6A557BA">
            <w:pPr>
              <w:keepNext w:val="0"/>
              <w:keepLines w:val="0"/>
              <w:pageBreakBefore w:val="0"/>
              <w:numPr>
                <w:ilvl w:val="1"/>
                <w:numId w:val="4"/>
              </w:numPr>
              <w:kinsoku/>
              <w:wordWrap/>
              <w:overflowPunct/>
              <w:topLinePunct w:val="0"/>
              <w:bidi w:val="0"/>
              <w:spacing w:after="0" w:afterLines="0" w:line="400" w:lineRule="exact"/>
              <w:outlineLvl w:val="0"/>
              <w:rPr>
                <w:rFonts w:hint="eastAsia" w:ascii="微软雅黑" w:hAnsi="微软雅黑" w:eastAsia="微软雅黑" w:cs="微软雅黑"/>
                <w:color w:val="auto"/>
                <w:sz w:val="21"/>
                <w:szCs w:val="21"/>
                <w:highlight w:val="none"/>
              </w:rPr>
            </w:pPr>
            <w:bookmarkStart w:id="90" w:name="_Toc15524"/>
            <w:bookmarkStart w:id="91" w:name="_Toc18578"/>
            <w:r>
              <w:rPr>
                <w:rFonts w:hint="eastAsia" w:ascii="微软雅黑" w:hAnsi="微软雅黑" w:eastAsia="微软雅黑" w:cs="微软雅黑"/>
                <w:b/>
                <w:color w:val="auto"/>
                <w:sz w:val="21"/>
                <w:szCs w:val="21"/>
                <w:highlight w:val="none"/>
              </w:rPr>
              <w:t>便携式神经电生理系统</w:t>
            </w:r>
            <w:bookmarkEnd w:id="90"/>
            <w:bookmarkEnd w:id="91"/>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64A2DA">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p>
        </w:tc>
      </w:tr>
      <w:tr w14:paraId="2F1BE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3E537B26">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URS编号</w:t>
            </w:r>
          </w:p>
        </w:tc>
        <w:tc>
          <w:tcPr>
            <w:tcW w:w="3472"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1283057A">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需求描述</w:t>
            </w:r>
          </w:p>
        </w:tc>
        <w:tc>
          <w:tcPr>
            <w:tcW w:w="829"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774FF8BD">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期望/必需</w:t>
            </w:r>
          </w:p>
        </w:tc>
      </w:tr>
      <w:tr w14:paraId="1FF89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16BE2A">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C795A1">
            <w:pPr>
              <w:keepNext w:val="0"/>
              <w:keepLines w:val="0"/>
              <w:pageBreakBefore w:val="0"/>
              <w:numPr>
                <w:ilvl w:val="0"/>
                <w:numId w:val="0"/>
              </w:numPr>
              <w:kinsoku/>
              <w:wordWrap/>
              <w:overflowPunct/>
              <w:topLinePunct w:val="0"/>
              <w:bidi w:val="0"/>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心电模块：</w:t>
            </w:r>
          </w:p>
          <w:p w14:paraId="3A367D67">
            <w:pPr>
              <w:keepNext w:val="0"/>
              <w:keepLines w:val="0"/>
              <w:pageBreakBefore w:val="0"/>
              <w:numPr>
                <w:ilvl w:val="0"/>
                <w:numId w:val="0"/>
              </w:numPr>
              <w:kinsoku/>
              <w:wordWrap/>
              <w:overflowPunct/>
              <w:topLinePunct w:val="0"/>
              <w:bidi w:val="0"/>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(1)通道数：1导</w:t>
            </w:r>
            <w:r>
              <w:rPr>
                <w:rFonts w:hint="eastAsia" w:ascii="微软雅黑" w:hAnsi="微软雅黑" w:eastAsia="微软雅黑" w:cs="微软雅黑"/>
                <w:color w:val="auto"/>
                <w:sz w:val="21"/>
                <w:szCs w:val="21"/>
                <w:highlight w:val="none"/>
              </w:rPr>
              <w:tab/>
            </w:r>
          </w:p>
          <w:p w14:paraId="1DB79006">
            <w:pPr>
              <w:keepNext w:val="0"/>
              <w:keepLines w:val="0"/>
              <w:pageBreakBefore w:val="0"/>
              <w:numPr>
                <w:ilvl w:val="0"/>
                <w:numId w:val="0"/>
              </w:numPr>
              <w:kinsoku/>
              <w:wordWrap/>
              <w:overflowPunct/>
              <w:topLinePunct w:val="0"/>
              <w:bidi w:val="0"/>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(2)采样率：≥1000Hz</w:t>
            </w:r>
          </w:p>
          <w:p w14:paraId="3E97E98C">
            <w:pPr>
              <w:keepNext w:val="0"/>
              <w:keepLines w:val="0"/>
              <w:pageBreakBefore w:val="0"/>
              <w:numPr>
                <w:ilvl w:val="0"/>
                <w:numId w:val="0"/>
              </w:numPr>
              <w:kinsoku/>
              <w:wordWrap/>
              <w:overflowPunct/>
              <w:topLinePunct w:val="0"/>
              <w:bidi w:val="0"/>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(3)低通滤波：10Hz-300Hz</w:t>
            </w:r>
          </w:p>
          <w:p w14:paraId="0D654F09">
            <w:pPr>
              <w:keepNext w:val="0"/>
              <w:keepLines w:val="0"/>
              <w:pageBreakBefore w:val="0"/>
              <w:numPr>
                <w:ilvl w:val="0"/>
                <w:numId w:val="0"/>
              </w:numPr>
              <w:kinsoku/>
              <w:wordWrap/>
              <w:overflowPunct/>
              <w:topLinePunct w:val="0"/>
              <w:bidi w:val="0"/>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(4)高通滤波：0.01Hz-5Hz</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8B0CA4">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1DFAA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14FA3D">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B91683">
            <w:pPr>
              <w:keepNext w:val="0"/>
              <w:keepLines w:val="0"/>
              <w:pageBreakBefore w:val="0"/>
              <w:numPr>
                <w:ilvl w:val="0"/>
                <w:numId w:val="0"/>
              </w:numPr>
              <w:kinsoku/>
              <w:wordWrap/>
              <w:overflowPunct/>
              <w:topLinePunct w:val="0"/>
              <w:bidi w:val="0"/>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皮电模块</w:t>
            </w:r>
          </w:p>
          <w:p w14:paraId="33D857A0">
            <w:pPr>
              <w:keepNext w:val="0"/>
              <w:keepLines w:val="0"/>
              <w:pageBreakBefore w:val="0"/>
              <w:numPr>
                <w:ilvl w:val="0"/>
                <w:numId w:val="0"/>
              </w:numPr>
              <w:kinsoku/>
              <w:wordWrap/>
              <w:overflowPunct/>
              <w:topLinePunct w:val="0"/>
              <w:bidi w:val="0"/>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(1)通道数：1导    </w:t>
            </w:r>
          </w:p>
          <w:p w14:paraId="68262EC6">
            <w:pPr>
              <w:keepNext w:val="0"/>
              <w:keepLines w:val="0"/>
              <w:pageBreakBefore w:val="0"/>
              <w:numPr>
                <w:ilvl w:val="0"/>
                <w:numId w:val="0"/>
              </w:numPr>
              <w:kinsoku/>
              <w:wordWrap/>
              <w:overflowPunct/>
              <w:topLinePunct w:val="0"/>
              <w:bidi w:val="0"/>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(2)采样率：≥100Hz</w:t>
            </w:r>
          </w:p>
          <w:p w14:paraId="3EBB9476">
            <w:pPr>
              <w:keepNext w:val="0"/>
              <w:keepLines w:val="0"/>
              <w:pageBreakBefore w:val="0"/>
              <w:numPr>
                <w:ilvl w:val="0"/>
                <w:numId w:val="0"/>
              </w:numPr>
              <w:kinsoku/>
              <w:wordWrap/>
              <w:overflowPunct/>
              <w:topLinePunct w:val="0"/>
              <w:bidi w:val="0"/>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(3)测量范围：0.1-105µS</w:t>
            </w:r>
          </w:p>
          <w:p w14:paraId="127315FD">
            <w:pPr>
              <w:keepNext w:val="0"/>
              <w:keepLines w:val="0"/>
              <w:pageBreakBefore w:val="0"/>
              <w:numPr>
                <w:ilvl w:val="0"/>
                <w:numId w:val="0"/>
              </w:numPr>
              <w:kinsoku/>
              <w:wordWrap/>
              <w:overflowPunct/>
              <w:topLinePunct w:val="0"/>
              <w:bidi w:val="0"/>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(4)测量精度：0.001µS</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4EE3A0">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3E18A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9E0BB2">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0A1BBC">
            <w:pPr>
              <w:keepNext w:val="0"/>
              <w:keepLines w:val="0"/>
              <w:pageBreakBefore w:val="0"/>
              <w:numPr>
                <w:ilvl w:val="0"/>
                <w:numId w:val="0"/>
              </w:numPr>
              <w:kinsoku/>
              <w:wordWrap/>
              <w:overflowPunct/>
              <w:topLinePunct w:val="0"/>
              <w:bidi w:val="0"/>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血氧饱和度模块</w:t>
            </w:r>
          </w:p>
          <w:p w14:paraId="1BD2BAB9">
            <w:pPr>
              <w:keepNext w:val="0"/>
              <w:keepLines w:val="0"/>
              <w:pageBreakBefore w:val="0"/>
              <w:numPr>
                <w:ilvl w:val="0"/>
                <w:numId w:val="0"/>
              </w:numPr>
              <w:kinsoku/>
              <w:wordWrap/>
              <w:overflowPunct/>
              <w:topLinePunct w:val="0"/>
              <w:bidi w:val="0"/>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(1)通道数：3导，输出血氧、脉搏波、心率 </w:t>
            </w:r>
          </w:p>
          <w:p w14:paraId="14E86A08">
            <w:pPr>
              <w:keepNext w:val="0"/>
              <w:keepLines w:val="0"/>
              <w:pageBreakBefore w:val="0"/>
              <w:numPr>
                <w:ilvl w:val="0"/>
                <w:numId w:val="0"/>
              </w:numPr>
              <w:kinsoku/>
              <w:wordWrap/>
              <w:overflowPunct/>
              <w:topLinePunct w:val="0"/>
              <w:bidi w:val="0"/>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(2)采样率：≥80Hz</w:t>
            </w:r>
          </w:p>
          <w:p w14:paraId="708C4244">
            <w:pPr>
              <w:keepNext w:val="0"/>
              <w:keepLines w:val="0"/>
              <w:pageBreakBefore w:val="0"/>
              <w:numPr>
                <w:ilvl w:val="0"/>
                <w:numId w:val="0"/>
              </w:numPr>
              <w:kinsoku/>
              <w:wordWrap/>
              <w:overflowPunct/>
              <w:topLinePunct w:val="0"/>
              <w:bidi w:val="0"/>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(3)测量范围：血氧饱和度 0%~100% 脉搏 30~240 BPM </w:t>
            </w:r>
          </w:p>
          <w:p w14:paraId="279E124D">
            <w:pPr>
              <w:keepNext w:val="0"/>
              <w:keepLines w:val="0"/>
              <w:pageBreakBefore w:val="0"/>
              <w:numPr>
                <w:ilvl w:val="0"/>
                <w:numId w:val="0"/>
              </w:numPr>
              <w:kinsoku/>
              <w:wordWrap/>
              <w:overflowPunct/>
              <w:topLinePunct w:val="0"/>
              <w:bidi w:val="0"/>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(4)测量精度：血氧饱和度： ±2 (70%~100%),  脉搏：±1digit (&lt;100/min), ±2digit (100~200/min)，±3digit (&gt;200/min)</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A284A1A">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62E86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4575227">
            <w:pPr>
              <w:keepNext w:val="0"/>
              <w:keepLines w:val="0"/>
              <w:pageBreakBefore w:val="0"/>
              <w:kinsoku/>
              <w:wordWrap/>
              <w:overflowPunct/>
              <w:topLinePunct w:val="0"/>
              <w:bidi w:val="0"/>
              <w:adjustRightInd/>
              <w:snapToGrid/>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b/>
                <w:color w:val="auto"/>
                <w:sz w:val="21"/>
                <w:szCs w:val="21"/>
                <w:highlight w:val="none"/>
              </w:rPr>
              <w:t>采集软件需求</w:t>
            </w:r>
          </w:p>
        </w:tc>
      </w:tr>
      <w:tr w14:paraId="14817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AE5098">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CED238">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(1)支持多模态信号同步采集和存储，同一个软件界面中可同时显示10人脑电、眼电、心电、皮电、血氧、脉搏、运动捕捉（九轴IMU）和视频信号。</w:t>
            </w:r>
          </w:p>
          <w:p w14:paraId="4AD778AC">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(2)多人数据分屏显示，可以按需拖拽和快速切换</w:t>
            </w:r>
          </w:p>
          <w:p w14:paraId="775FBD36">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(3)支持多人数据同时回放</w:t>
            </w:r>
          </w:p>
          <w:p w14:paraId="5633C984">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(4)在线实时展示每个通道的脑电频谱，展示通道可选</w:t>
            </w:r>
          </w:p>
          <w:p w14:paraId="66F8F3C5">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(5)支持断线重连，中途离开自动切换为“等待重连”状态，始终保持界面参数，回来后可智能重连</w:t>
            </w:r>
          </w:p>
          <w:p w14:paraId="620FEC5A">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(6)支持在线事件相关电位（ERP） 数据叠加平均计算和显示，可快速预览实验结果</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D85F8A">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4B79B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743535">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956EEAF">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(1)具有电极阻抗检测功能，可实时显示每个电极的阻抗，监控电极接触情况</w:t>
            </w:r>
          </w:p>
          <w:p w14:paraId="011BC928">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(2)支持信号质量检测功能（SQI），0-100 量化信号质量，雷达图一眼定位异常，实时预警噪声</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69F6F8">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60B8A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32178C">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B7D4F8">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(1)开放API接口，支持数据在线数据转发至matlab、python等平台</w:t>
            </w:r>
          </w:p>
          <w:p w14:paraId="62898117">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(2)支持TCP/IP与Lab Streaming Layer网络通信协议输出原始数据流，可与外部软件进行实时数据传输</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5EF1DD">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18ABB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8A83AA">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AEA3D3">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单套配置要求：</w:t>
            </w:r>
          </w:p>
          <w:p w14:paraId="46020BF3">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1.64通道数字脑电放大器1个</w:t>
            </w:r>
          </w:p>
          <w:p w14:paraId="6AF999FD">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2.多模态数据终端1个</w:t>
            </w:r>
          </w:p>
          <w:p w14:paraId="058A6472">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3.多模态设备同步器1个</w:t>
            </w:r>
          </w:p>
          <w:p w14:paraId="4289AEC3">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4.智能同步中心1个</w:t>
            </w:r>
          </w:p>
          <w:p w14:paraId="0C08FA69">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5.多参采集模块1套</w:t>
            </w:r>
          </w:p>
          <w:p w14:paraId="5F231250">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6.记录软件1个</w:t>
            </w:r>
          </w:p>
          <w:p w14:paraId="2A92CF7A">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7.64导湿电极脑电帽1个</w:t>
            </w:r>
          </w:p>
          <w:p w14:paraId="7D8F6944">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8.数据线1套</w:t>
            </w:r>
          </w:p>
          <w:p w14:paraId="30A519BC">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9.可充电锂离子电池2块</w:t>
            </w:r>
          </w:p>
          <w:p w14:paraId="66810E79">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10.导电磨砂膏1桶</w:t>
            </w:r>
          </w:p>
          <w:p w14:paraId="442010A6">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11.仪器箱1个</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5A4087">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58CC7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3"/>
            <w:tcBorders>
              <w:top w:val="single" w:color="auto" w:sz="4" w:space="0"/>
              <w:left w:val="nil"/>
              <w:bottom w:val="nil"/>
              <w:right w:val="nil"/>
              <w:tl2br w:val="nil"/>
              <w:tr2bl w:val="nil"/>
            </w:tcBorders>
            <w:noWrap w:val="0"/>
            <w:vAlign w:val="top"/>
          </w:tcPr>
          <w:p w14:paraId="041AE0CB">
            <w:pPr>
              <w:keepNext w:val="0"/>
              <w:keepLines w:val="0"/>
              <w:pageBreakBefore w:val="0"/>
              <w:numPr>
                <w:ilvl w:val="1"/>
                <w:numId w:val="4"/>
              </w:numPr>
              <w:kinsoku/>
              <w:wordWrap/>
              <w:overflowPunct/>
              <w:topLinePunct w:val="0"/>
              <w:bidi w:val="0"/>
              <w:spacing w:after="0" w:afterLines="0" w:line="400" w:lineRule="exact"/>
              <w:outlineLvl w:val="0"/>
              <w:rPr>
                <w:rFonts w:hint="eastAsia" w:ascii="微软雅黑" w:hAnsi="微软雅黑" w:eastAsia="微软雅黑" w:cs="微软雅黑"/>
                <w:color w:val="auto"/>
                <w:sz w:val="21"/>
                <w:szCs w:val="21"/>
                <w:highlight w:val="none"/>
              </w:rPr>
            </w:pPr>
            <w:bookmarkStart w:id="92" w:name="_Toc23811"/>
            <w:bookmarkStart w:id="93" w:name="_Toc504"/>
            <w:r>
              <w:rPr>
                <w:rFonts w:hint="eastAsia" w:ascii="微软雅黑" w:hAnsi="微软雅黑" w:eastAsia="微软雅黑" w:cs="微软雅黑"/>
                <w:b/>
                <w:color w:val="auto"/>
                <w:sz w:val="21"/>
                <w:szCs w:val="21"/>
                <w:highlight w:val="none"/>
              </w:rPr>
              <w:t>穿戴式经颅刺激训练仪</w:t>
            </w:r>
            <w:bookmarkEnd w:id="92"/>
            <w:bookmarkEnd w:id="93"/>
          </w:p>
        </w:tc>
      </w:tr>
      <w:tr w14:paraId="52E62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0DBC823F">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URS编号</w:t>
            </w:r>
          </w:p>
        </w:tc>
        <w:tc>
          <w:tcPr>
            <w:tcW w:w="3472"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5895112D">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需求描述</w:t>
            </w:r>
          </w:p>
        </w:tc>
        <w:tc>
          <w:tcPr>
            <w:tcW w:w="829"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21052C5E">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期望/必需</w:t>
            </w:r>
          </w:p>
        </w:tc>
      </w:tr>
      <w:tr w14:paraId="36D1F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CC83CB">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12564D55">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刺激主机具有伪刺激功能，刺激模式：具备tDCS直流、tACS正弦、微电流（CES）、tPCS脉冲、tRNS随机波、三角波共6种刺激波形。</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11530C">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206BD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905147">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782E63CE">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支持对每种刺激模式均可设置伪刺激，方便科研工作。</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1269D8">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53593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58845E">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381993CA">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可以通过电脑端控制软件统一设置刺激方案并下传刺激器，也可以在刺激器终端设定个性化方案。</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E04F9AC">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3F7C2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7F7965">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30D6C3E5">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tDCS模式输出参数：0uA-2500uA范围内可调，电流误差：±5uA。</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55FF34">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10B44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382ABB">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4A480BB2">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tACS模式：0uA-2500uA范围内可调。电流误差：±5%；频率范围：0.1-250Hz范围内可调，频率误差：±1%。</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22B7966">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0E124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5BA940E">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5BF50C3F">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CES模式：0uA-2500uA范围内可调，电流误差：±5%。脉冲群宽度：1-10s；误差：±1%。脉冲宽度：0.2-1000ms；误差：±1%。</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9A758C">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45090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893921">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63D3E63D">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阻抗检测：在tDCS模式下，实时显示真实的阻抗值，在（5kΩ～40kΩ）范围内阻抗检测误差±10%。阻抗超过50KΩ则无法输出，治疗期间超过50KΩ会自动切断输出。 </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B2E359">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0591D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7371B4">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79FF8945">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电流控制：电流全程淡入、淡出时间0-120s可调，保证患者舒适度。</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990366E">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02D53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C3915C2">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7D5100BA">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刺激时间：1-40min（软件显示），时间误差为±1%。</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4A437F">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7BBDA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0E5FFC">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7D6761F2">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数据传输：蓝牙有效传输距离应不小于10M。</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6FFA71">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7A6DA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93A453">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0EA3D0D0">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tDCS模式、tACS模式、CES模式：最大输出电压：25V± 10%。</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A320B1B">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35D79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118D5B">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1B9B7694">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充电方式：能给多个刺激器同时充电。</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8BF15E">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0BB44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9D98F2E">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794053A4">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电极片：配备盐水电极片，确保安全。</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ADCD633">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5B880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1F42B4F">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7BAED220">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兼容性：支持trigger in/out双向触发，可以兼容脑电、TMS等其他设备。</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434A2E">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2F092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4094C9">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C748CEC">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配置要求：电刺激器</w:t>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1个</w:t>
            </w:r>
          </w:p>
          <w:p w14:paraId="300FF66B">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电源适配器</w:t>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1个</w:t>
            </w:r>
          </w:p>
          <w:p w14:paraId="0C7FCC04">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刺激电极带 </w:t>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 xml:space="preserve">     1对</w:t>
            </w:r>
          </w:p>
          <w:p w14:paraId="3F155A9D">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海绵和网布</w:t>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10对</w:t>
            </w:r>
          </w:p>
          <w:p w14:paraId="52D78C60">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电极导联线</w:t>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1根</w:t>
            </w:r>
          </w:p>
          <w:p w14:paraId="08AB8A3C">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定位帽</w:t>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1个</w:t>
            </w:r>
          </w:p>
          <w:p w14:paraId="332AB41D">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充电座</w:t>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1个</w:t>
            </w:r>
          </w:p>
          <w:p w14:paraId="5A1612D3">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数据管理系统</w:t>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1个</w:t>
            </w:r>
          </w:p>
          <w:p w14:paraId="3AAD68FC">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中心控制器</w:t>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1个</w:t>
            </w:r>
          </w:p>
          <w:p w14:paraId="3C574940">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扩展推车</w:t>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1台</w:t>
            </w:r>
          </w:p>
          <w:p w14:paraId="49DE88E1">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准备套件</w:t>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1套</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69CD89E">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386C9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4170"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82E1CBA">
            <w:pPr>
              <w:keepNext w:val="0"/>
              <w:keepLines w:val="0"/>
              <w:pageBreakBefore w:val="0"/>
              <w:numPr>
                <w:ilvl w:val="1"/>
                <w:numId w:val="4"/>
              </w:numPr>
              <w:kinsoku/>
              <w:wordWrap/>
              <w:overflowPunct/>
              <w:topLinePunct w:val="0"/>
              <w:bidi w:val="0"/>
              <w:spacing w:after="0" w:afterLines="0" w:line="400" w:lineRule="exact"/>
              <w:outlineLvl w:val="0"/>
              <w:rPr>
                <w:rFonts w:hint="eastAsia" w:ascii="微软雅黑" w:hAnsi="微软雅黑" w:eastAsia="微软雅黑" w:cs="微软雅黑"/>
                <w:color w:val="auto"/>
                <w:sz w:val="21"/>
                <w:szCs w:val="21"/>
                <w:highlight w:val="none"/>
              </w:rPr>
            </w:pPr>
            <w:bookmarkStart w:id="94" w:name="_Toc6435"/>
            <w:bookmarkStart w:id="95" w:name="_Toc11137"/>
            <w:r>
              <w:rPr>
                <w:rFonts w:hint="eastAsia" w:ascii="微软雅黑" w:hAnsi="微软雅黑" w:eastAsia="微软雅黑" w:cs="微软雅黑"/>
                <w:b/>
                <w:color w:val="auto"/>
                <w:sz w:val="21"/>
                <w:szCs w:val="21"/>
                <w:highlight w:val="none"/>
              </w:rPr>
              <w:t>超声脑功能成像系统</w:t>
            </w:r>
            <w:bookmarkEnd w:id="94"/>
            <w:bookmarkEnd w:id="95"/>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C91959">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p>
        </w:tc>
      </w:tr>
      <w:tr w14:paraId="03DAF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433BE19A">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URS编号</w:t>
            </w:r>
          </w:p>
        </w:tc>
        <w:tc>
          <w:tcPr>
            <w:tcW w:w="3472"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585FE227">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需求描述</w:t>
            </w:r>
          </w:p>
        </w:tc>
        <w:tc>
          <w:tcPr>
            <w:tcW w:w="829"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7E1F273E">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期望/必需</w:t>
            </w:r>
          </w:p>
        </w:tc>
      </w:tr>
      <w:tr w14:paraId="746FF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0833EC">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341B01">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主机规格：128通道，支持GPU并行运算，大幅缩减图像重建和处理时间。</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A8F545">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1CB98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10D051">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253A737">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用途：用于小动物及多种器官（脑、脊髓、肝、肾、皮下肿瘤等）的微血管成像、血流动力学评估。</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A3B889">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46B58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1FD746">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3A6231">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成像模块配置： 系统</w:t>
            </w:r>
            <w:r>
              <w:rPr>
                <w:rFonts w:hint="eastAsia" w:ascii="微软雅黑" w:hAnsi="微软雅黑" w:cs="微软雅黑"/>
                <w:color w:val="auto"/>
                <w:sz w:val="21"/>
                <w:szCs w:val="21"/>
                <w:highlight w:val="none"/>
                <w:lang w:eastAsia="zh-CN"/>
              </w:rPr>
              <w:t>必需</w:t>
            </w:r>
            <w:r>
              <w:rPr>
                <w:rFonts w:hint="eastAsia" w:ascii="微软雅黑" w:hAnsi="微软雅黑" w:eastAsia="微软雅黑" w:cs="微软雅黑"/>
                <w:color w:val="auto"/>
                <w:sz w:val="21"/>
                <w:szCs w:val="21"/>
                <w:highlight w:val="none"/>
              </w:rPr>
              <w:t>包含并可切换以下成像模块：(1) 多器官超快超声B模式成像模块；(2) 超快功率超声多普勒成像模块；(3) 超快彩色超声多普勒成像模块；(4) 多器官超快超分辨率定位显微成像（ULM）模块。</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DA00D2">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3B591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BCD91C">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140B3C">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▲图像采集帧率：系统图像采集帧率应为1,000-10,000帧/秒。</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67EC57">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61AE1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EAE109">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F84DF6">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★空间分辨率：(1)无造影剂模式下，超声成像空间分辨率最优可达到100μm；(2)使用超声微泡造影剂进行超分辨成像时，空间分辨率应≤10μm。</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491032">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241BB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482F93">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D314C3">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▲发射/接收频率范围：系统发射与接收频率范围应覆盖1MHz-30MHz。</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06189A">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1EE6E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4B1B37">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C053E9">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信号采样精度：接收原始信号采样精度16位，采样率125MSPS。</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B23C95">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5CEA4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84C23BF">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7C7AE53">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血流检测灵敏度：系统应具备高灵敏度微血流检测能力。</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0B5CD2">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0E0BC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8635E4">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F07EAA">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▲血流速度检出下限≤ 0.5 mm/s。</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797A82">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5467D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5CA6EA">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C88043B">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数据采集与处理：系统应具备高速数据采集与并行处理能力，支持GPU并行运算，可以生成多普勒图像及相关血流动力学参数。</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D51DEE">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5A260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0D2BA9">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C7C104">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数据导出：系统应支持原始超声数据和原始B模式超声图像数据的导出和读取，便于后续分析。</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79A87A">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47507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024DA8">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E5D1E5">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配置要求：</w:t>
            </w:r>
          </w:p>
          <w:p w14:paraId="0AC79B5A">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主机</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1台</w:t>
            </w:r>
          </w:p>
          <w:p w14:paraId="0461636D">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27英寸4KHDR显示器</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1台</w:t>
            </w:r>
          </w:p>
          <w:p w14:paraId="057B22F9">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多器官超快超声B模式成像模块</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1个</w:t>
            </w:r>
          </w:p>
          <w:p w14:paraId="4C643059">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超快功率超声多普勒成像模块</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1个</w:t>
            </w:r>
          </w:p>
          <w:p w14:paraId="724B7AB1">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超快彩色超声多普勒成像模块</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1个</w:t>
            </w:r>
          </w:p>
          <w:p w14:paraId="63ADE7CD">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设备具备输入/输出触发接口，用于与外部设备同步</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1个</w:t>
            </w:r>
          </w:p>
          <w:p w14:paraId="7878E7B4">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7</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支持原始超声数据和原始B模式超声图像数据导出和读取</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1个</w:t>
            </w:r>
          </w:p>
          <w:p w14:paraId="0527D9CA">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8</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支持GPU并行运算，可生成多普勒图像及相关血流动力学参数</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1个</w:t>
            </w:r>
          </w:p>
          <w:p w14:paraId="4CD8B554">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9</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多器官超快超分辨率定位显微成像(ULM)模块</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1个</w:t>
            </w:r>
          </w:p>
          <w:p w14:paraId="643F6703">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10</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128通道线阵超声探头(中心频率15 MHz，10 MHz，5 MHz各一把)</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3把</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3EDE24">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48089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3"/>
            <w:tcBorders>
              <w:top w:val="single" w:color="auto" w:sz="4" w:space="0"/>
              <w:left w:val="nil"/>
              <w:bottom w:val="single" w:color="auto" w:sz="4" w:space="0"/>
              <w:right w:val="nil"/>
              <w:tl2br w:val="nil"/>
              <w:tr2bl w:val="nil"/>
            </w:tcBorders>
            <w:noWrap w:val="0"/>
            <w:vAlign w:val="top"/>
          </w:tcPr>
          <w:p w14:paraId="7F14C0FE">
            <w:pPr>
              <w:keepNext w:val="0"/>
              <w:keepLines w:val="0"/>
              <w:pageBreakBefore w:val="0"/>
              <w:numPr>
                <w:ilvl w:val="1"/>
                <w:numId w:val="4"/>
              </w:numPr>
              <w:kinsoku/>
              <w:wordWrap/>
              <w:overflowPunct/>
              <w:topLinePunct w:val="0"/>
              <w:bidi w:val="0"/>
              <w:spacing w:after="0" w:afterLines="0" w:line="400" w:lineRule="exact"/>
              <w:outlineLvl w:val="0"/>
              <w:rPr>
                <w:rFonts w:hint="eastAsia" w:ascii="微软雅黑" w:hAnsi="微软雅黑" w:eastAsia="微软雅黑" w:cs="微软雅黑"/>
                <w:color w:val="auto"/>
                <w:sz w:val="21"/>
                <w:szCs w:val="21"/>
                <w:highlight w:val="none"/>
              </w:rPr>
            </w:pPr>
            <w:bookmarkStart w:id="96" w:name="_Toc3960"/>
            <w:bookmarkStart w:id="97" w:name="_Toc16937"/>
            <w:r>
              <w:rPr>
                <w:rFonts w:hint="eastAsia" w:ascii="微软雅黑" w:hAnsi="微软雅黑" w:eastAsia="微软雅黑" w:cs="微软雅黑"/>
                <w:b/>
                <w:color w:val="auto"/>
                <w:sz w:val="21"/>
                <w:szCs w:val="21"/>
                <w:highlight w:val="none"/>
              </w:rPr>
              <w:t>超声动物声谱采集系统</w:t>
            </w:r>
            <w:bookmarkEnd w:id="96"/>
            <w:bookmarkEnd w:id="97"/>
          </w:p>
        </w:tc>
      </w:tr>
      <w:tr w14:paraId="19BF3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1071D423">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URS编号</w:t>
            </w:r>
          </w:p>
        </w:tc>
        <w:tc>
          <w:tcPr>
            <w:tcW w:w="3472"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190A3261">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需求描述</w:t>
            </w:r>
          </w:p>
        </w:tc>
        <w:tc>
          <w:tcPr>
            <w:tcW w:w="829"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163E603B">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期望/必需</w:t>
            </w:r>
          </w:p>
        </w:tc>
      </w:tr>
      <w:tr w14:paraId="00A0C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9D36B4">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5C3AC9D">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kern w:val="0"/>
                <w:sz w:val="21"/>
                <w:szCs w:val="21"/>
                <w:highlight w:val="none"/>
                <w:lang w:bidi="ar"/>
              </w:rPr>
              <w:t>通道数：1个通道（单通道）</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720834">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3305F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E41A78">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7E6B8E">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kern w:val="0"/>
                <w:sz w:val="21"/>
                <w:szCs w:val="21"/>
                <w:highlight w:val="none"/>
                <w:lang w:bidi="ar"/>
              </w:rPr>
              <w:t>ADC类型：Delta-Sigma 架构，集成自适应抗锯齿滤波器</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DAB3D9">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6F200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67DE09">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675F12">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kern w:val="0"/>
                <w:sz w:val="21"/>
                <w:szCs w:val="21"/>
                <w:highlight w:val="none"/>
                <w:lang w:bidi="ar"/>
              </w:rPr>
              <w:t>分辨率：16 位或 8 位</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B41089">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2D2D8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2E5623">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96E0FCB">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kern w:val="0"/>
                <w:sz w:val="21"/>
                <w:szCs w:val="21"/>
                <w:highlight w:val="none"/>
                <w:lang w:bidi="ar"/>
              </w:rPr>
              <w:t>采样率 [kHz]：300, 250, 214, 187.5, 166.6, 150, 125, 100, 75, 62.5, 50</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DE4749">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bidi="hi-IN"/>
              </w:rPr>
              <w:t>必需</w:t>
            </w:r>
          </w:p>
        </w:tc>
      </w:tr>
      <w:tr w14:paraId="772CD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78621F">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A40829">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kern w:val="0"/>
                <w:sz w:val="21"/>
                <w:szCs w:val="21"/>
                <w:highlight w:val="none"/>
                <w:lang w:bidi="ar"/>
              </w:rPr>
              <w:t>频率响应（-3dB，不带麦克风的外部输入）：20 Hz– 140 KHz</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2784C9F">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bidi="hi-IN"/>
              </w:rPr>
              <w:t>必需</w:t>
            </w:r>
          </w:p>
        </w:tc>
      </w:tr>
      <w:tr w14:paraId="47BB5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6D167A">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C83A5C7">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kern w:val="0"/>
                <w:sz w:val="21"/>
                <w:szCs w:val="21"/>
                <w:highlight w:val="none"/>
                <w:lang w:bidi="ar"/>
              </w:rPr>
              <w:t>声学监听输出：是（可调节 2 至 30 倍欠采样），可调节音量</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23A2C0">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eastAsia="zh-CN" w:bidi="hi-IN"/>
              </w:rPr>
            </w:pPr>
            <w:r>
              <w:rPr>
                <w:rFonts w:hint="eastAsia" w:ascii="微软雅黑" w:hAnsi="微软雅黑" w:eastAsia="微软雅黑" w:cs="微软雅黑"/>
                <w:color w:val="auto"/>
                <w:sz w:val="21"/>
                <w:szCs w:val="21"/>
                <w:highlight w:val="none"/>
                <w:lang w:eastAsia="zh-CN" w:bidi="hi-IN"/>
              </w:rPr>
              <w:t>必需</w:t>
            </w:r>
          </w:p>
        </w:tc>
      </w:tr>
      <w:tr w14:paraId="7EB57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4BD20C">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1CAC81">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kern w:val="0"/>
                <w:sz w:val="21"/>
                <w:szCs w:val="21"/>
                <w:highlight w:val="none"/>
                <w:lang w:bidi="ar"/>
              </w:rPr>
              <w:t>输入灵敏度（微调）：-43.2dBV = -41 dBu = 6.9 mVrms</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A60512">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eastAsia="zh-CN" w:bidi="hi-IN"/>
              </w:rPr>
            </w:pPr>
            <w:r>
              <w:rPr>
                <w:rFonts w:hint="eastAsia" w:ascii="微软雅黑" w:hAnsi="微软雅黑" w:eastAsia="微软雅黑" w:cs="微软雅黑"/>
                <w:color w:val="auto"/>
                <w:sz w:val="21"/>
                <w:szCs w:val="21"/>
                <w:highlight w:val="none"/>
                <w:lang w:eastAsia="zh-CN" w:bidi="hi-IN"/>
              </w:rPr>
              <w:t>必需</w:t>
            </w:r>
          </w:p>
        </w:tc>
      </w:tr>
      <w:tr w14:paraId="0FE24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2BC7D5">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AFD9FA">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kern w:val="0"/>
                <w:sz w:val="21"/>
                <w:szCs w:val="21"/>
                <w:highlight w:val="none"/>
                <w:lang w:bidi="ar"/>
              </w:rPr>
              <w:t>输入灵敏度（最小微调）：-3.2dBV = -1 dBu = 0.69 Vrms</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C0FB52">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eastAsia="zh-CN" w:bidi="hi-IN"/>
              </w:rPr>
            </w:pPr>
            <w:r>
              <w:rPr>
                <w:rFonts w:hint="eastAsia" w:ascii="微软雅黑" w:hAnsi="微软雅黑" w:eastAsia="微软雅黑" w:cs="微软雅黑"/>
                <w:color w:val="auto"/>
                <w:sz w:val="21"/>
                <w:szCs w:val="21"/>
                <w:highlight w:val="none"/>
                <w:lang w:eastAsia="zh-CN" w:bidi="hi-IN"/>
              </w:rPr>
              <w:t>必需</w:t>
            </w:r>
          </w:p>
        </w:tc>
      </w:tr>
      <w:tr w14:paraId="601A2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5E64D7">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EF48F2">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kern w:val="0"/>
                <w:sz w:val="21"/>
                <w:szCs w:val="21"/>
                <w:highlight w:val="none"/>
                <w:lang w:bidi="ar"/>
              </w:rPr>
              <w:t>增益调节电位器：40 dB 连续范围</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A8B954">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eastAsia="zh-CN" w:bidi="hi-IN"/>
              </w:rPr>
            </w:pPr>
            <w:r>
              <w:rPr>
                <w:rFonts w:hint="eastAsia" w:ascii="微软雅黑" w:hAnsi="微软雅黑" w:eastAsia="微软雅黑" w:cs="微软雅黑"/>
                <w:color w:val="auto"/>
                <w:sz w:val="21"/>
                <w:szCs w:val="21"/>
                <w:highlight w:val="none"/>
                <w:lang w:eastAsia="zh-CN" w:bidi="hi-IN"/>
              </w:rPr>
              <w:t>必需</w:t>
            </w:r>
          </w:p>
        </w:tc>
      </w:tr>
      <w:tr w14:paraId="61E15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9E5051">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A5F836">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kern w:val="0"/>
                <w:sz w:val="21"/>
                <w:szCs w:val="21"/>
                <w:highlight w:val="none"/>
                <w:lang w:bidi="ar"/>
              </w:rPr>
              <w:t>输入阻抗：50 k欧姆</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1C32AB">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eastAsia="zh-CN" w:bidi="hi-IN"/>
              </w:rPr>
            </w:pPr>
            <w:r>
              <w:rPr>
                <w:rFonts w:hint="eastAsia" w:ascii="微软雅黑" w:hAnsi="微软雅黑" w:eastAsia="微软雅黑" w:cs="微软雅黑"/>
                <w:color w:val="auto"/>
                <w:sz w:val="21"/>
                <w:szCs w:val="21"/>
                <w:highlight w:val="none"/>
                <w:lang w:eastAsia="zh-CN" w:bidi="hi-IN"/>
              </w:rPr>
              <w:t>必需</w:t>
            </w:r>
          </w:p>
        </w:tc>
      </w:tr>
      <w:tr w14:paraId="34FAC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4295AA">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163DDBB">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kern w:val="0"/>
                <w:sz w:val="21"/>
                <w:szCs w:val="21"/>
                <w:highlight w:val="none"/>
                <w:lang w:bidi="ar"/>
              </w:rPr>
              <w:t>计算机接口：USB 2.0，同时高速模式</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2806A4F">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eastAsia="zh-CN" w:bidi="hi-IN"/>
              </w:rPr>
            </w:pPr>
            <w:r>
              <w:rPr>
                <w:rFonts w:hint="eastAsia" w:ascii="微软雅黑" w:hAnsi="微软雅黑" w:eastAsia="微软雅黑" w:cs="微软雅黑"/>
                <w:color w:val="auto"/>
                <w:sz w:val="21"/>
                <w:szCs w:val="21"/>
                <w:highlight w:val="none"/>
                <w:lang w:eastAsia="zh-CN" w:bidi="hi-IN"/>
              </w:rPr>
              <w:t>必需</w:t>
            </w:r>
          </w:p>
        </w:tc>
      </w:tr>
      <w:tr w14:paraId="6B569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AB1725A">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949E20">
            <w:pPr>
              <w:keepNext w:val="0"/>
              <w:keepLines w:val="0"/>
              <w:pageBreakBefore w:val="0"/>
              <w:widowControl/>
              <w:kinsoku/>
              <w:wordWrap/>
              <w:overflowPunct/>
              <w:topLinePunct w:val="0"/>
              <w:bidi w:val="0"/>
              <w:spacing w:after="0" w:afterLines="0" w:line="400" w:lineRule="exact"/>
              <w:jc w:val="left"/>
              <w:textAlignment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kern w:val="0"/>
                <w:sz w:val="21"/>
                <w:szCs w:val="21"/>
                <w:highlight w:val="none"/>
                <w:lang w:bidi="ar"/>
              </w:rPr>
              <w:t>随附的软件：记录仪采集软件</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6115CC">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eastAsia="zh-CN" w:bidi="hi-IN"/>
              </w:rPr>
            </w:pPr>
            <w:r>
              <w:rPr>
                <w:rFonts w:hint="eastAsia" w:ascii="微软雅黑" w:hAnsi="微软雅黑" w:eastAsia="微软雅黑" w:cs="微软雅黑"/>
                <w:color w:val="auto"/>
                <w:sz w:val="21"/>
                <w:szCs w:val="21"/>
                <w:highlight w:val="none"/>
                <w:lang w:eastAsia="zh-CN" w:bidi="hi-IN"/>
              </w:rPr>
              <w:t>必需</w:t>
            </w:r>
          </w:p>
        </w:tc>
      </w:tr>
      <w:tr w14:paraId="76179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1EF408">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88751F0">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单套配置要求：</w:t>
            </w:r>
          </w:p>
          <w:p w14:paraId="1F61B60D">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超声录音系统、动物声谱录制软件    1套</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2A9A77">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eastAsia="zh-CN" w:bidi="hi-IN"/>
              </w:rPr>
            </w:pPr>
            <w:r>
              <w:rPr>
                <w:rFonts w:hint="eastAsia" w:ascii="微软雅黑" w:hAnsi="微软雅黑" w:eastAsia="微软雅黑" w:cs="微软雅黑"/>
                <w:color w:val="auto"/>
                <w:sz w:val="21"/>
                <w:szCs w:val="21"/>
                <w:highlight w:val="none"/>
                <w:lang w:eastAsia="zh-CN" w:bidi="hi-IN"/>
              </w:rPr>
              <w:t>必需</w:t>
            </w:r>
          </w:p>
        </w:tc>
      </w:tr>
      <w:tr w14:paraId="2EFCC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3"/>
            <w:tcBorders>
              <w:top w:val="single" w:color="auto" w:sz="4" w:space="0"/>
              <w:left w:val="nil"/>
              <w:bottom w:val="single" w:color="auto" w:sz="4" w:space="0"/>
              <w:right w:val="nil"/>
              <w:tl2br w:val="nil"/>
              <w:tr2bl w:val="nil"/>
            </w:tcBorders>
            <w:noWrap w:val="0"/>
            <w:vAlign w:val="top"/>
          </w:tcPr>
          <w:p w14:paraId="37E00205">
            <w:pPr>
              <w:keepNext w:val="0"/>
              <w:keepLines w:val="0"/>
              <w:pageBreakBefore w:val="0"/>
              <w:numPr>
                <w:ilvl w:val="1"/>
                <w:numId w:val="4"/>
              </w:numPr>
              <w:kinsoku/>
              <w:wordWrap/>
              <w:overflowPunct/>
              <w:topLinePunct w:val="0"/>
              <w:bidi w:val="0"/>
              <w:spacing w:after="0" w:afterLines="0" w:line="400" w:lineRule="exact"/>
              <w:outlineLvl w:val="0"/>
              <w:rPr>
                <w:rFonts w:hint="eastAsia" w:ascii="微软雅黑" w:hAnsi="微软雅黑" w:eastAsia="微软雅黑" w:cs="微软雅黑"/>
                <w:color w:val="auto"/>
                <w:sz w:val="21"/>
                <w:szCs w:val="21"/>
                <w:highlight w:val="none"/>
              </w:rPr>
            </w:pPr>
            <w:bookmarkStart w:id="98" w:name="_Toc25862"/>
            <w:bookmarkStart w:id="99" w:name="_Toc18205"/>
            <w:r>
              <w:rPr>
                <w:rFonts w:hint="eastAsia" w:ascii="微软雅黑" w:hAnsi="微软雅黑" w:eastAsia="微软雅黑" w:cs="微软雅黑"/>
                <w:b/>
                <w:color w:val="auto"/>
                <w:sz w:val="21"/>
                <w:szCs w:val="21"/>
                <w:highlight w:val="none"/>
              </w:rPr>
              <w:t>穿戴式意识障碍治疗系统</w:t>
            </w:r>
            <w:bookmarkEnd w:id="98"/>
            <w:bookmarkEnd w:id="99"/>
          </w:p>
        </w:tc>
      </w:tr>
      <w:tr w14:paraId="5CB1C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32C590DD">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URS编号</w:t>
            </w:r>
          </w:p>
        </w:tc>
        <w:tc>
          <w:tcPr>
            <w:tcW w:w="3472"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4E121E27">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需求描述</w:t>
            </w:r>
          </w:p>
        </w:tc>
        <w:tc>
          <w:tcPr>
            <w:tcW w:w="829"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39DE2B70">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期望/必需</w:t>
            </w:r>
          </w:p>
        </w:tc>
      </w:tr>
      <w:tr w14:paraId="571D0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1D5490">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C8E698">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val="en-US" w:eastAsia="zh-CN"/>
              </w:rPr>
              <w:t>▲</w:t>
            </w:r>
            <w:r>
              <w:rPr>
                <w:rFonts w:hint="eastAsia" w:ascii="微软雅黑" w:hAnsi="微软雅黑" w:eastAsia="微软雅黑" w:cs="微软雅黑"/>
                <w:color w:val="auto"/>
                <w:sz w:val="21"/>
                <w:szCs w:val="21"/>
                <w:highlight w:val="none"/>
                <w:lang w:eastAsia="zh-CN"/>
              </w:rPr>
              <w:t>放大器支持8通道高保真脑电生物信号采集</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E9C303">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6A5C2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CAA8F34">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26AA7F4">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2.4GHZ ISM频段无线传输，室内无线传输距离不少于6m</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E8B9CFF">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656DA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BA75F0">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6F1B51">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头戴系统舒适无干扰，放大器含电池总重小于100克</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D44369">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0299B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2225EF">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80C639">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▲具有干湿混合通用型电极，主动电极传感器内部含有前置放大芯片，有源供电，可以实现信号二次放大</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A88BBA">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170D0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0C3657">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CD2860F">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AD分辨率：24bit分辨率</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772733">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1CEC2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D4A01F">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FB2AA0">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所有通道同步采集，每单一通道采样率250Hz</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AC2E92">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6855B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D58177">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69DB55">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输入灵敏度：± 750 mV</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C76EBC6">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01790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25708A">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E160E8">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带宽：0Hz-10Hz</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5BA929F">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65F58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645A212">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5604CA">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输入阻抗：&gt;100MΩ</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37F094">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1D1AD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65CF12">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C4E791">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提供C API支持二次开发，采集软件，具备LSL和UDP接口，可将采集数据实时输出。</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E531D4">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220BF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63350D">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4A396D">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系统支持完成运动想象、事件相关电位、视觉诱发电位等脑机接口实验任务。</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BA285A">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4A454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B9E53C">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AFCCC9C">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支持实时查看信号功率谱带并存储数据</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71B48D">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必需 </w:t>
            </w:r>
          </w:p>
        </w:tc>
      </w:tr>
      <w:tr w14:paraId="15D74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460CEC">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0BA0E5">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具备运动伪迹滤波算法，可将眼动、肢体运动所造成的伪迹信号滤除干净，保留干净有用的脑电信号。</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2ACE70">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489CE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1F7C22">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107461A">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提供不少于3款脑机接口游戏。</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C5E01D">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517FC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8C446C">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6B1ADC4">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配置要求：</w:t>
            </w:r>
          </w:p>
          <w:p w14:paraId="7E979BDF">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1</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8通道无线传输主机放大器</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1套</w:t>
            </w:r>
          </w:p>
          <w:p w14:paraId="4A077F77">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干湿混合电极头</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8个</w:t>
            </w:r>
          </w:p>
          <w:p w14:paraId="49F5F242">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3</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电极贴片（50片）</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2包</w:t>
            </w:r>
          </w:p>
          <w:p w14:paraId="1C01435F">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4</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导电膏 （200g）</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2瓶</w:t>
            </w:r>
          </w:p>
          <w:p w14:paraId="1EA502F5">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5</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标配8通道脑电电极帽</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1个</w:t>
            </w:r>
          </w:p>
          <w:p w14:paraId="3221C75B">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6</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蓝牙连接器</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1个</w:t>
            </w:r>
          </w:p>
          <w:p w14:paraId="2DA94C34">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7</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USB充电线</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1根</w:t>
            </w:r>
          </w:p>
          <w:p w14:paraId="650FDECB">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8</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采集二次开发软件套装</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1套</w:t>
            </w:r>
          </w:p>
          <w:p w14:paraId="1C0E0EB8">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8a</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C API二次开发接口</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1套</w:t>
            </w:r>
          </w:p>
          <w:p w14:paraId="05890255">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8b</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NET API二次开发接口</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1套</w:t>
            </w:r>
          </w:p>
          <w:p w14:paraId="12D57046">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8c</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可视化采集软件</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1套</w:t>
            </w:r>
          </w:p>
          <w:p w14:paraId="0E288008">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8d</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频带功率查看器</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1套</w:t>
            </w:r>
          </w:p>
          <w:p w14:paraId="1B87F24C">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8e</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LSL 数据流接口</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1套</w:t>
            </w:r>
          </w:p>
          <w:p w14:paraId="3CF710EE">
            <w:pPr>
              <w:pStyle w:val="49"/>
              <w:keepNext w:val="0"/>
              <w:keepLines w:val="0"/>
              <w:pageBreakBefore w:val="0"/>
              <w:numPr>
                <w:ilvl w:val="0"/>
                <w:numId w:val="0"/>
              </w:numPr>
              <w:kinsoku/>
              <w:wordWrap/>
              <w:overflowPunct/>
              <w:topLinePunct w:val="0"/>
              <w:bidi w:val="0"/>
              <w:adjustRightInd/>
              <w:snapToGrid/>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8f</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UDP 数据流接口</w:t>
            </w:r>
            <w:r>
              <w:rPr>
                <w:rFonts w:hint="eastAsia" w:ascii="微软雅黑" w:hAnsi="微软雅黑" w:eastAsia="微软雅黑" w:cs="微软雅黑"/>
                <w:color w:val="auto"/>
                <w:sz w:val="21"/>
                <w:szCs w:val="21"/>
                <w:highlight w:val="none"/>
                <w:lang w:val="en-US" w:eastAsia="zh-CN"/>
              </w:rPr>
              <w:tab/>
            </w:r>
            <w:r>
              <w:rPr>
                <w:rFonts w:hint="eastAsia" w:ascii="微软雅黑" w:hAnsi="微软雅黑" w:eastAsia="微软雅黑" w:cs="微软雅黑"/>
                <w:color w:val="auto"/>
                <w:sz w:val="21"/>
                <w:szCs w:val="21"/>
                <w:highlight w:val="none"/>
                <w:lang w:val="en-US" w:eastAsia="zh-CN"/>
              </w:rPr>
              <w:t>1套</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C9AD5F">
            <w:pPr>
              <w:keepNext w:val="0"/>
              <w:keepLines w:val="0"/>
              <w:pageBreakBefore w:val="0"/>
              <w:kinsoku/>
              <w:wordWrap/>
              <w:overflowPunct/>
              <w:topLinePunct w:val="0"/>
              <w:bidi w:val="0"/>
              <w:adjustRightInd/>
              <w:snapToGrid/>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必需</w:t>
            </w:r>
          </w:p>
        </w:tc>
      </w:tr>
      <w:tr w14:paraId="07B3E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3"/>
            <w:tcBorders>
              <w:top w:val="single" w:color="auto" w:sz="4" w:space="0"/>
              <w:left w:val="nil"/>
              <w:bottom w:val="single" w:color="auto" w:sz="4" w:space="0"/>
              <w:right w:val="nil"/>
              <w:tl2br w:val="nil"/>
              <w:tr2bl w:val="nil"/>
            </w:tcBorders>
            <w:noWrap w:val="0"/>
            <w:vAlign w:val="center"/>
          </w:tcPr>
          <w:p w14:paraId="4BBE5A1F">
            <w:pPr>
              <w:keepNext w:val="0"/>
              <w:keepLines w:val="0"/>
              <w:pageBreakBefore w:val="0"/>
              <w:numPr>
                <w:ilvl w:val="1"/>
                <w:numId w:val="4"/>
              </w:numPr>
              <w:kinsoku/>
              <w:wordWrap/>
              <w:overflowPunct/>
              <w:topLinePunct w:val="0"/>
              <w:bidi w:val="0"/>
              <w:spacing w:after="0" w:afterLines="0" w:line="400" w:lineRule="exact"/>
              <w:outlineLvl w:val="0"/>
              <w:rPr>
                <w:rFonts w:hint="eastAsia" w:ascii="微软雅黑" w:hAnsi="微软雅黑" w:eastAsia="微软雅黑" w:cs="微软雅黑"/>
                <w:color w:val="auto"/>
                <w:sz w:val="21"/>
                <w:szCs w:val="21"/>
                <w:highlight w:val="none"/>
                <w:lang w:bidi="hi-IN"/>
              </w:rPr>
            </w:pPr>
            <w:bookmarkStart w:id="100" w:name="_Toc5482"/>
            <w:bookmarkStart w:id="101" w:name="_Toc20646"/>
            <w:r>
              <w:rPr>
                <w:rFonts w:hint="eastAsia" w:ascii="微软雅黑" w:hAnsi="微软雅黑" w:eastAsia="微软雅黑" w:cs="微软雅黑"/>
                <w:b/>
                <w:color w:val="auto"/>
                <w:sz w:val="21"/>
                <w:szCs w:val="21"/>
                <w:highlight w:val="none"/>
              </w:rPr>
              <w:t>高密度神经电极</w:t>
            </w:r>
            <w:bookmarkEnd w:id="100"/>
            <w:bookmarkEnd w:id="101"/>
          </w:p>
        </w:tc>
      </w:tr>
      <w:tr w14:paraId="533AD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71028E67">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URS编号</w:t>
            </w:r>
          </w:p>
        </w:tc>
        <w:tc>
          <w:tcPr>
            <w:tcW w:w="3472"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6BEF59B2">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需求描述</w:t>
            </w:r>
          </w:p>
        </w:tc>
        <w:tc>
          <w:tcPr>
            <w:tcW w:w="829"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67F8D06C">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期望/必需</w:t>
            </w:r>
          </w:p>
        </w:tc>
      </w:tr>
      <w:tr w14:paraId="680D2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71BED7">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7A747E">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★采集通道数：≥1024；</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98571C">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24779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75C1A2">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08C3B0">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▲每通道采样频率：≥40kHz，数模转换分辨率≥16bit ；</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3DE98C">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15695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C47246C">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B56AC6">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采集信号类型：包括原始宽波段信号，单神经元放电和场电位等；</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28FECE1">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473F6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266FE0">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2E5DEA">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▲大文件处理功能：具有大通量数据处理器，可扩展至4个数据输入端口，每个端口最高支持1024通道采样；</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D7A07D">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3B540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BA87FA">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E6C383">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系统校准功能：具有手动和全自动电极放大器校准功能；</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EABDAF">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6D632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23FF24">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404998">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信号地切换功能：可选电极地线和电极适配器外置地线，启用工作电极模式，可以选用电极适配器上的外置地线作为信号地输入；</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FDE585">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40607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13408B">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C7D76D">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电极通道校准功能(auto-calibration)：每个电极通道可以实现自动校准，进行基线的偏置调优；</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461545">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1193E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5587BA7">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361626">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信号筛选功能(culling)：通过软件算法自动筛选信噪比最好或者波形最大的波形，来进行在线分类或者供离线数据处理，可以用离线软件来进行高通量数据的分类；</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94BE0B">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48174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F505FF">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B13745">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实时通道活动图：可以实时看到电极上每个通道的发放活动变化，对应不同的脑区的活动，可切换显示的信号类型，可调整活动图反馈的电压颜色阈值；</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525301">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1C988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AEA1103">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68A7A7">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数据格式转换工具：可以将数据格式转成通用的开源格式，用原始数据进行通用的高质量的数据处理和波形分类方法；</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D58055">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4F0A8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A8E90BF">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ECCAE1">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不同的数据流路线：可以用在线筛选功能(culling)实现波形筛选，保存波形数据后续用离线处理软件进行波形分类；也可以直接保存原始数据，用开源方法进行数据处理波形分类；</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EA06767">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3D767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9AEFEF1">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A0F0B8">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配备数据连接线：支持连接大通量数据处理器和多通道主机；</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934B0E">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639A6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CB5743C">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7FC696">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配备电极测试模块：支持检测每个电极通道工作状态；</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265B57">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00BE4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645A43">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2C16662">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配备系统测试模块：支持检测整个系统的工作状态；</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A3F6DE">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32175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27E278">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34FB1E">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配备高通量电极适配器：单接口支持256通道电极和512通道；双接口支持1024通道电极；</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C113AEC">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22CEF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31FDA9">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F0AC7D">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配备专用电极夹持器：用于夹持电极，可选单接口或者双接口；</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C688D05">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12B52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9F6374">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4A2C8F">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高通量硅电极可选：256，512，1024通道电极；</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A9AD20">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4E8F5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AA728E">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79B72D">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单套配置要求：</w:t>
            </w:r>
          </w:p>
          <w:p w14:paraId="717B22D8">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1、高密度硅电极1根</w:t>
            </w:r>
          </w:p>
          <w:p w14:paraId="7E7148CC">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2、记录系统主机1台</w:t>
            </w:r>
          </w:p>
          <w:p w14:paraId="01CA475C">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 记录软件1套</w:t>
            </w:r>
          </w:p>
          <w:p w14:paraId="35833D76">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4、系统测试单元1个</w:t>
            </w:r>
          </w:p>
          <w:p w14:paraId="294F0BDC">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5、探针测试单元1个</w:t>
            </w:r>
          </w:p>
          <w:p w14:paraId="6F99757A">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6、16导 适配器1个</w:t>
            </w:r>
          </w:p>
          <w:p w14:paraId="3179A745">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7、16导 立体定位固定支架组件1个</w:t>
            </w:r>
          </w:p>
          <w:p w14:paraId="52CFEFEE">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8、32 导 适配器1个</w:t>
            </w:r>
          </w:p>
          <w:p w14:paraId="44F866DD">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9、32导 立体定位夹持支架组件1个</w:t>
            </w:r>
          </w:p>
          <w:p w14:paraId="74E3C440">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10、HDMI数据线1根</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7748A6">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7D49A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3"/>
            <w:tcBorders>
              <w:top w:val="single" w:color="auto" w:sz="4" w:space="0"/>
              <w:left w:val="nil"/>
              <w:bottom w:val="single" w:color="auto" w:sz="4" w:space="0"/>
              <w:right w:val="nil"/>
              <w:tl2br w:val="nil"/>
              <w:tr2bl w:val="nil"/>
            </w:tcBorders>
            <w:noWrap w:val="0"/>
            <w:vAlign w:val="center"/>
          </w:tcPr>
          <w:p w14:paraId="1EB220F7">
            <w:pPr>
              <w:keepNext w:val="0"/>
              <w:keepLines w:val="0"/>
              <w:pageBreakBefore w:val="0"/>
              <w:numPr>
                <w:ilvl w:val="1"/>
                <w:numId w:val="4"/>
              </w:numPr>
              <w:kinsoku/>
              <w:wordWrap/>
              <w:overflowPunct/>
              <w:topLinePunct w:val="0"/>
              <w:bidi w:val="0"/>
              <w:spacing w:after="0" w:afterLines="0" w:line="400" w:lineRule="exact"/>
              <w:outlineLvl w:val="0"/>
              <w:rPr>
                <w:rFonts w:hint="eastAsia" w:ascii="微软雅黑" w:hAnsi="微软雅黑" w:eastAsia="微软雅黑" w:cs="微软雅黑"/>
                <w:b/>
                <w:color w:val="auto"/>
                <w:sz w:val="21"/>
                <w:szCs w:val="21"/>
                <w:highlight w:val="none"/>
              </w:rPr>
            </w:pPr>
            <w:bookmarkStart w:id="102" w:name="_Toc18202"/>
            <w:bookmarkStart w:id="103" w:name="_Toc11065"/>
            <w:r>
              <w:rPr>
                <w:rFonts w:hint="eastAsia" w:ascii="微软雅黑" w:hAnsi="微软雅黑" w:eastAsia="微软雅黑" w:cs="微软雅黑"/>
                <w:b/>
                <w:color w:val="auto"/>
                <w:sz w:val="21"/>
                <w:szCs w:val="21"/>
                <w:highlight w:val="none"/>
              </w:rPr>
              <w:t>基于脑电的溯源定位系统</w:t>
            </w:r>
            <w:bookmarkEnd w:id="102"/>
            <w:bookmarkEnd w:id="103"/>
          </w:p>
        </w:tc>
      </w:tr>
      <w:tr w14:paraId="0137F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0ECAE77A">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URS编号</w:t>
            </w:r>
          </w:p>
        </w:tc>
        <w:tc>
          <w:tcPr>
            <w:tcW w:w="3472"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771935DA">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需求描述</w:t>
            </w:r>
          </w:p>
        </w:tc>
        <w:tc>
          <w:tcPr>
            <w:tcW w:w="829"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4B9D34D0">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期望/必需</w:t>
            </w:r>
          </w:p>
        </w:tc>
      </w:tr>
      <w:tr w14:paraId="704AB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3"/>
            <w:tcBorders>
              <w:top w:val="single" w:color="auto" w:sz="4" w:space="0"/>
              <w:left w:val="single" w:color="auto" w:sz="4" w:space="0"/>
              <w:bottom w:val="single" w:color="auto" w:sz="4" w:space="0"/>
              <w:right w:val="single" w:color="auto" w:sz="4" w:space="0"/>
              <w:tl2br w:val="nil"/>
              <w:tr2bl w:val="nil"/>
            </w:tcBorders>
            <w:noWrap w:val="0"/>
            <w:vAlign w:val="top"/>
          </w:tcPr>
          <w:p w14:paraId="5AF9FDD5">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放大器参数</w:t>
            </w:r>
          </w:p>
        </w:tc>
      </w:tr>
      <w:tr w14:paraId="6918B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0BBC4817">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6F4CF7D">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放大器通道数量：50通道，可采集脑电及生理信号；</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6A52AC">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4BE09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68DDA53D">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6C272F29">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放大器支持USB、网线两种传输方式</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FD18E4">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37CB8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4DC7C180">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6571E6AC">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噪声: &lt;0.3μV RMS；</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F934AE">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0805F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7323764A">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082EC64C">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共模抑制比: 160dB；</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AC003D">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06617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622AEEF8">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E715D91">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输入阻抗: 180MΩ； </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4AD815">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4C77D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73725750">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359694B7">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A/D转换: 24 位；</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3C2891">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4CD2B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4F30539A">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1342C378">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采样率：最高≥32000Hz；</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88BE10">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1E39F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75FE4441">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48E3A9FB">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带宽：DC-8000Hz，所有通道可设为DC通道</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35860E">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50EED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4BE752AB">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47187F88">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16GB 内置存储卡，可升级至64GB；闪光刺激器使用96矩阵的超亮度LED； </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8F89CD">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006DB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1272CE5A">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05AA6632">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放大器内置彩色液晶屏，可以显示放大器传输方式、连接状态、阻抗测试、放大器定标、存储空间、电池电量、预览每一导波形；</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0913F0">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0E7F1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7D2096FC">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6DD39E4">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提供脉搏血氧饱和度接口,脉搏血氧饱和度仪获得血氧饱和度（SpO2）、脉率（PR）、脉搏容积（PLETH）信号；</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8F9918">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0C392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4F096F2C">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485B2455">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放大器支持串联最高达到200通道；</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4AC83A8">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6F7CE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4147886D">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57F6FD2E">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可支持采集血氧、体位、心率、胸腹压、口鼻流速、腿动、PTT脉搏传递时间等多导睡眠参数，做PSG多导睡眠监测；</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214E16">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330BC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5EC8438F">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E5B0C2A">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放大器内置TTL触发输入，可用于事件相关电位ERP的科研设备；</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EFEA46">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2EA42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669DF6A9">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19DF7901">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放大器电极输入孔LED灯，监测阻抗大小。</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top"/>
          </w:tcPr>
          <w:p w14:paraId="1D9B07C9">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0943A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3"/>
            <w:tcBorders>
              <w:top w:val="single" w:color="auto" w:sz="4" w:space="0"/>
              <w:left w:val="single" w:color="auto" w:sz="4" w:space="0"/>
              <w:bottom w:val="single" w:color="auto" w:sz="4" w:space="0"/>
              <w:right w:val="single" w:color="auto" w:sz="4" w:space="0"/>
              <w:tl2br w:val="nil"/>
              <w:tr2bl w:val="nil"/>
            </w:tcBorders>
            <w:noWrap w:val="0"/>
            <w:vAlign w:val="top"/>
          </w:tcPr>
          <w:p w14:paraId="34F236A5">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采集分析软件参数要求</w:t>
            </w:r>
          </w:p>
        </w:tc>
      </w:tr>
      <w:tr w14:paraId="7F870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7FB2BD55">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105FC89E">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病例数据库管理软件，支持数据分类；兼容数据库可快速设置跟医院HIS系统的连接；</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B462BB">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2057D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68202F0C">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31C03EDC">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采集灵敏度、高低通滤波参数可以自定义 </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D46C37">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1F499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64FD1B22">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48D5AF8B">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采样率可自定义128、256、512、1024、2048、4096、8192、16000、32000Hz</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372713">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0518E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5570D0E2">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0B6B12C1">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拉普拉斯源定位导联方式；</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5E5BDB">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2407C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29CD1173">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0849FE35">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数据回放工作站可远程监测正在采集数据并打标；</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7D2B732">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1801C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24F91057">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137E7C56">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波幅与时限的精确测量，并可放大任何一部分的波形；</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052EEA6">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65F88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74EAAD0D">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1433AEB8">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数据可定期上传至脑电网络中的数据服务器；</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6EF041">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59F44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60AD9834">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75C70ADB">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断电数据保护功能，保证在断电状态下不会丢失数据；</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6E4FA8">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55A59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6D008BC5">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1BC6DCA4">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左右大脑半球对应导联分屏显示，对比分析；</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573436">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6CCB5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2D7CB36F">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67A5088A">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回顾时可随时更改导联， 改变不同导联波形的颜色；</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3A3188">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4C635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205ACF71">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6CFA7F3">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屏幕拷贝功能，将屏幕显示的脑电图转换到其他文档内；</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565C0D">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022C9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70EA96F8">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16ED7758">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专业的EEG REV功能，可使存储于光盘中的脑电图资料在一台没有安装任何脑电图回顾软件的普通电脑上回顾再分析测量等；</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F30426">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26BA5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372D97C0">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0779626E">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报告生成系统，支持 WORD及超文本两种报告格式；可任意剪辑波形且可粘贴在中文报告上，与中文报告同页打出；</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98DA7B">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28D36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35F4B42D">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1EF2057F">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数据支持EDF / EDF +，ASCII导出；</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01B016">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00848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top"/>
          </w:tcPr>
          <w:p w14:paraId="75ACEF25">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0C611AD0">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配置要求：</w:t>
            </w:r>
          </w:p>
          <w:p w14:paraId="7A83D5AC">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1.脑电图放大器                                      1套</w:t>
            </w:r>
          </w:p>
          <w:p w14:paraId="716F4B62">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2.放大器适配器                                      1个</w:t>
            </w:r>
          </w:p>
          <w:p w14:paraId="646519CC">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3.LED闪光刺激器，带固定支臂和夹子                  1套</w:t>
            </w:r>
          </w:p>
          <w:p w14:paraId="735303B8">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4.采集及数据回放软件                                1套</w:t>
            </w:r>
          </w:p>
          <w:p w14:paraId="025A0E8B">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5.台车</w:t>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ab/>
            </w:r>
            <w:r>
              <w:rPr>
                <w:rFonts w:hint="eastAsia" w:ascii="微软雅黑" w:hAnsi="微软雅黑" w:eastAsia="微软雅黑" w:cs="微软雅黑"/>
                <w:color w:val="auto"/>
                <w:sz w:val="21"/>
                <w:szCs w:val="21"/>
                <w:highlight w:val="none"/>
              </w:rPr>
              <w:t xml:space="preserve">                          1套 </w:t>
            </w:r>
          </w:p>
          <w:p w14:paraId="2FFE3B18">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6.计算机                                            1套</w:t>
            </w:r>
          </w:p>
          <w:p w14:paraId="1FE06BF0">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7.打印机                                            1台</w:t>
            </w:r>
          </w:p>
          <w:p w14:paraId="4A81688E">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8.电极                                              1套                  </w:t>
            </w:r>
          </w:p>
          <w:p w14:paraId="4C4E381A">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9.导电膏                                           1瓶</w:t>
            </w:r>
          </w:p>
          <w:p w14:paraId="55274642">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10.凝胶                                             1瓶 </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top"/>
          </w:tcPr>
          <w:p w14:paraId="219CEDA0">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0EBC90A1">
        <w:tblPrEx>
          <w:tblCellMar>
            <w:top w:w="0" w:type="dxa"/>
            <w:left w:w="108" w:type="dxa"/>
            <w:bottom w:w="0" w:type="dxa"/>
            <w:right w:w="108" w:type="dxa"/>
          </w:tblCellMar>
        </w:tblPrEx>
        <w:trPr>
          <w:trHeight w:val="396" w:hRule="atLeast"/>
          <w:jc w:val="center"/>
        </w:trPr>
        <w:tc>
          <w:tcPr>
            <w:tcW w:w="5000" w:type="pct"/>
            <w:gridSpan w:val="3"/>
            <w:tcBorders>
              <w:top w:val="single" w:color="auto" w:sz="4" w:space="0"/>
              <w:left w:val="nil"/>
              <w:bottom w:val="single" w:color="auto" w:sz="4" w:space="0"/>
              <w:right w:val="nil"/>
            </w:tcBorders>
            <w:vAlign w:val="center"/>
          </w:tcPr>
          <w:p w14:paraId="373C19FD">
            <w:pPr>
              <w:keepNext w:val="0"/>
              <w:keepLines w:val="0"/>
              <w:pageBreakBefore w:val="0"/>
              <w:numPr>
                <w:ilvl w:val="1"/>
                <w:numId w:val="4"/>
              </w:numPr>
              <w:kinsoku/>
              <w:wordWrap/>
              <w:overflowPunct/>
              <w:topLinePunct w:val="0"/>
              <w:bidi w:val="0"/>
              <w:spacing w:after="0" w:afterLines="0" w:line="400" w:lineRule="exact"/>
              <w:ind w:left="777" w:leftChars="0" w:hanging="567" w:firstLineChars="0"/>
              <w:outlineLvl w:val="0"/>
              <w:rPr>
                <w:rFonts w:hint="eastAsia" w:ascii="微软雅黑" w:hAnsi="微软雅黑" w:eastAsia="微软雅黑" w:cs="微软雅黑"/>
                <w:color w:val="auto"/>
                <w:sz w:val="21"/>
                <w:szCs w:val="21"/>
                <w:highlight w:val="none"/>
                <w:lang w:val="en-US" w:eastAsia="zh-CN"/>
              </w:rPr>
            </w:pPr>
            <w:bookmarkStart w:id="104" w:name="_Toc32055"/>
            <w:bookmarkStart w:id="105" w:name="_Toc24341"/>
            <w:r>
              <w:rPr>
                <w:rFonts w:hint="eastAsia" w:ascii="微软雅黑" w:hAnsi="微软雅黑" w:eastAsia="微软雅黑" w:cs="微软雅黑"/>
                <w:b/>
                <w:color w:val="auto"/>
                <w:sz w:val="21"/>
                <w:szCs w:val="21"/>
                <w:highlight w:val="none"/>
                <w:lang w:val="en-US" w:eastAsia="zh-CN"/>
              </w:rPr>
              <w:t>脑电系统</w:t>
            </w:r>
            <w:bookmarkEnd w:id="104"/>
            <w:bookmarkEnd w:id="105"/>
          </w:p>
        </w:tc>
      </w:tr>
      <w:tr w14:paraId="42891C76">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693BB2C">
            <w:pPr>
              <w:keepNext w:val="0"/>
              <w:keepLines w:val="0"/>
              <w:pageBreakBefore w:val="0"/>
              <w:numPr>
                <w:ilvl w:val="-1"/>
                <w:numId w:val="0"/>
              </w:numPr>
              <w:kinsoku/>
              <w:wordWrap/>
              <w:overflowPunct/>
              <w:topLinePunct w:val="0"/>
              <w:bidi w:val="0"/>
              <w:spacing w:after="0" w:afterLines="0" w:line="400" w:lineRule="exact"/>
              <w:ind w:left="0" w:firstLine="0"/>
              <w:jc w:val="center"/>
              <w:outlineLvl w:val="9"/>
              <w:rPr>
                <w:rFonts w:hint="eastAsia" w:ascii="微软雅黑" w:hAnsi="微软雅黑" w:eastAsia="微软雅黑" w:cs="微软雅黑"/>
                <w:b/>
                <w:bCs/>
                <w:color w:val="auto"/>
                <w:kern w:val="2"/>
                <w:sz w:val="21"/>
                <w:szCs w:val="21"/>
                <w:highlight w:val="none"/>
                <w:lang w:val="en-US" w:eastAsia="zh-CN" w:bidi="ar-SA"/>
              </w:rPr>
            </w:pPr>
            <w:r>
              <w:rPr>
                <w:rFonts w:hint="eastAsia" w:ascii="微软雅黑" w:hAnsi="微软雅黑" w:eastAsia="微软雅黑" w:cs="微软雅黑"/>
                <w:b/>
                <w:bCs/>
                <w:color w:val="auto"/>
                <w:sz w:val="21"/>
                <w:szCs w:val="21"/>
                <w:highlight w:val="none"/>
              </w:rPr>
              <w:t>URS编号</w:t>
            </w:r>
          </w:p>
        </w:tc>
        <w:tc>
          <w:tcPr>
            <w:tcW w:w="3472"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811F2D8">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kern w:val="2"/>
                <w:sz w:val="21"/>
                <w:szCs w:val="21"/>
                <w:highlight w:val="none"/>
                <w:lang w:val="en-US" w:eastAsia="zh-CN" w:bidi="ar-SA"/>
              </w:rPr>
            </w:pPr>
            <w:r>
              <w:rPr>
                <w:rFonts w:hint="eastAsia" w:ascii="微软雅黑" w:hAnsi="微软雅黑" w:eastAsia="微软雅黑" w:cs="微软雅黑"/>
                <w:b/>
                <w:bCs/>
                <w:color w:val="auto"/>
                <w:sz w:val="21"/>
                <w:szCs w:val="21"/>
                <w:highlight w:val="none"/>
              </w:rPr>
              <w:t>需求描述</w:t>
            </w:r>
          </w:p>
        </w:tc>
        <w:tc>
          <w:tcPr>
            <w:tcW w:w="829"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24AA0758">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kern w:val="2"/>
                <w:sz w:val="21"/>
                <w:szCs w:val="21"/>
                <w:highlight w:val="none"/>
                <w:lang w:val="en-US" w:eastAsia="zh-CN" w:bidi="ar-SA"/>
              </w:rPr>
            </w:pPr>
            <w:r>
              <w:rPr>
                <w:rFonts w:hint="eastAsia" w:ascii="微软雅黑" w:hAnsi="微软雅黑" w:eastAsia="微软雅黑" w:cs="微软雅黑"/>
                <w:b/>
                <w:bCs/>
                <w:color w:val="auto"/>
                <w:sz w:val="21"/>
                <w:szCs w:val="21"/>
                <w:highlight w:val="none"/>
                <w:lang w:val="en-US" w:eastAsia="zh-CN"/>
              </w:rPr>
              <w:t>期望/必需</w:t>
            </w:r>
          </w:p>
        </w:tc>
      </w:tr>
      <w:tr w14:paraId="77B09842">
        <w:tblPrEx>
          <w:tblCellMar>
            <w:top w:w="0" w:type="dxa"/>
            <w:left w:w="108" w:type="dxa"/>
            <w:bottom w:w="0" w:type="dxa"/>
            <w:right w:w="108" w:type="dxa"/>
          </w:tblCellMar>
        </w:tblPrEx>
        <w:trPr>
          <w:trHeight w:val="397" w:hRule="atLeast"/>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14:paraId="74C05FD1">
            <w:pPr>
              <w:keepNext w:val="0"/>
              <w:keepLines w:val="0"/>
              <w:pageBreakBefore w:val="0"/>
              <w:kinsoku/>
              <w:wordWrap/>
              <w:overflowPunct/>
              <w:topLinePunct w:val="0"/>
              <w:autoSpaceDE/>
              <w:autoSpaceDN/>
              <w:bidi w:val="0"/>
              <w:adjustRightInd/>
              <w:snapToGrid/>
              <w:spacing w:after="0" w:afterLines="0" w:line="400" w:lineRule="exact"/>
              <w:jc w:val="left"/>
              <w:textAlignment w:val="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bCs/>
                <w:color w:val="auto"/>
                <w:kern w:val="0"/>
                <w:sz w:val="21"/>
                <w:szCs w:val="21"/>
                <w:highlight w:val="none"/>
              </w:rPr>
              <w:t>放大器技术参数需求</w:t>
            </w:r>
          </w:p>
        </w:tc>
      </w:tr>
      <w:tr w14:paraId="37E732D3">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7762ECE0">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vAlign w:val="center"/>
          </w:tcPr>
          <w:p w14:paraId="06B42BEB">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 xml:space="preserve">至少具有64通道EEG信号测量；配备至少8个双极通道，设备可同步采集EEG、ERP、ECOG、皮电、呼吸、心电、加速度、温度、血压等生理参数； </w:t>
            </w:r>
          </w:p>
        </w:tc>
        <w:tc>
          <w:tcPr>
            <w:tcW w:w="829" w:type="pct"/>
            <w:tcBorders>
              <w:top w:val="single" w:color="auto" w:sz="4" w:space="0"/>
              <w:left w:val="single" w:color="auto" w:sz="4" w:space="0"/>
              <w:bottom w:val="single" w:color="auto" w:sz="4" w:space="0"/>
              <w:right w:val="single" w:color="auto" w:sz="4" w:space="0"/>
            </w:tcBorders>
            <w:vAlign w:val="center"/>
          </w:tcPr>
          <w:p w14:paraId="42FAB022">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必需</w:t>
            </w:r>
          </w:p>
        </w:tc>
      </w:tr>
      <w:tr w14:paraId="279A5AF0">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0BC4285A">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vAlign w:val="top"/>
          </w:tcPr>
          <w:p w14:paraId="61751BA2">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采样速率：≥45000Hz/通道（所有通道同时采集时）；</w:t>
            </w:r>
          </w:p>
        </w:tc>
        <w:tc>
          <w:tcPr>
            <w:tcW w:w="829" w:type="pct"/>
            <w:tcBorders>
              <w:top w:val="single" w:color="auto" w:sz="4" w:space="0"/>
              <w:left w:val="single" w:color="auto" w:sz="4" w:space="0"/>
              <w:bottom w:val="single" w:color="auto" w:sz="4" w:space="0"/>
              <w:right w:val="single" w:color="auto" w:sz="4" w:space="0"/>
            </w:tcBorders>
            <w:vAlign w:val="center"/>
          </w:tcPr>
          <w:p w14:paraId="59FB2870">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必需</w:t>
            </w:r>
          </w:p>
        </w:tc>
      </w:tr>
      <w:tr w14:paraId="25022C6D">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209DB141">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vAlign w:val="top"/>
          </w:tcPr>
          <w:p w14:paraId="39F97905">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带宽：≥DC-7000Hz，支持AC/DC采集模式；</w:t>
            </w:r>
          </w:p>
        </w:tc>
        <w:tc>
          <w:tcPr>
            <w:tcW w:w="829" w:type="pct"/>
            <w:tcBorders>
              <w:top w:val="single" w:color="auto" w:sz="4" w:space="0"/>
              <w:left w:val="single" w:color="auto" w:sz="4" w:space="0"/>
              <w:bottom w:val="single" w:color="auto" w:sz="4" w:space="0"/>
              <w:right w:val="single" w:color="auto" w:sz="4" w:space="0"/>
            </w:tcBorders>
            <w:vAlign w:val="center"/>
          </w:tcPr>
          <w:p w14:paraId="09A582D8">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01A99F62">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52BF6ED6">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vAlign w:val="top"/>
          </w:tcPr>
          <w:p w14:paraId="5C4E412E">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共模抑制比：≥100 dB；</w:t>
            </w:r>
          </w:p>
        </w:tc>
        <w:tc>
          <w:tcPr>
            <w:tcW w:w="829" w:type="pct"/>
            <w:tcBorders>
              <w:top w:val="single" w:color="auto" w:sz="4" w:space="0"/>
              <w:left w:val="single" w:color="auto" w:sz="4" w:space="0"/>
              <w:bottom w:val="single" w:color="auto" w:sz="4" w:space="0"/>
              <w:right w:val="single" w:color="auto" w:sz="4" w:space="0"/>
            </w:tcBorders>
            <w:vAlign w:val="center"/>
          </w:tcPr>
          <w:p w14:paraId="6C69A589">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30BE803F">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4D5BF71E">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vAlign w:val="top"/>
          </w:tcPr>
          <w:p w14:paraId="43BF62CE">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信号分辨率：≤0.049 µV / bit ；</w:t>
            </w:r>
          </w:p>
        </w:tc>
        <w:tc>
          <w:tcPr>
            <w:tcW w:w="829" w:type="pct"/>
            <w:tcBorders>
              <w:top w:val="single" w:color="auto" w:sz="4" w:space="0"/>
              <w:left w:val="single" w:color="auto" w:sz="4" w:space="0"/>
              <w:bottom w:val="single" w:color="auto" w:sz="4" w:space="0"/>
              <w:right w:val="single" w:color="auto" w:sz="4" w:space="0"/>
            </w:tcBorders>
            <w:vAlign w:val="center"/>
          </w:tcPr>
          <w:p w14:paraId="49AD8154">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72DD8A51">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732B51BE">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vAlign w:val="top"/>
          </w:tcPr>
          <w:p w14:paraId="02F33776">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放大器噪声：≤2μVpp；</w:t>
            </w:r>
          </w:p>
        </w:tc>
        <w:tc>
          <w:tcPr>
            <w:tcW w:w="829" w:type="pct"/>
            <w:tcBorders>
              <w:top w:val="single" w:color="auto" w:sz="4" w:space="0"/>
              <w:left w:val="single" w:color="auto" w:sz="4" w:space="0"/>
              <w:bottom w:val="single" w:color="auto" w:sz="4" w:space="0"/>
              <w:right w:val="single" w:color="auto" w:sz="4" w:space="0"/>
            </w:tcBorders>
            <w:vAlign w:val="center"/>
          </w:tcPr>
          <w:p w14:paraId="7196B3E5">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25478812">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65BD67F8">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vAlign w:val="top"/>
          </w:tcPr>
          <w:p w14:paraId="5137DA69">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A/D转换：≥24位；</w:t>
            </w:r>
          </w:p>
        </w:tc>
        <w:tc>
          <w:tcPr>
            <w:tcW w:w="829" w:type="pct"/>
            <w:tcBorders>
              <w:top w:val="single" w:color="auto" w:sz="4" w:space="0"/>
              <w:left w:val="single" w:color="auto" w:sz="4" w:space="0"/>
              <w:bottom w:val="single" w:color="auto" w:sz="4" w:space="0"/>
              <w:right w:val="single" w:color="auto" w:sz="4" w:space="0"/>
            </w:tcBorders>
            <w:vAlign w:val="center"/>
          </w:tcPr>
          <w:p w14:paraId="1B499AFC">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6FA906E8">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1E579E91">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vAlign w:val="top"/>
          </w:tcPr>
          <w:p w14:paraId="3436ADCE">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采用专用USB线进行数据传输，支持在非屏蔽室环境下准确记录脑电信号；</w:t>
            </w:r>
          </w:p>
        </w:tc>
        <w:tc>
          <w:tcPr>
            <w:tcW w:w="829" w:type="pct"/>
            <w:tcBorders>
              <w:top w:val="single" w:color="auto" w:sz="4" w:space="0"/>
              <w:left w:val="single" w:color="auto" w:sz="4" w:space="0"/>
              <w:bottom w:val="single" w:color="auto" w:sz="4" w:space="0"/>
              <w:right w:val="single" w:color="auto" w:sz="4" w:space="0"/>
            </w:tcBorders>
            <w:vAlign w:val="center"/>
          </w:tcPr>
          <w:p w14:paraId="45EB60D6">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0717D8AD">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65B342B0">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vAlign w:val="top"/>
          </w:tcPr>
          <w:p w14:paraId="3A77CBC0">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系统模块化设计，后期可直接拓展，不要另外购置放大器与头盒；</w:t>
            </w:r>
          </w:p>
        </w:tc>
        <w:tc>
          <w:tcPr>
            <w:tcW w:w="829" w:type="pct"/>
            <w:tcBorders>
              <w:top w:val="single" w:color="auto" w:sz="4" w:space="0"/>
              <w:left w:val="single" w:color="auto" w:sz="4" w:space="0"/>
              <w:bottom w:val="single" w:color="auto" w:sz="4" w:space="0"/>
              <w:right w:val="single" w:color="auto" w:sz="4" w:space="0"/>
            </w:tcBorders>
            <w:vAlign w:val="center"/>
          </w:tcPr>
          <w:p w14:paraId="2DF75FE6">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77116288">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5A1C3D01">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vAlign w:val="center"/>
          </w:tcPr>
          <w:p w14:paraId="04659707">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为方便携带，要求放大器重量≤2kg；</w:t>
            </w:r>
          </w:p>
        </w:tc>
        <w:tc>
          <w:tcPr>
            <w:tcW w:w="829" w:type="pct"/>
            <w:tcBorders>
              <w:top w:val="single" w:color="auto" w:sz="4" w:space="0"/>
              <w:left w:val="single" w:color="auto" w:sz="4" w:space="0"/>
              <w:bottom w:val="single" w:color="auto" w:sz="4" w:space="0"/>
              <w:right w:val="single" w:color="auto" w:sz="4" w:space="0"/>
            </w:tcBorders>
            <w:vAlign w:val="center"/>
          </w:tcPr>
          <w:p w14:paraId="243EAF20">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7AC31BBE">
        <w:tblPrEx>
          <w:tblCellMar>
            <w:top w:w="0" w:type="dxa"/>
            <w:left w:w="108" w:type="dxa"/>
            <w:bottom w:w="0" w:type="dxa"/>
            <w:right w:w="108" w:type="dxa"/>
          </w:tblCellMar>
        </w:tblPrEx>
        <w:trPr>
          <w:trHeight w:val="397" w:hRule="atLeast"/>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14:paraId="78E30355">
            <w:pPr>
              <w:keepNext w:val="0"/>
              <w:keepLines w:val="0"/>
              <w:pageBreakBefore w:val="0"/>
              <w:kinsoku/>
              <w:wordWrap/>
              <w:overflowPunct/>
              <w:topLinePunct w:val="0"/>
              <w:autoSpaceDE/>
              <w:autoSpaceDN/>
              <w:bidi w:val="0"/>
              <w:adjustRightInd/>
              <w:snapToGrid/>
              <w:spacing w:after="0" w:afterLines="0" w:line="400" w:lineRule="exact"/>
              <w:jc w:val="left"/>
              <w:textAlignment w:val="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电极帽参数需求</w:t>
            </w:r>
          </w:p>
        </w:tc>
      </w:tr>
      <w:tr w14:paraId="66FA944A">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201EBFF4">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top"/>
          </w:tcPr>
          <w:p w14:paraId="055E56A7">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bCs/>
                <w:color w:val="auto"/>
                <w:kern w:val="0"/>
                <w:sz w:val="21"/>
                <w:szCs w:val="21"/>
                <w:highlight w:val="none"/>
              </w:rPr>
              <w:t>电极系统材质为Ag/AgCl电极</w:t>
            </w:r>
          </w:p>
        </w:tc>
        <w:tc>
          <w:tcPr>
            <w:tcW w:w="829" w:type="pct"/>
            <w:tcBorders>
              <w:top w:val="single" w:color="auto" w:sz="4" w:space="0"/>
              <w:left w:val="single" w:color="auto" w:sz="4" w:space="0"/>
              <w:bottom w:val="single" w:color="auto" w:sz="4" w:space="0"/>
              <w:right w:val="single" w:color="auto" w:sz="4" w:space="0"/>
            </w:tcBorders>
            <w:vAlign w:val="center"/>
          </w:tcPr>
          <w:p w14:paraId="2C6FC2E4">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6444893D">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3E76175A">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top"/>
          </w:tcPr>
          <w:p w14:paraId="078F3370">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bCs/>
                <w:color w:val="auto"/>
                <w:kern w:val="0"/>
                <w:sz w:val="21"/>
                <w:szCs w:val="21"/>
                <w:highlight w:val="none"/>
              </w:rPr>
              <w:t>电极采用模块化设计，单根电极可拆卸设计，替换更为方便；</w:t>
            </w:r>
          </w:p>
        </w:tc>
        <w:tc>
          <w:tcPr>
            <w:tcW w:w="829" w:type="pct"/>
            <w:tcBorders>
              <w:top w:val="single" w:color="auto" w:sz="4" w:space="0"/>
              <w:left w:val="single" w:color="auto" w:sz="4" w:space="0"/>
              <w:bottom w:val="single" w:color="auto" w:sz="4" w:space="0"/>
              <w:right w:val="single" w:color="auto" w:sz="4" w:space="0"/>
            </w:tcBorders>
            <w:vAlign w:val="center"/>
          </w:tcPr>
          <w:p w14:paraId="66088109">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19F9CB5D">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62DB7673">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top"/>
          </w:tcPr>
          <w:p w14:paraId="4591667C">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bCs/>
                <w:color w:val="auto"/>
                <w:kern w:val="0"/>
                <w:sz w:val="21"/>
                <w:szCs w:val="21"/>
                <w:highlight w:val="none"/>
              </w:rPr>
              <w:t>使用者通过观察电极帽上的电极灯光颜色即可实时监控到到电极与头皮的接触情况；</w:t>
            </w:r>
          </w:p>
        </w:tc>
        <w:tc>
          <w:tcPr>
            <w:tcW w:w="829" w:type="pct"/>
            <w:tcBorders>
              <w:top w:val="single" w:color="auto" w:sz="4" w:space="0"/>
              <w:left w:val="single" w:color="auto" w:sz="4" w:space="0"/>
              <w:bottom w:val="single" w:color="auto" w:sz="4" w:space="0"/>
              <w:right w:val="single" w:color="auto" w:sz="4" w:space="0"/>
            </w:tcBorders>
            <w:vAlign w:val="center"/>
          </w:tcPr>
          <w:p w14:paraId="5FB4E2E1">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532F1A2C">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0142ABD8">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top"/>
          </w:tcPr>
          <w:p w14:paraId="377A5B86">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bCs/>
                <w:color w:val="auto"/>
                <w:kern w:val="0"/>
                <w:sz w:val="21"/>
                <w:szCs w:val="21"/>
                <w:highlight w:val="none"/>
              </w:rPr>
              <w:t>导电介质为膏状不易挥发也不需要实验中途添加；</w:t>
            </w:r>
          </w:p>
        </w:tc>
        <w:tc>
          <w:tcPr>
            <w:tcW w:w="829" w:type="pct"/>
            <w:tcBorders>
              <w:top w:val="single" w:color="auto" w:sz="4" w:space="0"/>
              <w:left w:val="single" w:color="auto" w:sz="4" w:space="0"/>
              <w:bottom w:val="single" w:color="auto" w:sz="4" w:space="0"/>
              <w:right w:val="single" w:color="auto" w:sz="4" w:space="0"/>
            </w:tcBorders>
            <w:vAlign w:val="center"/>
          </w:tcPr>
          <w:p w14:paraId="7D8540F5">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4F25667A">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34D94A1C">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top"/>
          </w:tcPr>
          <w:p w14:paraId="4D680CA7">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bCs/>
                <w:color w:val="auto"/>
                <w:kern w:val="0"/>
                <w:sz w:val="21"/>
                <w:szCs w:val="21"/>
                <w:highlight w:val="none"/>
              </w:rPr>
              <w:t>设备和电极直接支持与TMS、fNIRS设备同步采集,无需更换电极系统</w:t>
            </w:r>
          </w:p>
        </w:tc>
        <w:tc>
          <w:tcPr>
            <w:tcW w:w="829" w:type="pct"/>
            <w:tcBorders>
              <w:top w:val="single" w:color="auto" w:sz="4" w:space="0"/>
              <w:left w:val="single" w:color="auto" w:sz="4" w:space="0"/>
              <w:bottom w:val="single" w:color="auto" w:sz="4" w:space="0"/>
              <w:right w:val="single" w:color="auto" w:sz="4" w:space="0"/>
            </w:tcBorders>
            <w:vAlign w:val="center"/>
          </w:tcPr>
          <w:p w14:paraId="12FE0E43">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0CB61AB0">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657ECF08">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top"/>
          </w:tcPr>
          <w:p w14:paraId="773D007A">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bCs/>
                <w:color w:val="auto"/>
                <w:kern w:val="0"/>
                <w:sz w:val="21"/>
                <w:szCs w:val="21"/>
                <w:highlight w:val="none"/>
              </w:rPr>
              <w:t>设备可支持被动电极及电极帽、主动电极及电极帽、盐水电极及电极帽、干电极系统及电极帽</w:t>
            </w:r>
          </w:p>
        </w:tc>
        <w:tc>
          <w:tcPr>
            <w:tcW w:w="829" w:type="pct"/>
            <w:tcBorders>
              <w:top w:val="single" w:color="auto" w:sz="4" w:space="0"/>
              <w:left w:val="single" w:color="auto" w:sz="4" w:space="0"/>
              <w:bottom w:val="single" w:color="auto" w:sz="4" w:space="0"/>
              <w:right w:val="single" w:color="auto" w:sz="4" w:space="0"/>
            </w:tcBorders>
            <w:vAlign w:val="center"/>
          </w:tcPr>
          <w:p w14:paraId="6D05C355">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07BBB87A">
        <w:tblPrEx>
          <w:tblCellMar>
            <w:top w:w="0" w:type="dxa"/>
            <w:left w:w="108" w:type="dxa"/>
            <w:bottom w:w="0" w:type="dxa"/>
            <w:right w:w="108" w:type="dxa"/>
          </w:tblCellMar>
        </w:tblPrEx>
        <w:trPr>
          <w:trHeight w:val="335" w:hRule="atLeast"/>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14:paraId="70DC04A4">
            <w:pPr>
              <w:keepNext w:val="0"/>
              <w:keepLines w:val="0"/>
              <w:pageBreakBefore w:val="0"/>
              <w:kinsoku/>
              <w:wordWrap/>
              <w:overflowPunct/>
              <w:topLinePunct w:val="0"/>
              <w:autoSpaceDE/>
              <w:autoSpaceDN/>
              <w:bidi w:val="0"/>
              <w:adjustRightInd/>
              <w:snapToGrid/>
              <w:spacing w:after="0" w:afterLines="0" w:line="400" w:lineRule="exact"/>
              <w:jc w:val="left"/>
              <w:textAlignment w:val="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软件参数需求</w:t>
            </w:r>
          </w:p>
        </w:tc>
      </w:tr>
      <w:tr w14:paraId="7CFF2477">
        <w:tblPrEx>
          <w:tblCellMar>
            <w:top w:w="0" w:type="dxa"/>
            <w:left w:w="108" w:type="dxa"/>
            <w:bottom w:w="0" w:type="dxa"/>
            <w:right w:w="108" w:type="dxa"/>
          </w:tblCellMar>
        </w:tblPrEx>
        <w:trPr>
          <w:trHeight w:val="335"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680D29EC">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vAlign w:val="center"/>
          </w:tcPr>
          <w:p w14:paraId="5626C37F">
            <w:pPr>
              <w:keepNext w:val="0"/>
              <w:keepLines w:val="0"/>
              <w:pageBreakBefore w:val="0"/>
              <w:widowControl/>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bCs/>
                <w:color w:val="auto"/>
                <w:kern w:val="0"/>
                <w:sz w:val="21"/>
                <w:szCs w:val="21"/>
                <w:highlight w:val="none"/>
              </w:rPr>
              <w:t>软件可自由编程，可实现声音、文字、文本、图片等不同类型的实验程序；</w:t>
            </w:r>
          </w:p>
        </w:tc>
        <w:tc>
          <w:tcPr>
            <w:tcW w:w="829" w:type="pct"/>
            <w:tcBorders>
              <w:top w:val="single" w:color="auto" w:sz="4" w:space="0"/>
              <w:left w:val="single" w:color="auto" w:sz="4" w:space="0"/>
              <w:bottom w:val="single" w:color="auto" w:sz="4" w:space="0"/>
              <w:right w:val="single" w:color="auto" w:sz="4" w:space="0"/>
            </w:tcBorders>
            <w:vAlign w:val="center"/>
          </w:tcPr>
          <w:p w14:paraId="29DEE2B1">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108197F8">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59F10717">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top"/>
          </w:tcPr>
          <w:p w14:paraId="706B364A">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bCs/>
                <w:color w:val="auto"/>
                <w:kern w:val="0"/>
                <w:sz w:val="21"/>
                <w:szCs w:val="21"/>
                <w:highlight w:val="none"/>
              </w:rPr>
              <w:t>具有独立的数据采集软件，保证数据采集时可以同时分析其它数据；</w:t>
            </w:r>
          </w:p>
        </w:tc>
        <w:tc>
          <w:tcPr>
            <w:tcW w:w="829" w:type="pct"/>
            <w:tcBorders>
              <w:top w:val="single" w:color="auto" w:sz="4" w:space="0"/>
              <w:left w:val="single" w:color="auto" w:sz="4" w:space="0"/>
              <w:bottom w:val="single" w:color="auto" w:sz="4" w:space="0"/>
              <w:right w:val="single" w:color="auto" w:sz="4" w:space="0"/>
            </w:tcBorders>
            <w:vAlign w:val="center"/>
          </w:tcPr>
          <w:p w14:paraId="01192390">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5EE25CD5">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4B96712C">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top"/>
          </w:tcPr>
          <w:p w14:paraId="1A15111C">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bCs/>
                <w:color w:val="auto"/>
                <w:kern w:val="0"/>
                <w:sz w:val="21"/>
                <w:szCs w:val="21"/>
                <w:highlight w:val="none"/>
              </w:rPr>
              <w:t>采集软件可直接在数据上显示事件相关标记，可自动进行阻抗测试，采用不同的颜色区分阻抗的好与坏；</w:t>
            </w:r>
          </w:p>
        </w:tc>
        <w:tc>
          <w:tcPr>
            <w:tcW w:w="829" w:type="pct"/>
            <w:tcBorders>
              <w:top w:val="single" w:color="auto" w:sz="4" w:space="0"/>
              <w:left w:val="single" w:color="auto" w:sz="4" w:space="0"/>
              <w:bottom w:val="single" w:color="auto" w:sz="4" w:space="0"/>
              <w:right w:val="single" w:color="auto" w:sz="4" w:space="0"/>
            </w:tcBorders>
            <w:vAlign w:val="center"/>
          </w:tcPr>
          <w:p w14:paraId="5A348EB6">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7BCE4A62">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4B17D3F7">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top"/>
          </w:tcPr>
          <w:p w14:paraId="40DB92A3">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bCs/>
                <w:color w:val="auto"/>
                <w:kern w:val="0"/>
                <w:sz w:val="21"/>
                <w:szCs w:val="21"/>
                <w:highlight w:val="none"/>
              </w:rPr>
              <w:t>可配套开源采集软件，提供RDA开发包，支持matlab、python、c、cpp环境下的开发工具；</w:t>
            </w:r>
          </w:p>
        </w:tc>
        <w:tc>
          <w:tcPr>
            <w:tcW w:w="829" w:type="pct"/>
            <w:tcBorders>
              <w:top w:val="single" w:color="auto" w:sz="4" w:space="0"/>
              <w:left w:val="single" w:color="auto" w:sz="4" w:space="0"/>
              <w:bottom w:val="single" w:color="auto" w:sz="4" w:space="0"/>
              <w:right w:val="single" w:color="auto" w:sz="4" w:space="0"/>
            </w:tcBorders>
            <w:vAlign w:val="center"/>
          </w:tcPr>
          <w:p w14:paraId="1AF095DF">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3B0FBE8B">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4AC670A5">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top"/>
          </w:tcPr>
          <w:p w14:paraId="739449DF">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bCs/>
                <w:color w:val="auto"/>
                <w:kern w:val="0"/>
                <w:sz w:val="21"/>
                <w:szCs w:val="21"/>
                <w:highlight w:val="none"/>
              </w:rPr>
              <w:t>采集软件自带在线分析功，可实时观测实验数据，提供选配视频同步采集模块；</w:t>
            </w:r>
          </w:p>
        </w:tc>
        <w:tc>
          <w:tcPr>
            <w:tcW w:w="829" w:type="pct"/>
            <w:tcBorders>
              <w:top w:val="single" w:color="auto" w:sz="4" w:space="0"/>
              <w:left w:val="single" w:color="auto" w:sz="4" w:space="0"/>
              <w:bottom w:val="single" w:color="auto" w:sz="4" w:space="0"/>
              <w:right w:val="single" w:color="auto" w:sz="4" w:space="0"/>
            </w:tcBorders>
            <w:vAlign w:val="center"/>
          </w:tcPr>
          <w:p w14:paraId="61452970">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2C8AD450">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74E4957F">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top"/>
          </w:tcPr>
          <w:p w14:paraId="0F59EBA8">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bCs/>
                <w:color w:val="auto"/>
                <w:kern w:val="0"/>
                <w:sz w:val="21"/>
                <w:szCs w:val="21"/>
                <w:highlight w:val="none"/>
              </w:rPr>
              <w:t>可自由设置采集软件的相关参数，如滤波、基线校准等功能；</w:t>
            </w:r>
          </w:p>
        </w:tc>
        <w:tc>
          <w:tcPr>
            <w:tcW w:w="829" w:type="pct"/>
            <w:tcBorders>
              <w:top w:val="single" w:color="auto" w:sz="4" w:space="0"/>
              <w:left w:val="single" w:color="auto" w:sz="4" w:space="0"/>
              <w:bottom w:val="single" w:color="auto" w:sz="4" w:space="0"/>
              <w:right w:val="single" w:color="auto" w:sz="4" w:space="0"/>
            </w:tcBorders>
            <w:vAlign w:val="center"/>
          </w:tcPr>
          <w:p w14:paraId="4638B63E">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762D4575">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536695D3">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top"/>
          </w:tcPr>
          <w:p w14:paraId="702B2E77">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bCs/>
                <w:color w:val="auto"/>
                <w:kern w:val="0"/>
                <w:sz w:val="21"/>
                <w:szCs w:val="21"/>
                <w:highlight w:val="none"/>
              </w:rPr>
              <w:t>具有独立的分析软件，保证采集数据不受影响，软件采用加密狗形式进行认证，可直接兼容可读取和处理多种格式的脑电数据，如十进制文本、ASCII类型等不少于20种数据格式；</w:t>
            </w:r>
          </w:p>
        </w:tc>
        <w:tc>
          <w:tcPr>
            <w:tcW w:w="829" w:type="pct"/>
            <w:tcBorders>
              <w:top w:val="single" w:color="auto" w:sz="4" w:space="0"/>
              <w:left w:val="single" w:color="auto" w:sz="4" w:space="0"/>
              <w:bottom w:val="single" w:color="auto" w:sz="4" w:space="0"/>
              <w:right w:val="single" w:color="auto" w:sz="4" w:space="0"/>
            </w:tcBorders>
            <w:vAlign w:val="center"/>
          </w:tcPr>
          <w:p w14:paraId="1DD716AB">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58359C2F">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14B79898">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top"/>
          </w:tcPr>
          <w:p w14:paraId="3A2554E6">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bCs/>
                <w:color w:val="auto"/>
                <w:kern w:val="0"/>
                <w:sz w:val="21"/>
                <w:szCs w:val="21"/>
                <w:highlight w:val="none"/>
              </w:rPr>
              <w:t>具备眼动伪迹函数校正、基线自动校正、ICA/PCA、FFT、小波变换、叠加平均、参考电极更换、滤波、二维脑电地形图制作等功能；</w:t>
            </w:r>
          </w:p>
        </w:tc>
        <w:tc>
          <w:tcPr>
            <w:tcW w:w="829" w:type="pct"/>
            <w:tcBorders>
              <w:top w:val="single" w:color="auto" w:sz="4" w:space="0"/>
              <w:left w:val="single" w:color="auto" w:sz="4" w:space="0"/>
              <w:bottom w:val="single" w:color="auto" w:sz="4" w:space="0"/>
              <w:right w:val="single" w:color="auto" w:sz="4" w:space="0"/>
            </w:tcBorders>
            <w:vAlign w:val="center"/>
          </w:tcPr>
          <w:p w14:paraId="365E5D89">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67296124">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79FF1F66">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top"/>
          </w:tcPr>
          <w:p w14:paraId="6BB839B7">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bCs/>
                <w:color w:val="auto"/>
                <w:kern w:val="0"/>
                <w:sz w:val="21"/>
                <w:szCs w:val="21"/>
                <w:highlight w:val="none"/>
              </w:rPr>
              <w:t>软件可提供三维脑地形图，支持修正核磁干扰、修正TMS干扰、修正心电干扰等功能。</w:t>
            </w:r>
          </w:p>
        </w:tc>
        <w:tc>
          <w:tcPr>
            <w:tcW w:w="829" w:type="pct"/>
            <w:tcBorders>
              <w:top w:val="single" w:color="auto" w:sz="4" w:space="0"/>
              <w:left w:val="single" w:color="auto" w:sz="4" w:space="0"/>
              <w:bottom w:val="single" w:color="auto" w:sz="4" w:space="0"/>
              <w:right w:val="single" w:color="auto" w:sz="4" w:space="0"/>
            </w:tcBorders>
            <w:vAlign w:val="center"/>
          </w:tcPr>
          <w:p w14:paraId="3388F6E3">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4903A9F7">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3FFCC48E">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top"/>
          </w:tcPr>
          <w:p w14:paraId="7E890FF9">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bCs/>
                <w:color w:val="auto"/>
                <w:kern w:val="0"/>
                <w:sz w:val="21"/>
                <w:szCs w:val="21"/>
                <w:highlight w:val="none"/>
              </w:rPr>
              <w:t>模块化结构的脑事件相关电位分析软件，可提供时域、频域、时频域的各种数据分析模式</w:t>
            </w:r>
          </w:p>
        </w:tc>
        <w:tc>
          <w:tcPr>
            <w:tcW w:w="829" w:type="pct"/>
            <w:tcBorders>
              <w:top w:val="single" w:color="auto" w:sz="4" w:space="0"/>
              <w:left w:val="single" w:color="auto" w:sz="4" w:space="0"/>
              <w:bottom w:val="single" w:color="auto" w:sz="4" w:space="0"/>
              <w:right w:val="single" w:color="auto" w:sz="4" w:space="0"/>
            </w:tcBorders>
            <w:vAlign w:val="center"/>
          </w:tcPr>
          <w:p w14:paraId="40ECBB4C">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0F5B9161">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1DB41958">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vAlign w:val="center"/>
          </w:tcPr>
          <w:p w14:paraId="4888F4FA">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b/>
                <w:bCs/>
                <w:color w:val="auto"/>
                <w:kern w:val="0"/>
                <w:sz w:val="21"/>
                <w:szCs w:val="21"/>
                <w:highlight w:val="none"/>
                <w:u w:val="none"/>
                <w:lang w:val="en-US" w:eastAsia="zh-CN"/>
              </w:rPr>
            </w:pPr>
            <w:r>
              <w:rPr>
                <w:rFonts w:hint="eastAsia" w:ascii="微软雅黑" w:hAnsi="微软雅黑" w:eastAsia="微软雅黑" w:cs="微软雅黑"/>
                <w:b/>
                <w:bCs/>
                <w:color w:val="auto"/>
                <w:kern w:val="0"/>
                <w:sz w:val="21"/>
                <w:szCs w:val="21"/>
                <w:highlight w:val="none"/>
                <w:u w:val="none"/>
                <w:lang w:val="en-US" w:eastAsia="zh-CN"/>
              </w:rPr>
              <w:t>配置要求：</w:t>
            </w:r>
          </w:p>
          <w:p w14:paraId="6270110C">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1.脑电放大器模块</w:t>
            </w:r>
            <w:r>
              <w:rPr>
                <w:rFonts w:hint="eastAsia" w:ascii="微软雅黑" w:hAnsi="微软雅黑" w:eastAsia="微软雅黑" w:cs="微软雅黑"/>
                <w:color w:val="auto"/>
                <w:sz w:val="21"/>
                <w:szCs w:val="21"/>
                <w:highlight w:val="none"/>
                <w:lang w:eastAsia="zh-CN"/>
              </w:rPr>
              <w:tab/>
            </w:r>
            <w:r>
              <w:rPr>
                <w:rFonts w:hint="eastAsia" w:ascii="微软雅黑" w:hAnsi="微软雅黑" w:eastAsia="微软雅黑" w:cs="微软雅黑"/>
                <w:color w:val="auto"/>
                <w:sz w:val="21"/>
                <w:szCs w:val="21"/>
                <w:highlight w:val="none"/>
                <w:lang w:eastAsia="zh-CN"/>
              </w:rPr>
              <w:t xml:space="preserve"> 1台</w:t>
            </w:r>
          </w:p>
          <w:p w14:paraId="043FC771">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2.32通道电极</w:t>
            </w:r>
            <w:r>
              <w:rPr>
                <w:rFonts w:hint="eastAsia" w:ascii="微软雅黑" w:hAnsi="微软雅黑" w:eastAsia="微软雅黑" w:cs="微软雅黑"/>
                <w:color w:val="auto"/>
                <w:sz w:val="21"/>
                <w:szCs w:val="21"/>
                <w:highlight w:val="none"/>
                <w:lang w:eastAsia="zh-CN"/>
              </w:rPr>
              <w:tab/>
            </w:r>
            <w:r>
              <w:rPr>
                <w:rFonts w:hint="eastAsia" w:ascii="微软雅黑" w:hAnsi="微软雅黑" w:eastAsia="微软雅黑" w:cs="微软雅黑"/>
                <w:color w:val="auto"/>
                <w:sz w:val="21"/>
                <w:szCs w:val="21"/>
                <w:highlight w:val="none"/>
                <w:lang w:eastAsia="zh-CN"/>
              </w:rPr>
              <w:t xml:space="preserve"> 2组</w:t>
            </w:r>
          </w:p>
          <w:p w14:paraId="61153C26">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3.64通道帽子皮</w:t>
            </w:r>
            <w:r>
              <w:rPr>
                <w:rFonts w:hint="eastAsia" w:ascii="微软雅黑" w:hAnsi="微软雅黑" w:eastAsia="微软雅黑" w:cs="微软雅黑"/>
                <w:color w:val="auto"/>
                <w:sz w:val="21"/>
                <w:szCs w:val="21"/>
                <w:highlight w:val="none"/>
                <w:lang w:eastAsia="zh-CN"/>
              </w:rPr>
              <w:tab/>
            </w:r>
            <w:r>
              <w:rPr>
                <w:rFonts w:hint="eastAsia" w:ascii="微软雅黑" w:hAnsi="微软雅黑" w:eastAsia="微软雅黑" w:cs="微软雅黑"/>
                <w:color w:val="auto"/>
                <w:sz w:val="21"/>
                <w:szCs w:val="21"/>
                <w:highlight w:val="none"/>
                <w:lang w:eastAsia="zh-CN"/>
              </w:rPr>
              <w:t>2个</w:t>
            </w:r>
          </w:p>
          <w:p w14:paraId="448C2C74">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4.主动信号电极</w:t>
            </w:r>
            <w:r>
              <w:rPr>
                <w:rFonts w:hint="eastAsia" w:ascii="微软雅黑" w:hAnsi="微软雅黑" w:eastAsia="微软雅黑" w:cs="微软雅黑"/>
                <w:color w:val="auto"/>
                <w:sz w:val="21"/>
                <w:szCs w:val="21"/>
                <w:highlight w:val="none"/>
                <w:lang w:eastAsia="zh-CN"/>
              </w:rPr>
              <w:tab/>
            </w:r>
            <w:r>
              <w:rPr>
                <w:rFonts w:hint="eastAsia" w:ascii="微软雅黑" w:hAnsi="微软雅黑" w:eastAsia="微软雅黑" w:cs="微软雅黑"/>
                <w:color w:val="auto"/>
                <w:sz w:val="21"/>
                <w:szCs w:val="21"/>
                <w:highlight w:val="none"/>
                <w:lang w:eastAsia="zh-CN"/>
              </w:rPr>
              <w:t>2根</w:t>
            </w:r>
          </w:p>
          <w:p w14:paraId="01B65CD0">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5.放大器启动套件</w:t>
            </w:r>
            <w:r>
              <w:rPr>
                <w:rFonts w:hint="eastAsia" w:ascii="微软雅黑" w:hAnsi="微软雅黑" w:eastAsia="微软雅黑" w:cs="微软雅黑"/>
                <w:color w:val="auto"/>
                <w:sz w:val="21"/>
                <w:szCs w:val="21"/>
                <w:highlight w:val="none"/>
                <w:lang w:eastAsia="zh-CN"/>
              </w:rPr>
              <w:tab/>
            </w:r>
            <w:r>
              <w:rPr>
                <w:rFonts w:hint="eastAsia" w:ascii="微软雅黑" w:hAnsi="微软雅黑" w:eastAsia="微软雅黑" w:cs="微软雅黑"/>
                <w:color w:val="auto"/>
                <w:sz w:val="21"/>
                <w:szCs w:val="21"/>
                <w:highlight w:val="none"/>
                <w:lang w:eastAsia="zh-CN"/>
              </w:rPr>
              <w:t>1套</w:t>
            </w:r>
          </w:p>
          <w:p w14:paraId="17D2FA2B">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6.接地电极</w:t>
            </w:r>
            <w:r>
              <w:rPr>
                <w:rFonts w:hint="eastAsia" w:ascii="微软雅黑" w:hAnsi="微软雅黑" w:eastAsia="微软雅黑" w:cs="微软雅黑"/>
                <w:color w:val="auto"/>
                <w:sz w:val="21"/>
                <w:szCs w:val="21"/>
                <w:highlight w:val="none"/>
                <w:lang w:eastAsia="zh-CN"/>
              </w:rPr>
              <w:tab/>
            </w:r>
            <w:r>
              <w:rPr>
                <w:rFonts w:hint="eastAsia" w:ascii="微软雅黑" w:hAnsi="微软雅黑" w:eastAsia="微软雅黑" w:cs="微软雅黑"/>
                <w:color w:val="auto"/>
                <w:sz w:val="21"/>
                <w:szCs w:val="21"/>
                <w:highlight w:val="none"/>
                <w:lang w:eastAsia="zh-CN"/>
              </w:rPr>
              <w:t>2根</w:t>
            </w:r>
          </w:p>
          <w:p w14:paraId="7A5FBB7C">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7.采集软件及加密狗</w:t>
            </w:r>
            <w:r>
              <w:rPr>
                <w:rFonts w:hint="eastAsia" w:ascii="微软雅黑" w:hAnsi="微软雅黑" w:eastAsia="微软雅黑" w:cs="微软雅黑"/>
                <w:color w:val="auto"/>
                <w:sz w:val="21"/>
                <w:szCs w:val="21"/>
                <w:highlight w:val="none"/>
                <w:lang w:eastAsia="zh-CN"/>
              </w:rPr>
              <w:tab/>
            </w:r>
            <w:r>
              <w:rPr>
                <w:rFonts w:hint="eastAsia" w:ascii="微软雅黑" w:hAnsi="微软雅黑" w:eastAsia="微软雅黑" w:cs="微软雅黑"/>
                <w:color w:val="auto"/>
                <w:sz w:val="21"/>
                <w:szCs w:val="21"/>
                <w:highlight w:val="none"/>
                <w:lang w:eastAsia="zh-CN"/>
              </w:rPr>
              <w:t>1个</w:t>
            </w:r>
          </w:p>
          <w:p w14:paraId="342C7EB3">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 xml:space="preserve">8.分析软件及加密狗                     </w:t>
            </w:r>
            <w:r>
              <w:rPr>
                <w:rFonts w:hint="eastAsia" w:ascii="微软雅黑" w:hAnsi="微软雅黑" w:eastAsia="微软雅黑" w:cs="微软雅黑"/>
                <w:color w:val="auto"/>
                <w:sz w:val="21"/>
                <w:szCs w:val="21"/>
                <w:highlight w:val="none"/>
                <w:lang w:eastAsia="zh-CN"/>
              </w:rPr>
              <w:tab/>
            </w:r>
            <w:r>
              <w:rPr>
                <w:rFonts w:hint="eastAsia" w:ascii="微软雅黑" w:hAnsi="微软雅黑" w:eastAsia="微软雅黑" w:cs="微软雅黑"/>
                <w:color w:val="auto"/>
                <w:sz w:val="21"/>
                <w:szCs w:val="21"/>
                <w:highlight w:val="none"/>
                <w:lang w:eastAsia="zh-CN"/>
              </w:rPr>
              <w:t>1个</w:t>
            </w:r>
          </w:p>
          <w:p w14:paraId="37D952D5">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 xml:space="preserve">9.刺激编译软件及加密狗        </w:t>
            </w:r>
            <w:r>
              <w:rPr>
                <w:rFonts w:hint="eastAsia" w:ascii="微软雅黑" w:hAnsi="微软雅黑" w:eastAsia="微软雅黑" w:cs="微软雅黑"/>
                <w:color w:val="auto"/>
                <w:sz w:val="21"/>
                <w:szCs w:val="21"/>
                <w:highlight w:val="none"/>
                <w:lang w:eastAsia="zh-CN"/>
              </w:rPr>
              <w:tab/>
            </w:r>
            <w:r>
              <w:rPr>
                <w:rFonts w:hint="eastAsia" w:ascii="微软雅黑" w:hAnsi="微软雅黑" w:eastAsia="微软雅黑" w:cs="微软雅黑"/>
                <w:color w:val="auto"/>
                <w:sz w:val="21"/>
                <w:szCs w:val="21"/>
                <w:highlight w:val="none"/>
                <w:lang w:eastAsia="zh-CN"/>
              </w:rPr>
              <w:t>1个</w:t>
            </w:r>
          </w:p>
          <w:p w14:paraId="383E0D8F">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10.导电膏</w:t>
            </w:r>
            <w:r>
              <w:rPr>
                <w:rFonts w:hint="eastAsia" w:ascii="微软雅黑" w:hAnsi="微软雅黑" w:eastAsia="微软雅黑" w:cs="微软雅黑"/>
                <w:color w:val="auto"/>
                <w:sz w:val="21"/>
                <w:szCs w:val="21"/>
                <w:highlight w:val="none"/>
                <w:lang w:eastAsia="zh-CN"/>
              </w:rPr>
              <w:tab/>
            </w:r>
            <w:r>
              <w:rPr>
                <w:rFonts w:hint="eastAsia" w:ascii="微软雅黑" w:hAnsi="微软雅黑" w:eastAsia="微软雅黑" w:cs="微软雅黑"/>
                <w:color w:val="auto"/>
                <w:sz w:val="21"/>
                <w:szCs w:val="21"/>
                <w:highlight w:val="none"/>
                <w:lang w:eastAsia="zh-CN"/>
              </w:rPr>
              <w:t>5桶</w:t>
            </w:r>
          </w:p>
          <w:p w14:paraId="6003001B">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11.磨砂膏</w:t>
            </w:r>
            <w:r>
              <w:rPr>
                <w:rFonts w:hint="eastAsia" w:ascii="微软雅黑" w:hAnsi="微软雅黑" w:eastAsia="微软雅黑" w:cs="微软雅黑"/>
                <w:color w:val="auto"/>
                <w:sz w:val="21"/>
                <w:szCs w:val="21"/>
                <w:highlight w:val="none"/>
                <w:lang w:eastAsia="zh-CN"/>
              </w:rPr>
              <w:tab/>
            </w:r>
            <w:r>
              <w:rPr>
                <w:rFonts w:hint="eastAsia" w:ascii="微软雅黑" w:hAnsi="微软雅黑" w:eastAsia="微软雅黑" w:cs="微软雅黑"/>
                <w:color w:val="auto"/>
                <w:sz w:val="21"/>
                <w:szCs w:val="21"/>
                <w:highlight w:val="none"/>
                <w:lang w:eastAsia="zh-CN"/>
              </w:rPr>
              <w:t>5支</w:t>
            </w:r>
          </w:p>
          <w:p w14:paraId="3A6A5968">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12.电源模块</w:t>
            </w:r>
            <w:r>
              <w:rPr>
                <w:rFonts w:hint="eastAsia" w:ascii="微软雅黑" w:hAnsi="微软雅黑" w:eastAsia="微软雅黑" w:cs="微软雅黑"/>
                <w:color w:val="auto"/>
                <w:sz w:val="21"/>
                <w:szCs w:val="21"/>
                <w:highlight w:val="none"/>
                <w:lang w:eastAsia="zh-CN"/>
              </w:rPr>
              <w:tab/>
            </w:r>
            <w:r>
              <w:rPr>
                <w:rFonts w:hint="eastAsia" w:ascii="微软雅黑" w:hAnsi="微软雅黑" w:eastAsia="微软雅黑" w:cs="微软雅黑"/>
                <w:color w:val="auto"/>
                <w:sz w:val="21"/>
                <w:szCs w:val="21"/>
                <w:highlight w:val="none"/>
                <w:lang w:eastAsia="zh-CN"/>
              </w:rPr>
              <w:t>1个</w:t>
            </w:r>
          </w:p>
          <w:p w14:paraId="390CE0AD">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 xml:space="preserve">13.触发线  </w:t>
            </w:r>
            <w:r>
              <w:rPr>
                <w:rFonts w:hint="eastAsia" w:ascii="微软雅黑" w:hAnsi="微软雅黑" w:eastAsia="微软雅黑" w:cs="微软雅黑"/>
                <w:color w:val="auto"/>
                <w:sz w:val="21"/>
                <w:szCs w:val="21"/>
                <w:highlight w:val="none"/>
                <w:lang w:eastAsia="zh-CN"/>
              </w:rPr>
              <w:tab/>
            </w:r>
            <w:r>
              <w:rPr>
                <w:rFonts w:hint="eastAsia" w:ascii="微软雅黑" w:hAnsi="微软雅黑" w:eastAsia="微软雅黑" w:cs="微软雅黑"/>
                <w:color w:val="auto"/>
                <w:sz w:val="21"/>
                <w:szCs w:val="21"/>
                <w:highlight w:val="none"/>
                <w:lang w:eastAsia="zh-CN"/>
              </w:rPr>
              <w:t>1条</w:t>
            </w:r>
          </w:p>
          <w:p w14:paraId="26CBC82A">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14.电源充电器及连接线</w:t>
            </w:r>
            <w:r>
              <w:rPr>
                <w:rFonts w:hint="eastAsia" w:ascii="微软雅黑" w:hAnsi="微软雅黑" w:eastAsia="微软雅黑" w:cs="微软雅黑"/>
                <w:color w:val="auto"/>
                <w:sz w:val="21"/>
                <w:szCs w:val="21"/>
                <w:highlight w:val="none"/>
                <w:lang w:eastAsia="zh-CN"/>
              </w:rPr>
              <w:tab/>
            </w:r>
            <w:r>
              <w:rPr>
                <w:rFonts w:hint="eastAsia" w:ascii="微软雅黑" w:hAnsi="微软雅黑" w:eastAsia="微软雅黑" w:cs="微软雅黑"/>
                <w:color w:val="auto"/>
                <w:sz w:val="21"/>
                <w:szCs w:val="21"/>
                <w:highlight w:val="none"/>
                <w:lang w:eastAsia="zh-CN"/>
              </w:rPr>
              <w:t>1个</w:t>
            </w:r>
          </w:p>
        </w:tc>
        <w:tc>
          <w:tcPr>
            <w:tcW w:w="829" w:type="pct"/>
            <w:tcBorders>
              <w:top w:val="single" w:color="auto" w:sz="4" w:space="0"/>
              <w:left w:val="single" w:color="auto" w:sz="4" w:space="0"/>
              <w:bottom w:val="single" w:color="auto" w:sz="4" w:space="0"/>
              <w:right w:val="single" w:color="auto" w:sz="4" w:space="0"/>
            </w:tcBorders>
            <w:vAlign w:val="center"/>
          </w:tcPr>
          <w:p w14:paraId="4D327B89">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eastAsia="zh-CN"/>
              </w:rPr>
              <w:t>必需</w:t>
            </w:r>
          </w:p>
        </w:tc>
      </w:tr>
      <w:tr w14:paraId="23AE2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3"/>
            <w:tcBorders>
              <w:top w:val="single" w:color="auto" w:sz="4" w:space="0"/>
              <w:left w:val="nil"/>
              <w:bottom w:val="single" w:color="auto" w:sz="4" w:space="0"/>
              <w:right w:val="nil"/>
              <w:tl2br w:val="nil"/>
              <w:tr2bl w:val="nil"/>
            </w:tcBorders>
            <w:noWrap w:val="0"/>
            <w:vAlign w:val="center"/>
          </w:tcPr>
          <w:p w14:paraId="6AF096EC">
            <w:pPr>
              <w:keepNext w:val="0"/>
              <w:keepLines w:val="0"/>
              <w:pageBreakBefore w:val="0"/>
              <w:numPr>
                <w:ilvl w:val="1"/>
                <w:numId w:val="4"/>
              </w:numPr>
              <w:kinsoku/>
              <w:wordWrap/>
              <w:overflowPunct/>
              <w:topLinePunct w:val="0"/>
              <w:bidi w:val="0"/>
              <w:spacing w:after="0" w:afterLines="0" w:line="400" w:lineRule="exact"/>
              <w:outlineLvl w:val="0"/>
              <w:rPr>
                <w:rFonts w:hint="eastAsia" w:ascii="微软雅黑" w:hAnsi="微软雅黑" w:eastAsia="微软雅黑" w:cs="微软雅黑"/>
                <w:b/>
                <w:color w:val="auto"/>
                <w:sz w:val="21"/>
                <w:szCs w:val="21"/>
                <w:highlight w:val="none"/>
              </w:rPr>
            </w:pPr>
            <w:bookmarkStart w:id="106" w:name="_Toc26535"/>
            <w:bookmarkEnd w:id="106"/>
            <w:bookmarkStart w:id="107" w:name="_Toc5881"/>
            <w:bookmarkEnd w:id="107"/>
            <w:bookmarkStart w:id="108" w:name="_Toc32296"/>
            <w:bookmarkStart w:id="109" w:name="_Toc15698"/>
            <w:r>
              <w:rPr>
                <w:rFonts w:hint="eastAsia" w:ascii="微软雅黑" w:hAnsi="微软雅黑" w:eastAsia="微软雅黑" w:cs="微软雅黑"/>
                <w:b/>
                <w:color w:val="auto"/>
                <w:sz w:val="21"/>
                <w:szCs w:val="21"/>
                <w:highlight w:val="none"/>
              </w:rPr>
              <w:t>穿戴式无线多通道脑电采集系统</w:t>
            </w:r>
            <w:bookmarkEnd w:id="108"/>
            <w:bookmarkEnd w:id="109"/>
          </w:p>
        </w:tc>
      </w:tr>
      <w:tr w14:paraId="7663D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4D5F0B24">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URS编号</w:t>
            </w:r>
          </w:p>
        </w:tc>
        <w:tc>
          <w:tcPr>
            <w:tcW w:w="3472"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125ADAC6">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需求描述</w:t>
            </w:r>
          </w:p>
        </w:tc>
        <w:tc>
          <w:tcPr>
            <w:tcW w:w="829"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325A0CDF">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期望/必需</w:t>
            </w:r>
          </w:p>
        </w:tc>
      </w:tr>
      <w:tr w14:paraId="51759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902C64">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56B16EB2">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支持同步32导 EEG 通道,内置加速度传感器，可以监测人的运动状态；</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B1E9F75">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740C4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F1F5E1">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0EB51A80">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采样速率：不低于1000Hz/通道（所有通道同时采集时）</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CE66693">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7ABAF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2B92AE">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6A43F617">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测量范围：不低于340 mV</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A4C5A9">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3DB8A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256A9D">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413266D2">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放大器噪声：≤2μVpp；输入阻抗：≥200 MOhm</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EE313C">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49FDC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B213AF">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64F59A0B">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系统支持 8 位 TTLTrigger 输入，直接支持采集事件相关电位</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0645C4">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15AC5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F3CB0B">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3203CC68">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采用无线传输,支持在非屏蔽室环境下准确记录脑电信号，传输干扰小；</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0CF623">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655C8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1D1A4B8">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3F47A4A">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数据支持存储在设备存储卡与电脑中或通过无线传输至分析电脑两种模式。</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C5C939">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47D3F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8937AD">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7D1DCE36">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可充电电池供电，可满足不少于4小时不间断记录，避免市电干扰；</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760747D">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28D1C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037B54">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B002E47">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无线轻便设计，为满足可穿戴设计，放大器直接放置于后脑勺位置即可采集数据；</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F56B141">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5E6DB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C64E8D">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4C3B5F63">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电极帽为主动电极，单根电极可拆卸设计，替换方便，通过主动电极可实时监控到电极与头皮的接触情况；</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86E9AC">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00AAE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612ECB4">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3C4E40E">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导电介质为膏状不易挥发也不需要实验中途添加，阻抗为可降至5KOhms 以下且可稳定维持；</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9492FE">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42EA4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500343">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71384943">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放大器支持主动电极帽、被动电极帽、干电极脑电帽、盐水电极帽等，兼容性强。</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EC8760">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5E984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1B8E7A">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6908C04D">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刺激软件可自由编程，可实现声音、文字、文本、图片等不同类型的实验程序；</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3420D9">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49A08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26E626">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5797FD4">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具有独立的数据采集软件，保证数据采集时可以同时分析其它数据；</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77941A">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2A3E0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9560731">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48557901">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采集软件可直接在数据上显示事件相关标记，可自动进行阻抗测试，采用鲜明的颜色区分阻抗的好与坏；</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7D3DAC">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478CD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7A9E56">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6C3E1429">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可配套开源采集软件，提供 RDA 开发包，支持 matlab、python、c、cpp 环境下的开发工具；</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4346A9">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4F36E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8C45881">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120B0D84">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采集软件自带在线分析功能，可实时观测实验数据</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88379B">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4152E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1E2D1F">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7F1F839">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可自由设置采集软件的相关参数，如滤波、基线校准等功能</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4D8257">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74FA6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EC7688">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420F7B78">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采用独立的分析软件，保证采集数据不受影响，软件采用加密狗形式进行认证，可直接兼容可读取和处理多种格式的脑电数据，如十进制文本、ASCII 类型等超过 25 种数据格式；</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DB4A73">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76E96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901625">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6C8DA2F2">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具备眼动伪迹函数校正、基线自动校正、ICA/PCA、FFT、小波变换、叠加平均、参考电极更换、滤波、二维脑电地形图制作等功能；</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2310B0C">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4C8C0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9305445">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7FAE1E12">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软件提供三维脑地形图，支持修正核磁干扰、修正 TMS 干扰、修正心电干扰等功能；</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0DB90D">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47F09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3332B9">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0AFBFAAC">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模块化结构的脑事件相关电位分析软件，可提供时域、频域、时频域的各种数据分析模式；</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2F3D75">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3EE03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A682D5">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43074825">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分析软件直接集成Loreta源定位算法，并可实时与Matlab相互转换</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FBD85A">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21329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C67FB41">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1B29992D">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采用历史树记录方式，可自动记录数据处理的每个操作，并可基于这些操作生产操作模版，能自动此模版进行数据批处理，树状结构；</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EE74E9">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554BA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DA85E4B">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77424F9">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软件分别能够同时连接1台、4台、8台、16台，最多32台电刺激器。</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7B63DAA">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1B3BD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4E6511">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288A39D0">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具有数据库管理系统：能够添加、修改、查询病人信息，能查看患者的治疗记录</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EE626C">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6E287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9F188E">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49566536">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电刺激器可以通过蓝牙向软件传输数据，软件可通过蓝牙发送控制信息实时控制电刺激器。</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3F9EA7">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7D8D4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61F86B3">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3184D538">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能实时显示电刺激仪主机输出参数、设置功能、电池电量等功能。</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659517D">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121CA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F4BFD8">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top"/>
          </w:tcPr>
          <w:p w14:paraId="3905E14F">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通过中心控制器控制电刺激器，响应延时应小于1s。</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0C8679">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4A3CF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B4C656">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9BD0D6">
            <w:pPr>
              <w:pStyle w:val="49"/>
              <w:keepNext w:val="0"/>
              <w:keepLines w:val="0"/>
              <w:pageBreakBefore w:val="0"/>
              <w:kinsoku/>
              <w:wordWrap/>
              <w:overflowPunct/>
              <w:topLinePunct w:val="0"/>
              <w:bidi w:val="0"/>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val="en-US" w:eastAsia="zh-CN" w:bidi="hi-IN"/>
              </w:rPr>
              <w:t>配置要求：</w:t>
            </w:r>
          </w:p>
          <w:p w14:paraId="4B7BB70C">
            <w:pPr>
              <w:pStyle w:val="49"/>
              <w:keepNext w:val="0"/>
              <w:keepLines w:val="0"/>
              <w:pageBreakBefore w:val="0"/>
              <w:kinsoku/>
              <w:wordWrap/>
              <w:overflowPunct/>
              <w:topLinePunct w:val="0"/>
              <w:bidi w:val="0"/>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val="en-US" w:eastAsia="zh-CN" w:bidi="hi-IN"/>
              </w:rPr>
              <w:t>1、无线脑电放大器                    1套</w:t>
            </w:r>
          </w:p>
          <w:p w14:paraId="44104220">
            <w:pPr>
              <w:pStyle w:val="49"/>
              <w:keepNext w:val="0"/>
              <w:keepLines w:val="0"/>
              <w:pageBreakBefore w:val="0"/>
              <w:kinsoku/>
              <w:wordWrap/>
              <w:overflowPunct/>
              <w:topLinePunct w:val="0"/>
              <w:bidi w:val="0"/>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val="en-US" w:eastAsia="zh-CN" w:bidi="hi-IN"/>
              </w:rPr>
              <w:t>2、主动电极                          1套</w:t>
            </w:r>
          </w:p>
          <w:p w14:paraId="7D6BB4EA">
            <w:pPr>
              <w:pStyle w:val="49"/>
              <w:keepNext w:val="0"/>
              <w:keepLines w:val="0"/>
              <w:pageBreakBefore w:val="0"/>
              <w:kinsoku/>
              <w:wordWrap/>
              <w:overflowPunct/>
              <w:topLinePunct w:val="0"/>
              <w:bidi w:val="0"/>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val="en-US" w:eastAsia="zh-CN" w:bidi="hi-IN"/>
              </w:rPr>
              <w:t>3、帽子皮                            2顶</w:t>
            </w:r>
          </w:p>
          <w:p w14:paraId="1DEC2CA9">
            <w:pPr>
              <w:pStyle w:val="49"/>
              <w:keepNext w:val="0"/>
              <w:keepLines w:val="0"/>
              <w:pageBreakBefore w:val="0"/>
              <w:kinsoku/>
              <w:wordWrap/>
              <w:overflowPunct/>
              <w:topLinePunct w:val="0"/>
              <w:bidi w:val="0"/>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val="en-US" w:eastAsia="zh-CN" w:bidi="hi-IN"/>
              </w:rPr>
              <w:t>4、采集软件及加密狗                   1个</w:t>
            </w:r>
          </w:p>
          <w:p w14:paraId="6C87E158">
            <w:pPr>
              <w:pStyle w:val="49"/>
              <w:keepNext w:val="0"/>
              <w:keepLines w:val="0"/>
              <w:pageBreakBefore w:val="0"/>
              <w:kinsoku/>
              <w:wordWrap/>
              <w:overflowPunct/>
              <w:topLinePunct w:val="0"/>
              <w:bidi w:val="0"/>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val="en-US" w:eastAsia="zh-CN" w:bidi="hi-IN"/>
              </w:rPr>
              <w:t>5、分析软件及加密狗                   1个</w:t>
            </w:r>
          </w:p>
          <w:p w14:paraId="7DD77FCB">
            <w:pPr>
              <w:pStyle w:val="49"/>
              <w:keepNext w:val="0"/>
              <w:keepLines w:val="0"/>
              <w:pageBreakBefore w:val="0"/>
              <w:kinsoku/>
              <w:wordWrap/>
              <w:overflowPunct/>
              <w:topLinePunct w:val="0"/>
              <w:bidi w:val="0"/>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val="en-US" w:eastAsia="zh-CN" w:bidi="hi-IN"/>
              </w:rPr>
              <w:t>6、刺激编译软件及加密狗               1个</w:t>
            </w:r>
          </w:p>
          <w:p w14:paraId="3709D6B5">
            <w:pPr>
              <w:pStyle w:val="49"/>
              <w:keepNext w:val="0"/>
              <w:keepLines w:val="0"/>
              <w:pageBreakBefore w:val="0"/>
              <w:kinsoku/>
              <w:wordWrap/>
              <w:overflowPunct/>
              <w:topLinePunct w:val="0"/>
              <w:bidi w:val="0"/>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val="en-US" w:eastAsia="zh-CN" w:bidi="hi-IN"/>
              </w:rPr>
              <w:t>7、数据存储卡                         1张</w:t>
            </w:r>
          </w:p>
          <w:p w14:paraId="1E6FC41A">
            <w:pPr>
              <w:pStyle w:val="49"/>
              <w:keepNext w:val="0"/>
              <w:keepLines w:val="0"/>
              <w:pageBreakBefore w:val="0"/>
              <w:kinsoku/>
              <w:wordWrap/>
              <w:overflowPunct/>
              <w:topLinePunct w:val="0"/>
              <w:bidi w:val="0"/>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val="en-US" w:eastAsia="zh-CN" w:bidi="hi-IN"/>
              </w:rPr>
              <w:t>8、无线USB适配器                    1个</w:t>
            </w:r>
          </w:p>
          <w:p w14:paraId="7F488270">
            <w:pPr>
              <w:pStyle w:val="49"/>
              <w:keepNext w:val="0"/>
              <w:keepLines w:val="0"/>
              <w:pageBreakBefore w:val="0"/>
              <w:kinsoku/>
              <w:wordWrap/>
              <w:overflowPunct/>
              <w:topLinePunct w:val="0"/>
              <w:bidi w:val="0"/>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val="en-US" w:eastAsia="zh-CN" w:bidi="hi-IN"/>
              </w:rPr>
              <w:t>9、触发线                            1条</w:t>
            </w:r>
          </w:p>
          <w:p w14:paraId="43B670A8">
            <w:pPr>
              <w:pStyle w:val="49"/>
              <w:keepNext w:val="0"/>
              <w:keepLines w:val="0"/>
              <w:pageBreakBefore w:val="0"/>
              <w:kinsoku/>
              <w:wordWrap/>
              <w:overflowPunct/>
              <w:topLinePunct w:val="0"/>
              <w:bidi w:val="0"/>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val="en-US" w:eastAsia="zh-CN" w:bidi="hi-IN"/>
              </w:rPr>
              <w:t>10、传感器和触发器扩展套件           1套</w:t>
            </w:r>
          </w:p>
          <w:p w14:paraId="512AB2A4">
            <w:pPr>
              <w:pStyle w:val="49"/>
              <w:keepNext w:val="0"/>
              <w:keepLines w:val="0"/>
              <w:pageBreakBefore w:val="0"/>
              <w:kinsoku/>
              <w:wordWrap/>
              <w:overflowPunct/>
              <w:topLinePunct w:val="0"/>
              <w:bidi w:val="0"/>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val="en-US" w:eastAsia="zh-CN" w:bidi="hi-IN"/>
              </w:rPr>
              <w:t>11、充电器及配件                     1个</w:t>
            </w:r>
          </w:p>
          <w:p w14:paraId="0C2C58E5">
            <w:pPr>
              <w:pStyle w:val="49"/>
              <w:keepNext w:val="0"/>
              <w:keepLines w:val="0"/>
              <w:pageBreakBefore w:val="0"/>
              <w:kinsoku/>
              <w:wordWrap/>
              <w:overflowPunct/>
              <w:topLinePunct w:val="0"/>
              <w:bidi w:val="0"/>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val="en-US" w:eastAsia="zh-CN" w:bidi="hi-IN"/>
              </w:rPr>
              <w:t>12、导电膏                           1瓶</w:t>
            </w:r>
          </w:p>
          <w:p w14:paraId="69221D55">
            <w:pPr>
              <w:pStyle w:val="49"/>
              <w:keepNext w:val="0"/>
              <w:keepLines w:val="0"/>
              <w:pageBreakBefore w:val="0"/>
              <w:kinsoku/>
              <w:wordWrap/>
              <w:overflowPunct/>
              <w:topLinePunct w:val="0"/>
              <w:bidi w:val="0"/>
              <w:spacing w:after="0" w:afterLines="0" w:line="400" w:lineRule="exact"/>
              <w:ind w:firstLine="0" w:firstLineChars="0"/>
              <w:rPr>
                <w:rFonts w:hint="eastAsia" w:ascii="微软雅黑" w:hAnsi="微软雅黑" w:eastAsia="微软雅黑" w:cs="微软雅黑"/>
                <w:b/>
                <w:color w:val="auto"/>
                <w:kern w:val="2"/>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bidi="hi-IN"/>
              </w:rPr>
              <w:t>13、磨砂膏                           1支</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9F2ECF">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12598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3"/>
            <w:tcBorders>
              <w:top w:val="single" w:color="auto" w:sz="4" w:space="0"/>
              <w:left w:val="nil"/>
              <w:bottom w:val="single" w:color="auto" w:sz="4" w:space="0"/>
              <w:right w:val="nil"/>
              <w:tl2br w:val="nil"/>
              <w:tr2bl w:val="nil"/>
            </w:tcBorders>
            <w:noWrap w:val="0"/>
            <w:vAlign w:val="center"/>
          </w:tcPr>
          <w:p w14:paraId="0FBFF57A">
            <w:pPr>
              <w:keepNext w:val="0"/>
              <w:keepLines w:val="0"/>
              <w:pageBreakBefore w:val="0"/>
              <w:numPr>
                <w:ilvl w:val="1"/>
                <w:numId w:val="4"/>
              </w:numPr>
              <w:kinsoku/>
              <w:wordWrap/>
              <w:overflowPunct/>
              <w:topLinePunct w:val="0"/>
              <w:bidi w:val="0"/>
              <w:spacing w:after="0" w:afterLines="0" w:line="400" w:lineRule="exact"/>
              <w:outlineLvl w:val="0"/>
              <w:rPr>
                <w:rFonts w:hint="eastAsia" w:ascii="微软雅黑" w:hAnsi="微软雅黑" w:eastAsia="微软雅黑" w:cs="微软雅黑"/>
                <w:b/>
                <w:color w:val="auto"/>
                <w:sz w:val="21"/>
                <w:szCs w:val="21"/>
                <w:highlight w:val="none"/>
              </w:rPr>
            </w:pPr>
            <w:bookmarkStart w:id="110" w:name="_Toc622"/>
            <w:bookmarkStart w:id="111" w:name="_Toc26653"/>
            <w:r>
              <w:rPr>
                <w:rFonts w:hint="eastAsia" w:ascii="微软雅黑" w:hAnsi="微软雅黑" w:eastAsia="微软雅黑" w:cs="微软雅黑"/>
                <w:b/>
                <w:color w:val="auto"/>
                <w:sz w:val="21"/>
                <w:szCs w:val="21"/>
                <w:highlight w:val="none"/>
              </w:rPr>
              <w:t>高通量无创神经电刺激系统</w:t>
            </w:r>
            <w:bookmarkEnd w:id="110"/>
            <w:bookmarkEnd w:id="111"/>
          </w:p>
        </w:tc>
      </w:tr>
      <w:tr w14:paraId="20418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4D033367">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URS编号</w:t>
            </w:r>
          </w:p>
        </w:tc>
        <w:tc>
          <w:tcPr>
            <w:tcW w:w="3472"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04F1D1FE">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需求描述</w:t>
            </w:r>
          </w:p>
        </w:tc>
        <w:tc>
          <w:tcPr>
            <w:tcW w:w="829" w:type="pct"/>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center"/>
          </w:tcPr>
          <w:p w14:paraId="75CDDB47">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期望/必需</w:t>
            </w:r>
          </w:p>
        </w:tc>
      </w:tr>
      <w:tr w14:paraId="290F2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000"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4ACFB17C">
            <w:pPr>
              <w:pStyle w:val="49"/>
              <w:keepNext w:val="0"/>
              <w:keepLines w:val="0"/>
              <w:pageBreakBefore w:val="0"/>
              <w:kinsoku/>
              <w:wordWrap/>
              <w:overflowPunct/>
              <w:topLinePunct w:val="0"/>
              <w:bidi w:val="0"/>
              <w:spacing w:after="0" w:afterLines="0" w:line="400" w:lineRule="exact"/>
              <w:ind w:firstLine="0" w:firstLineChars="0"/>
              <w:rPr>
                <w:rFonts w:hint="eastAsia" w:ascii="微软雅黑" w:hAnsi="微软雅黑" w:eastAsia="微软雅黑" w:cs="微软雅黑"/>
                <w:b/>
                <w:color w:val="auto"/>
                <w:kern w:val="2"/>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bidi="hi-IN"/>
              </w:rPr>
              <w:t>硬件需求</w:t>
            </w:r>
          </w:p>
        </w:tc>
      </w:tr>
      <w:tr w14:paraId="79168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948BCA">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8643502">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用途：进行无创神经电刺激，用于实验室基础认知神经科学、脑机接口等基础科学研究，为生物多模态验证，生物信息计算等提供支撑</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0A058E">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3A663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A60A3B">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A3E647">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(1)支持tDCS，tACS，toDCS，tPCS、tRNS等多种刺激方式</w:t>
            </w:r>
          </w:p>
          <w:p w14:paraId="31CB24C4">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(2)单通道输出电流强度：0.001mA-4mA, 步长≤0.001mA</w:t>
            </w:r>
          </w:p>
          <w:p w14:paraId="63B876F0">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(3)支持多通道输出电流，返回通道实时电流等于各通道电极的电流之和，误差≤±10%</w:t>
            </w:r>
          </w:p>
          <w:p w14:paraId="3A6D007B">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(4)输出电流稳定性：设备在负载电阻10Ω～8000Ω下的电流变化率≤5%</w:t>
            </w:r>
          </w:p>
          <w:p w14:paraId="4DD7FBEF">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(5)支持在刺激过程中阻抗检查，可实时显示每个电极的接触阻抗，误差≤±10%</w:t>
            </w:r>
          </w:p>
          <w:p w14:paraId="03951F6D">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(6)安全性好，刺激过程中可通过急停按钮中止刺激</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C82F28">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0484E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EFF705">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A523B68">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(1)电极系统材质为Ag/AgCl高精度电极</w:t>
            </w:r>
          </w:p>
          <w:p w14:paraId="08CF1224">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(2)支持导电膏电极、可选配盐水电极、主动式干电极等的脑电帽</w:t>
            </w:r>
          </w:p>
          <w:p w14:paraId="2633E51D">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(3)支持选配适合儿童到成人等多种尺寸的电极帽</w:t>
            </w:r>
          </w:p>
          <w:p w14:paraId="0AD59437">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(4)支持经颅电刺激(tES)/经颅磁刺激(TMS)/功能性近红外光谱成像(fNIRS)/功能性磁共振成像(fMRI)等脑电帽可供选配，可根据研究需要定制电极点位</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558362">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509B0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DE5CE8">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5C2616">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(1)内置高分辨率DDS电流刺激器, 支持频率步进≤0.001Hz变化</w:t>
            </w:r>
          </w:p>
          <w:p w14:paraId="7D47B65B">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(2)支持多个通道独立编程，支持tDCS、tACS、tRNS、TI(Temporally Interfering)时间干涉刺激</w:t>
            </w:r>
          </w:p>
          <w:p w14:paraId="3299DB4C">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(3)tPCS频率范围：0.001-1000Hz，步长≤0.001Hz</w:t>
            </w:r>
          </w:p>
          <w:p w14:paraId="5359DC02">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(4)tPCS脉宽范围：25us-25000ms，步长≤1us</w:t>
            </w:r>
          </w:p>
          <w:p w14:paraId="1F5932C1">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(5)tACS频率范围：0.001-20000Hz，步长≤0.001 Hz</w:t>
            </w:r>
          </w:p>
          <w:p w14:paraId="703AD011">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(6)tACS相位0-360°可调，调节步长≤1°</w:t>
            </w:r>
          </w:p>
          <w:p w14:paraId="17287EC3">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(7)具有Trigger IN /Trigger OUT 外部触发接口</w:t>
            </w:r>
          </w:p>
          <w:p w14:paraId="320FF292">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(8)具有时钟同步接口，可支持多刺激器级联并保持多人脑间刺激相位同步</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7DFC9ED">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32756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jc w:val="center"/>
        </w:trPr>
        <w:tc>
          <w:tcPr>
            <w:tcW w:w="5000"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E2890B4">
            <w:pPr>
              <w:pStyle w:val="49"/>
              <w:keepNext w:val="0"/>
              <w:keepLines w:val="0"/>
              <w:pageBreakBefore w:val="0"/>
              <w:kinsoku/>
              <w:wordWrap/>
              <w:overflowPunct/>
              <w:topLinePunct w:val="0"/>
              <w:bidi w:val="0"/>
              <w:spacing w:after="0" w:afterLines="0" w:line="400" w:lineRule="exact"/>
              <w:ind w:firstLine="0" w:firstLineChars="0"/>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val="en-US" w:eastAsia="zh-CN" w:bidi="hi-IN"/>
              </w:rPr>
              <w:t>软件需求</w:t>
            </w:r>
          </w:p>
        </w:tc>
      </w:tr>
      <w:tr w14:paraId="4038A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C47FFC0">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980A0E">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(1)支持多个通道独立编程，支持tDCS，tACS，toDCS，tPCS、tRNS等多种刺激方式，支持 .txt 格式自定义波形功能</w:t>
            </w:r>
          </w:p>
          <w:p w14:paraId="7A83D7E8">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(2)软件预设多种刺激协议，并支持编辑、预览、保存</w:t>
            </w:r>
          </w:p>
          <w:p w14:paraId="268E38A5">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(3)提供标准 API 接口，支持编程方式控制设备输出电刺激</w:t>
            </w:r>
          </w:p>
          <w:p w14:paraId="123DF2A1">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(4)支持刺激协议导入导出，以及刺激波形可视化预览</w:t>
            </w:r>
          </w:p>
          <w:p w14:paraId="1AF1AA1C">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(5)刺激时长设定时间内连续可调，超过40min有安全提示</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47DF50">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611DB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E2074A">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9E41140">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(1)支持刺激过程中电流、阻抗实时监测功能；同时可自动保存电流、阻抗数据</w:t>
            </w:r>
          </w:p>
          <w:p w14:paraId="7C4C2675">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(2)支持单伪和双伪刺激模式</w:t>
            </w:r>
          </w:p>
          <w:p w14:paraId="1BD3F144">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(3)支持双盲实验功能</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59C8651">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154A8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7FC2BA7">
            <w:pPr>
              <w:keepNext w:val="0"/>
              <w:keepLines w:val="0"/>
              <w:pageBreakBefore w:val="0"/>
              <w:numPr>
                <w:ilvl w:val="0"/>
                <w:numId w:val="6"/>
              </w:numPr>
              <w:kinsoku/>
              <w:wordWrap/>
              <w:overflowPunct/>
              <w:topLinePunct w:val="0"/>
              <w:bidi w:val="0"/>
              <w:spacing w:after="0" w:afterLines="0" w:line="400" w:lineRule="exact"/>
              <w:ind w:left="0" w:firstLine="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EFC28D">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配置要求：</w:t>
            </w:r>
          </w:p>
          <w:p w14:paraId="1043D8A2">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1.经颅电刺激仪主机1台</w:t>
            </w:r>
          </w:p>
          <w:p w14:paraId="7D4C3FDD">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2.多通道HD输出线缆1套</w:t>
            </w:r>
          </w:p>
          <w:p w14:paraId="0F54D5CF">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3.高精度刺激电极1套</w:t>
            </w:r>
          </w:p>
          <w:p w14:paraId="5DAC9E0E">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4.高精度电极固定帽1个</w:t>
            </w:r>
          </w:p>
          <w:p w14:paraId="229D8722">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5.电刺激软件1个</w:t>
            </w:r>
          </w:p>
          <w:p w14:paraId="7AF35E7A">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6.数据线1套</w:t>
            </w:r>
          </w:p>
          <w:p w14:paraId="4A20B803">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7.导电磨砂膏1桶</w:t>
            </w:r>
          </w:p>
          <w:p w14:paraId="60EDEEC0">
            <w:pPr>
              <w:keepNext w:val="0"/>
              <w:keepLines w:val="0"/>
              <w:pageBreakBefore w:val="0"/>
              <w:numPr>
                <w:ilvl w:val="0"/>
                <w:numId w:val="0"/>
              </w:numPr>
              <w:kinsoku/>
              <w:wordWrap/>
              <w:overflowPunct/>
              <w:topLinePunct w:val="0"/>
              <w:bidi w:val="0"/>
              <w:adjustRightInd/>
              <w:snapToGrid/>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8.仪器箱1个</w:t>
            </w:r>
          </w:p>
        </w:tc>
        <w:tc>
          <w:tcPr>
            <w:tcW w:w="8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9A7EFB">
            <w:pPr>
              <w:pStyle w:val="49"/>
              <w:keepNext w:val="0"/>
              <w:keepLines w:val="0"/>
              <w:pageBreakBefore w:val="0"/>
              <w:kinsoku/>
              <w:wordWrap/>
              <w:overflowPunct/>
              <w:topLinePunct w:val="0"/>
              <w:bidi w:val="0"/>
              <w:spacing w:after="0" w:afterLines="0" w:line="400" w:lineRule="exact"/>
              <w:ind w:firstLine="0" w:firstLineChars="0"/>
              <w:jc w:val="center"/>
              <w:rPr>
                <w:rFonts w:hint="eastAsia" w:ascii="微软雅黑" w:hAnsi="微软雅黑" w:eastAsia="微软雅黑" w:cs="微软雅黑"/>
                <w:color w:val="auto"/>
                <w:sz w:val="21"/>
                <w:szCs w:val="21"/>
                <w:highlight w:val="none"/>
                <w:lang w:val="en-US" w:eastAsia="zh-CN" w:bidi="hi-IN"/>
              </w:rPr>
            </w:pPr>
            <w:r>
              <w:rPr>
                <w:rFonts w:hint="eastAsia" w:ascii="微软雅黑" w:hAnsi="微软雅黑" w:eastAsia="微软雅黑" w:cs="微软雅黑"/>
                <w:color w:val="auto"/>
                <w:sz w:val="21"/>
                <w:szCs w:val="21"/>
                <w:highlight w:val="none"/>
                <w:lang w:eastAsia="zh-CN" w:bidi="hi-IN"/>
              </w:rPr>
              <w:t>必需</w:t>
            </w:r>
          </w:p>
        </w:tc>
      </w:tr>
      <w:tr w14:paraId="668E366F">
        <w:tblPrEx>
          <w:tblCellMar>
            <w:top w:w="0" w:type="dxa"/>
            <w:left w:w="108" w:type="dxa"/>
            <w:bottom w:w="0" w:type="dxa"/>
            <w:right w:w="108" w:type="dxa"/>
          </w:tblCellMar>
        </w:tblPrEx>
        <w:trPr>
          <w:trHeight w:val="397" w:hRule="atLeast"/>
          <w:jc w:val="center"/>
        </w:trPr>
        <w:tc>
          <w:tcPr>
            <w:tcW w:w="5000" w:type="pct"/>
            <w:gridSpan w:val="3"/>
            <w:tcBorders>
              <w:top w:val="nil"/>
              <w:left w:val="nil"/>
              <w:bottom w:val="single" w:color="auto" w:sz="4" w:space="0"/>
              <w:right w:val="nil"/>
            </w:tcBorders>
          </w:tcPr>
          <w:p w14:paraId="30DDE0CB">
            <w:pPr>
              <w:keepNext w:val="0"/>
              <w:keepLines w:val="0"/>
              <w:pageBreakBefore w:val="0"/>
              <w:numPr>
                <w:ilvl w:val="1"/>
                <w:numId w:val="4"/>
              </w:numPr>
              <w:kinsoku/>
              <w:wordWrap/>
              <w:overflowPunct/>
              <w:topLinePunct w:val="0"/>
              <w:bidi w:val="0"/>
              <w:spacing w:after="0" w:afterLines="0" w:line="400" w:lineRule="exact"/>
              <w:ind w:left="777" w:leftChars="0" w:hanging="567" w:firstLineChars="0"/>
              <w:outlineLvl w:val="0"/>
              <w:rPr>
                <w:rFonts w:hint="eastAsia" w:ascii="微软雅黑" w:hAnsi="微软雅黑" w:eastAsia="微软雅黑" w:cs="微软雅黑"/>
                <w:bCs/>
                <w:color w:val="auto"/>
                <w:kern w:val="0"/>
                <w:sz w:val="21"/>
                <w:szCs w:val="21"/>
                <w:highlight w:val="none"/>
              </w:rPr>
            </w:pPr>
            <w:bookmarkStart w:id="112" w:name="_Toc15980"/>
            <w:bookmarkStart w:id="113" w:name="_Toc19838"/>
            <w:r>
              <w:rPr>
                <w:rFonts w:hint="eastAsia" w:ascii="微软雅黑" w:hAnsi="微软雅黑" w:eastAsia="微软雅黑" w:cs="微软雅黑"/>
                <w:b/>
                <w:bCs w:val="0"/>
                <w:snapToGrid/>
                <w:color w:val="auto"/>
                <w:kern w:val="2"/>
                <w:sz w:val="21"/>
                <w:szCs w:val="21"/>
                <w:highlight w:val="none"/>
                <w:lang w:val="en-US" w:eastAsia="zh-CN" w:bidi="ar-SA"/>
              </w:rPr>
              <w:t>经颅电刺激系统</w:t>
            </w:r>
            <w:bookmarkEnd w:id="112"/>
            <w:bookmarkEnd w:id="113"/>
          </w:p>
        </w:tc>
      </w:tr>
      <w:tr w14:paraId="1439188F">
        <w:tblPrEx>
          <w:tblCellMar>
            <w:top w:w="0" w:type="dxa"/>
            <w:left w:w="108" w:type="dxa"/>
            <w:bottom w:w="0" w:type="dxa"/>
            <w:right w:w="108" w:type="dxa"/>
          </w:tblCellMar>
        </w:tblPrEx>
        <w:trPr>
          <w:trHeight w:val="90"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D7D7D7"/>
            <w:vAlign w:val="center"/>
          </w:tcPr>
          <w:p w14:paraId="0AB90695">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rPr>
              <w:t>URS编号</w:t>
            </w:r>
          </w:p>
        </w:tc>
        <w:tc>
          <w:tcPr>
            <w:tcW w:w="3472" w:type="pct"/>
            <w:tcBorders>
              <w:top w:val="single" w:color="auto" w:sz="4" w:space="0"/>
              <w:left w:val="single" w:color="auto" w:sz="4" w:space="0"/>
              <w:bottom w:val="single" w:color="auto" w:sz="4" w:space="0"/>
              <w:right w:val="single" w:color="auto" w:sz="4" w:space="0"/>
            </w:tcBorders>
            <w:shd w:val="clear" w:color="auto" w:fill="D7D7D7"/>
            <w:vAlign w:val="center"/>
          </w:tcPr>
          <w:p w14:paraId="33AFD1E3">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lang w:val="en-US" w:eastAsia="zh-CN"/>
              </w:rPr>
            </w:pPr>
            <w:r>
              <w:rPr>
                <w:rFonts w:hint="eastAsia" w:ascii="微软雅黑" w:hAnsi="微软雅黑" w:eastAsia="微软雅黑" w:cs="微软雅黑"/>
                <w:b/>
                <w:bCs/>
                <w:color w:val="auto"/>
                <w:sz w:val="21"/>
                <w:szCs w:val="21"/>
                <w:highlight w:val="none"/>
              </w:rPr>
              <w:t>需求描述</w:t>
            </w:r>
          </w:p>
        </w:tc>
        <w:tc>
          <w:tcPr>
            <w:tcW w:w="829" w:type="pct"/>
            <w:tcBorders>
              <w:top w:val="single" w:color="auto" w:sz="4" w:space="0"/>
              <w:left w:val="single" w:color="auto" w:sz="4" w:space="0"/>
              <w:bottom w:val="single" w:color="auto" w:sz="4" w:space="0"/>
              <w:right w:val="single" w:color="auto" w:sz="4" w:space="0"/>
            </w:tcBorders>
            <w:shd w:val="clear" w:color="auto" w:fill="D7D7D7"/>
            <w:vAlign w:val="center"/>
          </w:tcPr>
          <w:p w14:paraId="47DD2B6C">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b/>
                <w:bCs/>
                <w:color w:val="auto"/>
                <w:sz w:val="21"/>
                <w:szCs w:val="21"/>
                <w:highlight w:val="none"/>
              </w:rPr>
            </w:pPr>
            <w:r>
              <w:rPr>
                <w:rFonts w:hint="eastAsia" w:ascii="微软雅黑" w:hAnsi="微软雅黑" w:eastAsia="微软雅黑" w:cs="微软雅黑"/>
                <w:b/>
                <w:bCs/>
                <w:color w:val="auto"/>
                <w:sz w:val="21"/>
                <w:szCs w:val="21"/>
                <w:highlight w:val="none"/>
                <w:lang w:val="en-US" w:eastAsia="zh-CN"/>
              </w:rPr>
              <w:t>期望/必需</w:t>
            </w:r>
          </w:p>
        </w:tc>
      </w:tr>
      <w:tr w14:paraId="0D6136AD">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tcPr>
          <w:p w14:paraId="068FCD3F">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2154FE26">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用途：进行经颅电刺激实验，用于</w:t>
            </w:r>
            <w:r>
              <w:rPr>
                <w:rFonts w:hint="eastAsia" w:ascii="微软雅黑" w:hAnsi="微软雅黑" w:eastAsia="微软雅黑" w:cs="微软雅黑"/>
                <w:color w:val="auto"/>
                <w:sz w:val="21"/>
                <w:szCs w:val="21"/>
                <w:highlight w:val="none"/>
              </w:rPr>
              <w:t>实验室基础认知神经科学、脑机接口等基础科学研究</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为生物多模态验证，生物信息计算等提供技术支撑</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765264FD">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必需</w:t>
            </w:r>
          </w:p>
        </w:tc>
      </w:tr>
      <w:tr w14:paraId="523E75AA">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tcPr>
          <w:p w14:paraId="04B47933">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5948F325">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刺激主机具有两种刺激参数设置模式：控制软件设置和主机面板设置，可分别调节刺激参数，控制刺激进程，使用PC端软件支持配置复杂刺激参数</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35AD3B09">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必需</w:t>
            </w:r>
          </w:p>
        </w:tc>
      </w:tr>
      <w:tr w14:paraId="739E4863">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tcPr>
          <w:p w14:paraId="58DD2767">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3CBBFA9E">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刺激模式：</w:t>
            </w:r>
          </w:p>
          <w:p w14:paraId="139F1F27">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tDCS（直流刺激模式）、tACS（交流刺激模式）、tPCS（脉冲刺激模式）、tRNS（随机噪声刺激模式）、toDCS（振荡直流刺激模式）、Sham（伪刺激模式）、Pre-stim（预刺激模式），并支持单向或双向波形设置</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261F30F7">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必需</w:t>
            </w:r>
          </w:p>
        </w:tc>
      </w:tr>
      <w:tr w14:paraId="5996AC3E">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tcPr>
          <w:p w14:paraId="3C080F8D">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001145A6">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设备具备Trigger-In（刺激触发指令输入）接口/Trigger-Out（刺激打标信号输出）接口，实现闭环刺激系统，可通过脑电设备监测患者功能状态，然后在达到特定条件时，输出刺激信号</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43EEF937">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必需</w:t>
            </w:r>
          </w:p>
        </w:tc>
      </w:tr>
      <w:tr w14:paraId="2F3DC4E7">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tcPr>
          <w:p w14:paraId="0100BCB1">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1EA2F080">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输出电流稳定性：设备在负载电阻10Ω～8000Ω下的电流变化率：≤10%</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1AD36EC8">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必需</w:t>
            </w:r>
          </w:p>
        </w:tc>
      </w:tr>
      <w:tr w14:paraId="3466EB47">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tcPr>
          <w:p w14:paraId="2A6A70E6">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2BAF2F7A">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刺激主机支持无线连接和有线连接。理想环境下无线连接最大有效传输距离≥10米</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34145DFA">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必需</w:t>
            </w:r>
          </w:p>
        </w:tc>
      </w:tr>
      <w:tr w14:paraId="08F1C3BF">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tcPr>
          <w:p w14:paraId="7DAB7F3E">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4839C234">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输出电流强度范围：0~2mA，连续可调，步长0.01mA。准确度：误差不大于±10%设定值。交流峰峰值4 A。</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48BDB2D6">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必需</w:t>
            </w:r>
          </w:p>
        </w:tc>
      </w:tr>
      <w:tr w14:paraId="4C8C6BD6">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tcPr>
          <w:p w14:paraId="65B46780">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0132901A">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具有参数保存功能，支持脱离软件使用</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6D3C4FB6">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必需</w:t>
            </w:r>
          </w:p>
        </w:tc>
      </w:tr>
      <w:tr w14:paraId="32ECBF51">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tcPr>
          <w:p w14:paraId="4C1A645A">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0862CAF9">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电池供电，主机面板具有电量提示，充满电可连续工作≥8小时。</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63BA291B">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必需</w:t>
            </w:r>
          </w:p>
        </w:tc>
      </w:tr>
      <w:tr w14:paraId="69302F44">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tcPr>
          <w:p w14:paraId="78ECFD66">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20E2C5E6">
            <w:pPr>
              <w:keepNext w:val="0"/>
              <w:keepLines w:val="0"/>
              <w:pageBreakBefore w:val="0"/>
              <w:numPr>
                <w:ilvl w:val="0"/>
                <w:numId w:val="0"/>
              </w:numPr>
              <w:kinsoku/>
              <w:wordWrap/>
              <w:overflowPunct/>
              <w:topLinePunct w:val="0"/>
              <w:bidi w:val="0"/>
              <w:snapToGrid/>
              <w:spacing w:after="0" w:afterLines="0" w:line="400" w:lineRule="exact"/>
              <w:ind w:left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高精度刺激电极</w:t>
            </w:r>
          </w:p>
          <w:p w14:paraId="3854EE77">
            <w:pPr>
              <w:keepNext w:val="0"/>
              <w:keepLines w:val="0"/>
              <w:pageBreakBefore w:val="0"/>
              <w:numPr>
                <w:ilvl w:val="0"/>
                <w:numId w:val="0"/>
              </w:numPr>
              <w:kinsoku/>
              <w:wordWrap/>
              <w:overflowPunct/>
              <w:topLinePunct w:val="0"/>
              <w:bidi w:val="0"/>
              <w:snapToGrid/>
              <w:spacing w:after="0" w:afterLines="0" w:line="400" w:lineRule="exact"/>
              <w:ind w:leftChars="0"/>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vertAlign w:val="baseline"/>
                <w:lang w:val="en-US" w:eastAsia="zh-CN"/>
              </w:rPr>
              <w:t>(1)</w:t>
            </w:r>
            <w:r>
              <w:rPr>
                <w:rFonts w:hint="eastAsia" w:ascii="微软雅黑" w:hAnsi="微软雅黑" w:eastAsia="微软雅黑" w:cs="微软雅黑"/>
                <w:color w:val="auto"/>
                <w:sz w:val="21"/>
                <w:szCs w:val="21"/>
                <w:highlight w:val="none"/>
                <w:lang w:val="en-US" w:eastAsia="zh-CN"/>
              </w:rPr>
              <w:t>五通道电极</w:t>
            </w:r>
          </w:p>
          <w:p w14:paraId="5FF9C70D">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vertAlign w:val="baseline"/>
                <w:lang w:val="en-US" w:eastAsia="zh-CN"/>
              </w:rPr>
              <w:t>(2)</w:t>
            </w:r>
            <w:r>
              <w:rPr>
                <w:rFonts w:hint="eastAsia" w:ascii="微软雅黑" w:hAnsi="微软雅黑" w:eastAsia="微软雅黑" w:cs="微软雅黑"/>
                <w:color w:val="auto"/>
                <w:sz w:val="21"/>
                <w:szCs w:val="21"/>
                <w:highlight w:val="none"/>
                <w:lang w:val="en-US" w:eastAsia="zh-CN"/>
              </w:rPr>
              <w:t>高精度银/氯化银环形电极，尺寸为内径6mm*12mm；导电阻抗为≤60Ω，误差≤±10％</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70B4E892">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必需</w:t>
            </w:r>
          </w:p>
        </w:tc>
      </w:tr>
      <w:tr w14:paraId="04E1F8F1">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tcPr>
          <w:p w14:paraId="4B06E8FF">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4EFFD3C4">
            <w:pPr>
              <w:keepNext w:val="0"/>
              <w:keepLines w:val="0"/>
              <w:pageBreakBefore w:val="0"/>
              <w:numPr>
                <w:ilvl w:val="-1"/>
                <w:numId w:val="0"/>
              </w:numPr>
              <w:kinsoku/>
              <w:wordWrap/>
              <w:overflowPunct/>
              <w:topLinePunct w:val="0"/>
              <w:bidi w:val="0"/>
              <w:adjustRightInd/>
              <w:snapToGrid/>
              <w:spacing w:after="0" w:afterLines="0" w:line="400" w:lineRule="exact"/>
              <w:ind w:left="0" w:leftChars="0" w:firstLine="0" w:firstLineChars="0"/>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具有电极阻抗检测功能，可实时显示每个电极的阻抗，监控电极接触情况，保障安全。</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3F619DA8">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必需</w:t>
            </w:r>
          </w:p>
        </w:tc>
      </w:tr>
      <w:tr w14:paraId="0D59B6AB">
        <w:tblPrEx>
          <w:tblCellMar>
            <w:top w:w="0" w:type="dxa"/>
            <w:left w:w="108" w:type="dxa"/>
            <w:bottom w:w="0" w:type="dxa"/>
            <w:right w:w="108" w:type="dxa"/>
          </w:tblCellMar>
        </w:tblPrEx>
        <w:trPr>
          <w:trHeight w:val="379"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auto"/>
          </w:tcPr>
          <w:p w14:paraId="3B95BEE8">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44910175">
            <w:pPr>
              <w:keepNext w:val="0"/>
              <w:keepLines w:val="0"/>
              <w:pageBreakBefore w:val="0"/>
              <w:numPr>
                <w:ilvl w:val="-1"/>
                <w:numId w:val="0"/>
              </w:numPr>
              <w:kinsoku/>
              <w:wordWrap/>
              <w:overflowPunct/>
              <w:topLinePunct w:val="0"/>
              <w:bidi w:val="0"/>
              <w:adjustRightInd/>
              <w:snapToGrid/>
              <w:spacing w:after="0" w:afterLines="0" w:line="400" w:lineRule="exact"/>
              <w:ind w:left="0" w:leftChars="0" w:firstLine="0" w:firstLineChars="0"/>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控制软件设置可调节刺激参数，控制刺激进程，软件支持配置复杂刺激参数。</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657D1A64">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必需</w:t>
            </w:r>
          </w:p>
        </w:tc>
      </w:tr>
      <w:tr w14:paraId="2F040EF7">
        <w:tblPrEx>
          <w:tblCellMar>
            <w:top w:w="0" w:type="dxa"/>
            <w:left w:w="108" w:type="dxa"/>
            <w:bottom w:w="0" w:type="dxa"/>
            <w:right w:w="108" w:type="dxa"/>
          </w:tblCellMar>
        </w:tblPrEx>
        <w:trPr>
          <w:trHeight w:val="379"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auto"/>
          </w:tcPr>
          <w:p w14:paraId="1190B772">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1DF41508">
            <w:pPr>
              <w:keepNext w:val="0"/>
              <w:keepLines w:val="0"/>
              <w:pageBreakBefore w:val="0"/>
              <w:kinsoku/>
              <w:wordWrap/>
              <w:overflowPunct/>
              <w:topLinePunct w:val="0"/>
              <w:bidi w:val="0"/>
              <w:spacing w:after="0" w:afterLines="0" w:line="400" w:lineRule="exact"/>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b/>
                <w:bCs/>
                <w:color w:val="auto"/>
                <w:kern w:val="0"/>
                <w:sz w:val="21"/>
                <w:szCs w:val="21"/>
                <w:highlight w:val="none"/>
                <w:u w:val="none"/>
                <w:lang w:val="en-US" w:eastAsia="zh-CN"/>
              </w:rPr>
              <w:t>配置要求：</w:t>
            </w:r>
          </w:p>
          <w:p w14:paraId="268ABFBB">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1.刺激主机1个</w:t>
            </w:r>
          </w:p>
          <w:p w14:paraId="223F5807">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2.经颅电刺激软件1个</w:t>
            </w:r>
          </w:p>
          <w:p w14:paraId="370B4187">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3.五通道高精度矩阵电极1套</w:t>
            </w:r>
          </w:p>
          <w:p w14:paraId="0F10F0F8">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4.五通道线缆1套</w:t>
            </w:r>
          </w:p>
          <w:p w14:paraId="3B516E30">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5.环形电极托5个</w:t>
            </w:r>
          </w:p>
          <w:p w14:paraId="63632C34">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6.电极固定帽1个</w:t>
            </w:r>
          </w:p>
          <w:p w14:paraId="5C093AA3">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kern w:val="2"/>
                <w:sz w:val="21"/>
                <w:szCs w:val="21"/>
                <w:highlight w:val="none"/>
                <w:lang w:val="en-US" w:eastAsia="zh-CN" w:bidi="ar-SA"/>
              </w:rPr>
              <w:t>7.主机充电器1个</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5BC8C94E">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必需</w:t>
            </w:r>
          </w:p>
        </w:tc>
      </w:tr>
      <w:tr w14:paraId="6933F3B5">
        <w:tblPrEx>
          <w:tblCellMar>
            <w:top w:w="0" w:type="dxa"/>
            <w:left w:w="108" w:type="dxa"/>
            <w:bottom w:w="0" w:type="dxa"/>
            <w:right w:w="108" w:type="dxa"/>
          </w:tblCellMar>
        </w:tblPrEx>
        <w:trPr>
          <w:trHeight w:val="397" w:hRule="atLeast"/>
          <w:jc w:val="center"/>
        </w:trPr>
        <w:tc>
          <w:tcPr>
            <w:tcW w:w="5000" w:type="pct"/>
            <w:gridSpan w:val="3"/>
            <w:tcBorders>
              <w:top w:val="single" w:color="auto" w:sz="4" w:space="0"/>
              <w:left w:val="nil"/>
              <w:bottom w:val="single" w:color="auto" w:sz="4" w:space="0"/>
              <w:right w:val="nil"/>
            </w:tcBorders>
          </w:tcPr>
          <w:p w14:paraId="5B30F8B3">
            <w:pPr>
              <w:keepNext w:val="0"/>
              <w:keepLines w:val="0"/>
              <w:pageBreakBefore w:val="0"/>
              <w:numPr>
                <w:ilvl w:val="1"/>
                <w:numId w:val="4"/>
              </w:numPr>
              <w:kinsoku/>
              <w:wordWrap/>
              <w:overflowPunct/>
              <w:topLinePunct w:val="0"/>
              <w:bidi w:val="0"/>
              <w:spacing w:after="0" w:afterLines="0" w:line="400" w:lineRule="exact"/>
              <w:ind w:left="777" w:leftChars="0" w:hanging="567" w:firstLineChars="0"/>
              <w:outlineLvl w:val="0"/>
              <w:rPr>
                <w:rFonts w:hint="eastAsia" w:ascii="微软雅黑" w:hAnsi="微软雅黑" w:eastAsia="微软雅黑" w:cs="微软雅黑"/>
                <w:b/>
                <w:bCs w:val="0"/>
                <w:snapToGrid/>
                <w:color w:val="auto"/>
                <w:kern w:val="2"/>
                <w:sz w:val="21"/>
                <w:szCs w:val="21"/>
                <w:highlight w:val="none"/>
                <w:lang w:val="en-US" w:eastAsia="zh-CN" w:bidi="ar-SA"/>
              </w:rPr>
            </w:pPr>
            <w:bookmarkStart w:id="114" w:name="_Toc13592"/>
            <w:bookmarkEnd w:id="114"/>
            <w:bookmarkStart w:id="115" w:name="_Toc28916"/>
            <w:bookmarkEnd w:id="115"/>
            <w:bookmarkStart w:id="116" w:name="_Toc478"/>
            <w:bookmarkStart w:id="117" w:name="_Toc23829"/>
            <w:r>
              <w:rPr>
                <w:rFonts w:hint="eastAsia" w:ascii="微软雅黑" w:hAnsi="微软雅黑" w:eastAsia="微软雅黑" w:cs="微软雅黑"/>
                <w:b/>
                <w:bCs w:val="0"/>
                <w:snapToGrid/>
                <w:color w:val="auto"/>
                <w:kern w:val="2"/>
                <w:sz w:val="21"/>
                <w:szCs w:val="21"/>
                <w:highlight w:val="none"/>
                <w:lang w:val="en-US" w:eastAsia="zh-CN" w:bidi="ar-SA"/>
              </w:rPr>
              <w:t>安装调试及培训、验证和文件需求</w:t>
            </w:r>
            <w:bookmarkEnd w:id="116"/>
            <w:bookmarkEnd w:id="117"/>
          </w:p>
        </w:tc>
      </w:tr>
      <w:tr w14:paraId="1917BC7B">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D7D7D7" w:themeFill="background1" w:themeFillShade="D8"/>
          </w:tcPr>
          <w:p w14:paraId="070454A5">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URS编号</w:t>
            </w:r>
          </w:p>
        </w:tc>
        <w:tc>
          <w:tcPr>
            <w:tcW w:w="3472" w:type="pct"/>
            <w:tcBorders>
              <w:top w:val="single" w:color="auto" w:sz="4" w:space="0"/>
              <w:left w:val="single" w:color="auto" w:sz="4" w:space="0"/>
              <w:bottom w:val="single" w:color="auto" w:sz="4" w:space="0"/>
              <w:right w:val="single" w:color="auto" w:sz="4" w:space="0"/>
            </w:tcBorders>
            <w:shd w:val="clear" w:color="auto" w:fill="D7D7D7"/>
          </w:tcPr>
          <w:p w14:paraId="7E20E7F8">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需求描述</w:t>
            </w:r>
          </w:p>
        </w:tc>
        <w:tc>
          <w:tcPr>
            <w:tcW w:w="829" w:type="pct"/>
            <w:tcBorders>
              <w:top w:val="single" w:color="auto" w:sz="4" w:space="0"/>
              <w:left w:val="single" w:color="auto" w:sz="4" w:space="0"/>
              <w:bottom w:val="single" w:color="auto" w:sz="4" w:space="0"/>
              <w:right w:val="single" w:color="auto" w:sz="4" w:space="0"/>
            </w:tcBorders>
            <w:shd w:val="clear" w:color="auto" w:fill="D7D7D7" w:themeFill="background1" w:themeFillShade="D8"/>
          </w:tcPr>
          <w:p w14:paraId="36D86B4F">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期望/必需</w:t>
            </w:r>
          </w:p>
        </w:tc>
      </w:tr>
      <w:tr w14:paraId="625A927D">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3FCE128D">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4C9D1B2C">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kern w:val="0"/>
                <w:sz w:val="21"/>
                <w:szCs w:val="21"/>
                <w:highlight w:val="none"/>
                <w:lang w:val="en-US" w:eastAsia="zh-CN" w:bidi="hi-IN"/>
              </w:rPr>
            </w:pPr>
            <w:r>
              <w:rPr>
                <w:rFonts w:hint="eastAsia" w:ascii="微软雅黑" w:hAnsi="微软雅黑" w:eastAsia="微软雅黑" w:cs="微软雅黑"/>
                <w:color w:val="auto"/>
                <w:kern w:val="0"/>
                <w:sz w:val="21"/>
                <w:szCs w:val="21"/>
                <w:highlight w:val="none"/>
                <w:lang w:bidi="hi-IN"/>
              </w:rPr>
              <w:t>供方负责将设备运送至用户场地，并保证其包装外观完整，设备完好。</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1E303E72">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rPr>
              <w:t>必需</w:t>
            </w:r>
          </w:p>
        </w:tc>
      </w:tr>
      <w:tr w14:paraId="6DEBEB78">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3BD9224B">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4B771E97">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kern w:val="0"/>
                <w:sz w:val="21"/>
                <w:szCs w:val="21"/>
                <w:highlight w:val="none"/>
                <w:lang w:eastAsia="zh-CN" w:bidi="hi-IN"/>
              </w:rPr>
            </w:pPr>
            <w:r>
              <w:rPr>
                <w:rFonts w:hint="eastAsia" w:ascii="微软雅黑" w:hAnsi="微软雅黑" w:eastAsia="微软雅黑" w:cs="微软雅黑"/>
                <w:color w:val="auto"/>
                <w:kern w:val="0"/>
                <w:sz w:val="21"/>
                <w:szCs w:val="21"/>
                <w:highlight w:val="none"/>
                <w:lang w:bidi="hi-IN"/>
              </w:rPr>
              <w:t>供方必需提供免费的设备安装、调试、验收测试服务，包括及时提供文件资料。</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4C83D6AB">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必需</w:t>
            </w:r>
          </w:p>
        </w:tc>
      </w:tr>
      <w:tr w14:paraId="2BFFEB2A">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0F549A69">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24BD41BB">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kern w:val="0"/>
                <w:sz w:val="21"/>
                <w:szCs w:val="21"/>
                <w:highlight w:val="none"/>
                <w:lang w:eastAsia="zh-CN" w:bidi="hi-IN"/>
              </w:rPr>
            </w:pPr>
            <w:r>
              <w:rPr>
                <w:rFonts w:hint="eastAsia" w:ascii="微软雅黑" w:hAnsi="微软雅黑" w:eastAsia="微软雅黑" w:cs="微软雅黑"/>
                <w:color w:val="auto"/>
                <w:kern w:val="0"/>
                <w:sz w:val="21"/>
                <w:szCs w:val="21"/>
                <w:highlight w:val="none"/>
                <w:lang w:bidi="hi-IN"/>
              </w:rPr>
              <w:t>供方负责指派合格的技术人员就设备操作、维护</w:t>
            </w:r>
            <w:r>
              <w:rPr>
                <w:rFonts w:hint="eastAsia" w:ascii="微软雅黑" w:hAnsi="微软雅黑" w:eastAsia="微软雅黑" w:cs="微软雅黑"/>
                <w:color w:val="auto"/>
                <w:kern w:val="0"/>
                <w:sz w:val="21"/>
                <w:szCs w:val="21"/>
                <w:highlight w:val="none"/>
                <w:lang w:val="en-US" w:eastAsia="zh-CN" w:bidi="hi-IN"/>
              </w:rPr>
              <w:t>等</w:t>
            </w:r>
            <w:r>
              <w:rPr>
                <w:rFonts w:hint="eastAsia" w:ascii="微软雅黑" w:hAnsi="微软雅黑" w:eastAsia="微软雅黑" w:cs="微软雅黑"/>
                <w:color w:val="auto"/>
                <w:kern w:val="0"/>
                <w:sz w:val="21"/>
                <w:szCs w:val="21"/>
                <w:highlight w:val="none"/>
                <w:lang w:bidi="hi-IN"/>
              </w:rPr>
              <w:t>相关技能进行用户的人员培训。</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6BD286BF">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必需</w:t>
            </w:r>
          </w:p>
        </w:tc>
      </w:tr>
      <w:tr w14:paraId="1BB0C122">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29FDCDF2">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1EB54AD1">
            <w:pPr>
              <w:keepNext w:val="0"/>
              <w:keepLines w:val="0"/>
              <w:pageBreakBefore w:val="0"/>
              <w:kinsoku/>
              <w:wordWrap/>
              <w:overflowPunct/>
              <w:topLinePunct w:val="0"/>
              <w:bidi w:val="0"/>
              <w:spacing w:after="0" w:afterLines="0" w:line="400" w:lineRule="exact"/>
              <w:ind w:left="-17" w:leftChars="-8"/>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使用手册（包括但不限于）：</w:t>
            </w:r>
          </w:p>
          <w:p w14:paraId="03DA9FAA">
            <w:pPr>
              <w:keepNext w:val="0"/>
              <w:keepLines w:val="0"/>
              <w:pageBreakBefore w:val="0"/>
              <w:kinsoku/>
              <w:wordWrap/>
              <w:overflowPunct/>
              <w:topLinePunct w:val="0"/>
              <w:bidi w:val="0"/>
              <w:spacing w:after="0" w:afterLines="0" w:line="400" w:lineRule="exact"/>
              <w:ind w:left="-17" w:leftChars="-8"/>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（1）系统操作手册</w:t>
            </w:r>
          </w:p>
          <w:p w14:paraId="69158903">
            <w:pPr>
              <w:pStyle w:val="49"/>
              <w:keepNext w:val="0"/>
              <w:keepLines w:val="0"/>
              <w:pageBreakBefore w:val="0"/>
              <w:numPr>
                <w:ilvl w:val="0"/>
                <w:numId w:val="0"/>
              </w:numPr>
              <w:kinsoku/>
              <w:wordWrap/>
              <w:overflowPunct/>
              <w:topLinePunct w:val="0"/>
              <w:autoSpaceDE/>
              <w:autoSpaceDN/>
              <w:bidi w:val="0"/>
              <w:adjustRightInd/>
              <w:snapToGrid/>
              <w:spacing w:after="0" w:afterLines="0" w:line="400" w:lineRule="exact"/>
              <w:textAlignment w:val="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w:t>
            </w:r>
            <w:r>
              <w:rPr>
                <w:rFonts w:hint="eastAsia" w:ascii="微软雅黑" w:hAnsi="微软雅黑" w:eastAsia="微软雅黑" w:cs="微软雅黑"/>
                <w:color w:val="auto"/>
                <w:sz w:val="21"/>
                <w:szCs w:val="21"/>
                <w:highlight w:val="none"/>
                <w:lang w:val="en-US" w:eastAsia="zh-CN"/>
              </w:rPr>
              <w:t>2</w:t>
            </w:r>
            <w:r>
              <w:rPr>
                <w:rFonts w:hint="eastAsia" w:ascii="微软雅黑" w:hAnsi="微软雅黑" w:eastAsia="微软雅黑" w:cs="微软雅黑"/>
                <w:color w:val="auto"/>
                <w:sz w:val="21"/>
                <w:szCs w:val="21"/>
                <w:highlight w:val="none"/>
              </w:rPr>
              <w:t>）必要的控制软件的备份光盘（如有）</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4BF12568">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必需</w:t>
            </w:r>
          </w:p>
        </w:tc>
      </w:tr>
      <w:tr w14:paraId="3B9AA4B2">
        <w:tblPrEx>
          <w:tblCellMar>
            <w:top w:w="0" w:type="dxa"/>
            <w:left w:w="108" w:type="dxa"/>
            <w:bottom w:w="0" w:type="dxa"/>
            <w:right w:w="108" w:type="dxa"/>
          </w:tblCellMar>
        </w:tblPrEx>
        <w:trPr>
          <w:trHeight w:val="397" w:hRule="atLeast"/>
          <w:jc w:val="center"/>
        </w:trPr>
        <w:tc>
          <w:tcPr>
            <w:tcW w:w="5000" w:type="pct"/>
            <w:gridSpan w:val="3"/>
            <w:tcBorders>
              <w:top w:val="single" w:color="auto" w:sz="4" w:space="0"/>
              <w:left w:val="nil"/>
              <w:bottom w:val="nil"/>
              <w:right w:val="nil"/>
            </w:tcBorders>
          </w:tcPr>
          <w:p w14:paraId="19F1DDBA">
            <w:pPr>
              <w:keepNext w:val="0"/>
              <w:keepLines w:val="0"/>
              <w:pageBreakBefore w:val="0"/>
              <w:numPr>
                <w:ilvl w:val="1"/>
                <w:numId w:val="4"/>
              </w:numPr>
              <w:kinsoku/>
              <w:wordWrap/>
              <w:overflowPunct/>
              <w:topLinePunct w:val="0"/>
              <w:bidi w:val="0"/>
              <w:spacing w:after="0" w:afterLines="0" w:line="400" w:lineRule="exact"/>
              <w:ind w:left="777" w:leftChars="0" w:hanging="567" w:firstLineChars="0"/>
              <w:outlineLvl w:val="0"/>
              <w:rPr>
                <w:rFonts w:hint="eastAsia" w:ascii="微软雅黑" w:hAnsi="微软雅黑" w:eastAsia="微软雅黑" w:cs="微软雅黑"/>
                <w:b w:val="0"/>
                <w:bCs/>
                <w:color w:val="auto"/>
                <w:sz w:val="21"/>
                <w:szCs w:val="21"/>
                <w:highlight w:val="none"/>
              </w:rPr>
            </w:pPr>
            <w:bookmarkStart w:id="118" w:name="_Toc15216"/>
            <w:bookmarkStart w:id="119" w:name="_Toc17686"/>
            <w:bookmarkStart w:id="120" w:name="_Toc18420"/>
            <w:bookmarkStart w:id="121" w:name="_Toc12975"/>
            <w:bookmarkStart w:id="122" w:name="_Toc756"/>
            <w:bookmarkStart w:id="123" w:name="_Toc31334"/>
            <w:bookmarkStart w:id="124" w:name="_Toc20523"/>
            <w:r>
              <w:rPr>
                <w:rFonts w:hint="eastAsia" w:ascii="微软雅黑" w:hAnsi="微软雅黑" w:eastAsia="微软雅黑" w:cs="微软雅黑"/>
                <w:b/>
                <w:bCs w:val="0"/>
                <w:color w:val="auto"/>
                <w:sz w:val="21"/>
                <w:szCs w:val="21"/>
                <w:highlight w:val="none"/>
                <w:lang w:val="en-US" w:eastAsia="zh-CN"/>
              </w:rPr>
              <w:t>包装及运输需求</w:t>
            </w:r>
            <w:bookmarkEnd w:id="118"/>
            <w:bookmarkEnd w:id="119"/>
            <w:bookmarkEnd w:id="120"/>
            <w:bookmarkEnd w:id="121"/>
            <w:bookmarkEnd w:id="122"/>
            <w:bookmarkEnd w:id="123"/>
            <w:bookmarkEnd w:id="124"/>
          </w:p>
        </w:tc>
      </w:tr>
      <w:tr w14:paraId="10A80383">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D7D7D7"/>
            <w:vAlign w:val="top"/>
          </w:tcPr>
          <w:p w14:paraId="327DF294">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URS编号</w:t>
            </w:r>
          </w:p>
        </w:tc>
        <w:tc>
          <w:tcPr>
            <w:tcW w:w="3472" w:type="pct"/>
            <w:tcBorders>
              <w:top w:val="single" w:color="auto" w:sz="4" w:space="0"/>
              <w:left w:val="single" w:color="auto" w:sz="4" w:space="0"/>
              <w:bottom w:val="single" w:color="auto" w:sz="4" w:space="0"/>
              <w:right w:val="single" w:color="auto" w:sz="4" w:space="0"/>
            </w:tcBorders>
            <w:shd w:val="clear" w:color="auto" w:fill="D7D7D7"/>
          </w:tcPr>
          <w:p w14:paraId="788A5A59">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要求描述</w:t>
            </w:r>
          </w:p>
        </w:tc>
        <w:tc>
          <w:tcPr>
            <w:tcW w:w="829" w:type="pct"/>
            <w:tcBorders>
              <w:top w:val="single" w:color="auto" w:sz="4" w:space="0"/>
              <w:left w:val="single" w:color="auto" w:sz="4" w:space="0"/>
              <w:bottom w:val="single" w:color="auto" w:sz="4" w:space="0"/>
              <w:right w:val="single" w:color="auto" w:sz="4" w:space="0"/>
            </w:tcBorders>
            <w:shd w:val="clear" w:color="auto" w:fill="D7D7D7"/>
          </w:tcPr>
          <w:p w14:paraId="48A49D77">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en-US" w:eastAsia="zh-CN"/>
              </w:rPr>
              <w:t>期望/必需</w:t>
            </w:r>
          </w:p>
        </w:tc>
      </w:tr>
      <w:tr w14:paraId="44032B55">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606001B4">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601B3099">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kern w:val="0"/>
                <w:sz w:val="21"/>
                <w:szCs w:val="21"/>
                <w:highlight w:val="none"/>
                <w:lang w:val="it-IT" w:eastAsia="it-IT" w:bidi="ar-SA"/>
              </w:rPr>
            </w:pPr>
            <w:r>
              <w:rPr>
                <w:rFonts w:hint="eastAsia" w:ascii="微软雅黑" w:hAnsi="微软雅黑" w:eastAsia="微软雅黑" w:cs="微软雅黑"/>
                <w:color w:val="auto"/>
                <w:kern w:val="0"/>
                <w:sz w:val="21"/>
                <w:szCs w:val="21"/>
                <w:highlight w:val="none"/>
                <w:lang w:bidi="hi-IN"/>
              </w:rPr>
              <w:t>所有设备运输至用户指定工厂地点安装，设备装、卸货吊装、转运等均由乙方完成，运输过程导致系统损坏责任由乙方承担。</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409AFEFE">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必需</w:t>
            </w:r>
          </w:p>
        </w:tc>
      </w:tr>
      <w:tr w14:paraId="527B7E7D">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13974F71">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1CA6010E">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kern w:val="0"/>
                <w:sz w:val="21"/>
                <w:szCs w:val="21"/>
                <w:highlight w:val="none"/>
                <w:lang w:bidi="hi-IN"/>
              </w:rPr>
              <w:t>包装满足运输和装卸要求，防潮湿、防磕碰、防振动，由于包装不良而造成的任何锈损，乙方承担全部损失和费用。</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0858A081">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必需</w:t>
            </w:r>
          </w:p>
        </w:tc>
      </w:tr>
      <w:tr w14:paraId="54075A1D">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059A65BD">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5B4A7D04">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kern w:val="0"/>
                <w:sz w:val="21"/>
                <w:szCs w:val="21"/>
                <w:highlight w:val="none"/>
                <w:lang w:bidi="hi-IN"/>
              </w:rPr>
              <w:t>提供详细的装箱清单，并与装箱内容一致。</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5282CD00">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必需</w:t>
            </w:r>
          </w:p>
        </w:tc>
      </w:tr>
      <w:tr w14:paraId="720C4080">
        <w:tblPrEx>
          <w:tblCellMar>
            <w:top w:w="0" w:type="dxa"/>
            <w:left w:w="108" w:type="dxa"/>
            <w:bottom w:w="0" w:type="dxa"/>
            <w:right w:w="108" w:type="dxa"/>
          </w:tblCellMar>
        </w:tblPrEx>
        <w:trPr>
          <w:trHeight w:val="397" w:hRule="atLeast"/>
          <w:jc w:val="center"/>
        </w:trPr>
        <w:tc>
          <w:tcPr>
            <w:tcW w:w="5000" w:type="pct"/>
            <w:gridSpan w:val="3"/>
            <w:tcBorders>
              <w:top w:val="single" w:color="auto" w:sz="4" w:space="0"/>
              <w:left w:val="nil"/>
              <w:bottom w:val="nil"/>
              <w:right w:val="nil"/>
            </w:tcBorders>
          </w:tcPr>
          <w:p w14:paraId="3C6E4E92">
            <w:pPr>
              <w:keepNext w:val="0"/>
              <w:keepLines w:val="0"/>
              <w:pageBreakBefore w:val="0"/>
              <w:numPr>
                <w:ilvl w:val="1"/>
                <w:numId w:val="4"/>
              </w:numPr>
              <w:kinsoku/>
              <w:wordWrap/>
              <w:overflowPunct/>
              <w:topLinePunct w:val="0"/>
              <w:bidi w:val="0"/>
              <w:spacing w:after="0" w:afterLines="0" w:line="400" w:lineRule="exact"/>
              <w:ind w:left="777" w:leftChars="0" w:hanging="567" w:firstLineChars="0"/>
              <w:outlineLvl w:val="0"/>
              <w:rPr>
                <w:rFonts w:hint="eastAsia" w:ascii="微软雅黑" w:hAnsi="微软雅黑" w:eastAsia="微软雅黑" w:cs="微软雅黑"/>
                <w:b w:val="0"/>
                <w:bCs/>
                <w:color w:val="auto"/>
                <w:sz w:val="21"/>
                <w:szCs w:val="21"/>
                <w:highlight w:val="none"/>
                <w:lang w:val="en-US" w:eastAsia="zh-CN"/>
              </w:rPr>
            </w:pPr>
            <w:bookmarkStart w:id="125" w:name="_Toc9874"/>
            <w:bookmarkEnd w:id="125"/>
            <w:bookmarkStart w:id="126" w:name="_Toc15320"/>
            <w:bookmarkEnd w:id="126"/>
            <w:bookmarkStart w:id="127" w:name="_Toc3318"/>
            <w:bookmarkStart w:id="128" w:name="_Toc28850"/>
            <w:bookmarkStart w:id="129" w:name="_Toc24757"/>
            <w:r>
              <w:rPr>
                <w:rFonts w:hint="eastAsia" w:ascii="微软雅黑" w:hAnsi="微软雅黑" w:eastAsia="微软雅黑" w:cs="微软雅黑"/>
                <w:b/>
                <w:bCs w:val="0"/>
                <w:color w:val="auto"/>
                <w:sz w:val="21"/>
                <w:szCs w:val="21"/>
                <w:highlight w:val="none"/>
                <w:lang w:val="en-US" w:eastAsia="zh-CN"/>
              </w:rPr>
              <w:t>维护和售后需求</w:t>
            </w:r>
            <w:bookmarkEnd w:id="127"/>
            <w:bookmarkEnd w:id="128"/>
            <w:bookmarkEnd w:id="129"/>
          </w:p>
        </w:tc>
      </w:tr>
      <w:tr w14:paraId="2CEEF1E4">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shd w:val="clear" w:color="auto" w:fill="D7D7D7"/>
            <w:vAlign w:val="top"/>
          </w:tcPr>
          <w:p w14:paraId="6F25CEBE">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rPr>
              <w:t>URS编号</w:t>
            </w:r>
          </w:p>
        </w:tc>
        <w:tc>
          <w:tcPr>
            <w:tcW w:w="3472" w:type="pct"/>
            <w:tcBorders>
              <w:top w:val="single" w:color="auto" w:sz="4" w:space="0"/>
              <w:left w:val="single" w:color="auto" w:sz="4" w:space="0"/>
              <w:bottom w:val="single" w:color="auto" w:sz="4" w:space="0"/>
              <w:right w:val="single" w:color="auto" w:sz="4" w:space="0"/>
            </w:tcBorders>
            <w:shd w:val="clear" w:color="auto" w:fill="D7D7D7"/>
            <w:vAlign w:val="top"/>
          </w:tcPr>
          <w:p w14:paraId="251AFC09">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rPr>
              <w:t>要求描述</w:t>
            </w:r>
          </w:p>
        </w:tc>
        <w:tc>
          <w:tcPr>
            <w:tcW w:w="829" w:type="pct"/>
            <w:tcBorders>
              <w:top w:val="single" w:color="auto" w:sz="4" w:space="0"/>
              <w:left w:val="single" w:color="auto" w:sz="4" w:space="0"/>
              <w:bottom w:val="single" w:color="auto" w:sz="4" w:space="0"/>
              <w:right w:val="single" w:color="auto" w:sz="4" w:space="0"/>
            </w:tcBorders>
            <w:shd w:val="clear" w:color="auto" w:fill="D7D7D7"/>
            <w:vAlign w:val="top"/>
          </w:tcPr>
          <w:p w14:paraId="778179FD">
            <w:pPr>
              <w:keepNext w:val="0"/>
              <w:keepLines w:val="0"/>
              <w:pageBreakBefore w:val="0"/>
              <w:kinsoku/>
              <w:wordWrap/>
              <w:overflowPunct/>
              <w:topLinePunct w:val="0"/>
              <w:bidi w:val="0"/>
              <w:spacing w:after="0" w:afterLines="0" w:line="400" w:lineRule="exact"/>
              <w:jc w:val="center"/>
              <w:rPr>
                <w:rFonts w:hint="eastAsia" w:ascii="微软雅黑" w:hAnsi="微软雅黑" w:eastAsia="微软雅黑" w:cs="微软雅黑"/>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val="en-US" w:eastAsia="zh-CN"/>
              </w:rPr>
              <w:t>期望/必需</w:t>
            </w:r>
          </w:p>
        </w:tc>
      </w:tr>
      <w:tr w14:paraId="1714143F">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1EEB8D9D">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3FC5577B">
            <w:pPr>
              <w:keepNext w:val="0"/>
              <w:keepLines w:val="0"/>
              <w:pageBreakBefore w:val="0"/>
              <w:kinsoku/>
              <w:wordWrap/>
              <w:overflowPunct/>
              <w:topLinePunct w:val="0"/>
              <w:bidi w:val="0"/>
              <w:spacing w:after="0" w:afterLines="0" w:line="400" w:lineRule="exact"/>
              <w:jc w:val="left"/>
              <w:rPr>
                <w:rFonts w:hint="eastAsia" w:ascii="微软雅黑" w:hAnsi="微软雅黑" w:eastAsia="微软雅黑" w:cs="微软雅黑"/>
                <w:color w:val="auto"/>
                <w:kern w:val="0"/>
                <w:sz w:val="21"/>
                <w:szCs w:val="21"/>
                <w:highlight w:val="none"/>
                <w:lang w:val="it-IT" w:eastAsia="zh-CN" w:bidi="ar-SA"/>
              </w:rPr>
            </w:pPr>
            <w:r>
              <w:rPr>
                <w:rFonts w:hint="eastAsia" w:ascii="微软雅黑" w:hAnsi="微软雅黑" w:eastAsia="微软雅黑" w:cs="微软雅黑"/>
                <w:color w:val="auto"/>
                <w:kern w:val="0"/>
                <w:sz w:val="21"/>
                <w:szCs w:val="21"/>
                <w:highlight w:val="none"/>
                <w:lang w:bidi="hi-IN"/>
              </w:rPr>
              <w:t>设备的维护和维修可以使用标准的工具</w:t>
            </w:r>
            <w:r>
              <w:rPr>
                <w:rFonts w:hint="eastAsia" w:ascii="微软雅黑" w:hAnsi="微软雅黑" w:eastAsia="微软雅黑" w:cs="微软雅黑"/>
                <w:color w:val="auto"/>
                <w:kern w:val="0"/>
                <w:sz w:val="21"/>
                <w:szCs w:val="21"/>
                <w:highlight w:val="none"/>
                <w:lang w:eastAsia="zh-CN" w:bidi="hi-IN"/>
              </w:rPr>
              <w:t>。</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77CE42C0">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必需</w:t>
            </w:r>
          </w:p>
        </w:tc>
      </w:tr>
      <w:tr w14:paraId="606EECB3">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2E9DF833">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color w:val="auto"/>
                <w:sz w:val="21"/>
                <w:szCs w:val="21"/>
                <w:highlight w:val="none"/>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6300A4DA">
            <w:pPr>
              <w:pStyle w:val="49"/>
              <w:keepNext w:val="0"/>
              <w:keepLines w:val="0"/>
              <w:pageBreakBefore w:val="0"/>
              <w:numPr>
                <w:ilvl w:val="0"/>
                <w:numId w:val="0"/>
              </w:numPr>
              <w:kinsoku/>
              <w:wordWrap/>
              <w:overflowPunct/>
              <w:topLinePunct w:val="0"/>
              <w:autoSpaceDE/>
              <w:autoSpaceDN/>
              <w:bidi w:val="0"/>
              <w:adjustRightInd/>
              <w:snapToGrid/>
              <w:spacing w:after="0" w:afterLines="0" w:line="400" w:lineRule="exact"/>
              <w:textAlignment w:val="auto"/>
              <w:rPr>
                <w:rFonts w:hint="eastAsia" w:ascii="微软雅黑" w:hAnsi="微软雅黑" w:eastAsia="微软雅黑" w:cs="微软雅黑"/>
                <w:color w:val="auto"/>
                <w:kern w:val="0"/>
                <w:sz w:val="21"/>
                <w:szCs w:val="21"/>
                <w:highlight w:val="none"/>
                <w:lang w:val="it-IT" w:eastAsia="zh-CN" w:bidi="ar-SA"/>
              </w:rPr>
            </w:pPr>
            <w:r>
              <w:rPr>
                <w:rFonts w:hint="eastAsia" w:ascii="微软雅黑" w:hAnsi="微软雅黑" w:eastAsia="微软雅黑" w:cs="微软雅黑"/>
                <w:color w:val="auto"/>
                <w:kern w:val="0"/>
                <w:sz w:val="21"/>
                <w:szCs w:val="21"/>
                <w:highlight w:val="none"/>
                <w:lang w:bidi="hi-IN"/>
              </w:rPr>
              <w:t>列出备件和交货周期：易耗件、易损件</w:t>
            </w:r>
            <w:r>
              <w:rPr>
                <w:rFonts w:hint="eastAsia" w:ascii="微软雅黑" w:hAnsi="微软雅黑" w:eastAsia="微软雅黑" w:cs="微软雅黑"/>
                <w:color w:val="auto"/>
                <w:kern w:val="0"/>
                <w:sz w:val="21"/>
                <w:szCs w:val="21"/>
                <w:highlight w:val="none"/>
                <w:lang w:eastAsia="zh-CN" w:bidi="hi-IN"/>
              </w:rPr>
              <w:t>。</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664510D1">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必需</w:t>
            </w:r>
          </w:p>
        </w:tc>
      </w:tr>
      <w:tr w14:paraId="7DE512C5">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0A4A3BAD">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2612458C">
            <w:pPr>
              <w:pStyle w:val="49"/>
              <w:keepNext w:val="0"/>
              <w:keepLines w:val="0"/>
              <w:pageBreakBefore w:val="0"/>
              <w:numPr>
                <w:ilvl w:val="0"/>
                <w:numId w:val="0"/>
              </w:numPr>
              <w:kinsoku/>
              <w:wordWrap/>
              <w:overflowPunct/>
              <w:topLinePunct w:val="0"/>
              <w:autoSpaceDE/>
              <w:autoSpaceDN/>
              <w:bidi w:val="0"/>
              <w:adjustRightInd/>
              <w:snapToGrid/>
              <w:spacing w:after="0" w:afterLines="0" w:line="400" w:lineRule="exact"/>
              <w:textAlignment w:val="auto"/>
              <w:rPr>
                <w:rFonts w:hint="eastAsia" w:ascii="微软雅黑" w:hAnsi="微软雅黑" w:eastAsia="微软雅黑" w:cs="微软雅黑"/>
                <w:color w:val="auto"/>
                <w:kern w:val="0"/>
                <w:sz w:val="21"/>
                <w:szCs w:val="21"/>
                <w:highlight w:val="none"/>
                <w:lang w:val="it-IT" w:eastAsia="it-IT" w:bidi="ar-SA"/>
              </w:rPr>
            </w:pPr>
            <w:r>
              <w:rPr>
                <w:rFonts w:hint="eastAsia" w:ascii="微软雅黑" w:hAnsi="微软雅黑" w:eastAsia="微软雅黑" w:cs="微软雅黑"/>
                <w:color w:val="auto"/>
                <w:sz w:val="21"/>
                <w:szCs w:val="21"/>
                <w:highlight w:val="none"/>
              </w:rPr>
              <w:t>设备在将来使用过程中如遇故障需要拆卸维修和保养，供货厂家必需随时提供所拆部位的装配示意图。</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183ED29D">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snapToGrid/>
                <w:color w:val="auto"/>
                <w:kern w:val="2"/>
                <w:sz w:val="21"/>
                <w:szCs w:val="21"/>
                <w:highlight w:val="none"/>
                <w:lang w:val="en-US" w:eastAsia="zh-CN" w:bidi="ar-SA"/>
              </w:rPr>
            </w:pPr>
            <w:r>
              <w:rPr>
                <w:rFonts w:hint="eastAsia" w:ascii="微软雅黑" w:hAnsi="微软雅黑" w:eastAsia="微软雅黑" w:cs="微软雅黑"/>
                <w:color w:val="auto"/>
                <w:sz w:val="21"/>
                <w:szCs w:val="21"/>
                <w:highlight w:val="none"/>
                <w:lang w:eastAsia="zh-CN"/>
              </w:rPr>
              <w:t>必需</w:t>
            </w:r>
          </w:p>
        </w:tc>
      </w:tr>
      <w:tr w14:paraId="012A8F50">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4A8E9661">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09E6C73A">
            <w:pPr>
              <w:pStyle w:val="49"/>
              <w:keepNext w:val="0"/>
              <w:keepLines w:val="0"/>
              <w:pageBreakBefore w:val="0"/>
              <w:numPr>
                <w:ilvl w:val="0"/>
                <w:numId w:val="0"/>
              </w:numPr>
              <w:kinsoku/>
              <w:wordWrap/>
              <w:overflowPunct/>
              <w:topLinePunct w:val="0"/>
              <w:autoSpaceDE/>
              <w:autoSpaceDN/>
              <w:bidi w:val="0"/>
              <w:adjustRightInd/>
              <w:snapToGrid/>
              <w:spacing w:after="0" w:afterLines="0" w:line="400" w:lineRule="exact"/>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设备验收合格报告生效后</w:t>
            </w:r>
            <w:r>
              <w:rPr>
                <w:rFonts w:hint="eastAsia" w:ascii="微软雅黑" w:hAnsi="微软雅黑" w:eastAsia="微软雅黑" w:cs="微软雅黑"/>
                <w:color w:val="auto"/>
                <w:sz w:val="21"/>
                <w:szCs w:val="21"/>
                <w:highlight w:val="none"/>
                <w:lang w:val="en-US" w:eastAsia="zh-CN"/>
              </w:rPr>
              <w:t>36</w:t>
            </w:r>
            <w:r>
              <w:rPr>
                <w:rFonts w:hint="eastAsia" w:ascii="微软雅黑" w:hAnsi="微软雅黑" w:eastAsia="微软雅黑" w:cs="微软雅黑"/>
                <w:color w:val="auto"/>
                <w:sz w:val="21"/>
                <w:szCs w:val="21"/>
                <w:highlight w:val="none"/>
              </w:rPr>
              <w:t>个月内，卖方提供免费售后服务；当设备出现故障时，卖方对用户的咨询在12小时内作出响应，如有需要应在</w:t>
            </w:r>
            <w:r>
              <w:rPr>
                <w:rFonts w:hint="eastAsia" w:ascii="微软雅黑" w:hAnsi="微软雅黑" w:eastAsia="微软雅黑" w:cs="微软雅黑"/>
                <w:color w:val="auto"/>
                <w:sz w:val="21"/>
                <w:szCs w:val="21"/>
                <w:highlight w:val="none"/>
                <w:lang w:val="en-US" w:eastAsia="zh-CN"/>
              </w:rPr>
              <w:t>24</w:t>
            </w:r>
            <w:r>
              <w:rPr>
                <w:rFonts w:hint="eastAsia" w:ascii="微软雅黑" w:hAnsi="微软雅黑" w:eastAsia="微软雅黑" w:cs="微软雅黑"/>
                <w:color w:val="auto"/>
                <w:sz w:val="21"/>
                <w:szCs w:val="21"/>
                <w:highlight w:val="none"/>
              </w:rPr>
              <w:t>小时内派出有经验的工程师到现场进行维护。</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4BE2710E">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必需</w:t>
            </w:r>
          </w:p>
        </w:tc>
      </w:tr>
      <w:tr w14:paraId="2615248C">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4198711E">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6D25F8B9">
            <w:pPr>
              <w:keepNext w:val="0"/>
              <w:keepLines w:val="0"/>
              <w:pageBreakBefore w:val="0"/>
              <w:widowControl/>
              <w:kinsoku/>
              <w:wordWrap/>
              <w:overflowPunct/>
              <w:topLinePunct w:val="0"/>
              <w:bidi w:val="0"/>
              <w:spacing w:after="0" w:afterLines="0" w:line="40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在质保期限内，合同中所供货物和工作内容在操作规程内出现任何问题，供应商负责无偿维修或更换；质保期后，投标方终生提供及时维修、维护；</w:t>
            </w:r>
          </w:p>
          <w:p w14:paraId="01B94B2E">
            <w:pPr>
              <w:pStyle w:val="49"/>
              <w:keepNext w:val="0"/>
              <w:keepLines w:val="0"/>
              <w:pageBreakBefore w:val="0"/>
              <w:numPr>
                <w:ilvl w:val="0"/>
                <w:numId w:val="0"/>
              </w:numPr>
              <w:kinsoku/>
              <w:wordWrap/>
              <w:overflowPunct/>
              <w:topLinePunct w:val="0"/>
              <w:autoSpaceDE/>
              <w:autoSpaceDN/>
              <w:bidi w:val="0"/>
              <w:adjustRightInd/>
              <w:snapToGrid/>
              <w:spacing w:after="0" w:afterLines="0" w:line="400" w:lineRule="exact"/>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供应商要在投标文件中说明其技术承诺和售后服务的方法和方式。</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7D9C475D">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必需</w:t>
            </w:r>
          </w:p>
        </w:tc>
      </w:tr>
      <w:tr w14:paraId="3FB6467B">
        <w:tblPrEx>
          <w:tblCellMar>
            <w:top w:w="0" w:type="dxa"/>
            <w:left w:w="108" w:type="dxa"/>
            <w:bottom w:w="0" w:type="dxa"/>
            <w:right w:w="108" w:type="dxa"/>
          </w:tblCellMar>
        </w:tblPrEx>
        <w:trPr>
          <w:trHeight w:val="397" w:hRule="atLeast"/>
          <w:jc w:val="center"/>
        </w:trPr>
        <w:tc>
          <w:tcPr>
            <w:tcW w:w="697" w:type="pct"/>
            <w:tcBorders>
              <w:top w:val="single" w:color="auto" w:sz="4" w:space="0"/>
              <w:left w:val="single" w:color="auto" w:sz="4" w:space="0"/>
              <w:bottom w:val="single" w:color="auto" w:sz="4" w:space="0"/>
              <w:right w:val="single" w:color="auto" w:sz="4" w:space="0"/>
            </w:tcBorders>
            <w:vAlign w:val="center"/>
          </w:tcPr>
          <w:p w14:paraId="278EC2E8">
            <w:pPr>
              <w:keepNext w:val="0"/>
              <w:keepLines w:val="0"/>
              <w:pageBreakBefore w:val="0"/>
              <w:numPr>
                <w:ilvl w:val="0"/>
                <w:numId w:val="6"/>
              </w:numPr>
              <w:kinsoku/>
              <w:wordWrap/>
              <w:overflowPunct/>
              <w:topLinePunct w:val="0"/>
              <w:bidi w:val="0"/>
              <w:spacing w:after="0" w:afterLines="0" w:line="400" w:lineRule="exact"/>
              <w:ind w:left="0" w:leftChars="0" w:firstLine="0" w:firstLineChars="0"/>
              <w:jc w:val="center"/>
              <w:rPr>
                <w:rFonts w:hint="eastAsia" w:ascii="微软雅黑" w:hAnsi="微软雅黑" w:eastAsia="微软雅黑" w:cs="微软雅黑"/>
                <w:bCs/>
                <w:snapToGrid/>
                <w:color w:val="auto"/>
                <w:kern w:val="2"/>
                <w:sz w:val="21"/>
                <w:szCs w:val="21"/>
                <w:highlight w:val="none"/>
                <w:lang w:val="en-US" w:eastAsia="zh-CN" w:bidi="ar-SA"/>
              </w:rPr>
            </w:pPr>
          </w:p>
        </w:tc>
        <w:tc>
          <w:tcPr>
            <w:tcW w:w="3472" w:type="pct"/>
            <w:tcBorders>
              <w:top w:val="single" w:color="auto" w:sz="4" w:space="0"/>
              <w:left w:val="single" w:color="auto" w:sz="4" w:space="0"/>
              <w:bottom w:val="single" w:color="auto" w:sz="4" w:space="0"/>
              <w:right w:val="single" w:color="auto" w:sz="4" w:space="0"/>
            </w:tcBorders>
            <w:shd w:val="clear" w:color="auto" w:fill="auto"/>
            <w:vAlign w:val="center"/>
          </w:tcPr>
          <w:p w14:paraId="1818AAC5">
            <w:pPr>
              <w:pStyle w:val="49"/>
              <w:keepNext w:val="0"/>
              <w:keepLines w:val="0"/>
              <w:pageBreakBefore w:val="0"/>
              <w:numPr>
                <w:ilvl w:val="0"/>
                <w:numId w:val="0"/>
              </w:numPr>
              <w:kinsoku/>
              <w:wordWrap/>
              <w:overflowPunct/>
              <w:topLinePunct w:val="0"/>
              <w:autoSpaceDE/>
              <w:autoSpaceDN/>
              <w:bidi w:val="0"/>
              <w:adjustRightInd/>
              <w:snapToGrid/>
              <w:spacing w:after="0" w:afterLines="0" w:line="400" w:lineRule="exact"/>
              <w:textAlignment w:val="auto"/>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供应商提供的所有货物的质保期至少为36个月（从最终验收调试合格之日起算），在质保期内如因设备故障（非人为故障）导致停产时，需要延长保修期限，并承担相应责任。</w:t>
            </w:r>
          </w:p>
        </w:tc>
        <w:tc>
          <w:tcPr>
            <w:tcW w:w="829" w:type="pct"/>
            <w:tcBorders>
              <w:top w:val="single" w:color="auto" w:sz="4" w:space="0"/>
              <w:left w:val="single" w:color="auto" w:sz="4" w:space="0"/>
              <w:bottom w:val="single" w:color="auto" w:sz="4" w:space="0"/>
              <w:right w:val="single" w:color="auto" w:sz="4" w:space="0"/>
            </w:tcBorders>
            <w:shd w:val="clear" w:color="auto" w:fill="auto"/>
            <w:vAlign w:val="center"/>
          </w:tcPr>
          <w:p w14:paraId="0FC77509">
            <w:pPr>
              <w:keepNext w:val="0"/>
              <w:keepLines w:val="0"/>
              <w:pageBreakBefore w:val="0"/>
              <w:kinsoku/>
              <w:wordWrap/>
              <w:overflowPunct/>
              <w:topLinePunct w:val="0"/>
              <w:autoSpaceDE/>
              <w:autoSpaceDN/>
              <w:bidi w:val="0"/>
              <w:adjustRightInd/>
              <w:snapToGrid/>
              <w:spacing w:after="0" w:afterLines="0" w:line="400" w:lineRule="exact"/>
              <w:jc w:val="center"/>
              <w:textAlignment w:val="auto"/>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lang w:eastAsia="zh-CN"/>
              </w:rPr>
              <w:t>必需</w:t>
            </w:r>
          </w:p>
        </w:tc>
      </w:tr>
    </w:tbl>
    <w:p w14:paraId="507D54D9">
      <w:pPr>
        <w:keepNext w:val="0"/>
        <w:keepLines w:val="0"/>
        <w:pageBreakBefore w:val="0"/>
        <w:numPr>
          <w:ilvl w:val="0"/>
          <w:numId w:val="4"/>
        </w:numPr>
        <w:kinsoku/>
        <w:wordWrap/>
        <w:overflowPunct/>
        <w:topLinePunct w:val="0"/>
        <w:bidi w:val="0"/>
        <w:spacing w:after="0" w:afterLines="0" w:line="400" w:lineRule="exact"/>
        <w:ind w:left="425" w:leftChars="0" w:hanging="425" w:firstLineChars="0"/>
        <w:outlineLvl w:val="0"/>
        <w:rPr>
          <w:rFonts w:hint="eastAsia" w:ascii="微软雅黑" w:hAnsi="微软雅黑" w:eastAsia="微软雅黑" w:cs="微软雅黑"/>
          <w:b/>
          <w:color w:val="auto"/>
          <w:sz w:val="21"/>
          <w:szCs w:val="21"/>
          <w:highlight w:val="none"/>
          <w:lang w:val="en-US" w:eastAsia="zh-CN"/>
        </w:rPr>
      </w:pPr>
      <w:bookmarkStart w:id="130" w:name="_Toc22098"/>
      <w:bookmarkStart w:id="131" w:name="_Toc29763"/>
      <w:bookmarkStart w:id="132" w:name="_Toc15982"/>
      <w:bookmarkStart w:id="133" w:name="_Toc14249"/>
      <w:bookmarkStart w:id="134" w:name="_Toc29241"/>
      <w:bookmarkStart w:id="135" w:name="_Toc6171"/>
      <w:bookmarkStart w:id="136" w:name="_Toc31306"/>
      <w:bookmarkStart w:id="137" w:name="_Toc4136"/>
      <w:bookmarkStart w:id="138" w:name="_Toc5406"/>
      <w:bookmarkStart w:id="139" w:name="_Toc2692"/>
      <w:bookmarkStart w:id="140" w:name="_Toc5198"/>
      <w:bookmarkStart w:id="141" w:name="_Toc17843"/>
      <w:r>
        <w:rPr>
          <w:rFonts w:hint="eastAsia" w:ascii="微软雅黑" w:hAnsi="微软雅黑" w:eastAsia="微软雅黑" w:cs="微软雅黑"/>
          <w:b/>
          <w:color w:val="auto"/>
          <w:sz w:val="21"/>
          <w:szCs w:val="21"/>
          <w:highlight w:val="none"/>
          <w:lang w:val="en-US" w:eastAsia="zh-CN"/>
        </w:rPr>
        <w:t>验收标准</w:t>
      </w:r>
      <w:bookmarkEnd w:id="130"/>
      <w:bookmarkEnd w:id="131"/>
    </w:p>
    <w:bookmarkEnd w:id="132"/>
    <w:bookmarkEnd w:id="133"/>
    <w:bookmarkEnd w:id="134"/>
    <w:bookmarkEnd w:id="135"/>
    <w:bookmarkEnd w:id="136"/>
    <w:bookmarkEnd w:id="137"/>
    <w:bookmarkEnd w:id="138"/>
    <w:bookmarkEnd w:id="139"/>
    <w:bookmarkEnd w:id="140"/>
    <w:bookmarkEnd w:id="141"/>
    <w:p w14:paraId="45A80380">
      <w:pPr>
        <w:keepNext w:val="0"/>
        <w:keepLines w:val="0"/>
        <w:pageBreakBefore w:val="0"/>
        <w:widowControl w:val="0"/>
        <w:kinsoku/>
        <w:wordWrap/>
        <w:overflowPunct/>
        <w:topLinePunct w:val="0"/>
        <w:autoSpaceDE/>
        <w:autoSpaceDN/>
        <w:bidi w:val="0"/>
        <w:adjustRightInd w:val="0"/>
        <w:snapToGrid w:val="0"/>
        <w:spacing w:after="0" w:afterLines="0" w:line="400" w:lineRule="exact"/>
        <w:ind w:firstLine="420" w:firstLineChars="200"/>
        <w:jc w:val="left"/>
        <w:textAlignment w:val="auto"/>
        <w:rPr>
          <w:rFonts w:hint="eastAsia" w:ascii="微软雅黑" w:hAnsi="微软雅黑" w:eastAsia="微软雅黑" w:cs="微软雅黑"/>
          <w:color w:val="auto"/>
          <w:kern w:val="0"/>
          <w:sz w:val="21"/>
          <w:szCs w:val="21"/>
          <w:highlight w:val="none"/>
          <w:lang w:bidi="hi-IN"/>
        </w:rPr>
      </w:pPr>
      <w:r>
        <w:rPr>
          <w:rFonts w:hint="eastAsia" w:ascii="微软雅黑" w:hAnsi="微软雅黑" w:eastAsia="微软雅黑" w:cs="微软雅黑"/>
          <w:color w:val="auto"/>
          <w:kern w:val="0"/>
          <w:sz w:val="21"/>
          <w:szCs w:val="21"/>
          <w:highlight w:val="none"/>
          <w:lang w:bidi="hi-IN"/>
        </w:rPr>
        <w:t>设备完成安装、调试、培训后，由采购人、供应商及相关人员依国家有关标准、合同及有关附件要求进行验收，重要设备在验收时，应有制造商技术人员现场协助验收。由供应商收集并整理设备资料及验证报告交于用户，用户确认并签字后则设备验收完成。</w:t>
      </w:r>
    </w:p>
    <w:p w14:paraId="641C5FEC">
      <w:pPr>
        <w:keepNext w:val="0"/>
        <w:keepLines w:val="0"/>
        <w:pageBreakBefore w:val="0"/>
        <w:numPr>
          <w:ilvl w:val="0"/>
          <w:numId w:val="4"/>
        </w:numPr>
        <w:kinsoku/>
        <w:wordWrap/>
        <w:overflowPunct/>
        <w:topLinePunct w:val="0"/>
        <w:bidi w:val="0"/>
        <w:spacing w:after="0" w:afterLines="0" w:line="400" w:lineRule="exact"/>
        <w:ind w:left="425" w:leftChars="0" w:hanging="425" w:firstLineChars="0"/>
        <w:outlineLvl w:val="0"/>
        <w:rPr>
          <w:rFonts w:hint="eastAsia" w:ascii="微软雅黑" w:hAnsi="微软雅黑" w:eastAsia="微软雅黑" w:cs="微软雅黑"/>
          <w:b/>
          <w:color w:val="auto"/>
          <w:sz w:val="21"/>
          <w:szCs w:val="21"/>
          <w:highlight w:val="none"/>
          <w:lang w:val="en-US" w:eastAsia="zh-CN"/>
        </w:rPr>
      </w:pPr>
      <w:bookmarkStart w:id="142" w:name="_Toc4572"/>
      <w:bookmarkStart w:id="143" w:name="_Toc25553"/>
      <w:r>
        <w:rPr>
          <w:rFonts w:hint="eastAsia" w:ascii="微软雅黑" w:hAnsi="微软雅黑" w:eastAsia="微软雅黑" w:cs="微软雅黑"/>
          <w:b/>
          <w:color w:val="auto"/>
          <w:sz w:val="21"/>
          <w:szCs w:val="21"/>
          <w:highlight w:val="none"/>
          <w:lang w:val="en-US" w:eastAsia="zh-CN"/>
        </w:rPr>
        <w:t>保密约定</w:t>
      </w:r>
      <w:bookmarkEnd w:id="142"/>
      <w:bookmarkEnd w:id="143"/>
    </w:p>
    <w:p w14:paraId="557F997A">
      <w:pPr>
        <w:keepNext w:val="0"/>
        <w:keepLines w:val="0"/>
        <w:pageBreakBefore w:val="0"/>
        <w:widowControl w:val="0"/>
        <w:kinsoku/>
        <w:wordWrap/>
        <w:overflowPunct/>
        <w:topLinePunct w:val="0"/>
        <w:autoSpaceDE/>
        <w:autoSpaceDN/>
        <w:bidi w:val="0"/>
        <w:adjustRightInd w:val="0"/>
        <w:snapToGrid w:val="0"/>
        <w:spacing w:after="0" w:afterLines="0" w:line="400" w:lineRule="exact"/>
        <w:ind w:firstLine="420" w:firstLineChars="200"/>
        <w:jc w:val="left"/>
        <w:textAlignment w:val="auto"/>
        <w:rPr>
          <w:rFonts w:hint="eastAsia" w:ascii="微软雅黑" w:hAnsi="微软雅黑" w:eastAsia="微软雅黑" w:cs="微软雅黑"/>
          <w:color w:val="auto"/>
          <w:kern w:val="0"/>
          <w:sz w:val="21"/>
          <w:szCs w:val="21"/>
          <w:highlight w:val="none"/>
          <w:lang w:bidi="hi-IN"/>
        </w:rPr>
      </w:pPr>
      <w:r>
        <w:rPr>
          <w:rFonts w:hint="eastAsia" w:ascii="微软雅黑" w:hAnsi="微软雅黑" w:eastAsia="微软雅黑" w:cs="微软雅黑"/>
          <w:color w:val="auto"/>
          <w:kern w:val="0"/>
          <w:sz w:val="21"/>
          <w:szCs w:val="21"/>
          <w:highlight w:val="none"/>
          <w:lang w:bidi="hi-IN"/>
        </w:rPr>
        <w:t>本文件及其附件属于机密文件，供应商在得到本文件及其附件的同时必需遵守商业诚信的原则。在未得到本公司的书面许可的情况下，供应商不得将本文件的全部或部分内容以任何形式提供给其他供应商或其他用户或任何其他的无关人员。如果有违背本条款的事情发生，用户公司将保留追究任何违约责任的权利。本文件的最终解释权归用户所在公司所有。</w:t>
      </w:r>
    </w:p>
    <w:p w14:paraId="1B55EFBF">
      <w:pPr>
        <w:keepNext w:val="0"/>
        <w:keepLines w:val="0"/>
        <w:pageBreakBefore w:val="0"/>
        <w:numPr>
          <w:ilvl w:val="0"/>
          <w:numId w:val="4"/>
        </w:numPr>
        <w:kinsoku/>
        <w:wordWrap/>
        <w:overflowPunct/>
        <w:topLinePunct w:val="0"/>
        <w:bidi w:val="0"/>
        <w:spacing w:after="0" w:afterLines="0" w:line="400" w:lineRule="exact"/>
        <w:ind w:left="425" w:leftChars="0" w:hanging="425" w:firstLineChars="0"/>
        <w:outlineLvl w:val="0"/>
        <w:rPr>
          <w:rFonts w:hint="eastAsia" w:ascii="微软雅黑" w:hAnsi="微软雅黑" w:eastAsia="微软雅黑" w:cs="微软雅黑"/>
          <w:b/>
          <w:color w:val="auto"/>
          <w:sz w:val="21"/>
          <w:szCs w:val="21"/>
          <w:highlight w:val="none"/>
          <w:lang w:val="en-US" w:eastAsia="zh-CN"/>
        </w:rPr>
      </w:pPr>
      <w:bookmarkStart w:id="144" w:name="_Toc30670"/>
      <w:bookmarkStart w:id="145" w:name="_Toc15889"/>
      <w:r>
        <w:rPr>
          <w:rFonts w:hint="eastAsia" w:ascii="微软雅黑" w:hAnsi="微软雅黑" w:eastAsia="微软雅黑" w:cs="微软雅黑"/>
          <w:b/>
          <w:color w:val="auto"/>
          <w:sz w:val="21"/>
          <w:szCs w:val="21"/>
          <w:highlight w:val="none"/>
          <w:lang w:val="en-US" w:eastAsia="zh-CN"/>
        </w:rPr>
        <w:t>修订历史</w:t>
      </w:r>
      <w:bookmarkEnd w:id="144"/>
      <w:bookmarkEnd w:id="145"/>
    </w:p>
    <w:tbl>
      <w:tblPr>
        <w:tblStyle w:val="29"/>
        <w:tblpPr w:leftFromText="180" w:rightFromText="180" w:vertAnchor="text" w:tblpXSpec="center" w:tblpY="1"/>
        <w:tblOverlap w:val="never"/>
        <w:tblW w:w="963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06"/>
        <w:gridCol w:w="8532"/>
      </w:tblGrid>
      <w:tr w14:paraId="39A86F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106" w:type="dxa"/>
            <w:tcBorders>
              <w:top w:val="single" w:color="auto" w:sz="4" w:space="0"/>
              <w:left w:val="single" w:color="auto" w:sz="4" w:space="0"/>
              <w:bottom w:val="single" w:color="auto" w:sz="4" w:space="0"/>
              <w:right w:val="single" w:color="auto" w:sz="4" w:space="0"/>
            </w:tcBorders>
          </w:tcPr>
          <w:p w14:paraId="5E047964">
            <w:pPr>
              <w:keepNext w:val="0"/>
              <w:keepLines w:val="0"/>
              <w:pageBreakBefore w:val="0"/>
              <w:kinsoku/>
              <w:wordWrap/>
              <w:overflowPunct/>
              <w:topLinePunct w:val="0"/>
              <w:bidi w:val="0"/>
              <w:spacing w:after="0" w:afterLines="0" w:line="400" w:lineRule="exact"/>
              <w:ind w:left="-119" w:right="-153"/>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版本号</w:t>
            </w:r>
          </w:p>
        </w:tc>
        <w:tc>
          <w:tcPr>
            <w:tcW w:w="8532" w:type="dxa"/>
            <w:tcBorders>
              <w:top w:val="single" w:color="auto" w:sz="4" w:space="0"/>
              <w:left w:val="single" w:color="auto" w:sz="4" w:space="0"/>
              <w:bottom w:val="single" w:color="auto" w:sz="4" w:space="0"/>
              <w:right w:val="single" w:color="auto" w:sz="4" w:space="0"/>
            </w:tcBorders>
          </w:tcPr>
          <w:p w14:paraId="4F88A038">
            <w:pPr>
              <w:keepNext w:val="0"/>
              <w:keepLines w:val="0"/>
              <w:pageBreakBefore w:val="0"/>
              <w:kinsoku/>
              <w:wordWrap/>
              <w:overflowPunct/>
              <w:topLinePunct w:val="0"/>
              <w:bidi w:val="0"/>
              <w:spacing w:after="0" w:afterLines="0" w:line="400" w:lineRule="exact"/>
              <w:ind w:left="-120" w:right="-153"/>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修订内容</w:t>
            </w:r>
          </w:p>
        </w:tc>
      </w:tr>
      <w:tr w14:paraId="02C331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106" w:type="dxa"/>
            <w:tcBorders>
              <w:top w:val="single" w:color="auto" w:sz="4" w:space="0"/>
              <w:left w:val="single" w:color="auto" w:sz="4" w:space="0"/>
              <w:bottom w:val="single" w:color="auto" w:sz="4" w:space="0"/>
              <w:right w:val="single" w:color="auto" w:sz="4" w:space="0"/>
            </w:tcBorders>
          </w:tcPr>
          <w:p w14:paraId="398F50FF">
            <w:pPr>
              <w:keepNext w:val="0"/>
              <w:keepLines w:val="0"/>
              <w:pageBreakBefore w:val="0"/>
              <w:kinsoku/>
              <w:wordWrap/>
              <w:overflowPunct/>
              <w:topLinePunct w:val="0"/>
              <w:bidi w:val="0"/>
              <w:spacing w:after="0" w:afterLines="0" w:line="400" w:lineRule="exact"/>
              <w:ind w:left="-120" w:right="-153"/>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01</w:t>
            </w:r>
          </w:p>
        </w:tc>
        <w:tc>
          <w:tcPr>
            <w:tcW w:w="8532" w:type="dxa"/>
            <w:tcBorders>
              <w:top w:val="single" w:color="auto" w:sz="4" w:space="0"/>
              <w:left w:val="single" w:color="auto" w:sz="4" w:space="0"/>
              <w:bottom w:val="single" w:color="auto" w:sz="4" w:space="0"/>
              <w:right w:val="single" w:color="auto" w:sz="4" w:space="0"/>
            </w:tcBorders>
          </w:tcPr>
          <w:p w14:paraId="7E2FFC7F">
            <w:pPr>
              <w:keepNext w:val="0"/>
              <w:keepLines w:val="0"/>
              <w:pageBreakBefore w:val="0"/>
              <w:kinsoku/>
              <w:wordWrap/>
              <w:overflowPunct/>
              <w:topLinePunct w:val="0"/>
              <w:bidi w:val="0"/>
              <w:spacing w:after="0" w:afterLines="0" w:line="400" w:lineRule="exact"/>
              <w:ind w:left="-120" w:right="-153"/>
              <w:jc w:val="center"/>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val="en-US" w:eastAsia="zh-CN"/>
              </w:rPr>
              <w:t>新建文件</w:t>
            </w:r>
          </w:p>
        </w:tc>
      </w:tr>
    </w:tbl>
    <w:p w14:paraId="79BFD143">
      <w:pPr>
        <w:rPr>
          <w:rFonts w:hint="eastAsia" w:eastAsia="微软雅黑"/>
          <w:color w:val="auto"/>
          <w:highlight w:val="none"/>
          <w:lang w:eastAsia="zh-CN"/>
        </w:rPr>
      </w:pPr>
    </w:p>
    <w:sectPr>
      <w:headerReference r:id="rId5" w:type="default"/>
      <w:footerReference r:id="rId6" w:type="default"/>
      <w:pgSz w:w="11906" w:h="16838"/>
      <w:pgMar w:top="1134" w:right="1134" w:bottom="1134" w:left="1134" w:header="851" w:footer="851"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FE09B">
    <w:pPr>
      <w:pStyle w:val="19"/>
      <w:pBdr>
        <w:top w:val="single" w:color="auto" w:sz="4" w:space="1"/>
      </w:pBdr>
      <w:shd w:val="clear" w:color="auto" w:fill="FFFFFF"/>
      <w:adjustRightInd w:val="0"/>
      <w:spacing w:beforeLines="0" w:afterLines="0"/>
      <w:ind w:right="71" w:rightChars="34"/>
      <w:jc w:val="center"/>
      <w:rPr>
        <w:rFonts w:hint="eastAsia"/>
        <w:sz w:val="15"/>
        <w:szCs w:val="15"/>
      </w:rPr>
    </w:pPr>
    <w:r>
      <w:rPr>
        <w:rFonts w:hint="eastAsia" w:eastAsia="宋体"/>
        <w:sz w:val="15"/>
        <w:szCs w:val="15"/>
      </w:rPr>
      <w:t>本文件仅限国家生物制造产业创新中心内部使用，严禁任何无授权使用、泄露或复印，违者必究。</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27F9A">
    <w:pPr>
      <w:widowControl/>
      <w:jc w:val="center"/>
    </w:pPr>
  </w:p>
  <w:tbl>
    <w:tblPr>
      <w:tblStyle w:val="29"/>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85"/>
      <w:gridCol w:w="4351"/>
      <w:gridCol w:w="1148"/>
      <w:gridCol w:w="1754"/>
    </w:tblGrid>
    <w:tr w14:paraId="72E31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jc w:val="center"/>
      </w:trPr>
      <w:tc>
        <w:tcPr>
          <w:tcW w:w="2385" w:type="dxa"/>
          <w:vMerge w:val="restart"/>
          <w:tcBorders>
            <w:right w:val="single" w:color="auto" w:sz="4" w:space="0"/>
          </w:tcBorders>
          <w:vAlign w:val="center"/>
        </w:tcPr>
        <w:p w14:paraId="06F95D93">
          <w:pPr>
            <w:keepNext w:val="0"/>
            <w:keepLines w:val="0"/>
            <w:pageBreakBefore w:val="0"/>
            <w:widowControl/>
            <w:kinsoku/>
            <w:wordWrap/>
            <w:overflowPunct/>
            <w:topLinePunct w:val="0"/>
            <w:bidi w:val="0"/>
            <w:spacing w:after="0" w:afterLines="0" w:line="240" w:lineRule="auto"/>
            <w:jc w:val="left"/>
            <w:textAlignment w:val="auto"/>
            <w:rPr>
              <w:sz w:val="15"/>
              <w:szCs w:val="15"/>
            </w:rPr>
          </w:pPr>
          <w:r>
            <w:drawing>
              <wp:inline distT="0" distB="0" distL="114300" distR="114300">
                <wp:extent cx="1442085" cy="563880"/>
                <wp:effectExtent l="0" t="0" r="571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rcRect l="14762" t="29422" r="14676" b="28571"/>
                        <a:stretch>
                          <a:fillRect/>
                        </a:stretch>
                      </pic:blipFill>
                      <pic:spPr>
                        <a:xfrm>
                          <a:off x="0" y="0"/>
                          <a:ext cx="1442085" cy="563880"/>
                        </a:xfrm>
                        <a:prstGeom prst="rect">
                          <a:avLst/>
                        </a:prstGeom>
                        <a:noFill/>
                        <a:ln>
                          <a:noFill/>
                        </a:ln>
                      </pic:spPr>
                    </pic:pic>
                  </a:graphicData>
                </a:graphic>
              </wp:inline>
            </w:drawing>
          </w:r>
        </w:p>
      </w:tc>
      <w:tc>
        <w:tcPr>
          <w:tcW w:w="4351" w:type="dxa"/>
          <w:vMerge w:val="restart"/>
          <w:tcBorders>
            <w:left w:val="single" w:color="auto" w:sz="4" w:space="0"/>
          </w:tcBorders>
          <w:vAlign w:val="center"/>
        </w:tcPr>
        <w:p w14:paraId="0054BAF4">
          <w:pPr>
            <w:keepNext w:val="0"/>
            <w:keepLines w:val="0"/>
            <w:pageBreakBefore w:val="0"/>
            <w:widowControl/>
            <w:kinsoku/>
            <w:wordWrap/>
            <w:overflowPunct/>
            <w:topLinePunct w:val="0"/>
            <w:bidi w:val="0"/>
            <w:adjustRightInd/>
            <w:snapToGrid/>
            <w:spacing w:after="0" w:afterLines="0" w:line="240" w:lineRule="auto"/>
            <w:jc w:val="center"/>
            <w:textAlignment w:val="auto"/>
            <w:rPr>
              <w:rFonts w:hint="default"/>
              <w:b/>
              <w:color w:val="auto"/>
              <w:sz w:val="32"/>
              <w:szCs w:val="32"/>
              <w:highlight w:val="none"/>
              <w:lang w:val="en-US" w:eastAsia="zh-CN"/>
            </w:rPr>
          </w:pPr>
          <w:r>
            <w:rPr>
              <w:rFonts w:hint="eastAsia" w:ascii="Times New Roman" w:hAnsi="Times New Roman" w:eastAsia="宋体" w:cs="Times New Roman"/>
              <w:b/>
              <w:snapToGrid/>
              <w:color w:val="auto"/>
              <w:sz w:val="32"/>
              <w:szCs w:val="32"/>
              <w:highlight w:val="none"/>
              <w:lang w:val="en-US" w:eastAsia="zh-CN"/>
            </w:rPr>
            <w:t>神经药物多模态评价平台设备用户需求说明书</w:t>
          </w:r>
        </w:p>
      </w:tc>
      <w:tc>
        <w:tcPr>
          <w:tcW w:w="1148" w:type="dxa"/>
          <w:vAlign w:val="center"/>
        </w:tcPr>
        <w:p w14:paraId="7FED5733">
          <w:pPr>
            <w:keepNext w:val="0"/>
            <w:keepLines w:val="0"/>
            <w:pageBreakBefore w:val="0"/>
            <w:widowControl/>
            <w:tabs>
              <w:tab w:val="center" w:pos="4320"/>
              <w:tab w:val="right" w:pos="8640"/>
            </w:tabs>
            <w:kinsoku/>
            <w:wordWrap/>
            <w:overflowPunct/>
            <w:topLinePunct w:val="0"/>
            <w:bidi w:val="0"/>
            <w:spacing w:after="0" w:afterLines="0" w:line="240" w:lineRule="auto"/>
            <w:jc w:val="center"/>
            <w:textAlignment w:val="auto"/>
            <w:rPr>
              <w:rFonts w:hint="eastAsia" w:ascii="微软雅黑" w:hAnsi="微软雅黑" w:eastAsia="微软雅黑" w:cs="微软雅黑"/>
              <w:sz w:val="15"/>
              <w:szCs w:val="15"/>
            </w:rPr>
          </w:pPr>
          <w:r>
            <w:rPr>
              <w:rFonts w:hint="eastAsia" w:ascii="微软雅黑" w:hAnsi="微软雅黑" w:eastAsia="微软雅黑" w:cs="微软雅黑"/>
              <w:sz w:val="15"/>
              <w:szCs w:val="15"/>
            </w:rPr>
            <w:t>文件编号</w:t>
          </w:r>
        </w:p>
      </w:tc>
      <w:tc>
        <w:tcPr>
          <w:tcW w:w="1754" w:type="dxa"/>
          <w:vAlign w:val="center"/>
        </w:tcPr>
        <w:p w14:paraId="2F75B56E">
          <w:pPr>
            <w:keepNext w:val="0"/>
            <w:keepLines w:val="0"/>
            <w:pageBreakBefore w:val="0"/>
            <w:widowControl/>
            <w:tabs>
              <w:tab w:val="center" w:pos="4320"/>
              <w:tab w:val="right" w:pos="8640"/>
            </w:tabs>
            <w:kinsoku/>
            <w:wordWrap/>
            <w:overflowPunct/>
            <w:topLinePunct w:val="0"/>
            <w:bidi w:val="0"/>
            <w:spacing w:after="0" w:afterLines="0" w:line="240" w:lineRule="auto"/>
            <w:textAlignment w:val="auto"/>
            <w:rPr>
              <w:rFonts w:hint="eastAsia" w:ascii="微软雅黑" w:hAnsi="微软雅黑" w:eastAsia="微软雅黑" w:cs="微软雅黑"/>
              <w:sz w:val="15"/>
              <w:szCs w:val="15"/>
              <w:lang w:val="en-US" w:eastAsia="zh-CN"/>
            </w:rPr>
          </w:pPr>
        </w:p>
      </w:tc>
    </w:tr>
    <w:tr w14:paraId="67D7B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2385" w:type="dxa"/>
          <w:vMerge w:val="continue"/>
          <w:tcBorders>
            <w:right w:val="single" w:color="auto" w:sz="4" w:space="0"/>
          </w:tcBorders>
        </w:tcPr>
        <w:p w14:paraId="1347B043">
          <w:pPr>
            <w:keepNext w:val="0"/>
            <w:keepLines w:val="0"/>
            <w:pageBreakBefore w:val="0"/>
            <w:widowControl/>
            <w:tabs>
              <w:tab w:val="center" w:pos="4320"/>
              <w:tab w:val="right" w:pos="8640"/>
            </w:tabs>
            <w:kinsoku/>
            <w:wordWrap/>
            <w:overflowPunct/>
            <w:topLinePunct w:val="0"/>
            <w:bidi w:val="0"/>
            <w:spacing w:after="0" w:afterLines="0" w:line="240" w:lineRule="auto"/>
            <w:textAlignment w:val="auto"/>
            <w:rPr>
              <w:szCs w:val="21"/>
            </w:rPr>
          </w:pPr>
        </w:p>
      </w:tc>
      <w:tc>
        <w:tcPr>
          <w:tcW w:w="4351" w:type="dxa"/>
          <w:vMerge w:val="continue"/>
          <w:tcBorders>
            <w:left w:val="single" w:color="auto" w:sz="4" w:space="0"/>
          </w:tcBorders>
        </w:tcPr>
        <w:p w14:paraId="0CF06543">
          <w:pPr>
            <w:keepNext w:val="0"/>
            <w:keepLines w:val="0"/>
            <w:pageBreakBefore w:val="0"/>
            <w:widowControl/>
            <w:tabs>
              <w:tab w:val="center" w:pos="4320"/>
              <w:tab w:val="right" w:pos="8640"/>
            </w:tabs>
            <w:kinsoku/>
            <w:wordWrap/>
            <w:overflowPunct/>
            <w:topLinePunct w:val="0"/>
            <w:bidi w:val="0"/>
            <w:spacing w:after="0" w:afterLines="0" w:line="240" w:lineRule="auto"/>
            <w:textAlignment w:val="auto"/>
            <w:rPr>
              <w:szCs w:val="21"/>
            </w:rPr>
          </w:pPr>
        </w:p>
      </w:tc>
      <w:tc>
        <w:tcPr>
          <w:tcW w:w="1148" w:type="dxa"/>
          <w:vAlign w:val="center"/>
        </w:tcPr>
        <w:p w14:paraId="56E75023">
          <w:pPr>
            <w:keepNext w:val="0"/>
            <w:keepLines w:val="0"/>
            <w:pageBreakBefore w:val="0"/>
            <w:widowControl/>
            <w:tabs>
              <w:tab w:val="center" w:pos="4320"/>
              <w:tab w:val="right" w:pos="8640"/>
            </w:tabs>
            <w:kinsoku/>
            <w:wordWrap/>
            <w:overflowPunct/>
            <w:topLinePunct w:val="0"/>
            <w:bidi w:val="0"/>
            <w:spacing w:after="0" w:afterLines="0" w:line="240" w:lineRule="auto"/>
            <w:jc w:val="center"/>
            <w:textAlignment w:val="auto"/>
            <w:rPr>
              <w:rFonts w:hint="eastAsia" w:ascii="微软雅黑" w:hAnsi="微软雅黑" w:eastAsia="微软雅黑" w:cs="微软雅黑"/>
              <w:sz w:val="15"/>
              <w:szCs w:val="15"/>
            </w:rPr>
          </w:pPr>
          <w:r>
            <w:rPr>
              <w:rFonts w:hint="eastAsia" w:ascii="微软雅黑" w:hAnsi="微软雅黑" w:eastAsia="微软雅黑" w:cs="微软雅黑"/>
              <w:sz w:val="15"/>
              <w:szCs w:val="15"/>
            </w:rPr>
            <w:t>版 本 号</w:t>
          </w:r>
        </w:p>
      </w:tc>
      <w:tc>
        <w:tcPr>
          <w:tcW w:w="1754" w:type="dxa"/>
          <w:vAlign w:val="center"/>
        </w:tcPr>
        <w:p w14:paraId="3BDEC656">
          <w:pPr>
            <w:keepNext w:val="0"/>
            <w:keepLines w:val="0"/>
            <w:pageBreakBefore w:val="0"/>
            <w:widowControl/>
            <w:tabs>
              <w:tab w:val="center" w:pos="4320"/>
              <w:tab w:val="right" w:pos="8640"/>
            </w:tabs>
            <w:kinsoku/>
            <w:wordWrap/>
            <w:overflowPunct/>
            <w:topLinePunct w:val="0"/>
            <w:bidi w:val="0"/>
            <w:spacing w:after="0" w:afterLines="0" w:line="240" w:lineRule="auto"/>
            <w:jc w:val="center"/>
            <w:textAlignment w:val="auto"/>
            <w:rPr>
              <w:rFonts w:hint="default" w:ascii="微软雅黑" w:hAnsi="微软雅黑" w:eastAsia="微软雅黑" w:cs="微软雅黑"/>
              <w:sz w:val="15"/>
              <w:szCs w:val="15"/>
              <w:lang w:val="en-US" w:eastAsia="zh-CN"/>
            </w:rPr>
          </w:pPr>
          <w:r>
            <w:rPr>
              <w:rFonts w:hint="eastAsia" w:ascii="微软雅黑" w:hAnsi="微软雅黑" w:eastAsia="微软雅黑" w:cs="微软雅黑"/>
              <w:sz w:val="15"/>
              <w:szCs w:val="15"/>
              <w:lang w:val="en-US" w:eastAsia="zh-CN"/>
            </w:rPr>
            <w:t>01</w:t>
          </w:r>
        </w:p>
      </w:tc>
    </w:tr>
    <w:tr w14:paraId="2B3A7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jc w:val="center"/>
      </w:trPr>
      <w:tc>
        <w:tcPr>
          <w:tcW w:w="2385" w:type="dxa"/>
          <w:vMerge w:val="continue"/>
          <w:tcBorders>
            <w:right w:val="single" w:color="auto" w:sz="4" w:space="0"/>
          </w:tcBorders>
          <w:vAlign w:val="center"/>
        </w:tcPr>
        <w:p w14:paraId="2C0878D2">
          <w:pPr>
            <w:keepNext w:val="0"/>
            <w:keepLines w:val="0"/>
            <w:pageBreakBefore w:val="0"/>
            <w:widowControl/>
            <w:tabs>
              <w:tab w:val="center" w:pos="4320"/>
              <w:tab w:val="right" w:pos="8640"/>
            </w:tabs>
            <w:kinsoku/>
            <w:wordWrap/>
            <w:overflowPunct/>
            <w:topLinePunct w:val="0"/>
            <w:bidi w:val="0"/>
            <w:spacing w:after="0" w:afterLines="0" w:line="240" w:lineRule="auto"/>
            <w:textAlignment w:val="auto"/>
            <w:rPr>
              <w:szCs w:val="21"/>
            </w:rPr>
          </w:pPr>
        </w:p>
      </w:tc>
      <w:tc>
        <w:tcPr>
          <w:tcW w:w="4351" w:type="dxa"/>
          <w:vMerge w:val="continue"/>
          <w:tcBorders>
            <w:left w:val="single" w:color="auto" w:sz="4" w:space="0"/>
          </w:tcBorders>
          <w:vAlign w:val="center"/>
        </w:tcPr>
        <w:p w14:paraId="136F6AD6">
          <w:pPr>
            <w:keepNext w:val="0"/>
            <w:keepLines w:val="0"/>
            <w:pageBreakBefore w:val="0"/>
            <w:widowControl/>
            <w:tabs>
              <w:tab w:val="center" w:pos="4320"/>
              <w:tab w:val="right" w:pos="8640"/>
            </w:tabs>
            <w:kinsoku/>
            <w:wordWrap/>
            <w:overflowPunct/>
            <w:topLinePunct w:val="0"/>
            <w:bidi w:val="0"/>
            <w:spacing w:after="0" w:afterLines="0" w:line="240" w:lineRule="auto"/>
            <w:textAlignment w:val="auto"/>
            <w:rPr>
              <w:szCs w:val="21"/>
            </w:rPr>
          </w:pPr>
        </w:p>
      </w:tc>
      <w:tc>
        <w:tcPr>
          <w:tcW w:w="1148" w:type="dxa"/>
          <w:vAlign w:val="center"/>
        </w:tcPr>
        <w:p w14:paraId="217E81F0">
          <w:pPr>
            <w:keepNext w:val="0"/>
            <w:keepLines w:val="0"/>
            <w:pageBreakBefore w:val="0"/>
            <w:widowControl/>
            <w:tabs>
              <w:tab w:val="center" w:pos="4320"/>
              <w:tab w:val="right" w:pos="8640"/>
            </w:tabs>
            <w:kinsoku/>
            <w:wordWrap/>
            <w:overflowPunct/>
            <w:topLinePunct w:val="0"/>
            <w:bidi w:val="0"/>
            <w:spacing w:after="0" w:afterLines="0" w:line="240" w:lineRule="auto"/>
            <w:jc w:val="center"/>
            <w:textAlignment w:val="auto"/>
            <w:rPr>
              <w:rFonts w:hint="eastAsia" w:ascii="微软雅黑" w:hAnsi="微软雅黑" w:eastAsia="微软雅黑" w:cs="微软雅黑"/>
              <w:sz w:val="15"/>
              <w:szCs w:val="15"/>
            </w:rPr>
          </w:pPr>
          <w:r>
            <w:rPr>
              <w:rFonts w:hint="eastAsia" w:ascii="微软雅黑" w:hAnsi="微软雅黑" w:eastAsia="微软雅黑" w:cs="微软雅黑"/>
              <w:sz w:val="15"/>
              <w:szCs w:val="15"/>
            </w:rPr>
            <w:t>页    码</w:t>
          </w:r>
        </w:p>
      </w:tc>
      <w:tc>
        <w:tcPr>
          <w:tcW w:w="1754" w:type="dxa"/>
          <w:vAlign w:val="center"/>
        </w:tcPr>
        <w:p w14:paraId="5DBF82DD">
          <w:pPr>
            <w:keepNext w:val="0"/>
            <w:keepLines w:val="0"/>
            <w:pageBreakBefore w:val="0"/>
            <w:widowControl/>
            <w:tabs>
              <w:tab w:val="center" w:pos="4320"/>
              <w:tab w:val="right" w:pos="8640"/>
            </w:tabs>
            <w:kinsoku/>
            <w:wordWrap/>
            <w:overflowPunct/>
            <w:topLinePunct w:val="0"/>
            <w:bidi w:val="0"/>
            <w:spacing w:after="0" w:afterLines="0" w:line="240" w:lineRule="auto"/>
            <w:jc w:val="center"/>
            <w:textAlignment w:val="auto"/>
            <w:rPr>
              <w:rFonts w:hint="eastAsia" w:ascii="微软雅黑" w:hAnsi="微软雅黑" w:eastAsia="微软雅黑" w:cs="微软雅黑"/>
              <w:sz w:val="15"/>
              <w:szCs w:val="15"/>
            </w:rPr>
          </w:pPr>
          <w:r>
            <w:rPr>
              <w:sz w:val="21"/>
            </w:rPr>
            <mc:AlternateContent>
              <mc:Choice Requires="wps">
                <w:drawing>
                  <wp:anchor distT="0" distB="0" distL="114300" distR="114300" simplePos="0" relativeHeight="251659264" behindDoc="0" locked="0" layoutInCell="1" allowOverlap="1">
                    <wp:simplePos x="0" y="0"/>
                    <wp:positionH relativeFrom="margin">
                      <wp:posOffset>56515</wp:posOffset>
                    </wp:positionH>
                    <wp:positionV relativeFrom="paragraph">
                      <wp:posOffset>-44450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F222B8">
                                <w:pPr>
                                  <w:pStyle w:val="20"/>
                                </w:pPr>
                                <w:r>
                                  <w:t>第</w:t>
                                </w:r>
                                <w:r>
                                  <w:fldChar w:fldCharType="begin"/>
                                </w:r>
                                <w:r>
                                  <w:instrText xml:space="preserve"> PAGE  \* MERGEFORMAT </w:instrText>
                                </w:r>
                                <w:r>
                                  <w:fldChar w:fldCharType="separate"/>
                                </w:r>
                                <w:r>
                                  <w:t>1</w:t>
                                </w:r>
                                <w:r>
                                  <w:fldChar w:fldCharType="end"/>
                                </w:r>
                                <w:r>
                                  <w:t>页 共</w:t>
                                </w:r>
                                <w:r>
                                  <w:fldChar w:fldCharType="begin"/>
                                </w:r>
                                <w:r>
                                  <w:instrText xml:space="preserve"> NUMPAGES  \* MERGEFORMAT </w:instrText>
                                </w:r>
                                <w:r>
                                  <w:fldChar w:fldCharType="separate"/>
                                </w:r>
                                <w:r>
                                  <w:t>28</w:t>
                                </w:r>
                                <w:r>
                                  <w:fldChar w:fldCharType="end"/>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45pt;margin-top:-3.5pt;height:144pt;width:144pt;mso-position-horizontal-relative:margin;mso-wrap-style:none;z-index:251659264;mso-width-relative:page;mso-height-relative:page;" filled="f" stroked="f" coordsize="21600,21600" o:gfxdata="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pxTOPWAAAACAEAAA8AAAAAAAAAAQAgAAAAIgAAAGRycy9kb3ducmV2LnhtbFBL&#10;AQIUABQAAAAIAIdO4kAkgka0MQIAAGEEAAAOAAAAAAAAAAEAIAAAACUBAABkcnMvZTJvRG9jLnht&#10;bFBLBQYAAAAABgAGAFkBAADIBQAAAAA=&#10;">
                    <v:fill on="f" focussize="0,0"/>
                    <v:stroke on="f" weight="0.5pt"/>
                    <v:imagedata o:title=""/>
                    <o:lock v:ext="edit" aspectratio="f"/>
                    <v:textbox inset="0mm,0mm,0mm,0mm" style="mso-fit-shape-to-text:t;">
                      <w:txbxContent>
                        <w:p w14:paraId="57F222B8">
                          <w:pPr>
                            <w:pStyle w:val="20"/>
                          </w:pPr>
                          <w:r>
                            <w:t>第</w:t>
                          </w:r>
                          <w:r>
                            <w:fldChar w:fldCharType="begin"/>
                          </w:r>
                          <w:r>
                            <w:instrText xml:space="preserve"> PAGE  \* MERGEFORMAT </w:instrText>
                          </w:r>
                          <w:r>
                            <w:fldChar w:fldCharType="separate"/>
                          </w:r>
                          <w:r>
                            <w:t>1</w:t>
                          </w:r>
                          <w:r>
                            <w:fldChar w:fldCharType="end"/>
                          </w:r>
                          <w:r>
                            <w:t>页 共</w:t>
                          </w:r>
                          <w:r>
                            <w:fldChar w:fldCharType="begin"/>
                          </w:r>
                          <w:r>
                            <w:instrText xml:space="preserve"> NUMPAGES  \* MERGEFORMAT </w:instrText>
                          </w:r>
                          <w:r>
                            <w:fldChar w:fldCharType="separate"/>
                          </w:r>
                          <w:r>
                            <w:t>28</w:t>
                          </w:r>
                          <w:r>
                            <w:fldChar w:fldCharType="end"/>
                          </w:r>
                          <w:r>
                            <w:t>页</w:t>
                          </w:r>
                        </w:p>
                      </w:txbxContent>
                    </v:textbox>
                  </v:shape>
                </w:pict>
              </mc:Fallback>
            </mc:AlternateContent>
          </w:r>
        </w:p>
      </w:tc>
    </w:tr>
  </w:tbl>
  <w:p w14:paraId="0D62987A">
    <w:pPr>
      <w:pStyle w:val="2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9A6B75"/>
    <w:multiLevelType w:val="multilevel"/>
    <w:tmpl w:val="029A6B75"/>
    <w:lvl w:ilvl="0" w:tentative="0">
      <w:start w:val="1"/>
      <w:numFmt w:val="bullet"/>
      <w:pStyle w:val="45"/>
      <w:lvlText w:val=""/>
      <w:lvlJc w:val="left"/>
      <w:pPr>
        <w:ind w:left="420" w:hanging="420"/>
      </w:pPr>
      <w:rPr>
        <w:rFonts w:hint="default" w:ascii="Symbol" w:hAnsi="Symbol"/>
      </w:rPr>
    </w:lvl>
    <w:lvl w:ilvl="1" w:tentative="0">
      <w:start w:val="1"/>
      <w:numFmt w:val="bullet"/>
      <w:lvlText w:val=""/>
      <w:lvlJc w:val="left"/>
      <w:pPr>
        <w:ind w:left="840" w:hanging="420"/>
      </w:pPr>
      <w:rPr>
        <w:rFonts w:hint="default" w:ascii="Wingdings" w:hAnsi="Wingdings"/>
      </w:rPr>
    </w:lvl>
    <w:lvl w:ilvl="2" w:tentative="0">
      <w:start w:val="1"/>
      <w:numFmt w:val="bullet"/>
      <w:pStyle w:val="46"/>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7F2C2CE"/>
    <w:multiLevelType w:val="multilevel"/>
    <w:tmpl w:val="17F2C2CE"/>
    <w:lvl w:ilvl="0" w:tentative="0">
      <w:start w:val="1"/>
      <w:numFmt w:val="decimal"/>
      <w:lvlText w:val="%1."/>
      <w:lvlJc w:val="left"/>
      <w:pPr>
        <w:ind w:left="432" w:hanging="432"/>
      </w:pPr>
      <w:rPr>
        <w:rFonts w:hint="default" w:ascii="Times New Roman" w:hAnsi="Times New Roman" w:eastAsia="宋体" w:cs="Times New Roman"/>
        <w:sz w:val="24"/>
        <w:szCs w:val="24"/>
      </w:rPr>
    </w:lvl>
    <w:lvl w:ilvl="1" w:tentative="0">
      <w:start w:val="1"/>
      <w:numFmt w:val="decimal"/>
      <w:pStyle w:val="81"/>
      <w:lvlText w:val="%1.%2."/>
      <w:lvlJc w:val="left"/>
      <w:pPr>
        <w:ind w:left="575" w:hanging="575"/>
      </w:pPr>
      <w:rPr>
        <w:rFonts w:hint="default" w:ascii="Times New Roman" w:hAnsi="Times New Roman" w:eastAsia="宋体" w:cs="Times New Roman"/>
        <w:b/>
        <w:bCs/>
        <w:sz w:val="21"/>
        <w:szCs w:val="21"/>
      </w:rPr>
    </w:lvl>
    <w:lvl w:ilvl="2" w:tentative="0">
      <w:start w:val="1"/>
      <w:numFmt w:val="decimal"/>
      <w:lvlText w:val="%1.%2.%3."/>
      <w:lvlJc w:val="left"/>
      <w:pPr>
        <w:ind w:left="560" w:hanging="720"/>
      </w:pPr>
      <w:rPr>
        <w:rFonts w:hint="default" w:ascii="Times New Roman" w:hAnsi="Times New Roman" w:eastAsia="宋体" w:cs="Times New Roman"/>
        <w:b w:val="0"/>
        <w:sz w:val="21"/>
        <w:szCs w:val="21"/>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
    <w:nsid w:val="1B8457E3"/>
    <w:multiLevelType w:val="multilevel"/>
    <w:tmpl w:val="1B8457E3"/>
    <w:lvl w:ilvl="0" w:tentative="0">
      <w:start w:val="1"/>
      <w:numFmt w:val="decimalZero"/>
      <w:suff w:val="space"/>
      <w:lvlText w:val="URS-%1"/>
      <w:lvlJc w:val="left"/>
      <w:pPr>
        <w:ind w:left="420" w:hanging="420"/>
      </w:pPr>
      <w:rPr>
        <w:rFonts w:hint="default" w:ascii="Times New Roman" w:hAnsi="Times New Roman" w:cs="Times New Roman"/>
        <w:b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420" w:hanging="420"/>
      </w:pPr>
      <w:rPr>
        <w:rFonts w:hint="eastAsia"/>
        <w:b w:val="0"/>
        <w:bCs w:val="0"/>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2107368C"/>
    <w:multiLevelType w:val="multilevel"/>
    <w:tmpl w:val="2107368C"/>
    <w:lvl w:ilvl="0" w:tentative="0">
      <w:start w:val="1"/>
      <w:numFmt w:val="decimal"/>
      <w:lvlText w:val="%1."/>
      <w:lvlJc w:val="left"/>
      <w:pPr>
        <w:ind w:left="0" w:hanging="250"/>
      </w:pPr>
      <w:rPr>
        <w:rFonts w:hint="default" w:ascii="Arial Narrow" w:hAnsi="Arial Narrow" w:eastAsia="宋体"/>
        <w:b/>
        <w:bCs/>
        <w:spacing w:val="-1"/>
        <w:sz w:val="21"/>
        <w:szCs w:val="21"/>
      </w:rPr>
    </w:lvl>
    <w:lvl w:ilvl="1" w:tentative="0">
      <w:start w:val="1"/>
      <w:numFmt w:val="bullet"/>
      <w:lvlText w:val=""/>
      <w:lvlJc w:val="left"/>
      <w:pPr>
        <w:ind w:left="440" w:hanging="440"/>
      </w:pPr>
      <w:rPr>
        <w:rFonts w:hint="default" w:ascii="Symbol" w:hAnsi="Symbol"/>
        <w:color w:val="auto"/>
      </w:rPr>
    </w:lvl>
    <w:lvl w:ilvl="2" w:tentative="0">
      <w:start w:val="1"/>
      <w:numFmt w:val="bullet"/>
      <w:lvlText w:val="•"/>
      <w:lvlJc w:val="left"/>
      <w:pPr>
        <w:ind w:left="0" w:firstLine="0"/>
      </w:pPr>
      <w:rPr>
        <w:rFonts w:hint="default"/>
      </w:rPr>
    </w:lvl>
    <w:lvl w:ilvl="3" w:tentative="0">
      <w:start w:val="1"/>
      <w:numFmt w:val="bullet"/>
      <w:lvlText w:val="•"/>
      <w:lvlJc w:val="left"/>
      <w:pPr>
        <w:ind w:left="0" w:firstLine="0"/>
      </w:pPr>
      <w:rPr>
        <w:rFonts w:hint="default"/>
      </w:rPr>
    </w:lvl>
    <w:lvl w:ilvl="4" w:tentative="0">
      <w:start w:val="1"/>
      <w:numFmt w:val="bullet"/>
      <w:lvlText w:val="•"/>
      <w:lvlJc w:val="left"/>
      <w:pPr>
        <w:ind w:left="0" w:firstLine="0"/>
      </w:pPr>
      <w:rPr>
        <w:rFonts w:hint="default"/>
      </w:rPr>
    </w:lvl>
    <w:lvl w:ilvl="5" w:tentative="0">
      <w:start w:val="1"/>
      <w:numFmt w:val="bullet"/>
      <w:lvlText w:val="•"/>
      <w:lvlJc w:val="left"/>
      <w:pPr>
        <w:ind w:left="0" w:firstLine="0"/>
      </w:pPr>
      <w:rPr>
        <w:rFonts w:hint="default"/>
      </w:rPr>
    </w:lvl>
    <w:lvl w:ilvl="6" w:tentative="0">
      <w:start w:val="1"/>
      <w:numFmt w:val="bullet"/>
      <w:lvlText w:val="•"/>
      <w:lvlJc w:val="left"/>
      <w:pPr>
        <w:ind w:left="0" w:firstLine="0"/>
      </w:pPr>
      <w:rPr>
        <w:rFonts w:hint="default"/>
      </w:rPr>
    </w:lvl>
    <w:lvl w:ilvl="7" w:tentative="0">
      <w:start w:val="1"/>
      <w:numFmt w:val="bullet"/>
      <w:lvlText w:val="•"/>
      <w:lvlJc w:val="left"/>
      <w:pPr>
        <w:ind w:left="0" w:firstLine="0"/>
      </w:pPr>
      <w:rPr>
        <w:rFonts w:hint="default"/>
      </w:rPr>
    </w:lvl>
    <w:lvl w:ilvl="8" w:tentative="0">
      <w:start w:val="1"/>
      <w:numFmt w:val="bullet"/>
      <w:lvlText w:val="•"/>
      <w:lvlJc w:val="left"/>
      <w:pPr>
        <w:ind w:left="0" w:firstLine="0"/>
      </w:pPr>
      <w:rPr>
        <w:rFonts w:hint="default"/>
      </w:rPr>
    </w:lvl>
  </w:abstractNum>
  <w:abstractNum w:abstractNumId="4">
    <w:nsid w:val="3E270DCF"/>
    <w:multiLevelType w:val="multilevel"/>
    <w:tmpl w:val="3E270DCF"/>
    <w:lvl w:ilvl="0" w:tentative="0">
      <w:start w:val="1"/>
      <w:numFmt w:val="decimal"/>
      <w:pStyle w:val="2"/>
      <w:suff w:val="space"/>
      <w:lvlText w:val="%1."/>
      <w:lvlJc w:val="left"/>
      <w:pPr>
        <w:ind w:left="0" w:leftChars="0" w:firstLine="0" w:firstLineChars="0"/>
      </w:pPr>
      <w:rPr>
        <w:rFonts w:hint="default" w:ascii="微软雅黑" w:hAnsi="微软雅黑" w:eastAsia="微软雅黑"/>
      </w:rPr>
    </w:lvl>
    <w:lvl w:ilvl="1" w:tentative="0">
      <w:start w:val="1"/>
      <w:numFmt w:val="decimal"/>
      <w:pStyle w:val="3"/>
      <w:suff w:val="space"/>
      <w:lvlText w:val="%1.%2."/>
      <w:lvlJc w:val="left"/>
      <w:pPr>
        <w:ind w:left="0" w:leftChars="0" w:firstLine="0" w:firstLineChars="0"/>
      </w:pPr>
      <w:rPr>
        <w:rFonts w:hint="default" w:ascii="微软雅黑" w:hAnsi="微软雅黑" w:eastAsia="微软雅黑"/>
      </w:rPr>
    </w:lvl>
    <w:lvl w:ilvl="2" w:tentative="0">
      <w:start w:val="1"/>
      <w:numFmt w:val="decimal"/>
      <w:pStyle w:val="4"/>
      <w:suff w:val="space"/>
      <w:lvlText w:val="%1.%2.%3."/>
      <w:lvlJc w:val="left"/>
      <w:pPr>
        <w:ind w:left="0" w:leftChars="0" w:firstLine="0" w:firstLineChars="0"/>
      </w:pPr>
      <w:rPr>
        <w:rFonts w:hint="default" w:ascii="微软雅黑" w:hAnsi="微软雅黑" w:eastAsia="微软雅黑"/>
      </w:rPr>
    </w:lvl>
    <w:lvl w:ilvl="3" w:tentative="0">
      <w:start w:val="1"/>
      <w:numFmt w:val="decimal"/>
      <w:pStyle w:val="5"/>
      <w:suff w:val="space"/>
      <w:lvlText w:val="%1.%2.%3.%4."/>
      <w:lvlJc w:val="left"/>
      <w:pPr>
        <w:ind w:left="0" w:leftChars="0" w:firstLine="0" w:firstLineChars="0"/>
      </w:pPr>
      <w:rPr>
        <w:rFonts w:hint="default" w:ascii="微软雅黑" w:hAnsi="微软雅黑" w:eastAsia="微软雅黑"/>
      </w:rPr>
    </w:lvl>
    <w:lvl w:ilvl="4" w:tentative="0">
      <w:start w:val="1"/>
      <w:numFmt w:val="decimal"/>
      <w:pStyle w:val="6"/>
      <w:lvlText w:val="%1.%2.%3.%4.%5."/>
      <w:lvlJc w:val="left"/>
      <w:pPr>
        <w:tabs>
          <w:tab w:val="left" w:pos="0"/>
        </w:tabs>
        <w:ind w:left="0" w:leftChars="0" w:firstLine="0" w:firstLineChars="0"/>
      </w:pPr>
      <w:rPr>
        <w:rFonts w:hint="default" w:ascii="微软雅黑" w:hAnsi="微软雅黑" w:eastAsia="微软雅黑"/>
      </w:rPr>
    </w:lvl>
    <w:lvl w:ilvl="5" w:tentative="0">
      <w:start w:val="1"/>
      <w:numFmt w:val="decimal"/>
      <w:pStyle w:val="8"/>
      <w:suff w:val="space"/>
      <w:lvlText w:val="%1.%2.%3.%4.%5.%6."/>
      <w:lvlJc w:val="left"/>
      <w:pPr>
        <w:ind w:left="0" w:leftChars="0" w:firstLine="0" w:firstLineChars="0"/>
      </w:pPr>
      <w:rPr>
        <w:rFonts w:hint="default"/>
      </w:rPr>
    </w:lvl>
    <w:lvl w:ilvl="6" w:tentative="0">
      <w:start w:val="1"/>
      <w:numFmt w:val="decimal"/>
      <w:pStyle w:val="9"/>
      <w:lvlText w:val="%1.%2.%3.%4.%5.%6.%7."/>
      <w:lvlJc w:val="left"/>
      <w:pPr>
        <w:tabs>
          <w:tab w:val="left" w:pos="0"/>
        </w:tabs>
        <w:ind w:left="0" w:leftChars="0" w:firstLine="0" w:firstLineChars="0"/>
      </w:pPr>
      <w:rPr>
        <w:rFonts w:hint="default"/>
      </w:rPr>
    </w:lvl>
    <w:lvl w:ilvl="7" w:tentative="0">
      <w:start w:val="1"/>
      <w:numFmt w:val="decimal"/>
      <w:pStyle w:val="10"/>
      <w:suff w:val="space"/>
      <w:lvlText w:val="%1.%2.%3.%4.%5.%6.%7.%8."/>
      <w:lvlJc w:val="left"/>
      <w:pPr>
        <w:ind w:left="0" w:leftChars="0" w:firstLine="0" w:firstLineChars="0"/>
      </w:pPr>
      <w:rPr>
        <w:rFonts w:hint="default"/>
      </w:rPr>
    </w:lvl>
    <w:lvl w:ilvl="8" w:tentative="0">
      <w:start w:val="1"/>
      <w:numFmt w:val="decimal"/>
      <w:pStyle w:val="11"/>
      <w:lvlText w:val="%1.%2.%3.%4.%5.%6.%7.%8.%9."/>
      <w:lvlJc w:val="left"/>
      <w:pPr>
        <w:tabs>
          <w:tab w:val="left" w:pos="0"/>
        </w:tabs>
        <w:ind w:left="0" w:leftChars="0" w:firstLine="0" w:firstLineChars="0"/>
      </w:pPr>
      <w:rPr>
        <w:rFonts w:hint="default"/>
      </w:rPr>
    </w:lvl>
  </w:abstractNum>
  <w:abstractNum w:abstractNumId="5">
    <w:nsid w:val="5E1247AF"/>
    <w:multiLevelType w:val="multilevel"/>
    <w:tmpl w:val="5E1247AF"/>
    <w:lvl w:ilvl="0" w:tentative="0">
      <w:start w:val="1"/>
      <w:numFmt w:val="decimal"/>
      <w:lvlText w:val="%1."/>
      <w:lvlJc w:val="left"/>
      <w:pPr>
        <w:tabs>
          <w:tab w:val="left" w:pos="1021"/>
        </w:tabs>
        <w:ind w:left="425" w:hanging="425"/>
      </w:pPr>
      <w:rPr>
        <w:rFonts w:hint="default" w:ascii="Times New Roman" w:hAnsi="Times New Roman" w:eastAsia="宋体" w:cs="Arial"/>
        <w:b/>
        <w:bCs/>
      </w:rPr>
    </w:lvl>
    <w:lvl w:ilvl="1" w:tentative="0">
      <w:start w:val="1"/>
      <w:numFmt w:val="decimal"/>
      <w:lvlText w:val="%1.%2."/>
      <w:lvlJc w:val="left"/>
      <w:pPr>
        <w:tabs>
          <w:tab w:val="left" w:pos="420"/>
        </w:tabs>
        <w:ind w:left="777" w:hanging="567"/>
      </w:pPr>
      <w:rPr>
        <w:rFonts w:hint="default" w:ascii="Times New Roman" w:hAnsi="Times New Roman" w:eastAsia="微软雅黑" w:cs="Times New Roman"/>
        <w:b/>
        <w:bCs/>
      </w:rPr>
    </w:lvl>
    <w:lvl w:ilvl="2" w:tentative="0">
      <w:start w:val="1"/>
      <w:numFmt w:val="decimal"/>
      <w:lvlText w:val="%1.%2.%3."/>
      <w:lvlJc w:val="left"/>
      <w:pPr>
        <w:ind w:left="0" w:leftChars="0" w:firstLine="210" w:firstLineChars="0"/>
      </w:pPr>
      <w:rPr>
        <w:rFonts w:hint="default" w:ascii="Times New Roman" w:hAnsi="Times New Roman" w:eastAsia="宋体" w:cs="Times New Roman"/>
        <w:b w:val="0"/>
      </w:rPr>
    </w:lvl>
    <w:lvl w:ilvl="3" w:tentative="0">
      <w:start w:val="1"/>
      <w:numFmt w:val="decimal"/>
      <w:lvlText w:val="%1.%2.%3.%4."/>
      <w:lvlJc w:val="left"/>
      <w:pPr>
        <w:ind w:left="851" w:hanging="851"/>
      </w:pPr>
      <w:rPr>
        <w:rFonts w:hint="default" w:ascii="Arial" w:hAnsi="Arial" w:eastAsia="宋体" w:cs="Arial"/>
        <w:b w:val="0"/>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84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rQ0MDGyNDE3Nzc1MDFQ0lEKTi0uzszPAykwrgUAs+8p2ywAAAA="/>
    <w:docVar w:name="commondata" w:val="eyJoZGlkIjoiYTIyY2Q3NWNlYmE2ZjEzMjVhMTcxMzZlYWVlYmQ0MWQifQ=="/>
    <w:docVar w:name="KSO_WPS_MARK_KEY" w:val="0df1184e-f05a-4389-bd67-12c413fca984"/>
  </w:docVars>
  <w:rsids>
    <w:rsidRoot w:val="00172A27"/>
    <w:rsid w:val="000010C1"/>
    <w:rsid w:val="00001611"/>
    <w:rsid w:val="00003EF7"/>
    <w:rsid w:val="00005402"/>
    <w:rsid w:val="00013C6E"/>
    <w:rsid w:val="000202B7"/>
    <w:rsid w:val="000252B4"/>
    <w:rsid w:val="000333D5"/>
    <w:rsid w:val="0003360F"/>
    <w:rsid w:val="00035799"/>
    <w:rsid w:val="00036049"/>
    <w:rsid w:val="00036604"/>
    <w:rsid w:val="0003709A"/>
    <w:rsid w:val="000426E9"/>
    <w:rsid w:val="0005160D"/>
    <w:rsid w:val="0005471D"/>
    <w:rsid w:val="0006070C"/>
    <w:rsid w:val="000619DB"/>
    <w:rsid w:val="000628CE"/>
    <w:rsid w:val="00066EBC"/>
    <w:rsid w:val="00072B91"/>
    <w:rsid w:val="00073BDF"/>
    <w:rsid w:val="00076187"/>
    <w:rsid w:val="00077B05"/>
    <w:rsid w:val="0009027B"/>
    <w:rsid w:val="0009057D"/>
    <w:rsid w:val="00094739"/>
    <w:rsid w:val="00096688"/>
    <w:rsid w:val="000A5703"/>
    <w:rsid w:val="000B0ADD"/>
    <w:rsid w:val="000B24D9"/>
    <w:rsid w:val="000C17BE"/>
    <w:rsid w:val="000C19E7"/>
    <w:rsid w:val="000C3B66"/>
    <w:rsid w:val="000C61FE"/>
    <w:rsid w:val="000D00FB"/>
    <w:rsid w:val="000D536B"/>
    <w:rsid w:val="000E0445"/>
    <w:rsid w:val="000E132B"/>
    <w:rsid w:val="000F3B52"/>
    <w:rsid w:val="000F7D8C"/>
    <w:rsid w:val="001039B3"/>
    <w:rsid w:val="0010686B"/>
    <w:rsid w:val="00111D27"/>
    <w:rsid w:val="00121707"/>
    <w:rsid w:val="0012476A"/>
    <w:rsid w:val="00124A9E"/>
    <w:rsid w:val="00126C35"/>
    <w:rsid w:val="00131447"/>
    <w:rsid w:val="00132A5D"/>
    <w:rsid w:val="0013353D"/>
    <w:rsid w:val="001521F4"/>
    <w:rsid w:val="001557DB"/>
    <w:rsid w:val="00156F70"/>
    <w:rsid w:val="00157045"/>
    <w:rsid w:val="00157484"/>
    <w:rsid w:val="00160C2F"/>
    <w:rsid w:val="00164FB7"/>
    <w:rsid w:val="001679E5"/>
    <w:rsid w:val="00172A27"/>
    <w:rsid w:val="00174329"/>
    <w:rsid w:val="00175896"/>
    <w:rsid w:val="00187181"/>
    <w:rsid w:val="001902B3"/>
    <w:rsid w:val="00196976"/>
    <w:rsid w:val="001A1BA5"/>
    <w:rsid w:val="001A3227"/>
    <w:rsid w:val="001A3CD6"/>
    <w:rsid w:val="001A4EDC"/>
    <w:rsid w:val="001A7833"/>
    <w:rsid w:val="001B0F42"/>
    <w:rsid w:val="001B4644"/>
    <w:rsid w:val="001B6616"/>
    <w:rsid w:val="001C23DA"/>
    <w:rsid w:val="001C3BB7"/>
    <w:rsid w:val="001C701A"/>
    <w:rsid w:val="001C70FB"/>
    <w:rsid w:val="001D145E"/>
    <w:rsid w:val="001D26B2"/>
    <w:rsid w:val="001D551E"/>
    <w:rsid w:val="001D73EB"/>
    <w:rsid w:val="001E0C83"/>
    <w:rsid w:val="001E16C1"/>
    <w:rsid w:val="001E17EA"/>
    <w:rsid w:val="001E2D98"/>
    <w:rsid w:val="001E4968"/>
    <w:rsid w:val="001E585E"/>
    <w:rsid w:val="001E6E65"/>
    <w:rsid w:val="001F1D19"/>
    <w:rsid w:val="001F5B94"/>
    <w:rsid w:val="001F5C95"/>
    <w:rsid w:val="00201C09"/>
    <w:rsid w:val="0020791E"/>
    <w:rsid w:val="00210208"/>
    <w:rsid w:val="00217362"/>
    <w:rsid w:val="00221DB0"/>
    <w:rsid w:val="00227275"/>
    <w:rsid w:val="00232332"/>
    <w:rsid w:val="00235506"/>
    <w:rsid w:val="002464DC"/>
    <w:rsid w:val="00250253"/>
    <w:rsid w:val="0026044F"/>
    <w:rsid w:val="00264CC7"/>
    <w:rsid w:val="00270119"/>
    <w:rsid w:val="00270257"/>
    <w:rsid w:val="00275E8F"/>
    <w:rsid w:val="00277487"/>
    <w:rsid w:val="002778FC"/>
    <w:rsid w:val="00281898"/>
    <w:rsid w:val="002830D3"/>
    <w:rsid w:val="002833C2"/>
    <w:rsid w:val="00286D81"/>
    <w:rsid w:val="00287451"/>
    <w:rsid w:val="00290DB5"/>
    <w:rsid w:val="00296D25"/>
    <w:rsid w:val="002A0696"/>
    <w:rsid w:val="002A0AEA"/>
    <w:rsid w:val="002A4E31"/>
    <w:rsid w:val="002B31E5"/>
    <w:rsid w:val="002C028B"/>
    <w:rsid w:val="002C1669"/>
    <w:rsid w:val="002C37FD"/>
    <w:rsid w:val="002C68DE"/>
    <w:rsid w:val="002D2817"/>
    <w:rsid w:val="002D62DE"/>
    <w:rsid w:val="002E0B2F"/>
    <w:rsid w:val="002E4E3A"/>
    <w:rsid w:val="002E6D69"/>
    <w:rsid w:val="002F24C6"/>
    <w:rsid w:val="002F5705"/>
    <w:rsid w:val="00301A15"/>
    <w:rsid w:val="00302CDB"/>
    <w:rsid w:val="00305E3A"/>
    <w:rsid w:val="00323CE5"/>
    <w:rsid w:val="00331D16"/>
    <w:rsid w:val="0033325D"/>
    <w:rsid w:val="00333A39"/>
    <w:rsid w:val="00335D5B"/>
    <w:rsid w:val="00340D66"/>
    <w:rsid w:val="0034176C"/>
    <w:rsid w:val="00351478"/>
    <w:rsid w:val="00351F25"/>
    <w:rsid w:val="00354555"/>
    <w:rsid w:val="003552CE"/>
    <w:rsid w:val="00357B86"/>
    <w:rsid w:val="003605CF"/>
    <w:rsid w:val="00362635"/>
    <w:rsid w:val="00364B20"/>
    <w:rsid w:val="003742A3"/>
    <w:rsid w:val="00375422"/>
    <w:rsid w:val="0038733E"/>
    <w:rsid w:val="0039082A"/>
    <w:rsid w:val="00390EC4"/>
    <w:rsid w:val="00392BAE"/>
    <w:rsid w:val="00397AE1"/>
    <w:rsid w:val="003A06B4"/>
    <w:rsid w:val="003A1EE5"/>
    <w:rsid w:val="003A40B7"/>
    <w:rsid w:val="003A435E"/>
    <w:rsid w:val="003A5F0D"/>
    <w:rsid w:val="003B18AC"/>
    <w:rsid w:val="003B2994"/>
    <w:rsid w:val="003B335F"/>
    <w:rsid w:val="003B51B0"/>
    <w:rsid w:val="003C1375"/>
    <w:rsid w:val="003D446A"/>
    <w:rsid w:val="003D6751"/>
    <w:rsid w:val="003D679E"/>
    <w:rsid w:val="003E22F4"/>
    <w:rsid w:val="003E529B"/>
    <w:rsid w:val="003E7C3D"/>
    <w:rsid w:val="003F1856"/>
    <w:rsid w:val="003F34F5"/>
    <w:rsid w:val="00402FF5"/>
    <w:rsid w:val="00406D60"/>
    <w:rsid w:val="00415AE8"/>
    <w:rsid w:val="0042777E"/>
    <w:rsid w:val="00431F36"/>
    <w:rsid w:val="00432757"/>
    <w:rsid w:val="004333E4"/>
    <w:rsid w:val="00440483"/>
    <w:rsid w:val="004405B8"/>
    <w:rsid w:val="004459F6"/>
    <w:rsid w:val="00447479"/>
    <w:rsid w:val="0045014F"/>
    <w:rsid w:val="00450CEC"/>
    <w:rsid w:val="00450FE6"/>
    <w:rsid w:val="0046776A"/>
    <w:rsid w:val="00470F75"/>
    <w:rsid w:val="00472A16"/>
    <w:rsid w:val="004736FC"/>
    <w:rsid w:val="004747A9"/>
    <w:rsid w:val="004753DF"/>
    <w:rsid w:val="00477908"/>
    <w:rsid w:val="00480DBE"/>
    <w:rsid w:val="004812BA"/>
    <w:rsid w:val="004825F5"/>
    <w:rsid w:val="00491F26"/>
    <w:rsid w:val="004965C4"/>
    <w:rsid w:val="004A11EF"/>
    <w:rsid w:val="004A18E4"/>
    <w:rsid w:val="004A4243"/>
    <w:rsid w:val="004A5ADE"/>
    <w:rsid w:val="004B1C5E"/>
    <w:rsid w:val="004B31EB"/>
    <w:rsid w:val="004B5DB2"/>
    <w:rsid w:val="004C101B"/>
    <w:rsid w:val="004C37CF"/>
    <w:rsid w:val="004C3F82"/>
    <w:rsid w:val="004C5B20"/>
    <w:rsid w:val="004C7475"/>
    <w:rsid w:val="004D14A9"/>
    <w:rsid w:val="004D421C"/>
    <w:rsid w:val="004D5A37"/>
    <w:rsid w:val="004D5CDA"/>
    <w:rsid w:val="004D7402"/>
    <w:rsid w:val="004E1FEC"/>
    <w:rsid w:val="004E3175"/>
    <w:rsid w:val="004F14BA"/>
    <w:rsid w:val="004F15A4"/>
    <w:rsid w:val="004F2583"/>
    <w:rsid w:val="00503454"/>
    <w:rsid w:val="00511E41"/>
    <w:rsid w:val="00520F29"/>
    <w:rsid w:val="00524B21"/>
    <w:rsid w:val="00524E5D"/>
    <w:rsid w:val="005252B4"/>
    <w:rsid w:val="00544978"/>
    <w:rsid w:val="00550813"/>
    <w:rsid w:val="00552FD3"/>
    <w:rsid w:val="005556B4"/>
    <w:rsid w:val="00556C54"/>
    <w:rsid w:val="00560704"/>
    <w:rsid w:val="005615FD"/>
    <w:rsid w:val="0056296D"/>
    <w:rsid w:val="00564BFF"/>
    <w:rsid w:val="00565471"/>
    <w:rsid w:val="00565755"/>
    <w:rsid w:val="0058679B"/>
    <w:rsid w:val="00587DA2"/>
    <w:rsid w:val="005932AF"/>
    <w:rsid w:val="00593974"/>
    <w:rsid w:val="00596603"/>
    <w:rsid w:val="005A0FB6"/>
    <w:rsid w:val="005A1CA9"/>
    <w:rsid w:val="005A304F"/>
    <w:rsid w:val="005C160A"/>
    <w:rsid w:val="005C48EC"/>
    <w:rsid w:val="005C6593"/>
    <w:rsid w:val="005C7FD1"/>
    <w:rsid w:val="005D5240"/>
    <w:rsid w:val="005D7351"/>
    <w:rsid w:val="005E1DE9"/>
    <w:rsid w:val="005E1F50"/>
    <w:rsid w:val="005E1FCD"/>
    <w:rsid w:val="005E7A9E"/>
    <w:rsid w:val="005F365C"/>
    <w:rsid w:val="00601C16"/>
    <w:rsid w:val="00603A60"/>
    <w:rsid w:val="0061360C"/>
    <w:rsid w:val="00622F6A"/>
    <w:rsid w:val="00625B67"/>
    <w:rsid w:val="006323C5"/>
    <w:rsid w:val="00634B4A"/>
    <w:rsid w:val="00637D30"/>
    <w:rsid w:val="00642F09"/>
    <w:rsid w:val="00643BD5"/>
    <w:rsid w:val="00645393"/>
    <w:rsid w:val="006454E9"/>
    <w:rsid w:val="00645FF9"/>
    <w:rsid w:val="0065685C"/>
    <w:rsid w:val="00660F9E"/>
    <w:rsid w:val="00661006"/>
    <w:rsid w:val="0067160C"/>
    <w:rsid w:val="00674487"/>
    <w:rsid w:val="00681EB9"/>
    <w:rsid w:val="00683B19"/>
    <w:rsid w:val="00693A77"/>
    <w:rsid w:val="00695C52"/>
    <w:rsid w:val="006A0F9A"/>
    <w:rsid w:val="006A12C3"/>
    <w:rsid w:val="006A4E23"/>
    <w:rsid w:val="006A59FC"/>
    <w:rsid w:val="006A6A61"/>
    <w:rsid w:val="006B6661"/>
    <w:rsid w:val="006C04FB"/>
    <w:rsid w:val="006C41AD"/>
    <w:rsid w:val="006C6C90"/>
    <w:rsid w:val="006C7F61"/>
    <w:rsid w:val="006D0A5B"/>
    <w:rsid w:val="006D3825"/>
    <w:rsid w:val="006D5105"/>
    <w:rsid w:val="006D7E90"/>
    <w:rsid w:val="006E2E64"/>
    <w:rsid w:val="006E4818"/>
    <w:rsid w:val="006F0A6C"/>
    <w:rsid w:val="006F1B80"/>
    <w:rsid w:val="006F3543"/>
    <w:rsid w:val="006F680C"/>
    <w:rsid w:val="006F6A63"/>
    <w:rsid w:val="00700618"/>
    <w:rsid w:val="00702D91"/>
    <w:rsid w:val="00703641"/>
    <w:rsid w:val="007066C6"/>
    <w:rsid w:val="00712F0C"/>
    <w:rsid w:val="0071625F"/>
    <w:rsid w:val="00720B95"/>
    <w:rsid w:val="0072309F"/>
    <w:rsid w:val="00736D2B"/>
    <w:rsid w:val="00736DF2"/>
    <w:rsid w:val="00737871"/>
    <w:rsid w:val="007402C1"/>
    <w:rsid w:val="00744B02"/>
    <w:rsid w:val="00747178"/>
    <w:rsid w:val="007528AD"/>
    <w:rsid w:val="007559CC"/>
    <w:rsid w:val="00756189"/>
    <w:rsid w:val="0077361C"/>
    <w:rsid w:val="00776045"/>
    <w:rsid w:val="0078415F"/>
    <w:rsid w:val="007843E7"/>
    <w:rsid w:val="007927CC"/>
    <w:rsid w:val="00795448"/>
    <w:rsid w:val="0079771D"/>
    <w:rsid w:val="007A0C1E"/>
    <w:rsid w:val="007A20FA"/>
    <w:rsid w:val="007A2247"/>
    <w:rsid w:val="007B0996"/>
    <w:rsid w:val="007B120D"/>
    <w:rsid w:val="007B1DA5"/>
    <w:rsid w:val="007B2F71"/>
    <w:rsid w:val="007B59C7"/>
    <w:rsid w:val="007B6496"/>
    <w:rsid w:val="007C3713"/>
    <w:rsid w:val="007C61A5"/>
    <w:rsid w:val="007D0B4F"/>
    <w:rsid w:val="007E044D"/>
    <w:rsid w:val="007F25B1"/>
    <w:rsid w:val="007F6954"/>
    <w:rsid w:val="00805823"/>
    <w:rsid w:val="008058BF"/>
    <w:rsid w:val="0080731E"/>
    <w:rsid w:val="008133CF"/>
    <w:rsid w:val="00814417"/>
    <w:rsid w:val="0081472B"/>
    <w:rsid w:val="008152BF"/>
    <w:rsid w:val="00816666"/>
    <w:rsid w:val="00820D8D"/>
    <w:rsid w:val="00822158"/>
    <w:rsid w:val="0082231E"/>
    <w:rsid w:val="00822F5A"/>
    <w:rsid w:val="008239CE"/>
    <w:rsid w:val="008259C5"/>
    <w:rsid w:val="008363A7"/>
    <w:rsid w:val="008432F8"/>
    <w:rsid w:val="00845225"/>
    <w:rsid w:val="00846A6A"/>
    <w:rsid w:val="008474AB"/>
    <w:rsid w:val="00847D29"/>
    <w:rsid w:val="00850A29"/>
    <w:rsid w:val="00851830"/>
    <w:rsid w:val="00852FE9"/>
    <w:rsid w:val="0085353E"/>
    <w:rsid w:val="0085453C"/>
    <w:rsid w:val="00861D2C"/>
    <w:rsid w:val="00861DD3"/>
    <w:rsid w:val="00865CA0"/>
    <w:rsid w:val="008706E1"/>
    <w:rsid w:val="008714E3"/>
    <w:rsid w:val="008748A8"/>
    <w:rsid w:val="00874B6F"/>
    <w:rsid w:val="008754DD"/>
    <w:rsid w:val="008759DE"/>
    <w:rsid w:val="0087722F"/>
    <w:rsid w:val="00881ECC"/>
    <w:rsid w:val="00882230"/>
    <w:rsid w:val="008917EE"/>
    <w:rsid w:val="00891B67"/>
    <w:rsid w:val="00894958"/>
    <w:rsid w:val="008A405C"/>
    <w:rsid w:val="008A4F64"/>
    <w:rsid w:val="008B039A"/>
    <w:rsid w:val="008B22DE"/>
    <w:rsid w:val="008B2712"/>
    <w:rsid w:val="008B4BC4"/>
    <w:rsid w:val="008C11E9"/>
    <w:rsid w:val="008C2028"/>
    <w:rsid w:val="008C3515"/>
    <w:rsid w:val="008C57FA"/>
    <w:rsid w:val="008D0306"/>
    <w:rsid w:val="008D0D02"/>
    <w:rsid w:val="008D157B"/>
    <w:rsid w:val="008D4BAD"/>
    <w:rsid w:val="008D54BA"/>
    <w:rsid w:val="008D7AD2"/>
    <w:rsid w:val="008E4834"/>
    <w:rsid w:val="008F092B"/>
    <w:rsid w:val="008F129D"/>
    <w:rsid w:val="008F15EE"/>
    <w:rsid w:val="008F4DC5"/>
    <w:rsid w:val="008F623A"/>
    <w:rsid w:val="00900FD4"/>
    <w:rsid w:val="009022AA"/>
    <w:rsid w:val="00910629"/>
    <w:rsid w:val="00916BC5"/>
    <w:rsid w:val="00917612"/>
    <w:rsid w:val="009200B4"/>
    <w:rsid w:val="00921F5C"/>
    <w:rsid w:val="00925705"/>
    <w:rsid w:val="0093361D"/>
    <w:rsid w:val="00933E1D"/>
    <w:rsid w:val="0093434D"/>
    <w:rsid w:val="00940D42"/>
    <w:rsid w:val="0094101A"/>
    <w:rsid w:val="00941255"/>
    <w:rsid w:val="009446FE"/>
    <w:rsid w:val="009467F9"/>
    <w:rsid w:val="0094685F"/>
    <w:rsid w:val="009517AD"/>
    <w:rsid w:val="00954D8B"/>
    <w:rsid w:val="00955306"/>
    <w:rsid w:val="00955498"/>
    <w:rsid w:val="009557A5"/>
    <w:rsid w:val="00956326"/>
    <w:rsid w:val="009570D2"/>
    <w:rsid w:val="009629B2"/>
    <w:rsid w:val="00963C47"/>
    <w:rsid w:val="00966123"/>
    <w:rsid w:val="0097501B"/>
    <w:rsid w:val="00976345"/>
    <w:rsid w:val="00985E00"/>
    <w:rsid w:val="00991B1E"/>
    <w:rsid w:val="00997301"/>
    <w:rsid w:val="009978E8"/>
    <w:rsid w:val="009A0DCC"/>
    <w:rsid w:val="009B531F"/>
    <w:rsid w:val="009B5E8B"/>
    <w:rsid w:val="009B7D11"/>
    <w:rsid w:val="009C1E21"/>
    <w:rsid w:val="009C5BC5"/>
    <w:rsid w:val="009D1546"/>
    <w:rsid w:val="009D4A15"/>
    <w:rsid w:val="009E2662"/>
    <w:rsid w:val="009E396A"/>
    <w:rsid w:val="009E5C68"/>
    <w:rsid w:val="009E5CFA"/>
    <w:rsid w:val="009E66BA"/>
    <w:rsid w:val="009F0A1A"/>
    <w:rsid w:val="009F17EC"/>
    <w:rsid w:val="009F5B16"/>
    <w:rsid w:val="00A01952"/>
    <w:rsid w:val="00A020B1"/>
    <w:rsid w:val="00A0656A"/>
    <w:rsid w:val="00A21F16"/>
    <w:rsid w:val="00A30F8E"/>
    <w:rsid w:val="00A32E3B"/>
    <w:rsid w:val="00A34356"/>
    <w:rsid w:val="00A37D8F"/>
    <w:rsid w:val="00A44C1E"/>
    <w:rsid w:val="00A46F84"/>
    <w:rsid w:val="00A51679"/>
    <w:rsid w:val="00A52F03"/>
    <w:rsid w:val="00A60156"/>
    <w:rsid w:val="00A678AF"/>
    <w:rsid w:val="00A71783"/>
    <w:rsid w:val="00A71878"/>
    <w:rsid w:val="00A71FA0"/>
    <w:rsid w:val="00A80091"/>
    <w:rsid w:val="00A814D1"/>
    <w:rsid w:val="00A84DD2"/>
    <w:rsid w:val="00A90D50"/>
    <w:rsid w:val="00A93C8D"/>
    <w:rsid w:val="00A94E56"/>
    <w:rsid w:val="00A959CA"/>
    <w:rsid w:val="00A95B24"/>
    <w:rsid w:val="00AA278C"/>
    <w:rsid w:val="00AA7C2A"/>
    <w:rsid w:val="00AB51A7"/>
    <w:rsid w:val="00AB7EAC"/>
    <w:rsid w:val="00AC50E0"/>
    <w:rsid w:val="00AD1539"/>
    <w:rsid w:val="00AD1D1E"/>
    <w:rsid w:val="00AD2C31"/>
    <w:rsid w:val="00AE3858"/>
    <w:rsid w:val="00AE437C"/>
    <w:rsid w:val="00AE57E8"/>
    <w:rsid w:val="00AE6E2E"/>
    <w:rsid w:val="00AF1DFD"/>
    <w:rsid w:val="00AF3DCF"/>
    <w:rsid w:val="00B03ACF"/>
    <w:rsid w:val="00B064FA"/>
    <w:rsid w:val="00B07F41"/>
    <w:rsid w:val="00B114F1"/>
    <w:rsid w:val="00B14A8B"/>
    <w:rsid w:val="00B2176A"/>
    <w:rsid w:val="00B245EC"/>
    <w:rsid w:val="00B275FD"/>
    <w:rsid w:val="00B308F3"/>
    <w:rsid w:val="00B329E5"/>
    <w:rsid w:val="00B32F3A"/>
    <w:rsid w:val="00B4136C"/>
    <w:rsid w:val="00B4184A"/>
    <w:rsid w:val="00B4517D"/>
    <w:rsid w:val="00B51146"/>
    <w:rsid w:val="00B536B7"/>
    <w:rsid w:val="00B536D0"/>
    <w:rsid w:val="00B562E2"/>
    <w:rsid w:val="00B66C0B"/>
    <w:rsid w:val="00B7481D"/>
    <w:rsid w:val="00B7572A"/>
    <w:rsid w:val="00B75DB5"/>
    <w:rsid w:val="00B775F6"/>
    <w:rsid w:val="00B808DA"/>
    <w:rsid w:val="00B84949"/>
    <w:rsid w:val="00B85497"/>
    <w:rsid w:val="00B87476"/>
    <w:rsid w:val="00B92383"/>
    <w:rsid w:val="00B93DEE"/>
    <w:rsid w:val="00B94AFE"/>
    <w:rsid w:val="00BA23F2"/>
    <w:rsid w:val="00BB42CE"/>
    <w:rsid w:val="00BB6F3F"/>
    <w:rsid w:val="00BC004C"/>
    <w:rsid w:val="00BC7320"/>
    <w:rsid w:val="00BD3623"/>
    <w:rsid w:val="00BD43DC"/>
    <w:rsid w:val="00BD522C"/>
    <w:rsid w:val="00BD6C66"/>
    <w:rsid w:val="00BE51F4"/>
    <w:rsid w:val="00BE5B09"/>
    <w:rsid w:val="00BE7CF4"/>
    <w:rsid w:val="00BF0244"/>
    <w:rsid w:val="00BF0433"/>
    <w:rsid w:val="00BF6217"/>
    <w:rsid w:val="00C022E0"/>
    <w:rsid w:val="00C04F59"/>
    <w:rsid w:val="00C05830"/>
    <w:rsid w:val="00C1271D"/>
    <w:rsid w:val="00C12F49"/>
    <w:rsid w:val="00C23353"/>
    <w:rsid w:val="00C267CE"/>
    <w:rsid w:val="00C314B5"/>
    <w:rsid w:val="00C3180E"/>
    <w:rsid w:val="00C318D9"/>
    <w:rsid w:val="00C31EE3"/>
    <w:rsid w:val="00C338BD"/>
    <w:rsid w:val="00C33979"/>
    <w:rsid w:val="00C33BFD"/>
    <w:rsid w:val="00C35A4D"/>
    <w:rsid w:val="00C44BD6"/>
    <w:rsid w:val="00C44C50"/>
    <w:rsid w:val="00C53C98"/>
    <w:rsid w:val="00C562AC"/>
    <w:rsid w:val="00C60AB9"/>
    <w:rsid w:val="00C66A86"/>
    <w:rsid w:val="00C72B0E"/>
    <w:rsid w:val="00C809D8"/>
    <w:rsid w:val="00C81535"/>
    <w:rsid w:val="00C83036"/>
    <w:rsid w:val="00C849FE"/>
    <w:rsid w:val="00C87729"/>
    <w:rsid w:val="00C87DB5"/>
    <w:rsid w:val="00C940A2"/>
    <w:rsid w:val="00C952D0"/>
    <w:rsid w:val="00CA32C3"/>
    <w:rsid w:val="00CB20C8"/>
    <w:rsid w:val="00CB543C"/>
    <w:rsid w:val="00CB5A10"/>
    <w:rsid w:val="00CC11C1"/>
    <w:rsid w:val="00CC1969"/>
    <w:rsid w:val="00CC1C85"/>
    <w:rsid w:val="00CC6203"/>
    <w:rsid w:val="00CD25CE"/>
    <w:rsid w:val="00CD62FF"/>
    <w:rsid w:val="00CE1AF4"/>
    <w:rsid w:val="00CE1B0F"/>
    <w:rsid w:val="00CE2916"/>
    <w:rsid w:val="00CE3AD7"/>
    <w:rsid w:val="00CE5735"/>
    <w:rsid w:val="00CF0D96"/>
    <w:rsid w:val="00CF6014"/>
    <w:rsid w:val="00CF7E2D"/>
    <w:rsid w:val="00D01923"/>
    <w:rsid w:val="00D01CF2"/>
    <w:rsid w:val="00D06893"/>
    <w:rsid w:val="00D17F1D"/>
    <w:rsid w:val="00D22B57"/>
    <w:rsid w:val="00D24B2D"/>
    <w:rsid w:val="00D263A6"/>
    <w:rsid w:val="00D26661"/>
    <w:rsid w:val="00D26E82"/>
    <w:rsid w:val="00D348B0"/>
    <w:rsid w:val="00D428F8"/>
    <w:rsid w:val="00D46E74"/>
    <w:rsid w:val="00D527E0"/>
    <w:rsid w:val="00D553DD"/>
    <w:rsid w:val="00D55DF2"/>
    <w:rsid w:val="00D616DA"/>
    <w:rsid w:val="00D74E0D"/>
    <w:rsid w:val="00D764A7"/>
    <w:rsid w:val="00D80991"/>
    <w:rsid w:val="00D91147"/>
    <w:rsid w:val="00D91800"/>
    <w:rsid w:val="00D93A92"/>
    <w:rsid w:val="00D93FB0"/>
    <w:rsid w:val="00DA0428"/>
    <w:rsid w:val="00DB3EBE"/>
    <w:rsid w:val="00DB59C3"/>
    <w:rsid w:val="00DB5C79"/>
    <w:rsid w:val="00DB6BEA"/>
    <w:rsid w:val="00DB776F"/>
    <w:rsid w:val="00DC453D"/>
    <w:rsid w:val="00DD03B4"/>
    <w:rsid w:val="00DD0650"/>
    <w:rsid w:val="00DD0989"/>
    <w:rsid w:val="00DD23A2"/>
    <w:rsid w:val="00DD2F22"/>
    <w:rsid w:val="00DD3F52"/>
    <w:rsid w:val="00DE260D"/>
    <w:rsid w:val="00DE3F3F"/>
    <w:rsid w:val="00DE7FF3"/>
    <w:rsid w:val="00DF29F8"/>
    <w:rsid w:val="00DF3773"/>
    <w:rsid w:val="00DF3D70"/>
    <w:rsid w:val="00DF6DD6"/>
    <w:rsid w:val="00E01AB8"/>
    <w:rsid w:val="00E03085"/>
    <w:rsid w:val="00E07FE8"/>
    <w:rsid w:val="00E14668"/>
    <w:rsid w:val="00E14E2C"/>
    <w:rsid w:val="00E15311"/>
    <w:rsid w:val="00E16563"/>
    <w:rsid w:val="00E25818"/>
    <w:rsid w:val="00E301B6"/>
    <w:rsid w:val="00E34E8B"/>
    <w:rsid w:val="00E43625"/>
    <w:rsid w:val="00E4627A"/>
    <w:rsid w:val="00E46FEC"/>
    <w:rsid w:val="00E47FE7"/>
    <w:rsid w:val="00E575B8"/>
    <w:rsid w:val="00E57FAB"/>
    <w:rsid w:val="00E640A9"/>
    <w:rsid w:val="00E64972"/>
    <w:rsid w:val="00E80DB0"/>
    <w:rsid w:val="00E93406"/>
    <w:rsid w:val="00E9498A"/>
    <w:rsid w:val="00E94A94"/>
    <w:rsid w:val="00EA0869"/>
    <w:rsid w:val="00EA24C1"/>
    <w:rsid w:val="00EA544E"/>
    <w:rsid w:val="00EA7CDE"/>
    <w:rsid w:val="00EB0DC1"/>
    <w:rsid w:val="00EB4818"/>
    <w:rsid w:val="00EB7846"/>
    <w:rsid w:val="00EC09E4"/>
    <w:rsid w:val="00EC137D"/>
    <w:rsid w:val="00EC152C"/>
    <w:rsid w:val="00EC6978"/>
    <w:rsid w:val="00EC7B5C"/>
    <w:rsid w:val="00EE1422"/>
    <w:rsid w:val="00EE168A"/>
    <w:rsid w:val="00EE2019"/>
    <w:rsid w:val="00EE3581"/>
    <w:rsid w:val="00EE7170"/>
    <w:rsid w:val="00EF7205"/>
    <w:rsid w:val="00EF76EF"/>
    <w:rsid w:val="00F023E1"/>
    <w:rsid w:val="00F0438D"/>
    <w:rsid w:val="00F05628"/>
    <w:rsid w:val="00F063B2"/>
    <w:rsid w:val="00F11932"/>
    <w:rsid w:val="00F1388E"/>
    <w:rsid w:val="00F201DA"/>
    <w:rsid w:val="00F2223F"/>
    <w:rsid w:val="00F309F2"/>
    <w:rsid w:val="00F50167"/>
    <w:rsid w:val="00F53D57"/>
    <w:rsid w:val="00F552DF"/>
    <w:rsid w:val="00F63C4D"/>
    <w:rsid w:val="00F747F1"/>
    <w:rsid w:val="00F817A4"/>
    <w:rsid w:val="00F85ADC"/>
    <w:rsid w:val="00F85C6D"/>
    <w:rsid w:val="00F90D55"/>
    <w:rsid w:val="00F92341"/>
    <w:rsid w:val="00FA0696"/>
    <w:rsid w:val="00FA5F32"/>
    <w:rsid w:val="00FB1153"/>
    <w:rsid w:val="00FB4E1E"/>
    <w:rsid w:val="00FC6B5B"/>
    <w:rsid w:val="00FE06A9"/>
    <w:rsid w:val="00FE6ED3"/>
    <w:rsid w:val="00FE751A"/>
    <w:rsid w:val="00FF08EF"/>
    <w:rsid w:val="00FF18B7"/>
    <w:rsid w:val="00FF1BF5"/>
    <w:rsid w:val="00FF7170"/>
    <w:rsid w:val="00FF73D8"/>
    <w:rsid w:val="00FF7FAF"/>
    <w:rsid w:val="011F13EE"/>
    <w:rsid w:val="014A6652"/>
    <w:rsid w:val="016471F9"/>
    <w:rsid w:val="016704A3"/>
    <w:rsid w:val="01847306"/>
    <w:rsid w:val="01E46D89"/>
    <w:rsid w:val="02276B3D"/>
    <w:rsid w:val="028C4CB0"/>
    <w:rsid w:val="02AB5AF9"/>
    <w:rsid w:val="02DD7879"/>
    <w:rsid w:val="032C0A04"/>
    <w:rsid w:val="032E1295"/>
    <w:rsid w:val="03650069"/>
    <w:rsid w:val="036A1510"/>
    <w:rsid w:val="037C1244"/>
    <w:rsid w:val="03E16A61"/>
    <w:rsid w:val="041A40D5"/>
    <w:rsid w:val="042F497F"/>
    <w:rsid w:val="04321DC4"/>
    <w:rsid w:val="04373210"/>
    <w:rsid w:val="044F7C53"/>
    <w:rsid w:val="047E6DD6"/>
    <w:rsid w:val="049425DA"/>
    <w:rsid w:val="04973358"/>
    <w:rsid w:val="04BE7C2E"/>
    <w:rsid w:val="06061863"/>
    <w:rsid w:val="06670994"/>
    <w:rsid w:val="066C1A43"/>
    <w:rsid w:val="069C3BEA"/>
    <w:rsid w:val="07204535"/>
    <w:rsid w:val="07320597"/>
    <w:rsid w:val="074448BD"/>
    <w:rsid w:val="07506C6F"/>
    <w:rsid w:val="07760BAA"/>
    <w:rsid w:val="07DC069D"/>
    <w:rsid w:val="07E63304"/>
    <w:rsid w:val="081E10E1"/>
    <w:rsid w:val="08220A7B"/>
    <w:rsid w:val="085B3B1D"/>
    <w:rsid w:val="08AC69DD"/>
    <w:rsid w:val="08F315A8"/>
    <w:rsid w:val="08FC4E97"/>
    <w:rsid w:val="095857B9"/>
    <w:rsid w:val="0967021B"/>
    <w:rsid w:val="09846619"/>
    <w:rsid w:val="098D09E3"/>
    <w:rsid w:val="098F7F12"/>
    <w:rsid w:val="09A41501"/>
    <w:rsid w:val="09AE17B5"/>
    <w:rsid w:val="09B95CA6"/>
    <w:rsid w:val="09C73D4F"/>
    <w:rsid w:val="0A662814"/>
    <w:rsid w:val="0A6D18E6"/>
    <w:rsid w:val="0A6E5CF3"/>
    <w:rsid w:val="0AC43785"/>
    <w:rsid w:val="0ACE7A6C"/>
    <w:rsid w:val="0AE36158"/>
    <w:rsid w:val="0AF20F5F"/>
    <w:rsid w:val="0AFF19D8"/>
    <w:rsid w:val="0B086585"/>
    <w:rsid w:val="0BF952D6"/>
    <w:rsid w:val="0C7451AE"/>
    <w:rsid w:val="0C8A2C23"/>
    <w:rsid w:val="0CAB34B7"/>
    <w:rsid w:val="0CC9761B"/>
    <w:rsid w:val="0CD35C1E"/>
    <w:rsid w:val="0D1423C8"/>
    <w:rsid w:val="0D3301B7"/>
    <w:rsid w:val="0D56683B"/>
    <w:rsid w:val="0D614C1C"/>
    <w:rsid w:val="0D904269"/>
    <w:rsid w:val="0D9F31D6"/>
    <w:rsid w:val="0DCD726B"/>
    <w:rsid w:val="0E241C3A"/>
    <w:rsid w:val="0E4311B9"/>
    <w:rsid w:val="0E436630"/>
    <w:rsid w:val="0E673F09"/>
    <w:rsid w:val="0E926284"/>
    <w:rsid w:val="0EBB3568"/>
    <w:rsid w:val="0EF77D1B"/>
    <w:rsid w:val="0EFB7522"/>
    <w:rsid w:val="0F097611"/>
    <w:rsid w:val="0F7014AD"/>
    <w:rsid w:val="0F91725D"/>
    <w:rsid w:val="0F9A1BCC"/>
    <w:rsid w:val="0F9C369C"/>
    <w:rsid w:val="0F9F157F"/>
    <w:rsid w:val="0FA330AF"/>
    <w:rsid w:val="0FB81855"/>
    <w:rsid w:val="0FF6054A"/>
    <w:rsid w:val="10603F12"/>
    <w:rsid w:val="107439CE"/>
    <w:rsid w:val="10935C38"/>
    <w:rsid w:val="10A00621"/>
    <w:rsid w:val="10B811E6"/>
    <w:rsid w:val="10DE64AA"/>
    <w:rsid w:val="110109B4"/>
    <w:rsid w:val="110805BA"/>
    <w:rsid w:val="11093C89"/>
    <w:rsid w:val="110F27D0"/>
    <w:rsid w:val="111771B1"/>
    <w:rsid w:val="11243B39"/>
    <w:rsid w:val="114063D0"/>
    <w:rsid w:val="119F0F1F"/>
    <w:rsid w:val="11A72E29"/>
    <w:rsid w:val="1216516A"/>
    <w:rsid w:val="127F3C88"/>
    <w:rsid w:val="12833A1A"/>
    <w:rsid w:val="128C253B"/>
    <w:rsid w:val="128F58C2"/>
    <w:rsid w:val="12D40754"/>
    <w:rsid w:val="12E9472D"/>
    <w:rsid w:val="13276D2B"/>
    <w:rsid w:val="13AC619F"/>
    <w:rsid w:val="13C133CE"/>
    <w:rsid w:val="13F2255C"/>
    <w:rsid w:val="146D366E"/>
    <w:rsid w:val="14717E92"/>
    <w:rsid w:val="14727ABB"/>
    <w:rsid w:val="14950DDA"/>
    <w:rsid w:val="14EC0D54"/>
    <w:rsid w:val="15017368"/>
    <w:rsid w:val="150E4052"/>
    <w:rsid w:val="15122C1D"/>
    <w:rsid w:val="151B0D0F"/>
    <w:rsid w:val="154B05FD"/>
    <w:rsid w:val="158F4E06"/>
    <w:rsid w:val="15A42BF6"/>
    <w:rsid w:val="15DF4CCA"/>
    <w:rsid w:val="16826672"/>
    <w:rsid w:val="168828BC"/>
    <w:rsid w:val="16A94932"/>
    <w:rsid w:val="16B20B81"/>
    <w:rsid w:val="16CB6312"/>
    <w:rsid w:val="17104C69"/>
    <w:rsid w:val="1715270D"/>
    <w:rsid w:val="17516BB5"/>
    <w:rsid w:val="176531A5"/>
    <w:rsid w:val="17721366"/>
    <w:rsid w:val="17976868"/>
    <w:rsid w:val="17D962EE"/>
    <w:rsid w:val="17E5123B"/>
    <w:rsid w:val="17F600BD"/>
    <w:rsid w:val="1807571C"/>
    <w:rsid w:val="180C7E4B"/>
    <w:rsid w:val="182732B8"/>
    <w:rsid w:val="182B3A1B"/>
    <w:rsid w:val="185873EF"/>
    <w:rsid w:val="18627B26"/>
    <w:rsid w:val="187104F1"/>
    <w:rsid w:val="18774716"/>
    <w:rsid w:val="18C82B09"/>
    <w:rsid w:val="18FA3AAC"/>
    <w:rsid w:val="19004AEC"/>
    <w:rsid w:val="192B12EA"/>
    <w:rsid w:val="1940598B"/>
    <w:rsid w:val="196A18D3"/>
    <w:rsid w:val="196D5A4B"/>
    <w:rsid w:val="19AB308A"/>
    <w:rsid w:val="19E876AF"/>
    <w:rsid w:val="19FD3962"/>
    <w:rsid w:val="1A0A3746"/>
    <w:rsid w:val="1A2B77F4"/>
    <w:rsid w:val="1A473721"/>
    <w:rsid w:val="1A4D6C49"/>
    <w:rsid w:val="1A4F7438"/>
    <w:rsid w:val="1AB4115B"/>
    <w:rsid w:val="1B4E62D1"/>
    <w:rsid w:val="1B6034CD"/>
    <w:rsid w:val="1B612DA1"/>
    <w:rsid w:val="1B647F7A"/>
    <w:rsid w:val="1B6A4DC4"/>
    <w:rsid w:val="1B8B60BF"/>
    <w:rsid w:val="1B955324"/>
    <w:rsid w:val="1BEA2E61"/>
    <w:rsid w:val="1BFC2ACA"/>
    <w:rsid w:val="1C164C1E"/>
    <w:rsid w:val="1C1945A6"/>
    <w:rsid w:val="1C1F6B45"/>
    <w:rsid w:val="1C5628A2"/>
    <w:rsid w:val="1C70383B"/>
    <w:rsid w:val="1C7C7B47"/>
    <w:rsid w:val="1C8948AD"/>
    <w:rsid w:val="1C8B3EF1"/>
    <w:rsid w:val="1CA8031B"/>
    <w:rsid w:val="1CC03875"/>
    <w:rsid w:val="1CC7261C"/>
    <w:rsid w:val="1D067A54"/>
    <w:rsid w:val="1D0D1432"/>
    <w:rsid w:val="1D216723"/>
    <w:rsid w:val="1D2F5A72"/>
    <w:rsid w:val="1D305121"/>
    <w:rsid w:val="1DA80B96"/>
    <w:rsid w:val="1DAF3477"/>
    <w:rsid w:val="1E0A4225"/>
    <w:rsid w:val="1E0E03B4"/>
    <w:rsid w:val="1E4C1656"/>
    <w:rsid w:val="1E4D1AB3"/>
    <w:rsid w:val="1E5F640A"/>
    <w:rsid w:val="1EAE54B9"/>
    <w:rsid w:val="1EC80453"/>
    <w:rsid w:val="1EEB7551"/>
    <w:rsid w:val="1EF74148"/>
    <w:rsid w:val="1F3E27D6"/>
    <w:rsid w:val="1F86195C"/>
    <w:rsid w:val="1FB77434"/>
    <w:rsid w:val="1FCF6C46"/>
    <w:rsid w:val="1FE752C3"/>
    <w:rsid w:val="20657133"/>
    <w:rsid w:val="206E47B8"/>
    <w:rsid w:val="20BA4033"/>
    <w:rsid w:val="20E960EB"/>
    <w:rsid w:val="211C7406"/>
    <w:rsid w:val="214E6EDD"/>
    <w:rsid w:val="21A03D90"/>
    <w:rsid w:val="21B52099"/>
    <w:rsid w:val="21CD3FF0"/>
    <w:rsid w:val="222114DC"/>
    <w:rsid w:val="22864F43"/>
    <w:rsid w:val="229B0DC0"/>
    <w:rsid w:val="229B1BDB"/>
    <w:rsid w:val="22CC218D"/>
    <w:rsid w:val="2346744C"/>
    <w:rsid w:val="23580BC1"/>
    <w:rsid w:val="23B6728F"/>
    <w:rsid w:val="23E375DF"/>
    <w:rsid w:val="24664224"/>
    <w:rsid w:val="246F478D"/>
    <w:rsid w:val="24B62CB7"/>
    <w:rsid w:val="24CA0AF6"/>
    <w:rsid w:val="24D35C2C"/>
    <w:rsid w:val="24FD0A87"/>
    <w:rsid w:val="25074F6B"/>
    <w:rsid w:val="251546D4"/>
    <w:rsid w:val="253A2A5B"/>
    <w:rsid w:val="256529EC"/>
    <w:rsid w:val="25916B5A"/>
    <w:rsid w:val="25A840B5"/>
    <w:rsid w:val="26321F6C"/>
    <w:rsid w:val="2633443B"/>
    <w:rsid w:val="263B6008"/>
    <w:rsid w:val="265D1D80"/>
    <w:rsid w:val="27196A43"/>
    <w:rsid w:val="2732016E"/>
    <w:rsid w:val="27343A60"/>
    <w:rsid w:val="27545186"/>
    <w:rsid w:val="276C3568"/>
    <w:rsid w:val="27F072C4"/>
    <w:rsid w:val="27FE6547"/>
    <w:rsid w:val="281256B6"/>
    <w:rsid w:val="282D47B2"/>
    <w:rsid w:val="28374398"/>
    <w:rsid w:val="284D700E"/>
    <w:rsid w:val="28515CB8"/>
    <w:rsid w:val="285C48AF"/>
    <w:rsid w:val="28C43AEC"/>
    <w:rsid w:val="28E87E9F"/>
    <w:rsid w:val="2924678D"/>
    <w:rsid w:val="298C36DF"/>
    <w:rsid w:val="29A502DB"/>
    <w:rsid w:val="29B068EE"/>
    <w:rsid w:val="29C461D2"/>
    <w:rsid w:val="29CE3CF8"/>
    <w:rsid w:val="2A152418"/>
    <w:rsid w:val="2A25711E"/>
    <w:rsid w:val="2A6C506A"/>
    <w:rsid w:val="2A973C3D"/>
    <w:rsid w:val="2AAB580F"/>
    <w:rsid w:val="2AD25EC1"/>
    <w:rsid w:val="2AEE4832"/>
    <w:rsid w:val="2B1B2F6C"/>
    <w:rsid w:val="2B5A1987"/>
    <w:rsid w:val="2B662D34"/>
    <w:rsid w:val="2BA94548"/>
    <w:rsid w:val="2BFC3F2E"/>
    <w:rsid w:val="2C2B6135"/>
    <w:rsid w:val="2CA77830"/>
    <w:rsid w:val="2CD6228C"/>
    <w:rsid w:val="2CD81B3C"/>
    <w:rsid w:val="2D022C3C"/>
    <w:rsid w:val="2D3D19E6"/>
    <w:rsid w:val="2DF576E3"/>
    <w:rsid w:val="2E2F0CC0"/>
    <w:rsid w:val="2E383E35"/>
    <w:rsid w:val="2E5950A2"/>
    <w:rsid w:val="2ED9367C"/>
    <w:rsid w:val="2EFE6420"/>
    <w:rsid w:val="2F081A5A"/>
    <w:rsid w:val="2F4F0640"/>
    <w:rsid w:val="2F64320A"/>
    <w:rsid w:val="2F671E9A"/>
    <w:rsid w:val="2F755AB0"/>
    <w:rsid w:val="2F782452"/>
    <w:rsid w:val="2F84575D"/>
    <w:rsid w:val="2FB614B6"/>
    <w:rsid w:val="2FFB1A89"/>
    <w:rsid w:val="3001185E"/>
    <w:rsid w:val="304613D2"/>
    <w:rsid w:val="30517749"/>
    <w:rsid w:val="3062264C"/>
    <w:rsid w:val="30D60776"/>
    <w:rsid w:val="30F00CBF"/>
    <w:rsid w:val="310746D9"/>
    <w:rsid w:val="31196C05"/>
    <w:rsid w:val="3140701A"/>
    <w:rsid w:val="31AC314C"/>
    <w:rsid w:val="323E5792"/>
    <w:rsid w:val="326A77CA"/>
    <w:rsid w:val="32942E63"/>
    <w:rsid w:val="329A65E9"/>
    <w:rsid w:val="32D63759"/>
    <w:rsid w:val="33364A16"/>
    <w:rsid w:val="33781BD8"/>
    <w:rsid w:val="337B4EF0"/>
    <w:rsid w:val="33841FF1"/>
    <w:rsid w:val="33A361F5"/>
    <w:rsid w:val="33B814AB"/>
    <w:rsid w:val="33BB38C8"/>
    <w:rsid w:val="33DF62FF"/>
    <w:rsid w:val="33E84C8C"/>
    <w:rsid w:val="33FF36A1"/>
    <w:rsid w:val="34570A37"/>
    <w:rsid w:val="34797BDB"/>
    <w:rsid w:val="347F2CE0"/>
    <w:rsid w:val="349B1510"/>
    <w:rsid w:val="34C30E6D"/>
    <w:rsid w:val="34CC3529"/>
    <w:rsid w:val="34E81BED"/>
    <w:rsid w:val="35036D30"/>
    <w:rsid w:val="35193C94"/>
    <w:rsid w:val="351E29A1"/>
    <w:rsid w:val="35457197"/>
    <w:rsid w:val="35510383"/>
    <w:rsid w:val="355D0C50"/>
    <w:rsid w:val="3592554A"/>
    <w:rsid w:val="359F1D60"/>
    <w:rsid w:val="35B609B9"/>
    <w:rsid w:val="35BA15D4"/>
    <w:rsid w:val="35C73C9A"/>
    <w:rsid w:val="35E07F32"/>
    <w:rsid w:val="35EF28CB"/>
    <w:rsid w:val="36006179"/>
    <w:rsid w:val="36085A10"/>
    <w:rsid w:val="36590DED"/>
    <w:rsid w:val="365E4655"/>
    <w:rsid w:val="36642B6C"/>
    <w:rsid w:val="366A5337"/>
    <w:rsid w:val="366D6C6F"/>
    <w:rsid w:val="368D0A96"/>
    <w:rsid w:val="368F518B"/>
    <w:rsid w:val="36A01FE4"/>
    <w:rsid w:val="36A62927"/>
    <w:rsid w:val="36B660BE"/>
    <w:rsid w:val="36CF3195"/>
    <w:rsid w:val="36E77721"/>
    <w:rsid w:val="374459B4"/>
    <w:rsid w:val="377D094F"/>
    <w:rsid w:val="37AF7294"/>
    <w:rsid w:val="3809239F"/>
    <w:rsid w:val="3812066C"/>
    <w:rsid w:val="385875A1"/>
    <w:rsid w:val="38C524C2"/>
    <w:rsid w:val="393357C5"/>
    <w:rsid w:val="398E607D"/>
    <w:rsid w:val="39A2210B"/>
    <w:rsid w:val="39D32C64"/>
    <w:rsid w:val="3A064CBF"/>
    <w:rsid w:val="3A1858D7"/>
    <w:rsid w:val="3A2C7423"/>
    <w:rsid w:val="3AB4583D"/>
    <w:rsid w:val="3B041E40"/>
    <w:rsid w:val="3B150528"/>
    <w:rsid w:val="3B164953"/>
    <w:rsid w:val="3B19209B"/>
    <w:rsid w:val="3B363DAF"/>
    <w:rsid w:val="3B4D7484"/>
    <w:rsid w:val="3B634ADD"/>
    <w:rsid w:val="3B9C3C56"/>
    <w:rsid w:val="3BB70A8F"/>
    <w:rsid w:val="3BFB7A0F"/>
    <w:rsid w:val="3C2F0BBB"/>
    <w:rsid w:val="3C4328DD"/>
    <w:rsid w:val="3C834E15"/>
    <w:rsid w:val="3C9376FF"/>
    <w:rsid w:val="3C941962"/>
    <w:rsid w:val="3C9724B5"/>
    <w:rsid w:val="3CA02375"/>
    <w:rsid w:val="3CAB0A6F"/>
    <w:rsid w:val="3CB269B6"/>
    <w:rsid w:val="3CB45437"/>
    <w:rsid w:val="3D0B6EE6"/>
    <w:rsid w:val="3D4B7426"/>
    <w:rsid w:val="3DE90E9D"/>
    <w:rsid w:val="3DF52607"/>
    <w:rsid w:val="3E1A1E51"/>
    <w:rsid w:val="3E251A31"/>
    <w:rsid w:val="3E306E39"/>
    <w:rsid w:val="3E55633E"/>
    <w:rsid w:val="3E6B0D77"/>
    <w:rsid w:val="3EA37861"/>
    <w:rsid w:val="3ED116FB"/>
    <w:rsid w:val="3F1C48A8"/>
    <w:rsid w:val="3F5254A5"/>
    <w:rsid w:val="3F732378"/>
    <w:rsid w:val="3F8F1F95"/>
    <w:rsid w:val="3FEE7F68"/>
    <w:rsid w:val="3FFB2D89"/>
    <w:rsid w:val="40224945"/>
    <w:rsid w:val="40453107"/>
    <w:rsid w:val="40EC437F"/>
    <w:rsid w:val="413925B4"/>
    <w:rsid w:val="41AF7A9C"/>
    <w:rsid w:val="41D614EA"/>
    <w:rsid w:val="41EC7287"/>
    <w:rsid w:val="42386F96"/>
    <w:rsid w:val="42521E98"/>
    <w:rsid w:val="4253404A"/>
    <w:rsid w:val="42693382"/>
    <w:rsid w:val="428B05C0"/>
    <w:rsid w:val="43291B47"/>
    <w:rsid w:val="433107D0"/>
    <w:rsid w:val="439E42E3"/>
    <w:rsid w:val="43CA50D8"/>
    <w:rsid w:val="44617DC9"/>
    <w:rsid w:val="44870466"/>
    <w:rsid w:val="44890899"/>
    <w:rsid w:val="44A4001C"/>
    <w:rsid w:val="44B255CD"/>
    <w:rsid w:val="44BD6EBB"/>
    <w:rsid w:val="44C0033B"/>
    <w:rsid w:val="44DF4C26"/>
    <w:rsid w:val="45062140"/>
    <w:rsid w:val="45201234"/>
    <w:rsid w:val="453634F6"/>
    <w:rsid w:val="455967AD"/>
    <w:rsid w:val="456045A9"/>
    <w:rsid w:val="45605CF4"/>
    <w:rsid w:val="45744AEA"/>
    <w:rsid w:val="45B47338"/>
    <w:rsid w:val="45C936B9"/>
    <w:rsid w:val="45ED1B1F"/>
    <w:rsid w:val="45FB34D6"/>
    <w:rsid w:val="45FF22A9"/>
    <w:rsid w:val="46BF6CAD"/>
    <w:rsid w:val="46F84BA9"/>
    <w:rsid w:val="4728552C"/>
    <w:rsid w:val="47B562E3"/>
    <w:rsid w:val="484D1B85"/>
    <w:rsid w:val="487E5F09"/>
    <w:rsid w:val="488E6388"/>
    <w:rsid w:val="4929727E"/>
    <w:rsid w:val="494E01C7"/>
    <w:rsid w:val="49D14539"/>
    <w:rsid w:val="49F31A11"/>
    <w:rsid w:val="4AB4194B"/>
    <w:rsid w:val="4AC47665"/>
    <w:rsid w:val="4AD056CA"/>
    <w:rsid w:val="4AD81C4C"/>
    <w:rsid w:val="4AF8458F"/>
    <w:rsid w:val="4B61683A"/>
    <w:rsid w:val="4B94148F"/>
    <w:rsid w:val="4BBC7CAE"/>
    <w:rsid w:val="4C0939B6"/>
    <w:rsid w:val="4C27697B"/>
    <w:rsid w:val="4C527FFC"/>
    <w:rsid w:val="4C8F3716"/>
    <w:rsid w:val="4CA54934"/>
    <w:rsid w:val="4CFB6F56"/>
    <w:rsid w:val="4D280422"/>
    <w:rsid w:val="4D4A0379"/>
    <w:rsid w:val="4DB766CD"/>
    <w:rsid w:val="4DC46E97"/>
    <w:rsid w:val="4DD73B61"/>
    <w:rsid w:val="4E072899"/>
    <w:rsid w:val="4E323FA5"/>
    <w:rsid w:val="4E436983"/>
    <w:rsid w:val="4E7716DB"/>
    <w:rsid w:val="4E9C6890"/>
    <w:rsid w:val="4EA57AB2"/>
    <w:rsid w:val="4EAF3848"/>
    <w:rsid w:val="4ED908C5"/>
    <w:rsid w:val="4EE3108F"/>
    <w:rsid w:val="4F3503DD"/>
    <w:rsid w:val="4F443E37"/>
    <w:rsid w:val="4FC70BFD"/>
    <w:rsid w:val="4FEF1A2D"/>
    <w:rsid w:val="4FFA4AFE"/>
    <w:rsid w:val="50343E1C"/>
    <w:rsid w:val="504C7B26"/>
    <w:rsid w:val="507C1601"/>
    <w:rsid w:val="507E2BA6"/>
    <w:rsid w:val="50C0670A"/>
    <w:rsid w:val="50CF60C4"/>
    <w:rsid w:val="50E33C7D"/>
    <w:rsid w:val="510F20F5"/>
    <w:rsid w:val="513D5818"/>
    <w:rsid w:val="514976D2"/>
    <w:rsid w:val="51B54FAE"/>
    <w:rsid w:val="51FA4F96"/>
    <w:rsid w:val="52A116FA"/>
    <w:rsid w:val="52AE5E4D"/>
    <w:rsid w:val="53487DC7"/>
    <w:rsid w:val="53B35930"/>
    <w:rsid w:val="53DC50DF"/>
    <w:rsid w:val="53E35FEF"/>
    <w:rsid w:val="53F67418"/>
    <w:rsid w:val="53F80DFD"/>
    <w:rsid w:val="54207D93"/>
    <w:rsid w:val="54277209"/>
    <w:rsid w:val="5439788A"/>
    <w:rsid w:val="544029A2"/>
    <w:rsid w:val="54442373"/>
    <w:rsid w:val="54AB5886"/>
    <w:rsid w:val="54B1035F"/>
    <w:rsid w:val="54FE5211"/>
    <w:rsid w:val="551B02B3"/>
    <w:rsid w:val="555741CF"/>
    <w:rsid w:val="558B0A4E"/>
    <w:rsid w:val="55943421"/>
    <w:rsid w:val="559F5831"/>
    <w:rsid w:val="55A35525"/>
    <w:rsid w:val="55AE4074"/>
    <w:rsid w:val="55C25ABA"/>
    <w:rsid w:val="55CE055B"/>
    <w:rsid w:val="565E0CE3"/>
    <w:rsid w:val="567A62DF"/>
    <w:rsid w:val="5697055A"/>
    <w:rsid w:val="569B7538"/>
    <w:rsid w:val="56B532A8"/>
    <w:rsid w:val="56B63AE3"/>
    <w:rsid w:val="57004A1D"/>
    <w:rsid w:val="57643D31"/>
    <w:rsid w:val="577F0085"/>
    <w:rsid w:val="57BE4AFC"/>
    <w:rsid w:val="57E4161C"/>
    <w:rsid w:val="57E81110"/>
    <w:rsid w:val="5886748C"/>
    <w:rsid w:val="58874971"/>
    <w:rsid w:val="58BA1767"/>
    <w:rsid w:val="58F230E3"/>
    <w:rsid w:val="59253085"/>
    <w:rsid w:val="593E1BAC"/>
    <w:rsid w:val="59417DB5"/>
    <w:rsid w:val="59712135"/>
    <w:rsid w:val="59761C9F"/>
    <w:rsid w:val="598C3BF2"/>
    <w:rsid w:val="599259E9"/>
    <w:rsid w:val="59C21EFA"/>
    <w:rsid w:val="5A01705E"/>
    <w:rsid w:val="5A0B75EC"/>
    <w:rsid w:val="5A344158"/>
    <w:rsid w:val="5A613EF2"/>
    <w:rsid w:val="5A7A0666"/>
    <w:rsid w:val="5AA46256"/>
    <w:rsid w:val="5AF6759D"/>
    <w:rsid w:val="5AFB1169"/>
    <w:rsid w:val="5B0C40A3"/>
    <w:rsid w:val="5B2368E3"/>
    <w:rsid w:val="5B2C2DA1"/>
    <w:rsid w:val="5B2E7F1B"/>
    <w:rsid w:val="5B4C7675"/>
    <w:rsid w:val="5BA6536C"/>
    <w:rsid w:val="5C0276AD"/>
    <w:rsid w:val="5C7834CB"/>
    <w:rsid w:val="5C9C4AF0"/>
    <w:rsid w:val="5CE6396F"/>
    <w:rsid w:val="5D1A4DC7"/>
    <w:rsid w:val="5D272F0E"/>
    <w:rsid w:val="5D2765E4"/>
    <w:rsid w:val="5D4635C9"/>
    <w:rsid w:val="5D7C6FEB"/>
    <w:rsid w:val="5D824639"/>
    <w:rsid w:val="5D8660BC"/>
    <w:rsid w:val="5D8D03DF"/>
    <w:rsid w:val="5D8D7FCA"/>
    <w:rsid w:val="5DFE3773"/>
    <w:rsid w:val="5E087397"/>
    <w:rsid w:val="5E3E6996"/>
    <w:rsid w:val="5EC9531F"/>
    <w:rsid w:val="5EE611DF"/>
    <w:rsid w:val="5F440482"/>
    <w:rsid w:val="5F835A10"/>
    <w:rsid w:val="5FC1611E"/>
    <w:rsid w:val="60194FC5"/>
    <w:rsid w:val="601A2BF7"/>
    <w:rsid w:val="60483D58"/>
    <w:rsid w:val="605709CF"/>
    <w:rsid w:val="609E499A"/>
    <w:rsid w:val="60A725D1"/>
    <w:rsid w:val="60CF30B3"/>
    <w:rsid w:val="616C79A3"/>
    <w:rsid w:val="618B5004"/>
    <w:rsid w:val="61B84E22"/>
    <w:rsid w:val="61C2021F"/>
    <w:rsid w:val="61C3254E"/>
    <w:rsid w:val="61EF7CBE"/>
    <w:rsid w:val="61F948FD"/>
    <w:rsid w:val="626E048C"/>
    <w:rsid w:val="62B5190C"/>
    <w:rsid w:val="62D0683D"/>
    <w:rsid w:val="62F44626"/>
    <w:rsid w:val="62FB1018"/>
    <w:rsid w:val="6300289F"/>
    <w:rsid w:val="634B549F"/>
    <w:rsid w:val="63DF2257"/>
    <w:rsid w:val="63E10EF7"/>
    <w:rsid w:val="63EB6437"/>
    <w:rsid w:val="642902CD"/>
    <w:rsid w:val="64427684"/>
    <w:rsid w:val="64694E7A"/>
    <w:rsid w:val="646B11DF"/>
    <w:rsid w:val="647A2A5C"/>
    <w:rsid w:val="64C90F62"/>
    <w:rsid w:val="64E060B2"/>
    <w:rsid w:val="64F9547C"/>
    <w:rsid w:val="6500071A"/>
    <w:rsid w:val="65053D6A"/>
    <w:rsid w:val="65A34764"/>
    <w:rsid w:val="65A92A7B"/>
    <w:rsid w:val="65B13D6C"/>
    <w:rsid w:val="661B54E9"/>
    <w:rsid w:val="664D0A60"/>
    <w:rsid w:val="66AA4FFF"/>
    <w:rsid w:val="66B8278B"/>
    <w:rsid w:val="67584567"/>
    <w:rsid w:val="676E6217"/>
    <w:rsid w:val="678F7526"/>
    <w:rsid w:val="67A840C2"/>
    <w:rsid w:val="6841460E"/>
    <w:rsid w:val="68503611"/>
    <w:rsid w:val="688B7F0C"/>
    <w:rsid w:val="68CB536F"/>
    <w:rsid w:val="68ED4CE5"/>
    <w:rsid w:val="692C0C80"/>
    <w:rsid w:val="693B716B"/>
    <w:rsid w:val="6952174A"/>
    <w:rsid w:val="69DA0644"/>
    <w:rsid w:val="6A0102DC"/>
    <w:rsid w:val="6A3B483E"/>
    <w:rsid w:val="6A6629D9"/>
    <w:rsid w:val="6A8E699F"/>
    <w:rsid w:val="6AB22139"/>
    <w:rsid w:val="6AD761A9"/>
    <w:rsid w:val="6B2338E9"/>
    <w:rsid w:val="6B497849"/>
    <w:rsid w:val="6B4C0889"/>
    <w:rsid w:val="6B786434"/>
    <w:rsid w:val="6BE00A0E"/>
    <w:rsid w:val="6C447B47"/>
    <w:rsid w:val="6C507BA1"/>
    <w:rsid w:val="6C695505"/>
    <w:rsid w:val="6C7C0DB6"/>
    <w:rsid w:val="6C981CB3"/>
    <w:rsid w:val="6CA90819"/>
    <w:rsid w:val="6CC13EDB"/>
    <w:rsid w:val="6D4F09BF"/>
    <w:rsid w:val="6D74607D"/>
    <w:rsid w:val="6D8D231F"/>
    <w:rsid w:val="6D9B33B7"/>
    <w:rsid w:val="6DA87988"/>
    <w:rsid w:val="6DAE726F"/>
    <w:rsid w:val="6DC5555E"/>
    <w:rsid w:val="6E0E0D0A"/>
    <w:rsid w:val="6E144E55"/>
    <w:rsid w:val="6E8060C3"/>
    <w:rsid w:val="6F107CF3"/>
    <w:rsid w:val="6FA90BE6"/>
    <w:rsid w:val="6FB203C5"/>
    <w:rsid w:val="6FB8386A"/>
    <w:rsid w:val="6FF550B5"/>
    <w:rsid w:val="70370A27"/>
    <w:rsid w:val="70521FBA"/>
    <w:rsid w:val="70682A2C"/>
    <w:rsid w:val="70711BDA"/>
    <w:rsid w:val="709E54A1"/>
    <w:rsid w:val="70DC2932"/>
    <w:rsid w:val="711F3B69"/>
    <w:rsid w:val="71327C95"/>
    <w:rsid w:val="717A5A1E"/>
    <w:rsid w:val="71C64881"/>
    <w:rsid w:val="71DE2CDD"/>
    <w:rsid w:val="71E00101"/>
    <w:rsid w:val="71F33B7F"/>
    <w:rsid w:val="720766E0"/>
    <w:rsid w:val="721E0540"/>
    <w:rsid w:val="723810AB"/>
    <w:rsid w:val="725C006D"/>
    <w:rsid w:val="72620A4E"/>
    <w:rsid w:val="726A16B0"/>
    <w:rsid w:val="72702DB5"/>
    <w:rsid w:val="72780061"/>
    <w:rsid w:val="729967E3"/>
    <w:rsid w:val="72BD2923"/>
    <w:rsid w:val="72CC276B"/>
    <w:rsid w:val="72F65234"/>
    <w:rsid w:val="730D09BA"/>
    <w:rsid w:val="731567F8"/>
    <w:rsid w:val="73410F61"/>
    <w:rsid w:val="73494ABD"/>
    <w:rsid w:val="734F46C2"/>
    <w:rsid w:val="735134C4"/>
    <w:rsid w:val="73522188"/>
    <w:rsid w:val="738007DB"/>
    <w:rsid w:val="73867ABF"/>
    <w:rsid w:val="73B75C25"/>
    <w:rsid w:val="741D2E7E"/>
    <w:rsid w:val="74244395"/>
    <w:rsid w:val="742932AB"/>
    <w:rsid w:val="74566FFD"/>
    <w:rsid w:val="74682C4F"/>
    <w:rsid w:val="74786307"/>
    <w:rsid w:val="749A44CF"/>
    <w:rsid w:val="74B115B0"/>
    <w:rsid w:val="74C328F9"/>
    <w:rsid w:val="74E963E9"/>
    <w:rsid w:val="74ED7FE5"/>
    <w:rsid w:val="74FD41E8"/>
    <w:rsid w:val="758B02BC"/>
    <w:rsid w:val="75A909B8"/>
    <w:rsid w:val="75D91027"/>
    <w:rsid w:val="75E5766A"/>
    <w:rsid w:val="75FF26BB"/>
    <w:rsid w:val="761E304B"/>
    <w:rsid w:val="76407516"/>
    <w:rsid w:val="76472375"/>
    <w:rsid w:val="76D141B0"/>
    <w:rsid w:val="76EA57E2"/>
    <w:rsid w:val="77241AC6"/>
    <w:rsid w:val="77500C1D"/>
    <w:rsid w:val="776536D7"/>
    <w:rsid w:val="77D47CF8"/>
    <w:rsid w:val="780E7319"/>
    <w:rsid w:val="78126EE8"/>
    <w:rsid w:val="781B5024"/>
    <w:rsid w:val="788D1915"/>
    <w:rsid w:val="78B41CE1"/>
    <w:rsid w:val="792A4E89"/>
    <w:rsid w:val="793622EC"/>
    <w:rsid w:val="79587B8A"/>
    <w:rsid w:val="7971667D"/>
    <w:rsid w:val="79B57DC0"/>
    <w:rsid w:val="79DF60DE"/>
    <w:rsid w:val="79E96977"/>
    <w:rsid w:val="7A005F8A"/>
    <w:rsid w:val="7A007983"/>
    <w:rsid w:val="7A9D6BAD"/>
    <w:rsid w:val="7AB00311"/>
    <w:rsid w:val="7B042559"/>
    <w:rsid w:val="7B66200D"/>
    <w:rsid w:val="7BA157D0"/>
    <w:rsid w:val="7C4E57E4"/>
    <w:rsid w:val="7C5238E1"/>
    <w:rsid w:val="7C532A30"/>
    <w:rsid w:val="7C8C0861"/>
    <w:rsid w:val="7CFE22B1"/>
    <w:rsid w:val="7D452408"/>
    <w:rsid w:val="7D6513F2"/>
    <w:rsid w:val="7DD735F1"/>
    <w:rsid w:val="7E3808B5"/>
    <w:rsid w:val="7E3D6D28"/>
    <w:rsid w:val="7F3A5A57"/>
    <w:rsid w:val="7F53132E"/>
    <w:rsid w:val="7FAE6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after="20" w:afterLines="20" w:line="288" w:lineRule="auto"/>
      <w:jc w:val="both"/>
    </w:pPr>
    <w:rPr>
      <w:rFonts w:eastAsia="微软雅黑" w:asciiTheme="minorAscii" w:hAnsiTheme="minorAscii" w:cstheme="minorBidi"/>
      <w:snapToGrid/>
      <w:kern w:val="2"/>
      <w:sz w:val="21"/>
      <w:szCs w:val="24"/>
      <w:lang w:val="en-US" w:eastAsia="zh-CN" w:bidi="ar-SA"/>
    </w:rPr>
  </w:style>
  <w:style w:type="paragraph" w:styleId="2">
    <w:name w:val="heading 1"/>
    <w:next w:val="1"/>
    <w:link w:val="40"/>
    <w:qFormat/>
    <w:uiPriority w:val="9"/>
    <w:pPr>
      <w:keepNext/>
      <w:keepLines/>
      <w:numPr>
        <w:ilvl w:val="0"/>
        <w:numId w:val="1"/>
      </w:numPr>
      <w:tabs>
        <w:tab w:val="left" w:pos="0"/>
      </w:tabs>
      <w:adjustRightInd w:val="0"/>
      <w:snapToGrid w:val="0"/>
      <w:spacing w:before="50" w:beforeLines="50" w:after="20" w:afterLines="20" w:line="288" w:lineRule="auto"/>
      <w:ind w:left="0" w:firstLine="0"/>
      <w:outlineLvl w:val="0"/>
    </w:pPr>
    <w:rPr>
      <w:rFonts w:ascii="微软雅黑" w:hAnsi="微软雅黑" w:eastAsia="微软雅黑" w:cstheme="minorBidi"/>
      <w:b/>
      <w:bCs/>
      <w:kern w:val="44"/>
      <w:sz w:val="36"/>
      <w:szCs w:val="36"/>
    </w:rPr>
  </w:style>
  <w:style w:type="paragraph" w:styleId="3">
    <w:name w:val="heading 2"/>
    <w:basedOn w:val="1"/>
    <w:next w:val="1"/>
    <w:link w:val="58"/>
    <w:unhideWhenUsed/>
    <w:qFormat/>
    <w:uiPriority w:val="9"/>
    <w:pPr>
      <w:numPr>
        <w:ilvl w:val="1"/>
        <w:numId w:val="1"/>
      </w:numPr>
      <w:tabs>
        <w:tab w:val="left" w:pos="0"/>
      </w:tabs>
      <w:adjustRightInd w:val="0"/>
      <w:snapToGrid w:val="0"/>
      <w:spacing w:before="50" w:beforeLines="50" w:after="20" w:afterLines="20" w:line="288" w:lineRule="auto"/>
      <w:ind w:left="0" w:firstLine="0"/>
      <w:outlineLvl w:val="1"/>
    </w:pPr>
    <w:rPr>
      <w:rFonts w:ascii="微软雅黑" w:hAnsi="微软雅黑" w:eastAsia="微软雅黑" w:cstheme="minorBidi"/>
      <w:b/>
      <w:bCs/>
      <w:kern w:val="2"/>
      <w:sz w:val="32"/>
      <w:szCs w:val="32"/>
    </w:rPr>
  </w:style>
  <w:style w:type="paragraph" w:styleId="4">
    <w:name w:val="heading 3"/>
    <w:next w:val="1"/>
    <w:unhideWhenUsed/>
    <w:qFormat/>
    <w:uiPriority w:val="9"/>
    <w:pPr>
      <w:numPr>
        <w:ilvl w:val="2"/>
        <w:numId w:val="1"/>
      </w:numPr>
      <w:tabs>
        <w:tab w:val="left" w:pos="0"/>
        <w:tab w:val="left" w:pos="312"/>
      </w:tabs>
      <w:adjustRightInd w:val="0"/>
      <w:snapToGrid w:val="0"/>
      <w:spacing w:before="50" w:beforeLines="50" w:after="20" w:afterLines="20" w:line="288" w:lineRule="auto"/>
      <w:ind w:left="0" w:firstLine="0"/>
      <w:outlineLvl w:val="2"/>
    </w:pPr>
    <w:rPr>
      <w:rFonts w:ascii="微软雅黑" w:hAnsi="微软雅黑" w:eastAsia="微软雅黑" w:cstheme="minorBidi"/>
      <w:b/>
      <w:kern w:val="2"/>
      <w:sz w:val="30"/>
      <w:szCs w:val="30"/>
    </w:rPr>
  </w:style>
  <w:style w:type="paragraph" w:styleId="5">
    <w:name w:val="heading 4"/>
    <w:next w:val="1"/>
    <w:unhideWhenUsed/>
    <w:qFormat/>
    <w:uiPriority w:val="9"/>
    <w:pPr>
      <w:numPr>
        <w:ilvl w:val="3"/>
        <w:numId w:val="1"/>
      </w:numPr>
      <w:tabs>
        <w:tab w:val="left" w:pos="0"/>
      </w:tabs>
      <w:adjustRightInd w:val="0"/>
      <w:snapToGrid w:val="0"/>
      <w:spacing w:before="50" w:beforeLines="50" w:after="20" w:afterLines="20" w:line="288" w:lineRule="auto"/>
      <w:ind w:left="0" w:firstLine="0"/>
      <w:outlineLvl w:val="3"/>
    </w:pPr>
    <w:rPr>
      <w:rFonts w:ascii="微软雅黑" w:hAnsi="微软雅黑" w:eastAsia="微软雅黑" w:cstheme="minorBidi"/>
      <w:b/>
      <w:bCs/>
      <w:sz w:val="28"/>
      <w:szCs w:val="28"/>
    </w:rPr>
  </w:style>
  <w:style w:type="paragraph" w:styleId="6">
    <w:name w:val="heading 5"/>
    <w:basedOn w:val="1"/>
    <w:next w:val="7"/>
    <w:unhideWhenUsed/>
    <w:qFormat/>
    <w:uiPriority w:val="9"/>
    <w:pPr>
      <w:numPr>
        <w:ilvl w:val="4"/>
        <w:numId w:val="1"/>
      </w:numPr>
      <w:tabs>
        <w:tab w:val="left" w:pos="312"/>
      </w:tabs>
      <w:spacing w:before="50" w:beforeLines="50" w:after="20" w:afterLines="20"/>
      <w:ind w:left="0" w:firstLine="0"/>
      <w:jc w:val="left"/>
      <w:outlineLvl w:val="4"/>
    </w:pPr>
    <w:rPr>
      <w:rFonts w:ascii="Arial" w:hAnsi="Arial"/>
      <w:b/>
      <w:sz w:val="24"/>
      <w:szCs w:val="22"/>
    </w:rPr>
  </w:style>
  <w:style w:type="paragraph" w:styleId="8">
    <w:name w:val="heading 6"/>
    <w:basedOn w:val="1"/>
    <w:next w:val="7"/>
    <w:unhideWhenUsed/>
    <w:qFormat/>
    <w:uiPriority w:val="0"/>
    <w:pPr>
      <w:numPr>
        <w:ilvl w:val="5"/>
        <w:numId w:val="1"/>
      </w:numPr>
      <w:tabs>
        <w:tab w:val="left" w:pos="0"/>
      </w:tabs>
      <w:spacing w:before="50" w:beforeLines="50" w:after="20" w:afterLines="20" w:line="288" w:lineRule="auto"/>
      <w:ind w:left="0" w:firstLine="0"/>
      <w:outlineLvl w:val="5"/>
    </w:pPr>
    <w:rPr>
      <w:rFonts w:ascii="微软雅黑" w:hAnsi="微软雅黑"/>
      <w:b/>
      <w:bCs/>
      <w:sz w:val="24"/>
    </w:rPr>
  </w:style>
  <w:style w:type="paragraph" w:styleId="9">
    <w:name w:val="heading 7"/>
    <w:basedOn w:val="1"/>
    <w:next w:val="7"/>
    <w:unhideWhenUsed/>
    <w:qFormat/>
    <w:uiPriority w:val="0"/>
    <w:pPr>
      <w:numPr>
        <w:ilvl w:val="6"/>
        <w:numId w:val="1"/>
      </w:numPr>
      <w:spacing w:before="50" w:beforeLines="50" w:after="20" w:afterLines="20" w:line="288" w:lineRule="auto"/>
      <w:ind w:left="0" w:firstLine="0"/>
      <w:jc w:val="left"/>
      <w:outlineLvl w:val="6"/>
    </w:pPr>
    <w:rPr>
      <w:rFonts w:ascii="微软雅黑" w:hAnsi="微软雅黑"/>
      <w:b/>
      <w:bCs/>
      <w:sz w:val="24"/>
    </w:rPr>
  </w:style>
  <w:style w:type="paragraph" w:styleId="10">
    <w:name w:val="heading 8"/>
    <w:basedOn w:val="1"/>
    <w:next w:val="7"/>
    <w:unhideWhenUsed/>
    <w:qFormat/>
    <w:uiPriority w:val="0"/>
    <w:pPr>
      <w:numPr>
        <w:ilvl w:val="7"/>
        <w:numId w:val="1"/>
      </w:numPr>
      <w:tabs>
        <w:tab w:val="left" w:pos="0"/>
      </w:tabs>
      <w:spacing w:before="50" w:beforeLines="50" w:after="20" w:afterLines="20" w:line="288" w:lineRule="auto"/>
      <w:ind w:left="0" w:firstLine="0"/>
      <w:outlineLvl w:val="7"/>
    </w:pPr>
    <w:rPr>
      <w:rFonts w:ascii="微软雅黑" w:hAnsi="微软雅黑" w:cstheme="majorBidi"/>
      <w:b/>
      <w:bCs/>
      <w:sz w:val="24"/>
    </w:rPr>
  </w:style>
  <w:style w:type="paragraph" w:styleId="11">
    <w:name w:val="heading 9"/>
    <w:basedOn w:val="1"/>
    <w:next w:val="7"/>
    <w:unhideWhenUsed/>
    <w:qFormat/>
    <w:uiPriority w:val="0"/>
    <w:pPr>
      <w:numPr>
        <w:ilvl w:val="8"/>
        <w:numId w:val="1"/>
      </w:numPr>
      <w:spacing w:before="50" w:beforeLines="50" w:after="20" w:afterLines="20" w:line="288" w:lineRule="auto"/>
      <w:ind w:left="0" w:firstLine="0"/>
      <w:outlineLvl w:val="8"/>
    </w:pPr>
    <w:rPr>
      <w:rFonts w:ascii="微软雅黑" w:hAnsi="微软雅黑" w:cstheme="majorBidi"/>
      <w:b/>
      <w:bCs/>
      <w:sz w:val="24"/>
      <w:szCs w:val="24"/>
    </w:rPr>
  </w:style>
  <w:style w:type="character" w:default="1" w:styleId="31">
    <w:name w:val="Default Paragraph Font"/>
    <w:semiHidden/>
    <w:qFormat/>
    <w:uiPriority w:val="0"/>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Body Text"/>
    <w:basedOn w:val="1"/>
    <w:qFormat/>
    <w:uiPriority w:val="0"/>
    <w:pPr>
      <w:spacing w:after="20" w:afterLines="20" w:afterAutospacing="0" w:line="288" w:lineRule="auto"/>
      <w:ind w:firstLine="0" w:firstLineChars="0"/>
    </w:pPr>
    <w:rPr>
      <w:rFonts w:ascii="微软雅黑" w:hAnsi="微软雅黑"/>
      <w:szCs w:val="21"/>
    </w:rPr>
  </w:style>
  <w:style w:type="paragraph" w:styleId="12">
    <w:name w:val="caption"/>
    <w:basedOn w:val="1"/>
    <w:next w:val="1"/>
    <w:unhideWhenUsed/>
    <w:qFormat/>
    <w:uiPriority w:val="0"/>
    <w:pPr>
      <w:ind w:firstLine="0" w:firstLineChars="0"/>
    </w:pPr>
    <w:rPr>
      <w:rFonts w:ascii="微软雅黑" w:hAnsi="微软雅黑" w:cs="Times New Roman"/>
      <w:sz w:val="20"/>
      <w:szCs w:val="20"/>
    </w:rPr>
  </w:style>
  <w:style w:type="paragraph" w:styleId="13">
    <w:name w:val="annotation text"/>
    <w:basedOn w:val="1"/>
    <w:link w:val="41"/>
    <w:qFormat/>
    <w:uiPriority w:val="0"/>
    <w:pPr>
      <w:jc w:val="lef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14">
    <w:name w:val="Salutation"/>
    <w:basedOn w:val="1"/>
    <w:next w:val="1"/>
    <w:qFormat/>
    <w:uiPriority w:val="0"/>
    <w:pPr>
      <w:ind w:firstLine="0" w:firstLineChars="0"/>
    </w:pPr>
    <w:rPr>
      <w:rFonts w:ascii="微软雅黑" w:hAnsi="微软雅黑"/>
      <w:szCs w:val="21"/>
    </w:rPr>
  </w:style>
  <w:style w:type="paragraph" w:styleId="15">
    <w:name w:val="toc 3"/>
    <w:basedOn w:val="1"/>
    <w:next w:val="1"/>
    <w:qFormat/>
    <w:uiPriority w:val="0"/>
    <w:pPr>
      <w:ind w:left="840" w:leftChars="400"/>
    </w:pPr>
  </w:style>
  <w:style w:type="paragraph" w:styleId="16">
    <w:name w:val="Date"/>
    <w:basedOn w:val="1"/>
    <w:next w:val="1"/>
    <w:qFormat/>
    <w:uiPriority w:val="0"/>
    <w:pPr>
      <w:ind w:firstLine="0" w:firstLineChars="0"/>
      <w:jc w:val="righ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17">
    <w:name w:val="endnote text"/>
    <w:basedOn w:val="1"/>
    <w:qFormat/>
    <w:uiPriority w:val="0"/>
    <w:pPr>
      <w:jc w:val="lef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18">
    <w:name w:val="Balloon Text"/>
    <w:basedOn w:val="1"/>
    <w:link w:val="42"/>
    <w:qFormat/>
    <w:uiPriority w:val="0"/>
    <w:rPr>
      <w:rFonts w:ascii="微软雅黑" w:hAnsi="微软雅黑"/>
      <w:sz w:val="18"/>
      <w:szCs w:val="18"/>
    </w:rPr>
  </w:style>
  <w:style w:type="paragraph" w:styleId="19">
    <w:name w:val="footer"/>
    <w:basedOn w:val="1"/>
    <w:link w:val="43"/>
    <w:qFormat/>
    <w:uiPriority w:val="0"/>
    <w:pPr>
      <w:tabs>
        <w:tab w:val="center" w:pos="4153"/>
        <w:tab w:val="right" w:pos="8306"/>
      </w:tabs>
      <w:ind w:firstLine="0" w:firstLineChars="0"/>
      <w:jc w:val="left"/>
    </w:pPr>
    <w:rPr>
      <w:rFonts w:ascii="微软雅黑" w:hAnsi="微软雅黑"/>
      <w:sz w:val="18"/>
      <w:szCs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ind w:firstLine="0" w:firstLineChars="0"/>
    </w:pPr>
    <w:rPr>
      <w:rFonts w:ascii="微软雅黑" w:hAnsi="微软雅黑"/>
      <w:sz w:val="18"/>
      <w:szCs w:val="18"/>
    </w:rPr>
  </w:style>
  <w:style w:type="paragraph" w:styleId="21">
    <w:name w:val="Signature"/>
    <w:basedOn w:val="1"/>
    <w:qFormat/>
    <w:uiPriority w:val="0"/>
    <w:pPr>
      <w:ind w:firstLine="0" w:firstLineChars="0"/>
      <w:jc w:val="right"/>
    </w:pPr>
    <w:rPr>
      <w:rFonts w:ascii="微软雅黑" w:hAnsi="微软雅黑"/>
      <w:color w:val="262626" w:themeColor="text1" w:themeTint="D9"/>
      <w:szCs w:val="21"/>
      <w14:textFill>
        <w14:solidFill>
          <w14:schemeClr w14:val="tx1">
            <w14:lumMod w14:val="85000"/>
            <w14:lumOff w14:val="15000"/>
          </w14:schemeClr>
        </w14:solidFill>
      </w14:textFill>
    </w:rPr>
  </w:style>
  <w:style w:type="paragraph" w:styleId="22">
    <w:name w:val="toc 1"/>
    <w:basedOn w:val="1"/>
    <w:next w:val="1"/>
    <w:qFormat/>
    <w:uiPriority w:val="0"/>
  </w:style>
  <w:style w:type="paragraph" w:styleId="23">
    <w:name w:val="Subtitle"/>
    <w:basedOn w:val="1"/>
    <w:next w:val="7"/>
    <w:qFormat/>
    <w:uiPriority w:val="0"/>
    <w:pPr>
      <w:spacing w:beforeLines="0" w:beforeAutospacing="0" w:after="100" w:afterLines="100" w:afterAutospacing="0" w:line="240" w:lineRule="auto"/>
      <w:jc w:val="center"/>
      <w:outlineLvl w:val="9"/>
    </w:pPr>
    <w:rPr>
      <w:rFonts w:ascii="微软雅黑" w:hAnsi="微软雅黑"/>
      <w:b/>
      <w:bCs/>
      <w:kern w:val="28"/>
      <w:sz w:val="36"/>
      <w:szCs w:val="36"/>
    </w:rPr>
  </w:style>
  <w:style w:type="paragraph" w:styleId="24">
    <w:name w:val="footnote text"/>
    <w:basedOn w:val="1"/>
    <w:qFormat/>
    <w:uiPriority w:val="0"/>
    <w:pPr>
      <w:jc w:val="left"/>
    </w:pPr>
    <w:rPr>
      <w:rFonts w:ascii="微软雅黑" w:hAnsi="微软雅黑" w:eastAsia="微软雅黑"/>
      <w:sz w:val="24"/>
    </w:rPr>
  </w:style>
  <w:style w:type="paragraph" w:styleId="25">
    <w:name w:val="toc 2"/>
    <w:basedOn w:val="1"/>
    <w:next w:val="1"/>
    <w:qFormat/>
    <w:uiPriority w:val="0"/>
    <w:pPr>
      <w:ind w:left="420" w:leftChars="200"/>
    </w:pPr>
  </w:style>
  <w:style w:type="paragraph" w:styleId="26">
    <w:name w:val="Normal (Web)"/>
    <w:basedOn w:val="1"/>
    <w:qFormat/>
    <w:uiPriority w:val="0"/>
    <w:rPr>
      <w:rFonts w:ascii="微软雅黑" w:hAnsi="微软雅黑"/>
      <w:sz w:val="24"/>
    </w:rPr>
  </w:style>
  <w:style w:type="paragraph" w:styleId="27">
    <w:name w:val="Title"/>
    <w:basedOn w:val="1"/>
    <w:qFormat/>
    <w:uiPriority w:val="10"/>
    <w:pPr>
      <w:spacing w:after="100" w:afterLines="100" w:line="288" w:lineRule="auto"/>
      <w:jc w:val="center"/>
      <w:outlineLvl w:val="9"/>
    </w:pPr>
    <w:rPr>
      <w:rFonts w:ascii="微软雅黑" w:hAnsi="微软雅黑"/>
      <w:b/>
      <w:bCs/>
      <w:sz w:val="48"/>
      <w:szCs w:val="48"/>
    </w:rPr>
  </w:style>
  <w:style w:type="paragraph" w:styleId="28">
    <w:name w:val="annotation subject"/>
    <w:basedOn w:val="13"/>
    <w:next w:val="13"/>
    <w:link w:val="44"/>
    <w:qFormat/>
    <w:uiPriority w:val="0"/>
    <w:rPr>
      <w:b/>
      <w:bCs/>
    </w:r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uiPriority w:val="22"/>
    <w:rPr>
      <w:rFonts w:ascii="微软雅黑" w:hAnsi="微软雅黑" w:eastAsia="微软雅黑"/>
      <w:b/>
      <w:color w:val="auto"/>
      <w:u w:val="single"/>
    </w:rPr>
  </w:style>
  <w:style w:type="character" w:styleId="33">
    <w:name w:val="endnote reference"/>
    <w:basedOn w:val="31"/>
    <w:qFormat/>
    <w:uiPriority w:val="0"/>
    <w:rPr>
      <w:rFonts w:ascii="微软雅黑" w:hAnsi="微软雅黑" w:eastAsia="微软雅黑"/>
      <w:color w:val="262626" w:themeColor="text1" w:themeTint="D9"/>
      <w:vertAlign w:val="superscript"/>
      <w14:textFill>
        <w14:solidFill>
          <w14:schemeClr w14:val="tx1">
            <w14:lumMod w14:val="85000"/>
            <w14:lumOff w14:val="15000"/>
          </w14:schemeClr>
        </w14:solidFill>
      </w14:textFill>
    </w:rPr>
  </w:style>
  <w:style w:type="character" w:styleId="34">
    <w:name w:val="page number"/>
    <w:qFormat/>
    <w:uiPriority w:val="0"/>
    <w:rPr>
      <w:rFonts w:ascii="微软雅黑" w:hAnsi="微软雅黑" w:eastAsia="微软雅黑" w:cs="Times New Roman"/>
      <w:color w:val="262626" w:themeColor="text1" w:themeTint="D9"/>
      <w:spacing w:val="-6"/>
      <w:kern w:val="2"/>
      <w:sz w:val="21"/>
      <w:szCs w:val="21"/>
      <w:lang w:val="en-US" w:eastAsia="zh-CN" w:bidi="ar-SA"/>
      <w14:textFill>
        <w14:solidFill>
          <w14:schemeClr w14:val="tx1">
            <w14:lumMod w14:val="85000"/>
            <w14:lumOff w14:val="15000"/>
          </w14:schemeClr>
        </w14:solidFill>
      </w14:textFill>
    </w:rPr>
  </w:style>
  <w:style w:type="character" w:styleId="35">
    <w:name w:val="FollowedHyperlink"/>
    <w:basedOn w:val="31"/>
    <w:qFormat/>
    <w:uiPriority w:val="0"/>
    <w:rPr>
      <w:rFonts w:ascii="微软雅黑" w:hAnsi="微软雅黑" w:eastAsia="微软雅黑" w:cs="Times New Roman"/>
      <w:color w:val="800080"/>
      <w:spacing w:val="-6"/>
      <w:kern w:val="2"/>
      <w:sz w:val="24"/>
      <w:szCs w:val="24"/>
      <w:u w:val="single"/>
      <w:lang w:val="en-US" w:eastAsia="zh-CN" w:bidi="ar-SA"/>
    </w:rPr>
  </w:style>
  <w:style w:type="character" w:styleId="36">
    <w:name w:val="Emphasis"/>
    <w:basedOn w:val="31"/>
    <w:qFormat/>
    <w:uiPriority w:val="20"/>
    <w:rPr>
      <w:rFonts w:ascii="Arial" w:hAnsi="Arial" w:eastAsia="微软雅黑"/>
      <w:b/>
      <w:bCs/>
      <w:i/>
      <w:color w:val="auto"/>
      <w:sz w:val="24"/>
      <w:szCs w:val="22"/>
    </w:rPr>
  </w:style>
  <w:style w:type="character" w:styleId="37">
    <w:name w:val="Hyperlink"/>
    <w:basedOn w:val="31"/>
    <w:qFormat/>
    <w:uiPriority w:val="0"/>
    <w:rPr>
      <w:rFonts w:ascii="微软雅黑" w:hAnsi="微软雅黑" w:eastAsia="微软雅黑" w:cs="Times New Roman"/>
      <w:caps/>
      <w:color w:val="0000FF"/>
      <w:spacing w:val="-6"/>
      <w:kern w:val="2"/>
      <w:sz w:val="24"/>
      <w:szCs w:val="24"/>
      <w:u w:val="single"/>
      <w:lang w:val="en-US" w:eastAsia="zh-CN" w:bidi="ar-SA"/>
    </w:rPr>
  </w:style>
  <w:style w:type="character" w:styleId="38">
    <w:name w:val="annotation reference"/>
    <w:basedOn w:val="31"/>
    <w:qFormat/>
    <w:uiPriority w:val="0"/>
    <w:rPr>
      <w:rFonts w:ascii="微软雅黑" w:hAnsi="微软雅黑" w:eastAsia="微软雅黑"/>
      <w:color w:val="262626" w:themeColor="text1" w:themeTint="D9"/>
      <w:sz w:val="21"/>
      <w:szCs w:val="21"/>
      <w14:textFill>
        <w14:solidFill>
          <w14:schemeClr w14:val="tx1">
            <w14:lumMod w14:val="85000"/>
            <w14:lumOff w14:val="15000"/>
          </w14:schemeClr>
        </w14:solidFill>
      </w14:textFill>
    </w:rPr>
  </w:style>
  <w:style w:type="character" w:styleId="39">
    <w:name w:val="footnote reference"/>
    <w:basedOn w:val="31"/>
    <w:qFormat/>
    <w:uiPriority w:val="0"/>
    <w:rPr>
      <w:rFonts w:ascii="微软雅黑" w:hAnsi="微软雅黑" w:eastAsia="微软雅黑"/>
      <w:color w:val="262626" w:themeColor="text1" w:themeTint="D9"/>
      <w:vertAlign w:val="superscript"/>
      <w14:textFill>
        <w14:solidFill>
          <w14:schemeClr w14:val="tx1">
            <w14:lumMod w14:val="85000"/>
            <w14:lumOff w14:val="15000"/>
          </w14:schemeClr>
        </w14:solidFill>
      </w14:textFill>
    </w:rPr>
  </w:style>
  <w:style w:type="character" w:customStyle="1" w:styleId="40">
    <w:name w:val="标题 1 字符"/>
    <w:link w:val="2"/>
    <w:qFormat/>
    <w:uiPriority w:val="0"/>
    <w:rPr>
      <w:rFonts w:ascii="微软雅黑" w:hAnsi="微软雅黑" w:eastAsia="微软雅黑" w:cstheme="minorBidi"/>
      <w:b/>
      <w:bCs/>
      <w:kern w:val="44"/>
      <w:sz w:val="36"/>
      <w:szCs w:val="36"/>
    </w:rPr>
  </w:style>
  <w:style w:type="character" w:customStyle="1" w:styleId="41">
    <w:name w:val="批注文字 字符"/>
    <w:link w:val="13"/>
    <w:qFormat/>
    <w:uiPriority w:val="0"/>
    <w:rPr>
      <w:rFonts w:ascii="微软雅黑" w:hAnsi="微软雅黑"/>
      <w:color w:val="262626" w:themeColor="text1" w:themeTint="D9"/>
      <w:szCs w:val="21"/>
      <w14:textFill>
        <w14:solidFill>
          <w14:schemeClr w14:val="tx1">
            <w14:lumMod w14:val="85000"/>
            <w14:lumOff w14:val="15000"/>
          </w14:schemeClr>
        </w14:solidFill>
      </w14:textFill>
    </w:rPr>
  </w:style>
  <w:style w:type="character" w:customStyle="1" w:styleId="42">
    <w:name w:val="批注框文本 字符"/>
    <w:link w:val="18"/>
    <w:qFormat/>
    <w:uiPriority w:val="0"/>
    <w:rPr>
      <w:rFonts w:ascii="微软雅黑" w:hAnsi="微软雅黑"/>
      <w:sz w:val="18"/>
      <w:szCs w:val="18"/>
    </w:rPr>
  </w:style>
  <w:style w:type="character" w:customStyle="1" w:styleId="43">
    <w:name w:val="页脚 字符"/>
    <w:link w:val="19"/>
    <w:qFormat/>
    <w:locked/>
    <w:uiPriority w:val="99"/>
    <w:rPr>
      <w:rFonts w:ascii="微软雅黑" w:hAnsi="微软雅黑"/>
      <w:sz w:val="18"/>
      <w:szCs w:val="18"/>
    </w:rPr>
  </w:style>
  <w:style w:type="character" w:customStyle="1" w:styleId="44">
    <w:name w:val="批注主题 字符"/>
    <w:link w:val="28"/>
    <w:qFormat/>
    <w:uiPriority w:val="0"/>
    <w:rPr>
      <w:b/>
      <w:bCs/>
    </w:rPr>
  </w:style>
  <w:style w:type="paragraph" w:customStyle="1" w:styleId="45">
    <w:name w:val="SOP body"/>
    <w:basedOn w:val="1"/>
    <w:qFormat/>
    <w:uiPriority w:val="0"/>
    <w:pPr>
      <w:widowControl/>
      <w:numPr>
        <w:ilvl w:val="0"/>
        <w:numId w:val="2"/>
      </w:numPr>
      <w:tabs>
        <w:tab w:val="left" w:pos="1208"/>
      </w:tabs>
      <w:spacing w:line="312" w:lineRule="auto"/>
      <w:ind w:left="567" w:hanging="567"/>
    </w:pPr>
    <w:rPr>
      <w:rFonts w:ascii="Arial" w:hAnsi="Arial" w:cs="Arial"/>
      <w:kern w:val="0"/>
      <w:sz w:val="20"/>
      <w:lang w:val="en-GB" w:eastAsia="en-US"/>
    </w:rPr>
  </w:style>
  <w:style w:type="paragraph" w:customStyle="1" w:styleId="46">
    <w:name w:val="SOP body 1"/>
    <w:basedOn w:val="45"/>
    <w:qFormat/>
    <w:uiPriority w:val="0"/>
    <w:pPr>
      <w:numPr>
        <w:ilvl w:val="2"/>
      </w:numPr>
      <w:tabs>
        <w:tab w:val="left" w:pos="1930"/>
      </w:tabs>
      <w:ind w:left="1418" w:firstLine="0"/>
    </w:pPr>
  </w:style>
  <w:style w:type="paragraph" w:customStyle="1" w:styleId="47">
    <w:name w:val="endorse"/>
    <w:basedOn w:val="1"/>
    <w:qFormat/>
    <w:uiPriority w:val="0"/>
    <w:pPr>
      <w:widowControl/>
      <w:tabs>
        <w:tab w:val="center" w:pos="4678"/>
        <w:tab w:val="right" w:pos="9356"/>
      </w:tabs>
      <w:spacing w:before="100"/>
      <w:jc w:val="left"/>
    </w:pPr>
    <w:rPr>
      <w:rFonts w:ascii="Arial" w:hAnsi="Arial"/>
      <w:b/>
      <w:kern w:val="0"/>
      <w:sz w:val="16"/>
      <w:szCs w:val="20"/>
      <w:lang w:val="en-AU" w:eastAsia="en-US"/>
    </w:rPr>
  </w:style>
  <w:style w:type="paragraph" w:customStyle="1" w:styleId="48">
    <w:name w:val="SOP 1"/>
    <w:basedOn w:val="1"/>
    <w:qFormat/>
    <w:uiPriority w:val="0"/>
    <w:pPr>
      <w:widowControl/>
      <w:tabs>
        <w:tab w:val="left" w:pos="318"/>
      </w:tabs>
      <w:spacing w:line="480" w:lineRule="auto"/>
      <w:jc w:val="center"/>
    </w:pPr>
    <w:rPr>
      <w:rFonts w:ascii="宋体" w:hAnsi="宋体" w:cs="Arial"/>
      <w:b/>
      <w:bCs/>
      <w:kern w:val="0"/>
      <w:sz w:val="24"/>
      <w:lang w:val="en-GB" w:eastAsia="en-US"/>
    </w:rPr>
  </w:style>
  <w:style w:type="paragraph" w:styleId="49">
    <w:name w:val="List Paragraph"/>
    <w:basedOn w:val="1"/>
    <w:link w:val="69"/>
    <w:qFormat/>
    <w:uiPriority w:val="34"/>
    <w:pPr>
      <w:widowControl/>
      <w:ind w:firstLine="420" w:firstLineChars="200"/>
      <w:jc w:val="left"/>
    </w:pPr>
    <w:rPr>
      <w:rFonts w:ascii="Arial" w:hAnsi="Arial"/>
      <w:kern w:val="0"/>
      <w:szCs w:val="21"/>
      <w:lang w:val="it-IT" w:eastAsia="it-IT"/>
    </w:rPr>
  </w:style>
  <w:style w:type="paragraph" w:customStyle="1" w:styleId="50">
    <w:name w:val="_Style 25"/>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51">
    <w:name w:val="Text"/>
    <w:basedOn w:val="1"/>
    <w:qFormat/>
    <w:uiPriority w:val="0"/>
    <w:pPr>
      <w:widowControl/>
      <w:spacing w:before="120"/>
    </w:pPr>
    <w:rPr>
      <w:rFonts w:ascii="Calibri" w:hAnsi="Calibri"/>
      <w:kern w:val="0"/>
      <w:sz w:val="24"/>
      <w:szCs w:val="20"/>
      <w:lang w:eastAsia="en-US"/>
    </w:rPr>
  </w:style>
  <w:style w:type="table" w:customStyle="1" w:styleId="52">
    <w:name w:val="网格型1"/>
    <w:basedOn w:val="29"/>
    <w:qFormat/>
    <w:uiPriority w:val="0"/>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3">
    <w:name w:val="网格型2"/>
    <w:basedOn w:val="29"/>
    <w:qFormat/>
    <w:uiPriority w:val="0"/>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54">
    <w:name w:val="Body indent"/>
    <w:basedOn w:val="1"/>
    <w:qFormat/>
    <w:uiPriority w:val="0"/>
    <w:pPr>
      <w:spacing w:after="120"/>
      <w:ind w:left="907"/>
    </w:pPr>
  </w:style>
  <w:style w:type="paragraph" w:customStyle="1" w:styleId="55">
    <w:name w:val="Table Paragraph"/>
    <w:basedOn w:val="1"/>
    <w:qFormat/>
    <w:uiPriority w:val="1"/>
  </w:style>
  <w:style w:type="paragraph" w:customStyle="1" w:styleId="56">
    <w:name w:val="WK Table"/>
    <w:qFormat/>
    <w:uiPriority w:val="0"/>
    <w:pPr>
      <w:autoSpaceDE w:val="0"/>
      <w:autoSpaceDN w:val="0"/>
      <w:adjustRightInd w:val="0"/>
      <w:spacing w:line="300" w:lineRule="auto"/>
    </w:pPr>
    <w:rPr>
      <w:rFonts w:ascii="Times New Roman" w:hAnsi="Times New Roman" w:eastAsia="宋体" w:cs="Times New Roman"/>
      <w:sz w:val="21"/>
      <w:szCs w:val="24"/>
      <w:lang w:val="en-IE" w:eastAsia="en-GB" w:bidi="ar-SA"/>
    </w:rPr>
  </w:style>
  <w:style w:type="paragraph" w:customStyle="1" w:styleId="57">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58">
    <w:name w:val="标题 2 字符"/>
    <w:link w:val="3"/>
    <w:qFormat/>
    <w:uiPriority w:val="0"/>
    <w:rPr>
      <w:rFonts w:ascii="微软雅黑" w:hAnsi="微软雅黑" w:eastAsia="微软雅黑" w:cstheme="minorBidi"/>
      <w:b/>
      <w:bCs/>
      <w:kern w:val="2"/>
      <w:sz w:val="32"/>
      <w:szCs w:val="32"/>
    </w:rPr>
  </w:style>
  <w:style w:type="character" w:customStyle="1" w:styleId="59">
    <w:name w:val="font21"/>
    <w:basedOn w:val="31"/>
    <w:qFormat/>
    <w:uiPriority w:val="0"/>
    <w:rPr>
      <w:rFonts w:hint="default" w:ascii="Times New Roman" w:hAnsi="Times New Roman" w:cs="Times New Roman"/>
      <w:color w:val="000000"/>
      <w:sz w:val="21"/>
      <w:szCs w:val="21"/>
      <w:u w:val="none"/>
    </w:rPr>
  </w:style>
  <w:style w:type="character" w:customStyle="1" w:styleId="60">
    <w:name w:val="font31"/>
    <w:basedOn w:val="31"/>
    <w:qFormat/>
    <w:uiPriority w:val="0"/>
    <w:rPr>
      <w:rFonts w:hint="eastAsia" w:ascii="宋体" w:hAnsi="宋体" w:eastAsia="宋体"/>
      <w:color w:val="000000"/>
      <w:sz w:val="21"/>
      <w:szCs w:val="21"/>
      <w:u w:val="none"/>
    </w:rPr>
  </w:style>
  <w:style w:type="character" w:customStyle="1" w:styleId="61">
    <w:name w:val="font11"/>
    <w:basedOn w:val="31"/>
    <w:qFormat/>
    <w:uiPriority w:val="0"/>
    <w:rPr>
      <w:rFonts w:hint="default" w:ascii="Times New Roman" w:hAnsi="Times New Roman" w:cs="Times New Roman"/>
      <w:color w:val="000000"/>
      <w:sz w:val="21"/>
      <w:szCs w:val="21"/>
      <w:u w:val="none"/>
    </w:rPr>
  </w:style>
  <w:style w:type="character" w:customStyle="1" w:styleId="62">
    <w:name w:val="font41"/>
    <w:basedOn w:val="31"/>
    <w:qFormat/>
    <w:uiPriority w:val="0"/>
    <w:rPr>
      <w:rFonts w:hint="default" w:ascii="Times New Roman" w:hAnsi="Times New Roman" w:cs="Times New Roman"/>
      <w:color w:val="333333"/>
      <w:sz w:val="21"/>
      <w:szCs w:val="21"/>
      <w:u w:val="none"/>
    </w:rPr>
  </w:style>
  <w:style w:type="character" w:customStyle="1" w:styleId="63">
    <w:name w:val="tpc_content1"/>
    <w:qFormat/>
    <w:uiPriority w:val="0"/>
    <w:rPr>
      <w:sz w:val="20"/>
      <w:szCs w:val="20"/>
    </w:rPr>
  </w:style>
  <w:style w:type="paragraph" w:customStyle="1" w:styleId="64">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65">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66">
    <w:name w:val="cf01"/>
    <w:basedOn w:val="31"/>
    <w:qFormat/>
    <w:uiPriority w:val="0"/>
    <w:rPr>
      <w:rFonts w:hint="eastAsia" w:ascii="Microsoft YaHei UI" w:hAnsi="Microsoft YaHei UI" w:eastAsia="Microsoft YaHei UI"/>
      <w:sz w:val="18"/>
      <w:szCs w:val="18"/>
    </w:rPr>
  </w:style>
  <w:style w:type="paragraph" w:customStyle="1" w:styleId="67">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68">
    <w:name w:val="修订5"/>
    <w:hidden/>
    <w:unhideWhenUsed/>
    <w:qFormat/>
    <w:uiPriority w:val="99"/>
    <w:rPr>
      <w:rFonts w:ascii="Times New Roman" w:hAnsi="Times New Roman" w:eastAsia="宋体" w:cs="Times New Roman"/>
      <w:kern w:val="2"/>
      <w:sz w:val="21"/>
      <w:szCs w:val="24"/>
      <w:lang w:val="en-US" w:eastAsia="zh-CN" w:bidi="ar-SA"/>
    </w:rPr>
  </w:style>
  <w:style w:type="character" w:customStyle="1" w:styleId="69">
    <w:name w:val="列表段落 字符"/>
    <w:link w:val="49"/>
    <w:qFormat/>
    <w:uiPriority w:val="34"/>
    <w:rPr>
      <w:rFonts w:ascii="Arial" w:hAnsi="Arial"/>
      <w:sz w:val="21"/>
      <w:szCs w:val="21"/>
      <w:lang w:val="it-IT" w:eastAsia="it-IT"/>
    </w:rPr>
  </w:style>
  <w:style w:type="paragraph" w:customStyle="1" w:styleId="70">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修订7"/>
    <w:hidden/>
    <w:unhideWhenUsed/>
    <w:qFormat/>
    <w:uiPriority w:val="99"/>
    <w:rPr>
      <w:rFonts w:ascii="Times New Roman" w:hAnsi="Times New Roman" w:eastAsia="宋体" w:cs="Times New Roman"/>
      <w:kern w:val="2"/>
      <w:sz w:val="21"/>
      <w:szCs w:val="24"/>
      <w:lang w:val="en-US" w:eastAsia="zh-CN" w:bidi="ar-SA"/>
    </w:rPr>
  </w:style>
  <w:style w:type="paragraph" w:customStyle="1" w:styleId="72">
    <w:name w:val="修订8"/>
    <w:hidden/>
    <w:unhideWhenUsed/>
    <w:qFormat/>
    <w:uiPriority w:val="99"/>
    <w:rPr>
      <w:rFonts w:ascii="Times New Roman" w:hAnsi="Times New Roman" w:eastAsia="宋体" w:cs="Times New Roman"/>
      <w:kern w:val="2"/>
      <w:sz w:val="21"/>
      <w:szCs w:val="24"/>
      <w:lang w:val="en-US" w:eastAsia="zh-CN" w:bidi="ar-SA"/>
    </w:rPr>
  </w:style>
  <w:style w:type="paragraph" w:customStyle="1" w:styleId="73">
    <w:name w:val="修订9"/>
    <w:hidden/>
    <w:unhideWhenUsed/>
    <w:qFormat/>
    <w:uiPriority w:val="99"/>
    <w:rPr>
      <w:rFonts w:ascii="Times New Roman" w:hAnsi="Times New Roman" w:eastAsia="宋体" w:cs="Times New Roman"/>
      <w:kern w:val="2"/>
      <w:sz w:val="21"/>
      <w:szCs w:val="24"/>
      <w:lang w:val="en-US" w:eastAsia="zh-CN" w:bidi="ar-SA"/>
    </w:rPr>
  </w:style>
  <w:style w:type="paragraph" w:customStyle="1" w:styleId="74">
    <w:name w:val="修订10"/>
    <w:hidden/>
    <w:unhideWhenUsed/>
    <w:qFormat/>
    <w:uiPriority w:val="99"/>
    <w:rPr>
      <w:rFonts w:ascii="Times New Roman" w:hAnsi="Times New Roman" w:eastAsia="宋体" w:cs="Times New Roman"/>
      <w:kern w:val="2"/>
      <w:sz w:val="21"/>
      <w:szCs w:val="24"/>
      <w:lang w:val="en-US" w:eastAsia="zh-CN" w:bidi="ar-SA"/>
    </w:rPr>
  </w:style>
  <w:style w:type="paragraph" w:customStyle="1" w:styleId="75">
    <w:name w:val="修订11"/>
    <w:hidden/>
    <w:unhideWhenUsed/>
    <w:qFormat/>
    <w:uiPriority w:val="99"/>
    <w:rPr>
      <w:rFonts w:ascii="Times New Roman" w:hAnsi="Times New Roman" w:eastAsia="宋体" w:cs="Times New Roman"/>
      <w:kern w:val="2"/>
      <w:sz w:val="21"/>
      <w:szCs w:val="24"/>
      <w:lang w:val="en-US" w:eastAsia="zh-CN" w:bidi="ar-SA"/>
    </w:rPr>
  </w:style>
  <w:style w:type="paragraph" w:customStyle="1" w:styleId="76">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77">
    <w:name w:val="short_text"/>
    <w:qFormat/>
    <w:uiPriority w:val="0"/>
  </w:style>
  <w:style w:type="paragraph" w:customStyle="1" w:styleId="78">
    <w:name w:val="Table text"/>
    <w:basedOn w:val="1"/>
    <w:qFormat/>
    <w:uiPriority w:val="0"/>
    <w:pPr>
      <w:spacing w:before="120" w:after="120"/>
    </w:pPr>
    <w:rPr>
      <w:szCs w:val="20"/>
    </w:rPr>
  </w:style>
  <w:style w:type="paragraph" w:customStyle="1" w:styleId="79">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0">
    <w:name w:val="表格样式"/>
    <w:basedOn w:val="1"/>
    <w:qFormat/>
    <w:uiPriority w:val="0"/>
    <w:rPr>
      <w:szCs w:val="21"/>
    </w:rPr>
  </w:style>
  <w:style w:type="paragraph" w:customStyle="1" w:styleId="81">
    <w:name w:val="1二级标题"/>
    <w:basedOn w:val="3"/>
    <w:qFormat/>
    <w:uiPriority w:val="0"/>
    <w:pPr>
      <w:keepNext w:val="0"/>
      <w:keepLines w:val="0"/>
      <w:numPr>
        <w:ilvl w:val="1"/>
        <w:numId w:val="3"/>
      </w:numPr>
      <w:tabs>
        <w:tab w:val="left" w:pos="709"/>
        <w:tab w:val="clear" w:pos="0"/>
      </w:tabs>
      <w:snapToGrid w:val="0"/>
      <w:spacing w:line="360" w:lineRule="auto"/>
      <w:jc w:val="both"/>
    </w:pPr>
    <w:rPr>
      <w:rFonts w:ascii="Times New Roman" w:hAnsi="Times New Roman" w:cs="Times New Roman"/>
      <w:sz w:val="21"/>
    </w:rPr>
  </w:style>
  <w:style w:type="paragraph" w:customStyle="1" w:styleId="82">
    <w:name w:val="列出段落1"/>
    <w:basedOn w:val="1"/>
    <w:qFormat/>
    <w:uiPriority w:val="34"/>
    <w:pPr>
      <w:widowControl/>
      <w:ind w:firstLine="420" w:firstLineChars="200"/>
      <w:jc w:val="left"/>
    </w:pPr>
    <w:rPr>
      <w:rFonts w:ascii="Calibri" w:hAnsi="Calibri"/>
      <w:kern w:val="0"/>
      <w:sz w:val="24"/>
      <w:lang w:eastAsia="en-US"/>
    </w:rPr>
  </w:style>
  <w:style w:type="paragraph" w:customStyle="1" w:styleId="83">
    <w:name w:val="List Paragraph1"/>
    <w:basedOn w:val="1"/>
    <w:qFormat/>
    <w:uiPriority w:val="34"/>
    <w:pPr>
      <w:widowControl/>
      <w:ind w:firstLine="420" w:firstLineChars="200"/>
      <w:jc w:val="left"/>
    </w:pPr>
    <w:rPr>
      <w:rFonts w:ascii="Calibri" w:hAnsi="Calibri"/>
      <w:kern w:val="0"/>
      <w:sz w:val="24"/>
      <w:lang w:eastAsia="en-US"/>
    </w:rPr>
  </w:style>
  <w:style w:type="character" w:customStyle="1" w:styleId="84">
    <w:name w:val="font61"/>
    <w:basedOn w:val="31"/>
    <w:qFormat/>
    <w:uiPriority w:val="0"/>
    <w:rPr>
      <w:rFonts w:hint="default" w:ascii="Times New Roman" w:hAnsi="Times New Roman" w:cs="Times New Roman"/>
      <w:color w:val="000000"/>
      <w:sz w:val="20"/>
      <w:szCs w:val="20"/>
      <w:u w:val="none"/>
    </w:rPr>
  </w:style>
  <w:style w:type="paragraph" w:customStyle="1" w:styleId="85">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cs</Company>
  <Pages>28</Pages>
  <Words>427</Words>
  <Characters>519</Characters>
  <Lines>77</Lines>
  <Paragraphs>21</Paragraphs>
  <TotalTime>42</TotalTime>
  <ScaleCrop>false</ScaleCrop>
  <LinksUpToDate>false</LinksUpToDate>
  <CharactersWithSpaces>573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2023-10-24T06:48:00Z</dcterms:created>
  <dc:creator>yh</dc:creator>
  <cp:lastModifiedBy>MJ</cp:lastModifiedBy>
  <cp:lastPrinted>2020-06-02T02:30:00Z</cp:lastPrinted>
  <dcterms:modified xsi:type="dcterms:W3CDTF">2026-08-19T01:45:19Z</dcterms:modified>
  <dc:title>分发部门</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7AE22CDA008E4E85B8A8E82413AF639D_13</vt:lpwstr>
  </property>
  <property fmtid="{D5CDD505-2E9C-101B-9397-08002B2CF9AE}" pid="4" name="KSOTemplateDocerSaveRecord">
    <vt:lpwstr>eyJoZGlkIjoiNTU5NmRiYjIwZTQ1N2RmY2FmZWU5Yjk2MzY2YzZjODkiLCJ1c2VySWQiOiIyMTI3NjUxMTMifQ==</vt:lpwstr>
  </property>
</Properties>
</file>