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6DA5"/>
    <w:p w14:paraId="60B8DC29"/>
    <w:p w14:paraId="26A86886"/>
    <w:p w14:paraId="3B9ED79E">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190B03A7">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175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7AF024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79ECE7F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5AA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585B6BD">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2A8C9BC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2E87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051BC04">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1AF0E35F">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434F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1529C2DC">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4A3ECC7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1C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27563B1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17DE641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5E6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240456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77C87490">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515E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47171B7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41407EF9">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5CA9806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5DDC09E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A293435">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0E1294E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4F95FC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4CC4010">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DCBE80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40D7B02E">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65219C89">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5CB73A56">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29D4EBBB">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49ADDCE9">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7942C90">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4E2F983">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A719EE4">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F430D6D">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18E46ABA">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2EBEAED4">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279C12A">
      <w:pPr>
        <w:rPr>
          <w:rFonts w:ascii="Calibri" w:hAnsi="Calibri"/>
          <w:szCs w:val="22"/>
        </w:rPr>
      </w:pPr>
    </w:p>
    <w:p w14:paraId="2C71A2A0">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5E043E21">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7A15F652">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63131C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2ADBCB5">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5FF8C8D3">
            <w:pPr>
              <w:widowControl/>
              <w:jc w:val="left"/>
              <w:rPr>
                <w:rFonts w:hint="eastAsia" w:eastAsia="宋体"/>
                <w:sz w:val="30"/>
                <w:szCs w:val="30"/>
                <w:lang w:eastAsia="zh-CN"/>
              </w:rPr>
            </w:pPr>
            <w:r>
              <w:rPr>
                <w:rFonts w:hint="eastAsia"/>
                <w:sz w:val="30"/>
                <w:szCs w:val="30"/>
                <w:lang w:eastAsia="zh-CN"/>
              </w:rPr>
              <w:t>YTZXCG-2025-00031</w:t>
            </w:r>
          </w:p>
        </w:tc>
      </w:tr>
      <w:tr w14:paraId="10EC8A6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5FA8EC">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6589F3ED">
            <w:pPr>
              <w:widowControl/>
              <w:jc w:val="left"/>
              <w:rPr>
                <w:sz w:val="30"/>
                <w:szCs w:val="30"/>
              </w:rPr>
            </w:pPr>
            <w:r>
              <w:rPr>
                <w:rFonts w:hint="eastAsia"/>
                <w:sz w:val="30"/>
                <w:szCs w:val="30"/>
              </w:rPr>
              <w:t>2025年盐田区60周岁以上户籍老人意外伤害和意外医疗保险购买工作项目</w:t>
            </w:r>
          </w:p>
        </w:tc>
      </w:tr>
      <w:tr w14:paraId="4205E5A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FCF97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1C1779D7">
            <w:pPr>
              <w:widowControl/>
              <w:jc w:val="left"/>
              <w:rPr>
                <w:sz w:val="30"/>
                <w:szCs w:val="30"/>
              </w:rPr>
            </w:pPr>
            <w:r>
              <w:rPr>
                <w:rFonts w:ascii="宋体" w:hAnsi="宋体" w:cs="宋体"/>
                <w:kern w:val="0"/>
                <w:sz w:val="30"/>
                <w:szCs w:val="30"/>
                <w:lang w:bidi="ar"/>
              </w:rPr>
              <w:t>A</w:t>
            </w:r>
          </w:p>
        </w:tc>
      </w:tr>
      <w:tr w14:paraId="53E6A7F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993B416">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25B40814">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2AEA2E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16773E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51DCC56F">
            <w:pPr>
              <w:widowControl/>
              <w:jc w:val="left"/>
              <w:rPr>
                <w:rFonts w:hint="eastAsia" w:eastAsia="宋体"/>
                <w:sz w:val="30"/>
                <w:szCs w:val="30"/>
                <w:lang w:eastAsia="zh-CN"/>
              </w:rPr>
            </w:pPr>
            <w:r>
              <w:rPr>
                <w:rFonts w:hint="eastAsia" w:ascii="宋体" w:hAnsi="宋体" w:cs="宋体"/>
                <w:kern w:val="0"/>
                <w:sz w:val="30"/>
                <w:szCs w:val="30"/>
                <w:lang w:eastAsia="zh-CN" w:bidi="ar"/>
              </w:rPr>
              <w:t>公开招标（公开征集）</w:t>
            </w:r>
          </w:p>
        </w:tc>
      </w:tr>
      <w:tr w14:paraId="602FE32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E32D1A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3C1A6CA">
            <w:pPr>
              <w:widowControl/>
              <w:jc w:val="left"/>
              <w:rPr>
                <w:sz w:val="30"/>
                <w:szCs w:val="30"/>
              </w:rPr>
            </w:pPr>
            <w:r>
              <w:rPr>
                <w:rFonts w:ascii="宋体" w:hAnsi="宋体" w:cs="宋体"/>
                <w:kern w:val="0"/>
                <w:sz w:val="30"/>
                <w:szCs w:val="30"/>
                <w:lang w:bidi="ar"/>
              </w:rPr>
              <w:t>人民币</w:t>
            </w:r>
          </w:p>
        </w:tc>
      </w:tr>
      <w:tr w14:paraId="549D1EC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81F40BD">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2CBCA90E">
            <w:pPr>
              <w:widowControl/>
              <w:jc w:val="left"/>
              <w:rPr>
                <w:sz w:val="30"/>
                <w:szCs w:val="30"/>
              </w:rPr>
            </w:pPr>
            <w:r>
              <w:rPr>
                <w:rFonts w:ascii="宋体" w:hAnsi="宋体" w:cs="宋体"/>
                <w:kern w:val="0"/>
                <w:sz w:val="30"/>
                <w:szCs w:val="30"/>
                <w:lang w:bidi="ar"/>
              </w:rPr>
              <w:t>综合评分法</w:t>
            </w:r>
          </w:p>
        </w:tc>
      </w:tr>
    </w:tbl>
    <w:p w14:paraId="0B3DD859"/>
    <w:p w14:paraId="32379448">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3F3D53F1">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FEEE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D3FC60C">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91A6788">
            <w:pPr>
              <w:jc w:val="center"/>
              <w:rPr>
                <w:rFonts w:ascii="宋体" w:hAnsi="宋体" w:cs="宋体"/>
                <w:sz w:val="28"/>
                <w:szCs w:val="28"/>
              </w:rPr>
            </w:pPr>
            <w:r>
              <w:rPr>
                <w:sz w:val="28"/>
                <w:szCs w:val="28"/>
              </w:rPr>
              <w:t>内容</w:t>
            </w:r>
          </w:p>
        </w:tc>
      </w:tr>
      <w:tr w14:paraId="5CF8A8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4FEC12">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67BAC">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17D8C9DF">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429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EBFB7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D43AEA">
            <w:pPr>
              <w:jc w:val="center"/>
              <w:rPr>
                <w:rFonts w:ascii="宋体" w:hAnsi="宋体" w:cs="宋体"/>
                <w:sz w:val="28"/>
                <w:szCs w:val="28"/>
              </w:rPr>
            </w:pPr>
            <w:r>
              <w:rPr>
                <w:sz w:val="28"/>
                <w:szCs w:val="28"/>
              </w:rPr>
              <w:t>内容</w:t>
            </w:r>
          </w:p>
        </w:tc>
      </w:tr>
      <w:tr w14:paraId="1B3AA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93ACA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D42F033">
            <w:pPr>
              <w:rPr>
                <w:rFonts w:ascii="宋体" w:hAnsi="宋体" w:cs="宋体"/>
                <w:szCs w:val="21"/>
              </w:rPr>
            </w:pPr>
            <w:r>
              <w:rPr>
                <w:rFonts w:hint="eastAsia"/>
              </w:rPr>
              <w:t>不得将一个包的内容拆开投标；</w:t>
            </w:r>
          </w:p>
        </w:tc>
      </w:tr>
      <w:tr w14:paraId="37209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B6CF99">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2D64050E">
            <w:pPr>
              <w:rPr>
                <w:rFonts w:ascii="宋体" w:hAnsi="宋体" w:cs="宋体"/>
                <w:szCs w:val="21"/>
              </w:rPr>
            </w:pPr>
            <w:r>
              <w:rPr>
                <w:rFonts w:hint="eastAsia"/>
              </w:rPr>
              <w:t>对同一项目投标时，不得提供两套以上的投标方案（招标文件另有规定的除外）；</w:t>
            </w:r>
          </w:p>
        </w:tc>
      </w:tr>
      <w:tr w14:paraId="4BFCB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58201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62B9F4B">
            <w:pPr>
              <w:rPr>
                <w:rFonts w:ascii="宋体" w:hAnsi="宋体" w:cs="宋体"/>
                <w:szCs w:val="21"/>
              </w:rPr>
            </w:pPr>
            <w:r>
              <w:rPr>
                <w:rFonts w:hint="eastAsia"/>
              </w:rPr>
              <w:t>分项报价或投标总价不得高于相应预算金额（或设定的预算金额下的最高限价）；</w:t>
            </w:r>
          </w:p>
        </w:tc>
      </w:tr>
      <w:tr w14:paraId="07A49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650F7C">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653C90D4">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216B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34752A">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8F09FD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20BB4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8FBAAF">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95E31E1">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B1A34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0A4045D">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198BFD7C">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5D753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F7E7D5">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FAF71BF">
            <w:pPr>
              <w:rPr>
                <w:rFonts w:ascii="宋体" w:hAnsi="宋体" w:cs="宋体"/>
                <w:szCs w:val="21"/>
              </w:rPr>
            </w:pPr>
            <w:r>
              <w:rPr>
                <w:rFonts w:hint="eastAsia"/>
              </w:rPr>
              <w:t>投标文件存在列放位置错误，导致属于信息公开情形的没有被公开；</w:t>
            </w:r>
          </w:p>
        </w:tc>
      </w:tr>
      <w:tr w14:paraId="2E294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5A711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D907D5D">
            <w:pPr>
              <w:rPr>
                <w:rFonts w:ascii="宋体" w:hAnsi="宋体" w:cs="宋体"/>
                <w:szCs w:val="21"/>
              </w:rPr>
            </w:pPr>
            <w:r>
              <w:rPr>
                <w:rFonts w:hint="eastAsia"/>
              </w:rPr>
              <w:t>投标文件电子文档不得带病毒；</w:t>
            </w:r>
          </w:p>
        </w:tc>
      </w:tr>
      <w:tr w14:paraId="6B98B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F163DF">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BB12619">
            <w:pPr>
              <w:rPr>
                <w:rFonts w:ascii="宋体" w:hAnsi="宋体" w:cs="宋体"/>
                <w:szCs w:val="21"/>
              </w:rPr>
            </w:pPr>
            <w:r>
              <w:rPr>
                <w:rFonts w:hint="eastAsia"/>
              </w:rPr>
              <w:t>投标文件用不属于本公司的电子密钥或电子营业执照进行加密的；</w:t>
            </w:r>
          </w:p>
        </w:tc>
      </w:tr>
      <w:tr w14:paraId="50157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1F2777">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26FAAFD4">
            <w:pPr>
              <w:widowControl/>
              <w:jc w:val="left"/>
              <w:textAlignment w:val="top"/>
            </w:pPr>
            <w:r>
              <w:rPr>
                <w:rFonts w:hint="eastAsia"/>
              </w:rPr>
              <w:t>不同投标供应商投标文件“文件制作机器码”一致；</w:t>
            </w:r>
          </w:p>
        </w:tc>
      </w:tr>
      <w:tr w14:paraId="058F6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0F127F">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1B21D809">
            <w:pPr>
              <w:widowControl/>
              <w:jc w:val="left"/>
              <w:textAlignment w:val="top"/>
            </w:pPr>
            <w:r>
              <w:rPr>
                <w:rFonts w:hint="eastAsia"/>
              </w:rPr>
              <w:t>不同投标供应商投标文件“文件创建标识码”一致；</w:t>
            </w:r>
          </w:p>
        </w:tc>
      </w:tr>
      <w:tr w14:paraId="0792D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635541">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462ED062">
            <w:pPr>
              <w:rPr>
                <w:rFonts w:ascii="宋体" w:hAnsi="宋体" w:cs="宋体"/>
                <w:szCs w:val="21"/>
              </w:rPr>
            </w:pPr>
            <w:r>
              <w:rPr>
                <w:rFonts w:hint="eastAsia"/>
              </w:rPr>
              <w:t>法律、法规、规章、规范性文件规定的其他情形。</w:t>
            </w:r>
          </w:p>
        </w:tc>
      </w:tr>
    </w:tbl>
    <w:p w14:paraId="0B805345"/>
    <w:p w14:paraId="504152D3">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34A6658F">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247D6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803A85D">
            <w:pPr>
              <w:widowControl/>
              <w:jc w:val="left"/>
              <w:rPr>
                <w:b/>
                <w:bCs/>
                <w:sz w:val="24"/>
              </w:rPr>
            </w:pPr>
            <w:r>
              <w:rPr>
                <w:b/>
                <w:bCs/>
              </w:rPr>
              <w:t>评标方法：综合评分法</w:t>
            </w:r>
          </w:p>
        </w:tc>
        <w:tc>
          <w:tcPr>
            <w:tcW w:w="240" w:type="dxa"/>
            <w:shd w:val="clear" w:color="auto" w:fill="auto"/>
            <w:vAlign w:val="center"/>
          </w:tcPr>
          <w:p w14:paraId="1CB398E2">
            <w:pPr>
              <w:jc w:val="right"/>
              <w:rPr>
                <w:rFonts w:ascii="宋体"/>
                <w:b/>
                <w:bCs/>
                <w:sz w:val="24"/>
              </w:rPr>
            </w:pPr>
          </w:p>
        </w:tc>
      </w:tr>
      <w:tr w14:paraId="60079B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687ACCAC">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26CC3AEC">
            <w:pPr>
              <w:ind w:firstLine="420"/>
              <w:rPr>
                <w:szCs w:val="21"/>
              </w:rPr>
            </w:pPr>
            <w:r>
              <w:rPr>
                <w:szCs w:val="21"/>
              </w:rPr>
              <w:t>价格分计算方法：</w:t>
            </w:r>
          </w:p>
          <w:p w14:paraId="621C14AF">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07025DA">
            <w:pPr>
              <w:widowControl/>
              <w:ind w:left="420"/>
              <w:jc w:val="left"/>
              <w:rPr>
                <w:szCs w:val="21"/>
              </w:rPr>
            </w:pPr>
            <w:r>
              <w:rPr>
                <w:szCs w:val="21"/>
              </w:rPr>
              <w:t xml:space="preserve">投标报价得分=(评标基准价／投标报价)×100 </w:t>
            </w:r>
          </w:p>
          <w:p w14:paraId="0A1502C8">
            <w:pPr>
              <w:widowControl/>
              <w:ind w:left="420"/>
              <w:jc w:val="left"/>
              <w:rPr>
                <w:szCs w:val="21"/>
              </w:rPr>
            </w:pPr>
            <w:r>
              <w:rPr>
                <w:szCs w:val="21"/>
              </w:rPr>
              <w:t xml:space="preserve">评标总得分＝F1×A1＋F2×A2＋……＋Fn×An </w:t>
            </w:r>
          </w:p>
          <w:p w14:paraId="13CCA908">
            <w:pPr>
              <w:widowControl/>
              <w:ind w:left="420"/>
              <w:jc w:val="left"/>
              <w:rPr>
                <w:szCs w:val="21"/>
              </w:rPr>
            </w:pPr>
            <w:r>
              <w:rPr>
                <w:szCs w:val="21"/>
              </w:rPr>
              <w:t xml:space="preserve">F1、F2……Fn分别为各项评审因素的得分； </w:t>
            </w:r>
          </w:p>
          <w:p w14:paraId="4AD724AC">
            <w:pPr>
              <w:widowControl/>
              <w:ind w:left="420"/>
              <w:jc w:val="left"/>
              <w:rPr>
                <w:szCs w:val="21"/>
              </w:rPr>
            </w:pPr>
            <w:r>
              <w:rPr>
                <w:szCs w:val="21"/>
              </w:rPr>
              <w:t xml:space="preserve">A1、A2、……An 分别为各项评审因素所占的权重(A1＋A2＋……＋An＝1)。 </w:t>
            </w:r>
          </w:p>
          <w:p w14:paraId="5969878D">
            <w:pPr>
              <w:widowControl/>
              <w:ind w:left="420"/>
              <w:jc w:val="left"/>
              <w:rPr>
                <w:szCs w:val="21"/>
              </w:rPr>
            </w:pPr>
            <w:r>
              <w:rPr>
                <w:szCs w:val="21"/>
              </w:rPr>
              <w:t>评标过程中，不得去掉报价中的最高报价和最低报价。</w:t>
            </w:r>
          </w:p>
          <w:p w14:paraId="01DDC193">
            <w:pPr>
              <w:widowControl/>
              <w:ind w:left="420"/>
              <w:jc w:val="left"/>
              <w:rPr>
                <w:szCs w:val="21"/>
              </w:rPr>
            </w:pPr>
            <w:r>
              <w:rPr>
                <w:rFonts w:hint="eastAsia"/>
                <w:szCs w:val="21"/>
              </w:rPr>
              <w:t>因落实政府采购政策进行价格调整的，以调整后的价格计算评标基准价和投标报价。</w:t>
            </w:r>
          </w:p>
          <w:p w14:paraId="26DE8F1D">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56D88F6F">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930"/>
        <w:gridCol w:w="960"/>
        <w:gridCol w:w="5822"/>
      </w:tblGrid>
      <w:tr w14:paraId="7BC4CC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5DF579B9">
            <w:pPr>
              <w:wordWrap w:val="0"/>
              <w:jc w:val="center"/>
              <w:rPr>
                <w:rFonts w:ascii="宋体" w:hAnsi="宋体" w:cs="宋体"/>
                <w:b/>
                <w:bCs/>
                <w:color w:val="auto"/>
                <w:sz w:val="24"/>
                <w:highlight w:val="none"/>
              </w:rPr>
            </w:pPr>
            <w:r>
              <w:rPr>
                <w:b/>
                <w:bCs/>
                <w:color w:val="auto"/>
                <w:highlight w:val="none"/>
              </w:rPr>
              <w:t>序号</w:t>
            </w:r>
          </w:p>
        </w:tc>
        <w:tc>
          <w:tcPr>
            <w:tcW w:w="2570"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20A385B8">
            <w:pPr>
              <w:wordWrap w:val="0"/>
              <w:jc w:val="center"/>
              <w:rPr>
                <w:rFonts w:ascii="宋体" w:hAnsi="宋体" w:cs="宋体"/>
                <w:b/>
                <w:bCs/>
                <w:color w:val="auto"/>
                <w:sz w:val="24"/>
                <w:highlight w:val="none"/>
              </w:rPr>
            </w:pPr>
            <w:r>
              <w:rPr>
                <w:b/>
                <w:bCs/>
                <w:color w:val="auto"/>
                <w:highlight w:val="none"/>
              </w:rPr>
              <w:t>评分项</w:t>
            </w:r>
          </w:p>
        </w:tc>
        <w:tc>
          <w:tcPr>
            <w:tcW w:w="5822"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27D98AEE">
            <w:pPr>
              <w:wordWrap w:val="0"/>
              <w:jc w:val="center"/>
              <w:rPr>
                <w:rFonts w:ascii="宋体" w:hAnsi="宋体" w:cs="宋体"/>
                <w:b/>
                <w:bCs/>
                <w:color w:val="auto"/>
                <w:sz w:val="24"/>
                <w:highlight w:val="none"/>
              </w:rPr>
            </w:pPr>
            <w:r>
              <w:rPr>
                <w:b/>
                <w:bCs/>
                <w:color w:val="auto"/>
                <w:highlight w:val="none"/>
              </w:rPr>
              <w:t>权重(%)</w:t>
            </w:r>
          </w:p>
        </w:tc>
      </w:tr>
      <w:tr w14:paraId="1C865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noWrap w:val="0"/>
            <w:vAlign w:val="top"/>
          </w:tcPr>
          <w:p w14:paraId="22B2D342">
            <w:pPr>
              <w:wordWrap w:val="0"/>
              <w:jc w:val="center"/>
              <w:rPr>
                <w:rFonts w:ascii="宋体" w:hAnsi="宋体" w:cs="宋体"/>
                <w:b/>
                <w:bCs/>
                <w:color w:val="auto"/>
                <w:sz w:val="24"/>
                <w:highlight w:val="none"/>
              </w:rPr>
            </w:pPr>
            <w:r>
              <w:rPr>
                <w:b/>
                <w:bCs/>
                <w:color w:val="auto"/>
                <w:highlight w:val="none"/>
              </w:rPr>
              <w:t>1</w:t>
            </w:r>
          </w:p>
        </w:tc>
        <w:tc>
          <w:tcPr>
            <w:tcW w:w="2570" w:type="dxa"/>
            <w:gridSpan w:val="3"/>
            <w:tcBorders>
              <w:top w:val="single" w:color="000000" w:sz="8" w:space="0"/>
              <w:left w:val="single" w:color="000000" w:sz="8" w:space="0"/>
              <w:bottom w:val="single" w:color="000000" w:sz="8" w:space="0"/>
              <w:right w:val="single" w:color="000000" w:sz="8" w:space="0"/>
            </w:tcBorders>
            <w:noWrap w:val="0"/>
            <w:vAlign w:val="top"/>
          </w:tcPr>
          <w:p w14:paraId="760EDECF">
            <w:pPr>
              <w:wordWrap w:val="0"/>
              <w:jc w:val="center"/>
              <w:rPr>
                <w:rFonts w:ascii="宋体" w:hAnsi="宋体" w:cs="宋体"/>
                <w:b/>
                <w:bCs/>
                <w:color w:val="auto"/>
                <w:sz w:val="24"/>
                <w:highlight w:val="none"/>
              </w:rPr>
            </w:pPr>
            <w:r>
              <w:rPr>
                <w:b/>
                <w:bCs/>
                <w:color w:val="auto"/>
                <w:highlight w:val="none"/>
              </w:rPr>
              <w:t>价格</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3F64DBC1">
            <w:pPr>
              <w:wordWrap w:val="0"/>
              <w:jc w:val="center"/>
              <w:rPr>
                <w:rFonts w:hint="default" w:ascii="宋体" w:hAnsi="宋体" w:eastAsia="宋体" w:cs="宋体"/>
                <w:b/>
                <w:bCs/>
                <w:color w:val="auto"/>
                <w:sz w:val="24"/>
                <w:highlight w:val="none"/>
                <w:lang w:val="en" w:eastAsia="zh-CN"/>
              </w:rPr>
            </w:pPr>
            <w:r>
              <w:rPr>
                <w:rFonts w:hint="default" w:ascii="宋体" w:hAnsi="宋体" w:eastAsia="宋体" w:cs="宋体"/>
                <w:b/>
                <w:bCs/>
                <w:color w:val="auto"/>
                <w:sz w:val="24"/>
                <w:highlight w:val="none"/>
                <w:lang w:val="en"/>
              </w:rPr>
              <w:t>10</w:t>
            </w:r>
          </w:p>
        </w:tc>
      </w:tr>
      <w:tr w14:paraId="5F1EB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0027BAF3">
            <w:pPr>
              <w:wordWrap w:val="0"/>
              <w:jc w:val="center"/>
              <w:rPr>
                <w:rFonts w:ascii="宋体" w:hAnsi="宋体" w:cs="宋体"/>
                <w:b/>
                <w:bCs/>
                <w:color w:val="auto"/>
                <w:sz w:val="24"/>
                <w:highlight w:val="none"/>
              </w:rPr>
            </w:pPr>
            <w:r>
              <w:rPr>
                <w:b/>
                <w:bCs/>
                <w:color w:val="auto"/>
                <w:highlight w:val="none"/>
              </w:rPr>
              <w:t>2</w:t>
            </w:r>
          </w:p>
        </w:tc>
        <w:tc>
          <w:tcPr>
            <w:tcW w:w="2570" w:type="dxa"/>
            <w:gridSpan w:val="3"/>
            <w:tcBorders>
              <w:top w:val="single" w:color="000000" w:sz="8" w:space="0"/>
              <w:left w:val="single" w:color="000000" w:sz="8" w:space="0"/>
              <w:bottom w:val="single" w:color="000000" w:sz="8" w:space="0"/>
              <w:right w:val="single" w:color="000000" w:sz="8" w:space="0"/>
            </w:tcBorders>
            <w:noWrap w:val="0"/>
            <w:vAlign w:val="top"/>
          </w:tcPr>
          <w:p w14:paraId="5ACC4B8C">
            <w:pPr>
              <w:wordWrap w:val="0"/>
              <w:jc w:val="center"/>
              <w:rPr>
                <w:rFonts w:ascii="宋体" w:hAnsi="宋体" w:cs="宋体"/>
                <w:b/>
                <w:bCs/>
                <w:color w:val="auto"/>
                <w:sz w:val="24"/>
                <w:highlight w:val="none"/>
              </w:rPr>
            </w:pPr>
            <w:r>
              <w:rPr>
                <w:b/>
                <w:bCs/>
                <w:color w:val="auto"/>
                <w:highlight w:val="none"/>
              </w:rPr>
              <w:t>技术</w:t>
            </w:r>
            <w:r>
              <w:rPr>
                <w:rFonts w:hint="eastAsia"/>
                <w:b/>
                <w:bCs/>
                <w:color w:val="auto"/>
                <w:highlight w:val="none"/>
              </w:rPr>
              <w:t>部分</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514C8225">
            <w:pPr>
              <w:wordWrap w:val="0"/>
              <w:jc w:val="center"/>
              <w:rPr>
                <w:rFonts w:hint="default" w:ascii="宋体" w:hAnsi="宋体" w:cs="宋体"/>
                <w:b/>
                <w:bCs/>
                <w:color w:val="auto"/>
                <w:sz w:val="24"/>
                <w:highlight w:val="none"/>
                <w:lang w:val="en"/>
              </w:rPr>
            </w:pPr>
            <w:r>
              <w:rPr>
                <w:rFonts w:hint="default" w:ascii="宋体" w:hAnsi="宋体" w:cs="宋体"/>
                <w:b/>
                <w:bCs/>
                <w:color w:val="auto"/>
                <w:sz w:val="24"/>
                <w:highlight w:val="none"/>
                <w:lang w:val="en"/>
              </w:rPr>
              <w:t>6</w:t>
            </w:r>
            <w:r>
              <w:rPr>
                <w:rFonts w:hint="eastAsia" w:ascii="宋体" w:hAnsi="宋体" w:cs="宋体"/>
                <w:b/>
                <w:bCs/>
                <w:color w:val="auto"/>
                <w:sz w:val="24"/>
                <w:highlight w:val="none"/>
                <w:lang w:val="en-US" w:eastAsia="zh-CN"/>
              </w:rPr>
              <w:t>0</w:t>
            </w:r>
          </w:p>
        </w:tc>
      </w:tr>
      <w:tr w14:paraId="69EFF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861D658">
            <w:pPr>
              <w:rPr>
                <w:rFonts w:ascii="宋体" w:hAnsi="宋体" w:cs="宋体"/>
                <w:b/>
                <w:bCs/>
                <w:color w:val="auto"/>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B256091">
            <w:pPr>
              <w:wordWrap w:val="0"/>
              <w:jc w:val="center"/>
              <w:rPr>
                <w:rFonts w:ascii="宋体" w:hAnsi="宋体" w:cs="宋体"/>
                <w:color w:val="auto"/>
                <w:szCs w:val="21"/>
                <w:highlight w:val="none"/>
              </w:rPr>
            </w:pPr>
            <w:r>
              <w:rPr>
                <w:color w:val="auto"/>
                <w:szCs w:val="21"/>
                <w:highlight w:val="none"/>
              </w:rPr>
              <w:t>序号</w:t>
            </w:r>
          </w:p>
        </w:tc>
        <w:tc>
          <w:tcPr>
            <w:tcW w:w="9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0FEFD7C">
            <w:pPr>
              <w:wordWrap w:val="0"/>
              <w:jc w:val="center"/>
              <w:rPr>
                <w:rFonts w:ascii="宋体" w:hAnsi="宋体" w:cs="宋体"/>
                <w:color w:val="auto"/>
                <w:szCs w:val="21"/>
                <w:highlight w:val="none"/>
              </w:rPr>
            </w:pPr>
            <w:r>
              <w:rPr>
                <w:color w:val="auto"/>
                <w:szCs w:val="21"/>
                <w:highlight w:val="none"/>
              </w:rPr>
              <w:t>评分因素</w:t>
            </w:r>
          </w:p>
        </w:tc>
        <w:tc>
          <w:tcPr>
            <w:tcW w:w="96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8F5D0CE">
            <w:pPr>
              <w:wordWrap w:val="0"/>
              <w:jc w:val="center"/>
              <w:rPr>
                <w:rFonts w:ascii="宋体" w:hAnsi="宋体" w:cs="宋体"/>
                <w:color w:val="auto"/>
                <w:szCs w:val="21"/>
                <w:highlight w:val="none"/>
              </w:rPr>
            </w:pPr>
            <w:r>
              <w:rPr>
                <w:color w:val="auto"/>
                <w:szCs w:val="21"/>
                <w:highlight w:val="none"/>
              </w:rPr>
              <w:t>权重(%)</w:t>
            </w:r>
          </w:p>
        </w:tc>
        <w:tc>
          <w:tcPr>
            <w:tcW w:w="582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4A62656">
            <w:pPr>
              <w:wordWrap w:val="0"/>
              <w:jc w:val="center"/>
              <w:rPr>
                <w:rFonts w:ascii="宋体" w:hAnsi="宋体" w:cs="宋体"/>
                <w:color w:val="auto"/>
                <w:szCs w:val="21"/>
                <w:highlight w:val="none"/>
              </w:rPr>
            </w:pPr>
            <w:r>
              <w:rPr>
                <w:color w:val="auto"/>
                <w:szCs w:val="21"/>
                <w:highlight w:val="none"/>
              </w:rPr>
              <w:t>评分准则</w:t>
            </w:r>
          </w:p>
        </w:tc>
      </w:tr>
      <w:tr w14:paraId="3280C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29A3F5">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18184B4">
            <w:pPr>
              <w:wordWrap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7AFEF1C0">
            <w:pPr>
              <w:wordWrap w:val="0"/>
              <w:adjustRightInd w:val="0"/>
              <w:snapToGrid w:val="0"/>
              <w:spacing w:line="32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理赔增值服务</w:t>
            </w:r>
            <w:r>
              <w:rPr>
                <w:rFonts w:hint="eastAsia" w:ascii="宋体" w:hAnsi="宋体" w:eastAsia="宋体" w:cs="宋体"/>
                <w:color w:val="auto"/>
                <w:sz w:val="21"/>
                <w:szCs w:val="21"/>
                <w:highlight w:val="none"/>
                <w:lang w:val="en-US" w:eastAsia="zh-CN"/>
              </w:rPr>
              <w:t>方案</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1686E5C">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8</w:t>
            </w:r>
          </w:p>
        </w:tc>
        <w:tc>
          <w:tcPr>
            <w:tcW w:w="5822" w:type="dxa"/>
            <w:tcBorders>
              <w:top w:val="single" w:color="000000" w:sz="8" w:space="0"/>
              <w:left w:val="single" w:color="000000" w:sz="8" w:space="0"/>
              <w:bottom w:val="single" w:color="000000" w:sz="8" w:space="0"/>
              <w:right w:val="single" w:color="000000" w:sz="8" w:space="0"/>
            </w:tcBorders>
            <w:noWrap w:val="0"/>
            <w:vAlign w:val="center"/>
          </w:tcPr>
          <w:p w14:paraId="7F34C9CF">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30DC0240">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在满足</w:t>
            </w:r>
            <w:r>
              <w:rPr>
                <w:rFonts w:hint="eastAsia" w:ascii="宋体" w:hAnsi="宋体" w:cs="宋体"/>
                <w:color w:val="auto"/>
                <w:sz w:val="21"/>
                <w:szCs w:val="21"/>
                <w:highlight w:val="none"/>
                <w:lang w:val="en-US" w:eastAsia="zh-CN"/>
              </w:rPr>
              <w:t>“五、技术要求”中“（四）</w:t>
            </w:r>
            <w:r>
              <w:rPr>
                <w:rFonts w:hint="eastAsia" w:ascii="宋体" w:hAnsi="宋体" w:eastAsia="宋体" w:cs="宋体"/>
                <w:color w:val="auto"/>
                <w:sz w:val="21"/>
                <w:szCs w:val="21"/>
                <w:highlight w:val="none"/>
              </w:rPr>
              <w:t>服务要求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理赔</w:t>
            </w: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eastAsia="zh-CN"/>
              </w:rPr>
              <w:t>第</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理赔增值服务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要求的内容基础上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考察投标人提供的</w:t>
            </w:r>
            <w:r>
              <w:rPr>
                <w:rFonts w:hint="eastAsia" w:ascii="宋体" w:hAnsi="宋体" w:eastAsia="宋体" w:cs="宋体"/>
                <w:color w:val="auto"/>
                <w:sz w:val="21"/>
                <w:szCs w:val="21"/>
                <w:highlight w:val="none"/>
                <w:lang w:eastAsia="zh-CN"/>
              </w:rPr>
              <w:t>其他理赔增值</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包括但不限于以下内容</w:t>
            </w:r>
            <w:r>
              <w:rPr>
                <w:rFonts w:hint="eastAsia" w:ascii="宋体" w:hAnsi="宋体" w:eastAsia="宋体" w:cs="宋体"/>
                <w:color w:val="auto"/>
                <w:sz w:val="21"/>
                <w:szCs w:val="21"/>
                <w:highlight w:val="none"/>
              </w:rPr>
              <w:t>：</w:t>
            </w:r>
          </w:p>
          <w:p w14:paraId="3D5922C3">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理赔增值其他服务内容</w:t>
            </w:r>
            <w:r>
              <w:rPr>
                <w:rFonts w:hint="eastAsia" w:ascii="宋体" w:hAnsi="宋体" w:cs="宋体"/>
                <w:color w:val="auto"/>
                <w:sz w:val="21"/>
                <w:szCs w:val="21"/>
                <w:highlight w:val="none"/>
                <w:lang w:val="en-US" w:eastAsia="zh-CN"/>
              </w:rPr>
              <w:t>（如小额案件/特殊情形快赔、单证简化、为老年人提供的人性化服务，线上化理赔）</w:t>
            </w:r>
            <w:r>
              <w:rPr>
                <w:rFonts w:hint="eastAsia" w:ascii="宋体" w:hAnsi="宋体" w:eastAsia="宋体" w:cs="宋体"/>
                <w:color w:val="auto"/>
                <w:sz w:val="21"/>
                <w:szCs w:val="21"/>
                <w:highlight w:val="none"/>
                <w:lang w:val="en-US" w:eastAsia="zh-CN"/>
              </w:rPr>
              <w:t>；</w:t>
            </w:r>
          </w:p>
          <w:p w14:paraId="5B783B06">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2.保障措施。</w:t>
            </w:r>
          </w:p>
          <w:p w14:paraId="538E76A8">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提供的方案</w:t>
            </w: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点得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分，满足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点得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分；未满足不得分。</w:t>
            </w:r>
          </w:p>
          <w:p w14:paraId="58011601">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在此基础上，专家根据各投标人的方案内容进一步评分，</w:t>
            </w:r>
          </w:p>
          <w:p w14:paraId="4AB08819">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）评价为优，得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rPr>
              <w:t>: 方案内容完整全面、具体合理、</w:t>
            </w:r>
            <w:r>
              <w:rPr>
                <w:rFonts w:hint="eastAsia" w:ascii="宋体" w:hAnsi="宋体" w:eastAsia="宋体" w:cs="宋体"/>
                <w:color w:val="auto"/>
                <w:sz w:val="21"/>
                <w:szCs w:val="21"/>
                <w:highlight w:val="none"/>
                <w:lang w:eastAsia="zh-CN"/>
              </w:rPr>
              <w:t>实用</w:t>
            </w:r>
            <w:r>
              <w:rPr>
                <w:rFonts w:hint="eastAsia" w:ascii="宋体" w:hAnsi="宋体" w:eastAsia="宋体" w:cs="宋体"/>
                <w:color w:val="auto"/>
                <w:sz w:val="21"/>
                <w:szCs w:val="21"/>
                <w:highlight w:val="none"/>
              </w:rPr>
              <w:t>性强、保障措施到位；</w:t>
            </w:r>
          </w:p>
          <w:p w14:paraId="65B38BFC">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）评价为良，得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:方案内容较完整具体、较合理，</w:t>
            </w:r>
            <w:r>
              <w:rPr>
                <w:rFonts w:hint="eastAsia" w:ascii="宋体" w:hAnsi="宋体" w:eastAsia="宋体" w:cs="宋体"/>
                <w:color w:val="auto"/>
                <w:sz w:val="21"/>
                <w:szCs w:val="21"/>
                <w:highlight w:val="none"/>
                <w:lang w:eastAsia="zh-CN"/>
              </w:rPr>
              <w:t>实用</w:t>
            </w:r>
            <w:r>
              <w:rPr>
                <w:rFonts w:hint="eastAsia" w:ascii="宋体" w:hAnsi="宋体" w:eastAsia="宋体" w:cs="宋体"/>
                <w:color w:val="auto"/>
                <w:sz w:val="21"/>
                <w:szCs w:val="21"/>
                <w:highlight w:val="none"/>
              </w:rPr>
              <w:t>性较强且有较强的保障措施；</w:t>
            </w:r>
          </w:p>
          <w:p w14:paraId="79F17474">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）评价为中，得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：方案内容完整性、全面性、具体性、合理性一般，</w:t>
            </w:r>
            <w:r>
              <w:rPr>
                <w:rFonts w:hint="eastAsia" w:ascii="宋体" w:hAnsi="宋体" w:eastAsia="宋体" w:cs="宋体"/>
                <w:color w:val="auto"/>
                <w:sz w:val="21"/>
                <w:szCs w:val="21"/>
                <w:highlight w:val="none"/>
                <w:lang w:eastAsia="zh-CN"/>
              </w:rPr>
              <w:t>实用</w:t>
            </w:r>
            <w:r>
              <w:rPr>
                <w:rFonts w:hint="eastAsia" w:ascii="宋体" w:hAnsi="宋体" w:eastAsia="宋体" w:cs="宋体"/>
                <w:color w:val="auto"/>
                <w:sz w:val="21"/>
                <w:szCs w:val="21"/>
                <w:highlight w:val="none"/>
              </w:rPr>
              <w:t>性及保障性一般；</w:t>
            </w:r>
          </w:p>
          <w:p w14:paraId="28C7EC1F">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评价为差不得分</w:t>
            </w:r>
            <w:r>
              <w:rPr>
                <w:rFonts w:hint="eastAsia" w:ascii="宋体" w:hAnsi="宋体" w:eastAsia="宋体" w:cs="宋体"/>
                <w:color w:val="auto"/>
                <w:sz w:val="21"/>
                <w:szCs w:val="21"/>
                <w:highlight w:val="none"/>
              </w:rPr>
              <w:t>: 方案不完整、不全面或内容不合理、不实用。</w:t>
            </w:r>
            <w:r>
              <w:rPr>
                <w:rFonts w:hint="eastAsia" w:ascii="宋体" w:hAnsi="宋体" w:eastAsia="宋体" w:cs="宋体"/>
                <w:color w:val="auto"/>
                <w:sz w:val="21"/>
                <w:szCs w:val="21"/>
                <w:highlight w:val="none"/>
                <w:lang w:eastAsia="zh-CN"/>
              </w:rPr>
              <w:t>（如评审为差的，评审委员会须说明理由）</w:t>
            </w:r>
          </w:p>
          <w:p w14:paraId="6F7022E2">
            <w:pPr>
              <w:keepNext w:val="0"/>
              <w:keepLines w:val="0"/>
              <w:pageBreakBefore w:val="0"/>
              <w:widowControl/>
              <w:numPr>
                <w:ilvl w:val="0"/>
                <w:numId w:val="7"/>
              </w:numPr>
              <w:kinsoku/>
              <w:wordWrap/>
              <w:overflowPunct/>
              <w:topLinePunct w:val="0"/>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Cs w:val="21"/>
                <w:highlight w:val="none"/>
              </w:rPr>
              <w:t>评分依据：</w:t>
            </w:r>
          </w:p>
          <w:p w14:paraId="0F0C26D6">
            <w:pPr>
              <w:keepNext w:val="0"/>
              <w:keepLines w:val="0"/>
              <w:pageBreakBefore w:val="0"/>
              <w:widowControl w:val="0"/>
              <w:kinsoku/>
              <w:wordWrap/>
              <w:overflowPunct/>
              <w:topLinePunct w:val="0"/>
              <w:bidi w:val="0"/>
              <w:snapToGrid w:val="0"/>
              <w:spacing w:line="240" w:lineRule="auto"/>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eastAsia="zh-CN"/>
              </w:rPr>
              <w:t>其他理赔增值服务方案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格式自拟</w:t>
            </w:r>
            <w:r>
              <w:rPr>
                <w:rFonts w:hint="eastAsia" w:ascii="宋体" w:hAnsi="宋体" w:eastAsia="宋体" w:cs="宋体"/>
                <w:color w:val="auto"/>
                <w:kern w:val="0"/>
                <w:sz w:val="21"/>
                <w:szCs w:val="21"/>
                <w:highlight w:val="none"/>
                <w:lang w:val="en-US" w:eastAsia="zh-CN"/>
              </w:rPr>
              <w:t>。</w:t>
            </w:r>
          </w:p>
        </w:tc>
      </w:tr>
      <w:tr w14:paraId="3D6E3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EC94693">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D2AF75D">
            <w:pPr>
              <w:wordWrap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1FC2473A">
            <w:pPr>
              <w:wordWrap w:val="0"/>
              <w:adjustRightInd w:val="0"/>
              <w:snapToGrid w:val="0"/>
              <w:spacing w:line="32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宣传培训服务</w:t>
            </w:r>
            <w:r>
              <w:rPr>
                <w:rFonts w:hint="eastAsia" w:ascii="宋体" w:hAnsi="宋体" w:cs="宋体"/>
                <w:color w:val="auto"/>
                <w:sz w:val="21"/>
                <w:szCs w:val="21"/>
                <w:highlight w:val="none"/>
                <w:lang w:val="en-US" w:eastAsia="zh-CN"/>
              </w:rPr>
              <w:t>方案</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EB5C38F">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8</w:t>
            </w:r>
          </w:p>
        </w:tc>
        <w:tc>
          <w:tcPr>
            <w:tcW w:w="5822" w:type="dxa"/>
            <w:tcBorders>
              <w:top w:val="single" w:color="000000" w:sz="8" w:space="0"/>
              <w:left w:val="single" w:color="000000" w:sz="8" w:space="0"/>
              <w:bottom w:val="single" w:color="000000" w:sz="8" w:space="0"/>
              <w:right w:val="single" w:color="000000" w:sz="8" w:space="0"/>
            </w:tcBorders>
            <w:noWrap w:val="0"/>
            <w:vAlign w:val="center"/>
          </w:tcPr>
          <w:p w14:paraId="58CDCF86">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649901D3">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在满足</w:t>
            </w:r>
            <w:r>
              <w:rPr>
                <w:rFonts w:hint="eastAsia" w:ascii="宋体" w:hAnsi="宋体" w:cs="宋体"/>
                <w:color w:val="auto"/>
                <w:sz w:val="21"/>
                <w:szCs w:val="21"/>
                <w:highlight w:val="none"/>
                <w:lang w:val="en-US" w:eastAsia="zh-CN"/>
              </w:rPr>
              <w:t>“五、技术要求”中“（四）</w:t>
            </w:r>
            <w:r>
              <w:rPr>
                <w:rFonts w:hint="eastAsia" w:ascii="宋体" w:hAnsi="宋体" w:eastAsia="宋体" w:cs="宋体"/>
                <w:color w:val="auto"/>
                <w:sz w:val="21"/>
                <w:szCs w:val="21"/>
                <w:highlight w:val="none"/>
              </w:rPr>
              <w:t>服务要求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宣传培训服务</w:t>
            </w:r>
            <w:r>
              <w:rPr>
                <w:rFonts w:hint="eastAsia" w:ascii="宋体" w:hAnsi="宋体" w:eastAsia="宋体" w:cs="宋体"/>
                <w:color w:val="auto"/>
                <w:sz w:val="21"/>
                <w:szCs w:val="21"/>
                <w:highlight w:val="none"/>
              </w:rPr>
              <w:t>”的内容基础上</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考察投标人提供的宣传培训服务方案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包括但不限于以下内容</w:t>
            </w:r>
            <w:r>
              <w:rPr>
                <w:rFonts w:hint="eastAsia" w:ascii="宋体" w:hAnsi="宋体" w:eastAsia="宋体" w:cs="宋体"/>
                <w:color w:val="auto"/>
                <w:sz w:val="21"/>
                <w:szCs w:val="21"/>
                <w:highlight w:val="none"/>
              </w:rPr>
              <w:t>：</w:t>
            </w:r>
          </w:p>
          <w:p w14:paraId="6BC18749">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宣传培训服务具体开展计划：将拟开展的全年度宣传培训计划，细化分解到每季度、每月；</w:t>
            </w:r>
          </w:p>
          <w:p w14:paraId="2FB79794">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宣传培训服务内容：包括但不限于实施主体、组织实施方式、开展频次。</w:t>
            </w:r>
          </w:p>
          <w:p w14:paraId="24BA23AF">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提供的</w:t>
            </w:r>
            <w:r>
              <w:rPr>
                <w:rFonts w:hint="eastAsia" w:ascii="宋体" w:hAnsi="宋体" w:cs="宋体"/>
                <w:color w:val="auto"/>
                <w:sz w:val="21"/>
                <w:szCs w:val="21"/>
                <w:highlight w:val="none"/>
                <w:lang w:val="en-US" w:eastAsia="zh-CN"/>
              </w:rPr>
              <w:t>宣传方案，每提供2种宣传形式的</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得40分，提供1种宣传形式的方案得20分，最高得分80分</w:t>
            </w:r>
            <w:r>
              <w:rPr>
                <w:rFonts w:hint="eastAsia" w:ascii="宋体" w:hAnsi="宋体" w:eastAsia="宋体" w:cs="宋体"/>
                <w:color w:val="auto"/>
                <w:sz w:val="21"/>
                <w:szCs w:val="21"/>
                <w:highlight w:val="none"/>
              </w:rPr>
              <w:t>；未满足不得分。</w:t>
            </w:r>
          </w:p>
          <w:p w14:paraId="16928C25">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在此基础上，专家根据各投标人的方案内容进一步评分，</w:t>
            </w:r>
          </w:p>
          <w:p w14:paraId="76BA4461">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）评价为优，得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 方案内容全面合理、可操作性强；</w:t>
            </w:r>
          </w:p>
          <w:p w14:paraId="36A51CD6">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）评价为良，得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:方案内容较</w:t>
            </w:r>
            <w:r>
              <w:rPr>
                <w:rFonts w:hint="eastAsia" w:ascii="宋体" w:hAnsi="宋体" w:eastAsia="宋体" w:cs="宋体"/>
                <w:color w:val="auto"/>
                <w:sz w:val="21"/>
                <w:szCs w:val="21"/>
                <w:highlight w:val="none"/>
                <w:lang w:eastAsia="zh-CN"/>
              </w:rPr>
              <w:t>全面</w:t>
            </w:r>
            <w:r>
              <w:rPr>
                <w:rFonts w:hint="eastAsia" w:ascii="宋体" w:hAnsi="宋体" w:eastAsia="宋体" w:cs="宋体"/>
                <w:color w:val="auto"/>
                <w:sz w:val="21"/>
                <w:szCs w:val="21"/>
                <w:highlight w:val="none"/>
              </w:rPr>
              <w:t>合理，可操作性较强；</w:t>
            </w:r>
          </w:p>
          <w:p w14:paraId="5EB37ECC">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）评价为中，得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：方案内容全面性</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合理性一般，可操作性</w:t>
            </w:r>
            <w:r>
              <w:rPr>
                <w:rFonts w:hint="eastAsia" w:ascii="宋体" w:hAnsi="宋体" w:eastAsia="宋体" w:cs="宋体"/>
                <w:color w:val="auto"/>
                <w:sz w:val="21"/>
                <w:szCs w:val="21"/>
                <w:highlight w:val="none"/>
                <w:lang w:eastAsia="zh-CN"/>
              </w:rPr>
              <w:t>不强</w:t>
            </w:r>
            <w:r>
              <w:rPr>
                <w:rFonts w:hint="eastAsia" w:ascii="宋体" w:hAnsi="宋体" w:eastAsia="宋体" w:cs="宋体"/>
                <w:color w:val="auto"/>
                <w:sz w:val="21"/>
                <w:szCs w:val="21"/>
                <w:highlight w:val="none"/>
              </w:rPr>
              <w:t>；</w:t>
            </w:r>
          </w:p>
          <w:p w14:paraId="358A7A0E">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评价为差不得分</w:t>
            </w:r>
            <w:r>
              <w:rPr>
                <w:rFonts w:hint="eastAsia" w:ascii="宋体" w:hAnsi="宋体" w:eastAsia="宋体" w:cs="宋体"/>
                <w:color w:val="auto"/>
                <w:sz w:val="21"/>
                <w:szCs w:val="21"/>
                <w:highlight w:val="none"/>
              </w:rPr>
              <w:t>: 方案不完整、不全面或内容不合理、不实用。</w:t>
            </w:r>
            <w:r>
              <w:rPr>
                <w:rFonts w:hint="eastAsia" w:ascii="宋体" w:hAnsi="宋体" w:eastAsia="宋体" w:cs="宋体"/>
                <w:color w:val="auto"/>
                <w:sz w:val="21"/>
                <w:szCs w:val="21"/>
                <w:highlight w:val="none"/>
                <w:lang w:eastAsia="zh-CN"/>
              </w:rPr>
              <w:t>（如评审为差的，评审委员会须说明理由）</w:t>
            </w:r>
          </w:p>
          <w:p w14:paraId="29F3BA58">
            <w:pPr>
              <w:keepNext w:val="0"/>
              <w:keepLines w:val="0"/>
              <w:pageBreakBefore w:val="0"/>
              <w:widowControl/>
              <w:numPr>
                <w:ilvl w:val="0"/>
                <w:numId w:val="0"/>
              </w:numPr>
              <w:kinsoku/>
              <w:wordWrap/>
              <w:overflowPunct/>
              <w:topLinePunct w:val="0"/>
              <w:bidi w:val="0"/>
              <w:adjustRightInd w:val="0"/>
              <w:snapToGrid w:val="0"/>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评分依据：</w:t>
            </w:r>
          </w:p>
          <w:p w14:paraId="6AEFF52B">
            <w:pPr>
              <w:keepNext w:val="0"/>
              <w:keepLines w:val="0"/>
              <w:pageBreakBefore w:val="0"/>
              <w:widowControl w:val="0"/>
              <w:kinsoku/>
              <w:wordWrap/>
              <w:overflowPunct/>
              <w:topLinePunct w:val="0"/>
              <w:bidi w:val="0"/>
              <w:snapToGrid w:val="0"/>
              <w:spacing w:line="240" w:lineRule="auto"/>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eastAsia="zh-CN"/>
              </w:rPr>
              <w:t>宣传培训服务方案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格式自拟</w:t>
            </w:r>
            <w:r>
              <w:rPr>
                <w:rFonts w:hint="eastAsia" w:ascii="宋体" w:hAnsi="宋体" w:eastAsia="宋体" w:cs="宋体"/>
                <w:color w:val="auto"/>
                <w:kern w:val="0"/>
                <w:sz w:val="21"/>
                <w:szCs w:val="21"/>
                <w:highlight w:val="none"/>
                <w:lang w:val="en-US" w:eastAsia="zh-CN"/>
              </w:rPr>
              <w:t>。</w:t>
            </w:r>
          </w:p>
        </w:tc>
      </w:tr>
      <w:tr w14:paraId="17682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7F6091">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00EFBE78">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3090A5CA">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 w:val="21"/>
                <w:szCs w:val="21"/>
                <w:highlight w:val="none"/>
                <w:lang w:eastAsia="zh-CN"/>
              </w:rPr>
              <w:t>承诺</w:t>
            </w:r>
            <w:r>
              <w:rPr>
                <w:rFonts w:hint="eastAsia" w:ascii="宋体" w:hAnsi="宋体" w:eastAsia="宋体" w:cs="宋体"/>
                <w:color w:val="auto"/>
                <w:sz w:val="21"/>
                <w:szCs w:val="21"/>
                <w:highlight w:val="none"/>
                <w:lang w:eastAsia="zh-CN"/>
              </w:rPr>
              <w:t>结案率</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C2DF783">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p>
        </w:tc>
        <w:tc>
          <w:tcPr>
            <w:tcW w:w="5822" w:type="dxa"/>
            <w:tcBorders>
              <w:top w:val="single" w:color="000000" w:sz="8" w:space="0"/>
              <w:left w:val="single" w:color="000000" w:sz="8" w:space="0"/>
              <w:bottom w:val="single" w:color="000000" w:sz="8" w:space="0"/>
              <w:right w:val="single" w:color="000000" w:sz="8" w:space="0"/>
            </w:tcBorders>
            <w:noWrap w:val="0"/>
            <w:vAlign w:val="center"/>
          </w:tcPr>
          <w:p w14:paraId="5DEE52BB">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44C0D422">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bCs/>
                <w:color w:val="auto"/>
                <w:sz w:val="21"/>
                <w:szCs w:val="21"/>
                <w:highlight w:val="none"/>
                <w:lang w:eastAsia="zh-CN"/>
              </w:rPr>
            </w:pPr>
            <w:r>
              <w:rPr>
                <w:rFonts w:hint="eastAsia" w:cs="宋体"/>
                <w:b w:val="0"/>
                <w:bCs w:val="0"/>
                <w:color w:val="auto"/>
                <w:kern w:val="0"/>
                <w:sz w:val="21"/>
                <w:szCs w:val="21"/>
                <w:highlight w:val="none"/>
                <w:lang w:val="en-US" w:eastAsia="zh-CN" w:bidi="ar-SA"/>
              </w:rPr>
              <w:t>投标人应在满足招标文件保单年度承诺结案率（不低于60%）的前提下，承诺结案率达到60%得80分，在此基础上，投标人承诺结案率每提高1个百分点（不足1个百分点的不计分）的加4分，最高100分。</w:t>
            </w:r>
          </w:p>
          <w:p w14:paraId="1792A08C">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评分依据：</w:t>
            </w:r>
          </w:p>
          <w:p w14:paraId="061704FC">
            <w:pPr>
              <w:wordWrap w:val="0"/>
              <w:adjustRightInd w:val="0"/>
              <w:snapToGrid w:val="0"/>
              <w:spacing w:line="32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lang w:eastAsia="zh-CN"/>
              </w:rPr>
              <w:t>投标人提供结案率承诺函（格式自拟），未按要求提供证明材料（或证明材料无法判断是否符合评分要求）的不得分，原件备查。</w:t>
            </w:r>
          </w:p>
        </w:tc>
      </w:tr>
      <w:tr w14:paraId="2B148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71"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3EF23CD">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4FCDF2D2">
            <w:pPr>
              <w:wordWrap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2EC33EF1">
            <w:pPr>
              <w:wordWrap w:val="0"/>
              <w:adjustRightInd w:val="0"/>
              <w:snapToGrid w:val="0"/>
              <w:spacing w:line="32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lang w:eastAsia="zh-CN"/>
              </w:rPr>
              <w:t>慰问率</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3F15DD4">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p>
        </w:tc>
        <w:tc>
          <w:tcPr>
            <w:tcW w:w="5822" w:type="dxa"/>
            <w:tcBorders>
              <w:top w:val="single" w:color="000000" w:sz="8" w:space="0"/>
              <w:left w:val="single" w:color="000000" w:sz="8" w:space="0"/>
              <w:bottom w:val="single" w:color="000000" w:sz="8" w:space="0"/>
              <w:right w:val="single" w:color="000000" w:sz="8" w:space="0"/>
            </w:tcBorders>
            <w:noWrap w:val="0"/>
            <w:vAlign w:val="center"/>
          </w:tcPr>
          <w:p w14:paraId="014DD1BB">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5FA84228">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投标人应在满足招标文件为老人提供人性化服务、进行上门慰问，保单年度慰问率（不低于5%）的前提下，</w:t>
            </w:r>
            <w:r>
              <w:rPr>
                <w:rFonts w:hint="eastAsia" w:ascii="宋体" w:hAnsi="宋体" w:cs="宋体"/>
                <w:b w:val="0"/>
                <w:bCs w:val="0"/>
                <w:color w:val="auto"/>
                <w:sz w:val="21"/>
                <w:szCs w:val="21"/>
                <w:highlight w:val="none"/>
                <w:lang w:val="en-US" w:eastAsia="zh-CN"/>
              </w:rPr>
              <w:t>承诺</w:t>
            </w:r>
            <w:r>
              <w:rPr>
                <w:rFonts w:hint="eastAsia" w:ascii="宋体" w:hAnsi="宋体" w:eastAsia="宋体" w:cs="宋体"/>
                <w:b w:val="0"/>
                <w:bCs w:val="0"/>
                <w:color w:val="auto"/>
                <w:sz w:val="21"/>
                <w:szCs w:val="21"/>
                <w:highlight w:val="none"/>
                <w:lang w:val="en-US" w:eastAsia="zh-CN"/>
              </w:rPr>
              <w:t>慰问率</w:t>
            </w:r>
            <w:r>
              <w:rPr>
                <w:rFonts w:hint="eastAsia" w:ascii="宋体" w:hAnsi="宋体" w:eastAsia="宋体" w:cs="宋体"/>
                <w:b w:val="0"/>
                <w:bCs w:val="0"/>
                <w:color w:val="auto"/>
                <w:sz w:val="21"/>
                <w:szCs w:val="21"/>
                <w:highlight w:val="none"/>
                <w:lang w:eastAsia="zh-CN"/>
              </w:rPr>
              <w:t>达到</w:t>
            </w:r>
            <w:r>
              <w:rPr>
                <w:rFonts w:hint="eastAsia" w:ascii="宋体" w:hAnsi="宋体" w:eastAsia="宋体" w:cs="宋体"/>
                <w:b w:val="0"/>
                <w:bCs w:val="0"/>
                <w:color w:val="auto"/>
                <w:sz w:val="21"/>
                <w:szCs w:val="21"/>
                <w:highlight w:val="none"/>
                <w:lang w:val="en-US" w:eastAsia="zh-CN"/>
              </w:rPr>
              <w:t>5%得</w:t>
            </w:r>
            <w:r>
              <w:rPr>
                <w:rFonts w:hint="default" w:ascii="宋体" w:hAnsi="宋体" w:cs="宋体"/>
                <w:b w:val="0"/>
                <w:bCs w:val="0"/>
                <w:color w:val="auto"/>
                <w:sz w:val="21"/>
                <w:szCs w:val="21"/>
                <w:highlight w:val="none"/>
                <w:lang w:val="en" w:eastAsia="zh-CN"/>
              </w:rPr>
              <w:t>6</w:t>
            </w:r>
            <w:r>
              <w:rPr>
                <w:rFonts w:hint="eastAsia" w:ascii="宋体" w:hAnsi="宋体" w:eastAsia="宋体" w:cs="宋体"/>
                <w:b w:val="0"/>
                <w:bCs w:val="0"/>
                <w:color w:val="auto"/>
                <w:sz w:val="21"/>
                <w:szCs w:val="21"/>
                <w:highlight w:val="none"/>
                <w:lang w:val="en-US" w:eastAsia="zh-CN"/>
              </w:rPr>
              <w:t>0分，在此基础上，投标人承诺慰问率每提高1个百分点（不足1个百分点的不计分）的加</w:t>
            </w:r>
            <w:r>
              <w:rPr>
                <w:rFonts w:hint="default" w:ascii="宋体" w:hAnsi="宋体" w:cs="宋体"/>
                <w:b w:val="0"/>
                <w:bCs w:val="0"/>
                <w:color w:val="auto"/>
                <w:sz w:val="21"/>
                <w:szCs w:val="21"/>
                <w:highlight w:val="none"/>
                <w:lang w:val="en" w:eastAsia="zh-CN"/>
              </w:rPr>
              <w:t>8</w:t>
            </w:r>
            <w:r>
              <w:rPr>
                <w:rFonts w:hint="eastAsia" w:ascii="宋体" w:hAnsi="宋体" w:eastAsia="宋体" w:cs="宋体"/>
                <w:b w:val="0"/>
                <w:bCs w:val="0"/>
                <w:color w:val="auto"/>
                <w:sz w:val="21"/>
                <w:szCs w:val="21"/>
                <w:highlight w:val="none"/>
                <w:lang w:val="en-US" w:eastAsia="zh-CN"/>
              </w:rPr>
              <w:t>分，最高100分。</w:t>
            </w:r>
          </w:p>
          <w:p w14:paraId="292CCB58">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评分依据：</w:t>
            </w:r>
          </w:p>
          <w:p w14:paraId="53A4A023">
            <w:pPr>
              <w:adjustRightInd w:val="0"/>
              <w:snapToGrid w:val="0"/>
              <w:spacing w:line="320" w:lineRule="exact"/>
              <w:jc w:val="left"/>
              <w:rPr>
                <w:rFonts w:ascii="宋体" w:hAnsi="宋体" w:cs="宋体"/>
                <w:color w:val="auto"/>
                <w:szCs w:val="21"/>
                <w:highlight w:val="none"/>
              </w:rPr>
            </w:pPr>
            <w:r>
              <w:rPr>
                <w:rFonts w:hint="eastAsia" w:ascii="宋体" w:hAnsi="宋体" w:eastAsia="宋体" w:cs="宋体"/>
                <w:color w:val="auto"/>
                <w:sz w:val="21"/>
                <w:szCs w:val="21"/>
                <w:highlight w:val="none"/>
                <w:lang w:eastAsia="zh-CN"/>
              </w:rPr>
              <w:t>投标人提供慰问率承诺函（格式自拟），未按要求提供证明材料（或证明材料无法判断是否符合评分要求）的不得分，原件备查。</w:t>
            </w:r>
          </w:p>
        </w:tc>
      </w:tr>
      <w:tr w14:paraId="1625B1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2AB6B7E">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DC8FCA6">
            <w:pPr>
              <w:wordWrap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285C515B">
            <w:pPr>
              <w:wordWrap w:val="0"/>
              <w:adjustRightInd w:val="0"/>
              <w:snapToGrid w:val="0"/>
              <w:spacing w:line="32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合议赔付方案</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5A6BADC">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4</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45DCBE8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（一）评</w:t>
            </w:r>
            <w:r>
              <w:rPr>
                <w:rFonts w:hint="eastAsia" w:ascii="宋体" w:hAnsi="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内容：</w:t>
            </w:r>
          </w:p>
          <w:p w14:paraId="2873BC68">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投标人应根据本项目特殊情况，制定合议赔付方案，保障项目</w:t>
            </w:r>
            <w:r>
              <w:rPr>
                <w:rFonts w:hint="eastAsia" w:ascii="宋体" w:hAnsi="宋体" w:eastAsia="宋体" w:cs="宋体"/>
                <w:color w:val="auto"/>
                <w:kern w:val="0"/>
                <w:sz w:val="21"/>
                <w:szCs w:val="21"/>
                <w:highlight w:val="none"/>
                <w:lang w:eastAsia="zh-CN"/>
              </w:rPr>
              <w:t>老年人服务</w:t>
            </w:r>
            <w:r>
              <w:rPr>
                <w:rFonts w:hint="eastAsia" w:ascii="宋体" w:hAnsi="宋体" w:eastAsia="宋体" w:cs="宋体"/>
                <w:color w:val="auto"/>
                <w:kern w:val="0"/>
                <w:sz w:val="21"/>
                <w:szCs w:val="21"/>
                <w:highlight w:val="none"/>
              </w:rPr>
              <w:t>质量。具体考察以下</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点内容：</w:t>
            </w:r>
          </w:p>
          <w:p w14:paraId="29804438">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①明确适用的情形；</w:t>
            </w:r>
          </w:p>
          <w:p w14:paraId="39CAC8F0">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②针对各类情形提供对应的解决方案；</w:t>
            </w:r>
          </w:p>
          <w:p w14:paraId="531F3FA4">
            <w:pPr>
              <w:pStyle w:val="8"/>
              <w:spacing w:line="240" w:lineRule="auto"/>
              <w:rPr>
                <w:rFonts w:hint="eastAsia" w:eastAsia="宋体"/>
                <w:b w:val="0"/>
                <w:bCs w:val="0"/>
                <w:color w:val="auto"/>
                <w:highlight w:val="none"/>
                <w:lang w:eastAsia="zh-CN"/>
              </w:rPr>
            </w:pPr>
            <w:r>
              <w:rPr>
                <w:rFonts w:hint="eastAsia" w:ascii="宋体" w:hAnsi="宋体" w:cs="宋体"/>
                <w:b w:val="0"/>
                <w:bCs w:val="0"/>
                <w:color w:val="auto"/>
                <w:kern w:val="0"/>
                <w:sz w:val="21"/>
                <w:szCs w:val="21"/>
                <w:highlight w:val="none"/>
                <w:lang w:eastAsia="zh-CN"/>
              </w:rPr>
              <w:t>③可用于合议赔付的额度；</w:t>
            </w:r>
          </w:p>
          <w:p w14:paraId="5E152A67">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根据以下标准进行评分：每满足1点得</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2点得60分，</w:t>
            </w:r>
            <w:r>
              <w:rPr>
                <w:rFonts w:hint="eastAsia" w:ascii="宋体" w:hAnsi="宋体" w:eastAsia="宋体" w:cs="宋体"/>
                <w:color w:val="auto"/>
                <w:kern w:val="0"/>
                <w:sz w:val="21"/>
                <w:szCs w:val="21"/>
                <w:highlight w:val="none"/>
              </w:rPr>
              <w:t>其他情况不得分，最高得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p w14:paraId="4222482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在此基础上，评审委员会根据各投标人的方案内容，按照量化的评审因素指标进一步评审。</w:t>
            </w:r>
          </w:p>
          <w:p w14:paraId="45F5E358">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评审为优（</w:t>
            </w:r>
            <w:r>
              <w:rPr>
                <w:rFonts w:hint="eastAsia" w:ascii="宋体" w:hAnsi="宋体" w:eastAsia="宋体" w:cs="宋体"/>
                <w:color w:val="auto"/>
                <w:kern w:val="0"/>
                <w:sz w:val="21"/>
                <w:szCs w:val="21"/>
                <w:highlight w:val="none"/>
                <w:lang w:eastAsia="zh-CN"/>
              </w:rPr>
              <w:t>合议赔付额度最高，</w:t>
            </w:r>
            <w:r>
              <w:rPr>
                <w:rFonts w:hint="eastAsia" w:ascii="宋体" w:hAnsi="宋体" w:cs="宋体"/>
                <w:color w:val="auto"/>
                <w:kern w:val="0"/>
                <w:sz w:val="21"/>
                <w:szCs w:val="21"/>
                <w:highlight w:val="none"/>
                <w:lang w:eastAsia="zh-CN"/>
              </w:rPr>
              <w:t>合议赔付无限制性条件（如不与赔付率挂钩，不要求采购人提供书面盖章说明等），</w:t>
            </w:r>
            <w:r>
              <w:rPr>
                <w:rFonts w:hint="eastAsia" w:ascii="宋体" w:hAnsi="宋体" w:eastAsia="宋体" w:cs="宋体"/>
                <w:color w:val="auto"/>
                <w:kern w:val="0"/>
                <w:sz w:val="21"/>
                <w:szCs w:val="21"/>
                <w:highlight w:val="none"/>
              </w:rPr>
              <w:t>适用情形多样，方案内容详实、实用性高、针对性强）的得</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p>
          <w:p w14:paraId="6154BCF3">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评审为良（</w:t>
            </w:r>
            <w:r>
              <w:rPr>
                <w:rFonts w:hint="eastAsia" w:ascii="宋体" w:hAnsi="宋体" w:eastAsia="宋体" w:cs="宋体"/>
                <w:color w:val="auto"/>
                <w:kern w:val="0"/>
                <w:sz w:val="21"/>
                <w:szCs w:val="21"/>
                <w:highlight w:val="none"/>
                <w:lang w:eastAsia="zh-CN"/>
              </w:rPr>
              <w:t>合议赔付额度较高，</w:t>
            </w:r>
            <w:r>
              <w:rPr>
                <w:rFonts w:hint="eastAsia" w:ascii="宋体" w:hAnsi="宋体" w:cs="宋体"/>
                <w:color w:val="auto"/>
                <w:kern w:val="0"/>
                <w:sz w:val="21"/>
                <w:szCs w:val="21"/>
                <w:highlight w:val="none"/>
                <w:lang w:eastAsia="zh-CN"/>
              </w:rPr>
              <w:t>合议赔付无限制性条件（如不与赔付率挂钩，不要求采购人提供书面盖章说明等），</w:t>
            </w:r>
            <w:r>
              <w:rPr>
                <w:rFonts w:hint="eastAsia" w:ascii="宋体" w:hAnsi="宋体" w:eastAsia="宋体" w:cs="宋体"/>
                <w:color w:val="auto"/>
                <w:kern w:val="0"/>
                <w:sz w:val="21"/>
                <w:szCs w:val="21"/>
                <w:highlight w:val="none"/>
              </w:rPr>
              <w:t>适用情形较多样，方案内容较详实、实用性较高、针对性较强）的得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57607E44">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评审为中（</w:t>
            </w:r>
            <w:r>
              <w:rPr>
                <w:rFonts w:hint="eastAsia" w:ascii="宋体" w:hAnsi="宋体" w:eastAsia="宋体" w:cs="宋体"/>
                <w:color w:val="auto"/>
                <w:kern w:val="0"/>
                <w:sz w:val="21"/>
                <w:szCs w:val="21"/>
                <w:highlight w:val="none"/>
                <w:lang w:eastAsia="zh-CN"/>
              </w:rPr>
              <w:t>合议赔付额度一般，</w:t>
            </w:r>
            <w:r>
              <w:rPr>
                <w:rFonts w:hint="eastAsia" w:ascii="宋体" w:hAnsi="宋体" w:cs="宋体"/>
                <w:color w:val="auto"/>
                <w:kern w:val="0"/>
                <w:sz w:val="21"/>
                <w:szCs w:val="21"/>
                <w:highlight w:val="none"/>
                <w:lang w:eastAsia="zh-CN"/>
              </w:rPr>
              <w:t>合议赔付存在限制性条件（如与赔付率挂钩，要求采购人提供书面盖章说明等），</w:t>
            </w:r>
            <w:r>
              <w:rPr>
                <w:rFonts w:hint="eastAsia" w:ascii="宋体" w:hAnsi="宋体" w:eastAsia="宋体" w:cs="宋体"/>
                <w:color w:val="auto"/>
                <w:kern w:val="0"/>
                <w:sz w:val="21"/>
                <w:szCs w:val="21"/>
                <w:highlight w:val="none"/>
              </w:rPr>
              <w:t>适用情形一般，方案内容一般、实用性一般、针对性一般）的得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p>
          <w:p w14:paraId="719D7772">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评审为差（</w:t>
            </w:r>
            <w:r>
              <w:rPr>
                <w:rFonts w:hint="eastAsia" w:ascii="宋体" w:hAnsi="宋体" w:eastAsia="宋体" w:cs="宋体"/>
                <w:color w:val="auto"/>
                <w:kern w:val="0"/>
                <w:sz w:val="21"/>
                <w:szCs w:val="21"/>
                <w:highlight w:val="none"/>
                <w:lang w:eastAsia="zh-CN"/>
              </w:rPr>
              <w:t>未设置合议赔付额度，</w:t>
            </w:r>
            <w:r>
              <w:rPr>
                <w:rFonts w:hint="eastAsia" w:ascii="宋体" w:hAnsi="宋体" w:eastAsia="宋体" w:cs="宋体"/>
                <w:color w:val="auto"/>
                <w:kern w:val="0"/>
                <w:sz w:val="21"/>
                <w:szCs w:val="21"/>
                <w:highlight w:val="none"/>
              </w:rPr>
              <w:t>内容与项目无关、不具可操作性，或未提供方案的）的不得分</w:t>
            </w:r>
            <w:r>
              <w:rPr>
                <w:rFonts w:hint="eastAsia" w:ascii="宋体" w:hAnsi="宋体" w:eastAsia="宋体" w:cs="宋体"/>
                <w:color w:val="auto"/>
                <w:kern w:val="0"/>
                <w:sz w:val="21"/>
                <w:szCs w:val="21"/>
                <w:highlight w:val="none"/>
                <w:lang w:eastAsia="zh-CN"/>
              </w:rPr>
              <w:t>。</w:t>
            </w:r>
          </w:p>
          <w:p w14:paraId="32289712">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w:t>
            </w:r>
            <w:r>
              <w:rPr>
                <w:rFonts w:hint="eastAsia" w:ascii="宋体" w:hAnsi="宋体" w:cs="宋体"/>
                <w:b/>
                <w:bCs/>
                <w:color w:val="auto"/>
                <w:sz w:val="21"/>
                <w:szCs w:val="21"/>
                <w:highlight w:val="none"/>
                <w:lang w:eastAsia="zh-CN"/>
              </w:rPr>
              <w:t>依据</w:t>
            </w:r>
            <w:r>
              <w:rPr>
                <w:rFonts w:hint="eastAsia" w:ascii="宋体" w:hAnsi="宋体" w:eastAsia="宋体" w:cs="宋体"/>
                <w:b/>
                <w:bCs/>
                <w:color w:val="auto"/>
                <w:sz w:val="21"/>
                <w:szCs w:val="21"/>
                <w:highlight w:val="none"/>
              </w:rPr>
              <w:t>：</w:t>
            </w:r>
          </w:p>
          <w:p w14:paraId="1AB41E88">
            <w:pPr>
              <w:keepNext w:val="0"/>
              <w:keepLines w:val="0"/>
              <w:pageBreakBefore w:val="0"/>
              <w:widowControl w:val="0"/>
              <w:kinsoku/>
              <w:wordWrap/>
              <w:overflowPunct/>
              <w:topLinePunct w:val="0"/>
              <w:bidi w:val="0"/>
              <w:spacing w:line="240" w:lineRule="auto"/>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eastAsia="zh-CN"/>
              </w:rPr>
              <w:t>合议</w:t>
            </w:r>
            <w:r>
              <w:rPr>
                <w:rFonts w:hint="eastAsia" w:ascii="宋体" w:hAnsi="宋体" w:eastAsia="宋体" w:cs="宋体"/>
                <w:color w:val="auto"/>
                <w:sz w:val="21"/>
                <w:szCs w:val="21"/>
                <w:highlight w:val="none"/>
              </w:rPr>
              <w:t>赔付方案》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格式自拟</w:t>
            </w:r>
            <w:r>
              <w:rPr>
                <w:rFonts w:hint="eastAsia" w:ascii="宋体" w:hAnsi="宋体" w:eastAsia="宋体" w:cs="宋体"/>
                <w:color w:val="auto"/>
                <w:kern w:val="0"/>
                <w:sz w:val="21"/>
                <w:szCs w:val="21"/>
                <w:highlight w:val="none"/>
                <w:lang w:val="en-US" w:eastAsia="zh-CN"/>
              </w:rPr>
              <w:t>。</w:t>
            </w:r>
          </w:p>
        </w:tc>
      </w:tr>
      <w:tr w14:paraId="28973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7920EB">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44B9409">
            <w:pPr>
              <w:wordWrap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790394BC">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拟安排的项目负责人情况（仅限一人）</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15C1F43">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735C54A0">
            <w:pPr>
              <w:adjustRightInd w:val="0"/>
              <w:snapToGrid w:val="0"/>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（一）评分内容：</w:t>
            </w:r>
          </w:p>
          <w:p w14:paraId="238A4C74">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拟安排项目负责人为投标单位员工（以社保为准），否则本项不得分。在此基础上：</w:t>
            </w:r>
          </w:p>
          <w:p w14:paraId="721A8751">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1.具有</w:t>
            </w:r>
            <w:r>
              <w:rPr>
                <w:rFonts w:hint="eastAsia" w:ascii="宋体" w:hAnsi="宋体" w:eastAsia="宋体" w:cs="宋体"/>
                <w:color w:val="auto"/>
                <w:sz w:val="21"/>
                <w:szCs w:val="21"/>
                <w:highlight w:val="none"/>
              </w:rPr>
              <w:t>本科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color w:val="auto"/>
                <w:highlight w:val="none"/>
                <w:lang w:val="en-US" w:eastAsia="zh-CN"/>
              </w:rPr>
              <w:t>30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029CA0C3">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2.具有</w:t>
            </w:r>
            <w:r>
              <w:rPr>
                <w:rFonts w:hint="eastAsia" w:ascii="宋体" w:hAnsi="宋体" w:eastAsia="宋体" w:cs="宋体"/>
                <w:color w:val="auto"/>
                <w:sz w:val="21"/>
                <w:szCs w:val="21"/>
                <w:highlight w:val="none"/>
              </w:rPr>
              <w:t>人力资源和社会保障部门颁发的中级或以上经济师职称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2DC7D265">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3.具有国家机关（或事业单位）投保的</w:t>
            </w:r>
            <w:r>
              <w:rPr>
                <w:rFonts w:hint="eastAsia" w:ascii="宋体" w:hAnsi="宋体" w:eastAsia="宋体" w:cs="宋体"/>
                <w:color w:val="auto"/>
                <w:sz w:val="21"/>
                <w:szCs w:val="21"/>
                <w:highlight w:val="none"/>
              </w:rPr>
              <w:t>团体意外险项目服务经验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77FC60BC">
            <w:pPr>
              <w:numPr>
                <w:ilvl w:val="0"/>
                <w:numId w:val="7"/>
              </w:numPr>
              <w:adjustRightInd w:val="0"/>
              <w:snapToGrid w:val="0"/>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评分依据：</w:t>
            </w:r>
          </w:p>
          <w:p w14:paraId="30F359FE">
            <w:pPr>
              <w:wordWrap/>
              <w:adjustRightInd/>
              <w:snapToGrid/>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社保</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要求提供通过投标人缴纳的近三个月（202</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1-3</w:t>
            </w:r>
            <w:r>
              <w:rPr>
                <w:rFonts w:hint="eastAsia" w:ascii="宋体" w:hAnsi="宋体" w:cs="宋体"/>
                <w:color w:val="auto"/>
                <w:kern w:val="0"/>
                <w:sz w:val="21"/>
                <w:szCs w:val="21"/>
                <w:highlight w:val="none"/>
              </w:rPr>
              <w:t>月）的任意一个月的社保证明作为本单位员工的证明依据。若供应商成立不足三个月的，需提供成立情况说明函(格式自拟)，无需提供相关人员社保，亦可得分</w:t>
            </w:r>
            <w:r>
              <w:rPr>
                <w:rFonts w:hint="eastAsia" w:ascii="宋体" w:hAnsi="宋体" w:cs="宋体"/>
                <w:color w:val="auto"/>
                <w:kern w:val="0"/>
                <w:sz w:val="21"/>
                <w:szCs w:val="21"/>
                <w:highlight w:val="none"/>
                <w:lang w:eastAsia="zh-CN"/>
              </w:rPr>
              <w:t>。</w:t>
            </w:r>
          </w:p>
          <w:p w14:paraId="30E09DC7">
            <w:pPr>
              <w:wordWrap w:val="0"/>
              <w:adjustRightInd w:val="0"/>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学历：</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lang w:eastAsia="zh-CN"/>
              </w:rPr>
              <w:t>学历证书</w:t>
            </w:r>
            <w:r>
              <w:rPr>
                <w:rFonts w:hint="eastAsia" w:ascii="宋体" w:hAnsi="宋体" w:cs="宋体"/>
                <w:color w:val="auto"/>
                <w:szCs w:val="21"/>
                <w:highlight w:val="none"/>
                <w:lang w:val="en-US" w:eastAsia="zh-CN"/>
              </w:rPr>
              <w:t>以及提供学信网查询记录，对于较早颁发的学历证书，学信网无法查询的，除提供证书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http://zwfw.cscse.edu.cn/）在线查询截图】也予以认可；证明材料均提供扫描件，原件备查；</w:t>
            </w:r>
          </w:p>
          <w:p w14:paraId="41C633DC">
            <w:pPr>
              <w:wordWrap w:val="0"/>
              <w:adjustRightInd w:val="0"/>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职称证书：</w:t>
            </w:r>
            <w:r>
              <w:rPr>
                <w:rFonts w:hint="eastAsia" w:ascii="宋体" w:hAnsi="宋体" w:cs="宋体"/>
                <w:color w:val="auto"/>
                <w:szCs w:val="21"/>
                <w:highlight w:val="none"/>
              </w:rPr>
              <w:t>提供人力资源和社会保障部门颁发的职称证书扫描件</w:t>
            </w:r>
            <w:r>
              <w:rPr>
                <w:rFonts w:hint="eastAsia" w:ascii="宋体" w:hAnsi="宋体" w:cs="宋体"/>
                <w:color w:val="auto"/>
                <w:szCs w:val="21"/>
                <w:highlight w:val="none"/>
                <w:lang w:eastAsia="zh-CN"/>
              </w:rPr>
              <w:t>或</w:t>
            </w:r>
            <w:r>
              <w:rPr>
                <w:rFonts w:hint="eastAsia" w:ascii="宋体" w:hAnsi="宋体" w:cs="宋体"/>
                <w:color w:val="auto"/>
                <w:szCs w:val="21"/>
                <w:highlight w:val="none"/>
              </w:rPr>
              <w:t>提供在全国人力资源和社会保障政务服务平台（https://www.12333.gov.cn/）</w:t>
            </w:r>
            <w:r>
              <w:rPr>
                <w:rFonts w:hint="eastAsia" w:ascii="宋体" w:hAnsi="宋体" w:cs="宋体"/>
                <w:color w:val="auto"/>
                <w:szCs w:val="21"/>
                <w:highlight w:val="none"/>
                <w:lang w:eastAsia="zh-CN"/>
              </w:rPr>
              <w:t>或</w:t>
            </w:r>
            <w:r>
              <w:rPr>
                <w:rFonts w:hint="eastAsia" w:ascii="宋体" w:hAnsi="宋体" w:cs="宋体"/>
                <w:color w:val="auto"/>
                <w:szCs w:val="21"/>
                <w:highlight w:val="none"/>
              </w:rPr>
              <w:t>掌上12333APP查询截图，原件备查。</w:t>
            </w:r>
          </w:p>
          <w:p w14:paraId="6D8C1B6B">
            <w:pPr>
              <w:pStyle w:val="8"/>
              <w:adjustRightInd w:val="0"/>
              <w:snapToGrid w:val="0"/>
              <w:spacing w:line="320" w:lineRule="exact"/>
              <w:jc w:val="lef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eastAsia="zh-CN"/>
              </w:rPr>
              <w:t>服务经验：</w:t>
            </w:r>
            <w:r>
              <w:rPr>
                <w:rFonts w:hint="eastAsia" w:ascii="宋体" w:hAnsi="宋体" w:cs="宋体"/>
                <w:b w:val="0"/>
                <w:bCs w:val="0"/>
                <w:color w:val="auto"/>
                <w:sz w:val="21"/>
                <w:szCs w:val="21"/>
                <w:highlight w:val="none"/>
              </w:rPr>
              <w:t>提供项目服务合同关键页</w:t>
            </w:r>
            <w:r>
              <w:rPr>
                <w:rFonts w:hint="eastAsia" w:ascii="宋体" w:hAnsi="宋体" w:cs="宋体"/>
                <w:b w:val="0"/>
                <w:bCs w:val="0"/>
                <w:color w:val="auto"/>
                <w:sz w:val="21"/>
                <w:szCs w:val="21"/>
                <w:highlight w:val="none"/>
                <w:lang w:val="en-US" w:eastAsia="zh-CN"/>
              </w:rPr>
              <w:t>（包含服务名称、服务内容、服务期限、合同双方盖章页、合同签订时间页）</w:t>
            </w:r>
            <w:r>
              <w:rPr>
                <w:rFonts w:hint="eastAsia" w:ascii="宋体" w:hAnsi="宋体" w:cs="宋体"/>
                <w:b w:val="0"/>
                <w:bCs w:val="0"/>
                <w:color w:val="auto"/>
                <w:sz w:val="21"/>
                <w:szCs w:val="21"/>
                <w:highlight w:val="none"/>
                <w:lang w:eastAsia="zh-CN"/>
              </w:rPr>
              <w:t>及中标通知书</w:t>
            </w:r>
            <w:r>
              <w:rPr>
                <w:rFonts w:hint="eastAsia" w:ascii="宋体" w:hAnsi="宋体" w:cs="宋体"/>
                <w:b w:val="0"/>
                <w:bCs w:val="0"/>
                <w:color w:val="auto"/>
                <w:sz w:val="21"/>
                <w:szCs w:val="21"/>
                <w:highlight w:val="none"/>
              </w:rPr>
              <w:t>，如项目服务合同</w:t>
            </w:r>
            <w:r>
              <w:rPr>
                <w:rFonts w:hint="eastAsia" w:ascii="宋体" w:hAnsi="宋体" w:cs="宋体"/>
                <w:b w:val="0"/>
                <w:bCs w:val="0"/>
                <w:color w:val="auto"/>
                <w:sz w:val="21"/>
                <w:szCs w:val="21"/>
                <w:highlight w:val="none"/>
                <w:lang w:eastAsia="zh-CN"/>
              </w:rPr>
              <w:t>或中标通知书</w:t>
            </w:r>
            <w:r>
              <w:rPr>
                <w:rFonts w:hint="eastAsia" w:ascii="宋体" w:hAnsi="宋体" w:cs="宋体"/>
                <w:b w:val="0"/>
                <w:bCs w:val="0"/>
                <w:color w:val="auto"/>
                <w:sz w:val="21"/>
                <w:szCs w:val="21"/>
                <w:highlight w:val="none"/>
              </w:rPr>
              <w:t>不能证明项目负责人服务经验的，</w:t>
            </w:r>
            <w:r>
              <w:rPr>
                <w:rFonts w:hint="eastAsia" w:ascii="宋体" w:hAnsi="宋体" w:cs="宋体"/>
                <w:b w:val="0"/>
                <w:bCs w:val="0"/>
                <w:color w:val="auto"/>
                <w:sz w:val="21"/>
                <w:szCs w:val="21"/>
                <w:highlight w:val="none"/>
                <w:lang w:eastAsia="zh-CN"/>
              </w:rPr>
              <w:t>则不视为有效证明；</w:t>
            </w:r>
          </w:p>
          <w:p w14:paraId="47831736">
            <w:pPr>
              <w:wordWrap w:val="0"/>
              <w:adjustRightInd w:val="0"/>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5.评分中出现无证明资料或者专家无法凭所提供资料判断是否得分的情况，一律做不得分处理。</w:t>
            </w:r>
          </w:p>
          <w:p w14:paraId="0AE135C9">
            <w:pPr>
              <w:keepNext w:val="0"/>
              <w:keepLines w:val="0"/>
              <w:pageBreakBefore w:val="0"/>
              <w:widowControl w:val="0"/>
              <w:kinsoku/>
              <w:wordWrap/>
              <w:overflowPunct/>
              <w:topLinePunct w:val="0"/>
              <w:bidi w:val="0"/>
              <w:spacing w:line="240" w:lineRule="auto"/>
              <w:textAlignment w:val="auto"/>
              <w:rPr>
                <w:rFonts w:ascii="宋体" w:hAnsi="宋体" w:cs="宋体"/>
                <w:color w:val="auto"/>
                <w:szCs w:val="21"/>
                <w:highlight w:val="none"/>
              </w:rPr>
            </w:pPr>
            <w:r>
              <w:rPr>
                <w:rFonts w:hint="eastAsia" w:ascii="宋体" w:hAnsi="宋体" w:eastAsia="宋体" w:cs="宋体"/>
                <w:b w:val="0"/>
                <w:bCs w:val="0"/>
                <w:color w:val="auto"/>
                <w:sz w:val="21"/>
                <w:szCs w:val="21"/>
                <w:highlight w:val="none"/>
                <w:lang w:val="en-US" w:eastAsia="zh-CN"/>
              </w:rPr>
              <w:t>6.投标人为总公司的，该投标人自身及其落地分公司的人员均符合要求；投标人为分公司的，仅该投标人自身的人员符合要求，总公司或其他分公司的人员不予认可。</w:t>
            </w:r>
          </w:p>
        </w:tc>
      </w:tr>
      <w:tr w14:paraId="689F85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958DF3">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016BAA67">
            <w:pPr>
              <w:wordWrap w:val="0"/>
              <w:adjustRightInd w:val="0"/>
              <w:snapToGrid w:val="0"/>
              <w:spacing w:line="32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lang w:val="en-US" w:eastAsia="zh-CN"/>
              </w:rPr>
              <w:t>7</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0C93D7D7">
            <w:pPr>
              <w:wordWrap w:val="0"/>
              <w:adjustRightInd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服务团队情况</w:t>
            </w:r>
          </w:p>
          <w:p w14:paraId="5CAB9DB7">
            <w:pPr>
              <w:wordWrap w:val="0"/>
              <w:adjustRightInd w:val="0"/>
              <w:snapToGrid w:val="0"/>
              <w:spacing w:line="320" w:lineRule="exact"/>
              <w:jc w:val="center"/>
              <w:rPr>
                <w:rFonts w:ascii="宋体" w:hAnsi="宋体" w:eastAsia="宋体" w:cs="宋体"/>
                <w:b w:val="0"/>
                <w:bCs w:val="0"/>
                <w:color w:val="auto"/>
                <w:kern w:val="2"/>
                <w:sz w:val="21"/>
                <w:szCs w:val="21"/>
                <w:highlight w:val="none"/>
                <w:lang w:val="en-US" w:eastAsia="zh-CN" w:bidi="ar-SA"/>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04705E9">
            <w:pPr>
              <w:wordWrap w:val="0"/>
              <w:adjustRightInd w:val="0"/>
              <w:snapToGrid w:val="0"/>
              <w:spacing w:line="32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lang w:val="en-US" w:eastAsia="zh-CN"/>
              </w:rPr>
              <w:t>11</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6F72B03B">
            <w:pPr>
              <w:adjustRightInd w:val="0"/>
              <w:snapToGrid w:val="0"/>
              <w:spacing w:line="32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rPr>
              <w:t>（一）评分内容：</w:t>
            </w:r>
          </w:p>
          <w:p w14:paraId="3EC72692">
            <w:pPr>
              <w:adjustRightInd w:val="0"/>
              <w:snapToGrid w:val="0"/>
              <w:spacing w:line="32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rPr>
              <w:t>拟安排项目团队成员</w:t>
            </w:r>
            <w:r>
              <w:rPr>
                <w:rFonts w:hint="eastAsia" w:ascii="宋体" w:hAnsi="宋体" w:cs="宋体"/>
                <w:b w:val="0"/>
                <w:bCs w:val="0"/>
                <w:color w:val="auto"/>
                <w:szCs w:val="21"/>
                <w:highlight w:val="none"/>
                <w:lang w:eastAsia="zh-CN"/>
              </w:rPr>
              <w:t>不少于</w:t>
            </w:r>
            <w:r>
              <w:rPr>
                <w:rFonts w:hint="eastAsia" w:ascii="宋体" w:hAnsi="宋体" w:cs="宋体"/>
                <w:b w:val="0"/>
                <w:bCs w:val="0"/>
                <w:color w:val="auto"/>
                <w:szCs w:val="21"/>
                <w:highlight w:val="none"/>
                <w:lang w:val="en-US" w:eastAsia="zh-CN"/>
              </w:rPr>
              <w:t>4人，</w:t>
            </w:r>
            <w:r>
              <w:rPr>
                <w:rFonts w:hint="eastAsia" w:ascii="宋体" w:hAnsi="宋体" w:cs="宋体"/>
                <w:b w:val="0"/>
                <w:bCs w:val="0"/>
                <w:color w:val="auto"/>
                <w:szCs w:val="21"/>
                <w:highlight w:val="none"/>
              </w:rPr>
              <w:t>投标单位员工（以社保为准），否则该人员本项不得分。在此基础上</w:t>
            </w:r>
            <w:r>
              <w:rPr>
                <w:rFonts w:hint="eastAsia" w:ascii="宋体" w:hAnsi="宋体" w:cs="宋体"/>
                <w:b w:val="0"/>
                <w:bCs w:val="0"/>
                <w:color w:val="auto"/>
                <w:szCs w:val="21"/>
                <w:highlight w:val="none"/>
                <w:lang w:eastAsia="zh-CN"/>
              </w:rPr>
              <w:t>，需同时满足以下两项内容</w:t>
            </w:r>
            <w:r>
              <w:rPr>
                <w:rFonts w:hint="eastAsia" w:ascii="宋体" w:hAnsi="宋体" w:cs="宋体"/>
                <w:b w:val="0"/>
                <w:bCs w:val="0"/>
                <w:color w:val="auto"/>
                <w:szCs w:val="21"/>
                <w:highlight w:val="none"/>
              </w:rPr>
              <w:t>：</w:t>
            </w:r>
          </w:p>
          <w:p w14:paraId="71D3E597">
            <w:pPr>
              <w:pStyle w:val="141"/>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1.</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kern w:val="2"/>
                <w:sz w:val="21"/>
                <w:szCs w:val="21"/>
                <w:highlight w:val="none"/>
                <w:lang w:val="en-US" w:eastAsia="zh-CN" w:bidi="ar-SA"/>
              </w:rPr>
              <w:t>保险（或医学或法学）相关专业本科（或以上）学历；</w:t>
            </w:r>
          </w:p>
          <w:p w14:paraId="7ED56BDC">
            <w:pPr>
              <w:pStyle w:val="141"/>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kern w:val="2"/>
                <w:sz w:val="21"/>
                <w:szCs w:val="21"/>
                <w:highlight w:val="none"/>
                <w:lang w:val="en-US" w:eastAsia="zh-CN" w:bidi="ar-SA"/>
              </w:rPr>
              <w:t>国家机关（或事业单位）投保的团体意外险服务经验。</w:t>
            </w:r>
          </w:p>
          <w:p w14:paraId="237D7D6E">
            <w:pPr>
              <w:pStyle w:val="8"/>
              <w:adjustRightInd w:val="0"/>
              <w:snapToGrid w:val="0"/>
              <w:spacing w:line="320" w:lineRule="exact"/>
              <w:rPr>
                <w:rFonts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以上每</w:t>
            </w:r>
            <w:r>
              <w:rPr>
                <w:rFonts w:hint="eastAsia" w:ascii="宋体" w:hAnsi="宋体" w:cs="宋体"/>
                <w:b w:val="0"/>
                <w:bCs w:val="0"/>
                <w:color w:val="auto"/>
                <w:sz w:val="21"/>
                <w:szCs w:val="21"/>
                <w:highlight w:val="none"/>
                <w:lang w:val="en-US" w:eastAsia="zh-CN"/>
              </w:rPr>
              <w:t>提供一个人得25分</w:t>
            </w:r>
            <w:r>
              <w:rPr>
                <w:rFonts w:hint="eastAsia" w:ascii="宋体" w:hAnsi="宋体" w:eastAsia="宋体" w:cs="宋体"/>
                <w:b w:val="0"/>
                <w:bCs w:val="0"/>
                <w:color w:val="auto"/>
                <w:sz w:val="21"/>
                <w:szCs w:val="21"/>
                <w:highlight w:val="none"/>
                <w:lang w:val="en-US" w:eastAsia="zh-CN"/>
              </w:rPr>
              <w:t>，满分最高得100分。</w:t>
            </w:r>
          </w:p>
          <w:p w14:paraId="1B4D84C1">
            <w:pPr>
              <w:numPr>
                <w:ilvl w:val="0"/>
                <w:numId w:val="8"/>
              </w:numPr>
              <w:adjustRightInd w:val="0"/>
              <w:snapToGrid w:val="0"/>
              <w:spacing w:line="320" w:lineRule="exact"/>
              <w:jc w:val="left"/>
              <w:rPr>
                <w:rFonts w:ascii="宋体" w:hAnsi="宋体" w:cs="宋体"/>
                <w:b w:val="0"/>
                <w:bCs w:val="0"/>
                <w:color w:val="auto"/>
                <w:szCs w:val="21"/>
                <w:highlight w:val="none"/>
              </w:rPr>
            </w:pPr>
            <w:r>
              <w:rPr>
                <w:rFonts w:hint="eastAsia" w:ascii="宋体" w:hAnsi="宋体" w:cs="宋体"/>
                <w:b w:val="0"/>
                <w:bCs w:val="0"/>
                <w:color w:val="auto"/>
                <w:szCs w:val="21"/>
                <w:highlight w:val="none"/>
              </w:rPr>
              <w:t>评分依据：</w:t>
            </w:r>
          </w:p>
          <w:p w14:paraId="09AE9D6B">
            <w:pPr>
              <w:wordWrap w:val="0"/>
              <w:adjustRightInd w:val="0"/>
              <w:snapToGrid w:val="0"/>
              <w:spacing w:line="320" w:lineRule="exact"/>
              <w:jc w:val="lef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eastAsia="zh-CN"/>
              </w:rPr>
              <w:t>社保：</w:t>
            </w:r>
            <w:r>
              <w:rPr>
                <w:rFonts w:hint="eastAsia" w:ascii="宋体" w:hAnsi="宋体" w:cs="宋体"/>
                <w:b w:val="0"/>
                <w:bCs w:val="0"/>
                <w:color w:val="auto"/>
                <w:kern w:val="0"/>
                <w:sz w:val="21"/>
                <w:szCs w:val="21"/>
                <w:highlight w:val="none"/>
              </w:rPr>
              <w:t>要求提供通过投标人缴纳的近三个月（202</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年</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月</w:t>
            </w:r>
            <w:r>
              <w:rPr>
                <w:rFonts w:hint="eastAsia" w:ascii="宋体" w:hAnsi="宋体" w:cs="宋体"/>
                <w:b w:val="0"/>
                <w:bCs w:val="0"/>
                <w:color w:val="auto"/>
                <w:kern w:val="0"/>
                <w:sz w:val="21"/>
                <w:szCs w:val="21"/>
                <w:highlight w:val="none"/>
              </w:rPr>
              <w:t>）的任意一个月的社保证明作为本单位员工的证明依据。若供应商成立不足三个月的，需提供成立情况说明函(格式自拟)，无需提供相关人员社保，亦可得分</w:t>
            </w:r>
            <w:r>
              <w:rPr>
                <w:rFonts w:hint="eastAsia" w:ascii="宋体" w:hAnsi="宋体" w:cs="宋体"/>
                <w:b w:val="0"/>
                <w:bCs w:val="0"/>
                <w:color w:val="auto"/>
                <w:kern w:val="0"/>
                <w:sz w:val="21"/>
                <w:szCs w:val="21"/>
                <w:highlight w:val="none"/>
                <w:lang w:eastAsia="zh-CN"/>
              </w:rPr>
              <w:t>。</w:t>
            </w:r>
          </w:p>
          <w:p w14:paraId="08F80A3A">
            <w:pPr>
              <w:wordWrap w:val="0"/>
              <w:adjustRightInd w:val="0"/>
              <w:snapToGrid w:val="0"/>
              <w:spacing w:line="320" w:lineRule="exact"/>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学历：</w:t>
            </w:r>
            <w:r>
              <w:rPr>
                <w:rFonts w:hint="eastAsia" w:ascii="宋体" w:hAnsi="宋体" w:cs="宋体"/>
                <w:b w:val="0"/>
                <w:bCs w:val="0"/>
                <w:color w:val="auto"/>
                <w:szCs w:val="21"/>
                <w:highlight w:val="none"/>
                <w:lang w:val="en-US" w:eastAsia="zh-CN"/>
              </w:rPr>
              <w:t>提供</w:t>
            </w:r>
            <w:r>
              <w:rPr>
                <w:rFonts w:hint="eastAsia" w:ascii="宋体" w:hAnsi="宋体" w:cs="宋体"/>
                <w:b w:val="0"/>
                <w:bCs w:val="0"/>
                <w:color w:val="auto"/>
                <w:szCs w:val="21"/>
                <w:highlight w:val="none"/>
                <w:lang w:eastAsia="zh-CN"/>
              </w:rPr>
              <w:t>学历证书</w:t>
            </w:r>
            <w:r>
              <w:rPr>
                <w:rFonts w:hint="eastAsia" w:ascii="宋体" w:hAnsi="宋体" w:cs="宋体"/>
                <w:b w:val="0"/>
                <w:bCs w:val="0"/>
                <w:color w:val="auto"/>
                <w:szCs w:val="21"/>
                <w:highlight w:val="none"/>
                <w:lang w:val="en-US" w:eastAsia="zh-CN"/>
              </w:rPr>
              <w:t>以及提供学信网查询记录，对于较早颁发的学历证书，学信网无法查询的，除提供证书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w:t>
            </w:r>
            <w:r>
              <w:rPr>
                <w:rFonts w:hint="eastAsia" w:ascii="宋体" w:hAnsi="宋体" w:eastAsia="宋体" w:cs="宋体"/>
                <w:b w:val="0"/>
                <w:bCs w:val="0"/>
                <w:color w:val="auto"/>
                <w:szCs w:val="21"/>
                <w:highlight w:val="none"/>
                <w:lang w:val="en-US" w:eastAsia="zh-CN"/>
              </w:rPr>
              <w:t>学历认证书</w:t>
            </w:r>
            <w:r>
              <w:rPr>
                <w:rFonts w:hint="eastAsia" w:ascii="宋体" w:hAnsi="宋体" w:cs="宋体"/>
                <w:b w:val="0"/>
                <w:bCs w:val="0"/>
                <w:color w:val="auto"/>
                <w:szCs w:val="21"/>
                <w:highlight w:val="none"/>
                <w:lang w:val="en-US" w:eastAsia="zh-CN"/>
              </w:rPr>
              <w:t>扫描件【或教育部留学服务中心网站（http://zwfw.cscse.edu.cn/）在线查询截图】也予以认可；证明材料均提供扫描件，原件备查；</w:t>
            </w:r>
          </w:p>
          <w:p w14:paraId="0168A8F8">
            <w:pPr>
              <w:pStyle w:val="8"/>
              <w:adjustRightInd w:val="0"/>
              <w:snapToGrid w:val="0"/>
              <w:spacing w:line="320" w:lineRule="exact"/>
              <w:jc w:val="lef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.服务经验：提供项目服务合同关键页</w:t>
            </w:r>
            <w:r>
              <w:rPr>
                <w:rFonts w:hint="eastAsia" w:ascii="宋体" w:hAnsi="宋体" w:cs="宋体"/>
                <w:b w:val="0"/>
                <w:bCs w:val="0"/>
                <w:color w:val="auto"/>
                <w:sz w:val="21"/>
                <w:szCs w:val="21"/>
                <w:highlight w:val="none"/>
                <w:lang w:val="en-US" w:eastAsia="zh-CN"/>
              </w:rPr>
              <w:t>（包含服务名称、服务内容、服务期限、合同双方盖章页、合同签订时间页）</w:t>
            </w:r>
            <w:r>
              <w:rPr>
                <w:rFonts w:hint="eastAsia" w:ascii="宋体" w:hAnsi="宋体" w:cs="宋体"/>
                <w:b w:val="0"/>
                <w:bCs w:val="0"/>
                <w:color w:val="auto"/>
                <w:sz w:val="21"/>
                <w:szCs w:val="21"/>
                <w:highlight w:val="none"/>
                <w:lang w:eastAsia="zh-CN"/>
              </w:rPr>
              <w:t>及中标通知书</w:t>
            </w:r>
            <w:r>
              <w:rPr>
                <w:rFonts w:hint="eastAsia" w:ascii="宋体" w:hAnsi="宋体" w:cs="宋体"/>
                <w:b w:val="0"/>
                <w:bCs w:val="0"/>
                <w:color w:val="auto"/>
                <w:sz w:val="21"/>
                <w:szCs w:val="21"/>
                <w:highlight w:val="none"/>
              </w:rPr>
              <w:t>，如项目服务合同</w:t>
            </w:r>
            <w:r>
              <w:rPr>
                <w:rFonts w:hint="eastAsia" w:ascii="宋体" w:hAnsi="宋体" w:cs="宋体"/>
                <w:b w:val="0"/>
                <w:bCs w:val="0"/>
                <w:color w:val="auto"/>
                <w:sz w:val="21"/>
                <w:szCs w:val="21"/>
                <w:highlight w:val="none"/>
                <w:lang w:eastAsia="zh-CN"/>
              </w:rPr>
              <w:t>或中标通知书</w:t>
            </w:r>
            <w:r>
              <w:rPr>
                <w:rFonts w:hint="eastAsia" w:ascii="宋体" w:hAnsi="宋体" w:cs="宋体"/>
                <w:b w:val="0"/>
                <w:bCs w:val="0"/>
                <w:color w:val="auto"/>
                <w:sz w:val="21"/>
                <w:szCs w:val="21"/>
                <w:highlight w:val="none"/>
              </w:rPr>
              <w:t>不能证明项目负责人服务经验的，</w:t>
            </w:r>
            <w:r>
              <w:rPr>
                <w:rFonts w:hint="eastAsia" w:ascii="宋体" w:hAnsi="宋体" w:cs="宋体"/>
                <w:b w:val="0"/>
                <w:bCs w:val="0"/>
                <w:color w:val="auto"/>
                <w:sz w:val="21"/>
                <w:szCs w:val="21"/>
                <w:highlight w:val="none"/>
                <w:lang w:eastAsia="zh-CN"/>
              </w:rPr>
              <w:t>则不视为有效证明；</w:t>
            </w:r>
          </w:p>
          <w:p w14:paraId="0A8672E0">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.评分中出现无证明资料或者专家无法凭所提供资料判断是否得分的情况，一律做不得分处理。</w:t>
            </w:r>
          </w:p>
          <w:p w14:paraId="2B1BB09F">
            <w:pPr>
              <w:keepNext w:val="0"/>
              <w:keepLines w:val="0"/>
              <w:pageBreakBefore w:val="0"/>
              <w:widowControl w:val="0"/>
              <w:kinsoku/>
              <w:wordWrap/>
              <w:overflowPunct/>
              <w:topLinePunct w:val="0"/>
              <w:bidi w:val="0"/>
              <w:spacing w:line="240" w:lineRule="auto"/>
              <w:textAlignment w:val="auto"/>
              <w:rPr>
                <w:rFonts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.投标人为总公司的，该投标人自身及其落地分公司的人员均符合要求；投标人为分公司的，仅该投标人自身的人员符合要求，总公司或其他分公司的人员不予认可。</w:t>
            </w:r>
          </w:p>
        </w:tc>
      </w:tr>
      <w:tr w14:paraId="2B3F6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6269667">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6352072E">
            <w:pPr>
              <w:wordWrap w:val="0"/>
              <w:adjustRightInd w:val="0"/>
              <w:snapToGrid w:val="0"/>
              <w:spacing w:line="32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lang w:val="en-US" w:eastAsia="zh-CN"/>
              </w:rPr>
              <w:t>8</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56681E92">
            <w:pPr>
              <w:wordWrap w:val="0"/>
              <w:adjustRightInd w:val="0"/>
              <w:snapToGrid w:val="0"/>
              <w:spacing w:line="320" w:lineRule="exact"/>
              <w:jc w:val="center"/>
              <w:rPr>
                <w:rFonts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偿付能力充足率</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793A8DF">
            <w:pPr>
              <w:wordWrap w:val="0"/>
              <w:adjustRightInd w:val="0"/>
              <w:snapToGrid w:val="0"/>
              <w:spacing w:line="32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lang w:val="en-US" w:eastAsia="zh-CN"/>
              </w:rPr>
              <w:t>5</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758A5B7E">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（一）评分内容：</w:t>
            </w:r>
          </w:p>
          <w:p w14:paraId="71FEF032">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（如投标人为分公司的，则以总公司的综合偿付能力充足率为准）</w:t>
            </w:r>
          </w:p>
          <w:p w14:paraId="1CCF5D39">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考察投标人202</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综合偿付能力充足率</w:t>
            </w:r>
            <w:r>
              <w:rPr>
                <w:rFonts w:hint="eastAsia" w:ascii="宋体" w:hAnsi="宋体" w:eastAsia="宋体" w:cs="宋体"/>
                <w:b w:val="0"/>
                <w:bCs w:val="0"/>
                <w:color w:val="auto"/>
                <w:sz w:val="21"/>
                <w:szCs w:val="21"/>
                <w:highlight w:val="none"/>
                <w:lang w:eastAsia="zh-CN"/>
              </w:rPr>
              <w:t>：</w:t>
            </w:r>
          </w:p>
          <w:p w14:paraId="31C80931">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综合偿付能力充足率≥150%，得100分；</w:t>
            </w:r>
          </w:p>
          <w:p w14:paraId="48656154">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≤综合偿付能力充足率</w:t>
            </w:r>
            <w:r>
              <w:rPr>
                <w:rFonts w:hint="eastAsia" w:ascii="宋体" w:hAnsi="宋体" w:eastAsia="宋体" w:cs="宋体"/>
                <w:b w:val="0"/>
                <w:bCs w:val="0"/>
                <w:color w:val="auto"/>
                <w:sz w:val="21"/>
                <w:szCs w:val="21"/>
                <w:highlight w:val="none"/>
                <w:lang w:val="en-US" w:eastAsia="zh-CN"/>
              </w:rPr>
              <w:t>&lt;</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0%，得</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0分；</w:t>
            </w:r>
          </w:p>
          <w:p w14:paraId="1673700F">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综合偿付能力充足率＜</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0%，不得分。</w:t>
            </w:r>
          </w:p>
          <w:p w14:paraId="586980A2">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本项最高得100分。</w:t>
            </w:r>
          </w:p>
          <w:p w14:paraId="69AE6E7C">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（二）评分依据：</w:t>
            </w:r>
          </w:p>
          <w:p w14:paraId="0C9995FB">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202</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年的经披露的综合偿付能力报告扫描件</w:t>
            </w:r>
            <w:r>
              <w:rPr>
                <w:rFonts w:hint="eastAsia" w:ascii="宋体" w:hAnsi="宋体" w:eastAsia="宋体" w:cs="宋体"/>
                <w:b w:val="0"/>
                <w:bCs w:val="0"/>
                <w:color w:val="auto"/>
                <w:sz w:val="21"/>
                <w:szCs w:val="21"/>
                <w:highlight w:val="none"/>
                <w:lang w:val="en-US" w:eastAsia="zh-CN"/>
              </w:rPr>
              <w:t>和该报告在</w:t>
            </w:r>
            <w:r>
              <w:rPr>
                <w:rFonts w:hint="eastAsia" w:ascii="宋体" w:hAnsi="宋体" w:eastAsia="宋体" w:cs="宋体"/>
                <w:b w:val="0"/>
                <w:bCs w:val="0"/>
                <w:color w:val="auto"/>
                <w:sz w:val="21"/>
                <w:szCs w:val="21"/>
                <w:highlight w:val="none"/>
                <w:lang w:val="en-US"/>
              </w:rPr>
              <w:t>中国保险行业协会官方网站</w:t>
            </w:r>
            <w:r>
              <w:rPr>
                <w:rFonts w:hint="eastAsia" w:ascii="宋体" w:hAnsi="宋体" w:eastAsia="宋体" w:cs="宋体"/>
                <w:b w:val="0"/>
                <w:bCs w:val="0"/>
                <w:color w:val="auto"/>
                <w:sz w:val="21"/>
                <w:szCs w:val="21"/>
                <w:highlight w:val="none"/>
                <w:lang w:val="en-US" w:eastAsia="zh-CN"/>
              </w:rPr>
              <w:t>的截图。</w:t>
            </w:r>
            <w:r>
              <w:rPr>
                <w:rFonts w:hint="eastAsia" w:hAnsi="宋体" w:cs="宋体"/>
                <w:b w:val="0"/>
                <w:bCs w:val="0"/>
                <w:color w:val="auto"/>
                <w:sz w:val="21"/>
                <w:szCs w:val="21"/>
                <w:highlight w:val="none"/>
                <w:lang w:val="en-US" w:eastAsia="zh-CN"/>
              </w:rPr>
              <w:t>查询链接：</w:t>
            </w:r>
            <w:r>
              <w:rPr>
                <w:rFonts w:hint="eastAsia"/>
                <w:highlight w:val="none"/>
              </w:rPr>
              <w:t>https://icidp.iachina.cn/?columnid_url=2015120115460095</w:t>
            </w:r>
          </w:p>
          <w:p w14:paraId="6E987B5F">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未按要求提供相关证明材料（或相关证明材料无法判断是否符合评分要求）的不计得分，原件备查。</w:t>
            </w:r>
          </w:p>
          <w:p w14:paraId="78B4A675">
            <w:pPr>
              <w:pStyle w:val="195"/>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val="0"/>
                <w:bCs w:val="0"/>
                <w:color w:val="auto"/>
                <w:kern w:val="0"/>
                <w:sz w:val="21"/>
                <w:szCs w:val="21"/>
                <w:highlight w:val="none"/>
                <w:lang w:val="en-US" w:eastAsia="zh-CN" w:bidi="ar-SA"/>
              </w:rPr>
            </w:pPr>
            <w:r>
              <w:rPr>
                <w:rFonts w:hint="eastAsia" w:hAnsi="宋体" w:cs="宋体"/>
                <w:b w:val="0"/>
                <w:bCs w:val="0"/>
                <w:color w:val="auto"/>
                <w:sz w:val="21"/>
                <w:szCs w:val="21"/>
                <w:highlight w:val="none"/>
                <w:lang w:val="en-US" w:eastAsia="zh-CN"/>
              </w:rPr>
              <w:t>3.如投标人为成立时间不足一年的新成立单位（自招标公示之日起回算），未被上述统计表纳入数据统计的，提供经营无异常相关情况说明（格式自拟，加盖投标人公章），均视为得100分。除前述以外的其他情形，如公开渠道无法查询数据信息，且无法提供合理情况说明的（格式自拟，加盖投标人公章），本项不得分。</w:t>
            </w:r>
          </w:p>
        </w:tc>
      </w:tr>
      <w:tr w14:paraId="2DE64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17C19C2">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03443A28">
            <w:pPr>
              <w:wordWrap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1EE7BE26">
            <w:pPr>
              <w:wordWrap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风险综合评级</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7F569F3">
            <w:pPr>
              <w:wordWrap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0ED2CB68">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（一）评分内容：</w:t>
            </w:r>
          </w:p>
          <w:p w14:paraId="468B4B84">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考察投标人总公司2024年第</w:t>
            </w:r>
            <w:r>
              <w:rPr>
                <w:rFonts w:hint="eastAsia" w:ascii="宋体" w:hAnsi="宋体"/>
                <w:b w:val="0"/>
                <w:bCs w:val="0"/>
                <w:color w:val="auto"/>
                <w:szCs w:val="21"/>
                <w:highlight w:val="none"/>
                <w:lang w:val="en-US" w:eastAsia="zh-CN"/>
              </w:rPr>
              <w:t>二</w:t>
            </w:r>
            <w:r>
              <w:rPr>
                <w:rFonts w:hint="eastAsia" w:ascii="宋体" w:hAnsi="宋体"/>
                <w:b w:val="0"/>
                <w:bCs w:val="0"/>
                <w:color w:val="auto"/>
                <w:szCs w:val="21"/>
                <w:highlight w:val="none"/>
              </w:rPr>
              <w:t>季度和第</w:t>
            </w:r>
            <w:r>
              <w:rPr>
                <w:rFonts w:hint="eastAsia" w:ascii="宋体" w:hAnsi="宋体"/>
                <w:b w:val="0"/>
                <w:bCs w:val="0"/>
                <w:color w:val="auto"/>
                <w:szCs w:val="21"/>
                <w:highlight w:val="none"/>
                <w:lang w:val="en-US" w:eastAsia="zh-CN"/>
              </w:rPr>
              <w:t>三</w:t>
            </w:r>
            <w:r>
              <w:rPr>
                <w:rFonts w:hint="eastAsia" w:ascii="宋体" w:hAnsi="宋体"/>
                <w:b w:val="0"/>
                <w:bCs w:val="0"/>
                <w:color w:val="auto"/>
                <w:szCs w:val="21"/>
                <w:highlight w:val="none"/>
              </w:rPr>
              <w:t>季度的风险综合评级：</w:t>
            </w:r>
          </w:p>
          <w:p w14:paraId="638BDF35">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1.2024年度第</w:t>
            </w:r>
            <w:r>
              <w:rPr>
                <w:rFonts w:hint="eastAsia" w:ascii="宋体" w:hAnsi="宋体"/>
                <w:b w:val="0"/>
                <w:bCs w:val="0"/>
                <w:color w:val="auto"/>
                <w:szCs w:val="21"/>
                <w:highlight w:val="none"/>
                <w:lang w:val="en-US" w:eastAsia="zh-CN"/>
              </w:rPr>
              <w:t>二</w:t>
            </w:r>
            <w:r>
              <w:rPr>
                <w:rFonts w:hint="eastAsia" w:ascii="宋体" w:hAnsi="宋体"/>
                <w:b w:val="0"/>
                <w:bCs w:val="0"/>
                <w:color w:val="auto"/>
                <w:szCs w:val="21"/>
                <w:highlight w:val="none"/>
              </w:rPr>
              <w:t>季度和第</w:t>
            </w:r>
            <w:r>
              <w:rPr>
                <w:rFonts w:hint="eastAsia" w:ascii="宋体" w:hAnsi="宋体"/>
                <w:b w:val="0"/>
                <w:bCs w:val="0"/>
                <w:color w:val="auto"/>
                <w:szCs w:val="21"/>
                <w:highlight w:val="none"/>
                <w:lang w:val="en-US" w:eastAsia="zh-CN"/>
              </w:rPr>
              <w:t>三</w:t>
            </w:r>
            <w:r>
              <w:rPr>
                <w:rFonts w:hint="eastAsia" w:ascii="宋体" w:hAnsi="宋体"/>
                <w:b w:val="0"/>
                <w:bCs w:val="0"/>
                <w:color w:val="auto"/>
                <w:szCs w:val="21"/>
                <w:highlight w:val="none"/>
              </w:rPr>
              <w:t>季度风险综合评级均为BBB及以上，得100分；</w:t>
            </w:r>
          </w:p>
          <w:p w14:paraId="3D3D4E45">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2.2024年度第</w:t>
            </w:r>
            <w:r>
              <w:rPr>
                <w:rFonts w:hint="eastAsia" w:ascii="宋体" w:hAnsi="宋体"/>
                <w:b w:val="0"/>
                <w:bCs w:val="0"/>
                <w:color w:val="auto"/>
                <w:szCs w:val="21"/>
                <w:highlight w:val="none"/>
                <w:lang w:val="en-US" w:eastAsia="zh-CN"/>
              </w:rPr>
              <w:t>二</w:t>
            </w:r>
            <w:r>
              <w:rPr>
                <w:rFonts w:hint="eastAsia" w:ascii="宋体" w:hAnsi="宋体"/>
                <w:b w:val="0"/>
                <w:bCs w:val="0"/>
                <w:color w:val="auto"/>
                <w:szCs w:val="21"/>
                <w:highlight w:val="none"/>
              </w:rPr>
              <w:t>季度和第</w:t>
            </w:r>
            <w:r>
              <w:rPr>
                <w:rFonts w:hint="eastAsia" w:ascii="宋体" w:hAnsi="宋体"/>
                <w:b w:val="0"/>
                <w:bCs w:val="0"/>
                <w:color w:val="auto"/>
                <w:szCs w:val="21"/>
                <w:highlight w:val="none"/>
                <w:lang w:val="en-US" w:eastAsia="zh-CN"/>
              </w:rPr>
              <w:t>三</w:t>
            </w:r>
            <w:r>
              <w:rPr>
                <w:rFonts w:hint="eastAsia" w:ascii="宋体" w:hAnsi="宋体"/>
                <w:b w:val="0"/>
                <w:bCs w:val="0"/>
                <w:color w:val="auto"/>
                <w:szCs w:val="21"/>
                <w:highlight w:val="none"/>
              </w:rPr>
              <w:t>季度风险综合评级均为BB及以上，得50分；</w:t>
            </w:r>
          </w:p>
          <w:p w14:paraId="1ADF54CC">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3.2024年度第</w:t>
            </w:r>
            <w:r>
              <w:rPr>
                <w:rFonts w:hint="eastAsia" w:ascii="宋体" w:hAnsi="宋体"/>
                <w:b w:val="0"/>
                <w:bCs w:val="0"/>
                <w:color w:val="auto"/>
                <w:szCs w:val="21"/>
                <w:highlight w:val="none"/>
                <w:lang w:val="en-US" w:eastAsia="zh-CN"/>
              </w:rPr>
              <w:t>二</w:t>
            </w:r>
            <w:r>
              <w:rPr>
                <w:rFonts w:hint="eastAsia" w:ascii="宋体" w:hAnsi="宋体"/>
                <w:b w:val="0"/>
                <w:bCs w:val="0"/>
                <w:color w:val="auto"/>
                <w:szCs w:val="21"/>
                <w:highlight w:val="none"/>
              </w:rPr>
              <w:t>季度和第</w:t>
            </w:r>
            <w:r>
              <w:rPr>
                <w:rFonts w:hint="eastAsia" w:ascii="宋体" w:hAnsi="宋体"/>
                <w:b w:val="0"/>
                <w:bCs w:val="0"/>
                <w:color w:val="auto"/>
                <w:szCs w:val="21"/>
                <w:highlight w:val="none"/>
                <w:lang w:val="en-US" w:eastAsia="zh-CN"/>
              </w:rPr>
              <w:t>三</w:t>
            </w:r>
            <w:r>
              <w:rPr>
                <w:rFonts w:hint="eastAsia" w:ascii="宋体" w:hAnsi="宋体"/>
                <w:b w:val="0"/>
                <w:bCs w:val="0"/>
                <w:color w:val="auto"/>
                <w:szCs w:val="21"/>
                <w:highlight w:val="none"/>
              </w:rPr>
              <w:t>季度任一季度风险综合评级为BB以下，不得分。</w:t>
            </w:r>
          </w:p>
          <w:p w14:paraId="1CDB9315">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（二）评分依据：</w:t>
            </w:r>
          </w:p>
          <w:p w14:paraId="6BEC88A6">
            <w:pPr>
              <w:adjustRightInd w:val="0"/>
              <w:snapToGrid w:val="0"/>
              <w:rPr>
                <w:rFonts w:ascii="宋体" w:hAnsi="宋体"/>
                <w:b w:val="0"/>
                <w:bCs w:val="0"/>
                <w:color w:val="auto"/>
                <w:szCs w:val="21"/>
                <w:highlight w:val="none"/>
              </w:rPr>
            </w:pPr>
            <w:r>
              <w:rPr>
                <w:rFonts w:hint="eastAsia" w:ascii="宋体" w:hAnsi="宋体"/>
                <w:b w:val="0"/>
                <w:bCs w:val="0"/>
                <w:color w:val="auto"/>
                <w:szCs w:val="21"/>
                <w:highlight w:val="none"/>
              </w:rPr>
              <w:t>1.提供2024年第</w:t>
            </w:r>
            <w:r>
              <w:rPr>
                <w:rFonts w:hint="eastAsia" w:ascii="宋体" w:hAnsi="宋体"/>
                <w:b w:val="0"/>
                <w:bCs w:val="0"/>
                <w:color w:val="auto"/>
                <w:szCs w:val="21"/>
                <w:highlight w:val="none"/>
                <w:lang w:val="en-US" w:eastAsia="zh-CN"/>
              </w:rPr>
              <w:t>二</w:t>
            </w:r>
            <w:r>
              <w:rPr>
                <w:rFonts w:hint="eastAsia" w:ascii="宋体" w:hAnsi="宋体"/>
                <w:b w:val="0"/>
                <w:bCs w:val="0"/>
                <w:color w:val="auto"/>
                <w:szCs w:val="21"/>
                <w:highlight w:val="none"/>
              </w:rPr>
              <w:t>季度和第</w:t>
            </w:r>
            <w:r>
              <w:rPr>
                <w:rFonts w:hint="eastAsia" w:ascii="宋体" w:hAnsi="宋体"/>
                <w:b w:val="0"/>
                <w:bCs w:val="0"/>
                <w:color w:val="auto"/>
                <w:szCs w:val="21"/>
                <w:highlight w:val="none"/>
                <w:lang w:val="en-US" w:eastAsia="zh-CN"/>
              </w:rPr>
              <w:t>三</w:t>
            </w:r>
            <w:r>
              <w:rPr>
                <w:rFonts w:hint="eastAsia" w:ascii="宋体" w:hAnsi="宋体"/>
                <w:b w:val="0"/>
                <w:bCs w:val="0"/>
                <w:color w:val="auto"/>
                <w:szCs w:val="21"/>
                <w:highlight w:val="none"/>
              </w:rPr>
              <w:t>季度的国家金融监督管理总局偿付能力监管信息系统评级结果截图或国家金融监督管理总局下发的通报文件。</w:t>
            </w:r>
          </w:p>
          <w:p w14:paraId="77C92DA8">
            <w:pPr>
              <w:wordWrap w:val="0"/>
              <w:rPr>
                <w:rFonts w:ascii="宋体" w:hAnsi="宋体" w:cs="宋体"/>
                <w:color w:val="auto"/>
                <w:szCs w:val="21"/>
                <w:highlight w:val="none"/>
              </w:rPr>
            </w:pPr>
            <w:r>
              <w:rPr>
                <w:rFonts w:hint="eastAsia" w:ascii="宋体" w:hAnsi="宋体"/>
                <w:b w:val="0"/>
                <w:bCs w:val="0"/>
                <w:color w:val="auto"/>
                <w:szCs w:val="21"/>
                <w:highlight w:val="none"/>
              </w:rPr>
              <w:t>2.未按要求提供相关证明材料（或相关证明材料无法判断是否符合评分要求）的不计得分，原件备查。</w:t>
            </w:r>
          </w:p>
        </w:tc>
      </w:tr>
      <w:tr w14:paraId="5A693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7924F45E">
            <w:pPr>
              <w:wordWrap w:val="0"/>
              <w:jc w:val="center"/>
              <w:rPr>
                <w:rFonts w:ascii="宋体" w:hAnsi="宋体" w:cs="宋体"/>
                <w:b/>
                <w:bCs/>
                <w:color w:val="auto"/>
                <w:sz w:val="24"/>
                <w:highlight w:val="none"/>
              </w:rPr>
            </w:pPr>
            <w:r>
              <w:rPr>
                <w:b/>
                <w:bCs/>
                <w:color w:val="auto"/>
                <w:highlight w:val="none"/>
              </w:rPr>
              <w:t>3</w:t>
            </w:r>
          </w:p>
        </w:tc>
        <w:tc>
          <w:tcPr>
            <w:tcW w:w="2570" w:type="dxa"/>
            <w:gridSpan w:val="3"/>
            <w:tcBorders>
              <w:top w:val="single" w:color="000000" w:sz="8" w:space="0"/>
              <w:left w:val="single" w:color="000000" w:sz="8" w:space="0"/>
              <w:bottom w:val="single" w:color="000000" w:sz="8" w:space="0"/>
              <w:right w:val="single" w:color="000000" w:sz="8" w:space="0"/>
            </w:tcBorders>
            <w:noWrap w:val="0"/>
            <w:vAlign w:val="top"/>
          </w:tcPr>
          <w:p w14:paraId="34E97C42">
            <w:pPr>
              <w:wordWrap w:val="0"/>
              <w:jc w:val="center"/>
              <w:rPr>
                <w:rFonts w:ascii="宋体" w:hAnsi="宋体" w:cs="宋体"/>
                <w:b/>
                <w:bCs/>
                <w:color w:val="auto"/>
                <w:sz w:val="24"/>
                <w:highlight w:val="none"/>
              </w:rPr>
            </w:pPr>
            <w:r>
              <w:rPr>
                <w:b/>
                <w:bCs/>
                <w:color w:val="auto"/>
                <w:highlight w:val="none"/>
              </w:rPr>
              <w:t>综合实力</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51D12387">
            <w:pPr>
              <w:wordWrap w:val="0"/>
              <w:jc w:val="center"/>
              <w:rPr>
                <w:rFonts w:hint="eastAsia" w:ascii="宋体" w:hAnsi="宋体" w:eastAsia="宋体" w:cs="宋体"/>
                <w:b/>
                <w:bCs/>
                <w:color w:val="auto"/>
                <w:sz w:val="24"/>
                <w:highlight w:val="none"/>
                <w:lang w:val="en-US" w:eastAsia="zh-CN"/>
              </w:rPr>
            </w:pPr>
            <w:r>
              <w:rPr>
                <w:rFonts w:hint="default" w:ascii="宋体" w:hAnsi="宋体" w:cs="宋体"/>
                <w:b/>
                <w:bCs/>
                <w:color w:val="auto"/>
                <w:sz w:val="24"/>
                <w:highlight w:val="none"/>
                <w:lang w:val="en"/>
              </w:rPr>
              <w:t>2</w:t>
            </w:r>
            <w:r>
              <w:rPr>
                <w:rFonts w:hint="eastAsia" w:ascii="宋体" w:hAnsi="宋体" w:cs="宋体"/>
                <w:b/>
                <w:bCs/>
                <w:color w:val="auto"/>
                <w:sz w:val="24"/>
                <w:highlight w:val="none"/>
                <w:lang w:val="en-US" w:eastAsia="zh-CN"/>
              </w:rPr>
              <w:t>5</w:t>
            </w:r>
          </w:p>
        </w:tc>
      </w:tr>
      <w:tr w14:paraId="1F134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66A0D42">
            <w:pPr>
              <w:rPr>
                <w:rFonts w:ascii="宋体" w:hAnsi="宋体" w:cs="宋体"/>
                <w:b/>
                <w:bCs/>
                <w:color w:val="auto"/>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22015F60">
            <w:pPr>
              <w:wordWrap w:val="0"/>
              <w:rPr>
                <w:rFonts w:ascii="宋体" w:hAnsi="宋体" w:cs="宋体"/>
                <w:color w:val="auto"/>
                <w:szCs w:val="21"/>
                <w:highlight w:val="none"/>
              </w:rPr>
            </w:pPr>
          </w:p>
        </w:tc>
      </w:tr>
      <w:tr w14:paraId="70A95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2A78779">
            <w:pPr>
              <w:rPr>
                <w:rFonts w:ascii="宋体" w:hAnsi="宋体" w:cs="宋体"/>
                <w:b/>
                <w:bCs/>
                <w:color w:val="auto"/>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53503C2">
            <w:pPr>
              <w:wordWrap w:val="0"/>
              <w:jc w:val="center"/>
              <w:rPr>
                <w:rFonts w:ascii="宋体" w:hAnsi="宋体" w:cs="宋体"/>
                <w:color w:val="auto"/>
                <w:szCs w:val="21"/>
                <w:highlight w:val="none"/>
              </w:rPr>
            </w:pPr>
            <w:r>
              <w:rPr>
                <w:color w:val="auto"/>
                <w:szCs w:val="21"/>
                <w:highlight w:val="none"/>
              </w:rPr>
              <w:t>序号</w:t>
            </w:r>
          </w:p>
        </w:tc>
        <w:tc>
          <w:tcPr>
            <w:tcW w:w="9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F653798">
            <w:pPr>
              <w:wordWrap w:val="0"/>
              <w:jc w:val="center"/>
              <w:rPr>
                <w:rFonts w:ascii="宋体" w:hAnsi="宋体" w:cs="宋体"/>
                <w:color w:val="auto"/>
                <w:szCs w:val="21"/>
                <w:highlight w:val="none"/>
              </w:rPr>
            </w:pPr>
            <w:r>
              <w:rPr>
                <w:color w:val="auto"/>
                <w:szCs w:val="21"/>
                <w:highlight w:val="none"/>
              </w:rPr>
              <w:t>评分因素</w:t>
            </w:r>
          </w:p>
        </w:tc>
        <w:tc>
          <w:tcPr>
            <w:tcW w:w="96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03FA431">
            <w:pPr>
              <w:wordWrap w:val="0"/>
              <w:jc w:val="center"/>
              <w:rPr>
                <w:rFonts w:ascii="宋体" w:hAnsi="宋体" w:cs="宋体"/>
                <w:color w:val="auto"/>
                <w:szCs w:val="21"/>
                <w:highlight w:val="none"/>
              </w:rPr>
            </w:pPr>
            <w:r>
              <w:rPr>
                <w:color w:val="auto"/>
                <w:szCs w:val="21"/>
                <w:highlight w:val="none"/>
              </w:rPr>
              <w:t>权重(%)</w:t>
            </w:r>
          </w:p>
        </w:tc>
        <w:tc>
          <w:tcPr>
            <w:tcW w:w="582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C81E19A">
            <w:pPr>
              <w:wordWrap w:val="0"/>
              <w:jc w:val="center"/>
              <w:rPr>
                <w:rFonts w:ascii="宋体" w:hAnsi="宋体" w:cs="宋体"/>
                <w:color w:val="auto"/>
                <w:szCs w:val="21"/>
                <w:highlight w:val="none"/>
              </w:rPr>
            </w:pPr>
            <w:r>
              <w:rPr>
                <w:color w:val="auto"/>
                <w:szCs w:val="21"/>
                <w:highlight w:val="none"/>
              </w:rPr>
              <w:t>评分准则</w:t>
            </w:r>
          </w:p>
        </w:tc>
      </w:tr>
      <w:tr w14:paraId="0FD4F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178C12C">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04B52FCA">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1D1D8744">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同类项目业绩</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4AC64B0">
            <w:pPr>
              <w:wordWrap w:val="0"/>
              <w:adjustRightInd w:val="0"/>
              <w:snapToGrid w:val="0"/>
              <w:spacing w:line="32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10</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4ABBA60F">
            <w:pPr>
              <w:pStyle w:val="18"/>
              <w:snapToGrid w:val="0"/>
              <w:spacing w:line="320" w:lineRule="exact"/>
              <w:rPr>
                <w:rFonts w:hAnsi="宋体" w:cs="宋体"/>
                <w:b/>
                <w:bCs/>
                <w:color w:val="auto"/>
                <w:sz w:val="21"/>
                <w:szCs w:val="21"/>
                <w:highlight w:val="none"/>
              </w:rPr>
            </w:pPr>
            <w:r>
              <w:rPr>
                <w:rFonts w:hint="eastAsia" w:hAnsi="宋体" w:cs="宋体"/>
                <w:b/>
                <w:bCs/>
                <w:color w:val="auto"/>
                <w:sz w:val="21"/>
                <w:szCs w:val="21"/>
                <w:highlight w:val="none"/>
              </w:rPr>
              <w:t>（一）评分内容：</w:t>
            </w:r>
          </w:p>
          <w:p w14:paraId="435980A9">
            <w:pPr>
              <w:pStyle w:val="18"/>
              <w:snapToGrid w:val="0"/>
              <w:spacing w:line="320" w:lineRule="exact"/>
              <w:rPr>
                <w:rFonts w:hint="eastAsia" w:ascii="宋体" w:hAnsi="宋体" w:eastAsia="宋体" w:cs="宋体"/>
                <w:b w:val="0"/>
                <w:bCs w:val="0"/>
                <w:color w:val="auto"/>
                <w:kern w:val="2"/>
                <w:sz w:val="21"/>
                <w:szCs w:val="21"/>
                <w:highlight w:val="none"/>
                <w:lang w:val="en-US" w:eastAsia="zh-CN"/>
              </w:rPr>
            </w:pPr>
            <w:r>
              <w:rPr>
                <w:rFonts w:hint="eastAsia" w:hAnsi="宋体" w:cs="宋体"/>
                <w:color w:val="auto"/>
                <w:sz w:val="21"/>
                <w:szCs w:val="21"/>
                <w:highlight w:val="none"/>
              </w:rPr>
              <w:t>投标人自202</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年至本项目投标截止</w:t>
            </w:r>
            <w:r>
              <w:rPr>
                <w:rFonts w:hint="eastAsia" w:hAnsi="宋体" w:cs="宋体"/>
                <w:color w:val="auto"/>
                <w:sz w:val="21"/>
                <w:szCs w:val="21"/>
                <w:highlight w:val="none"/>
                <w:lang w:val="en-US" w:eastAsia="zh-CN"/>
              </w:rPr>
              <w:t>之日</w:t>
            </w:r>
            <w:r>
              <w:rPr>
                <w:rFonts w:hint="eastAsia" w:hAnsi="宋体" w:cs="宋体"/>
                <w:color w:val="auto"/>
                <w:sz w:val="21"/>
                <w:szCs w:val="21"/>
                <w:highlight w:val="none"/>
              </w:rPr>
              <w:t>（</w:t>
            </w:r>
            <w:r>
              <w:rPr>
                <w:rFonts w:hint="eastAsia" w:ascii="宋体" w:hAnsi="宋体" w:eastAsia="宋体" w:cs="宋体"/>
                <w:b w:val="0"/>
                <w:bCs w:val="0"/>
                <w:color w:val="auto"/>
                <w:sz w:val="21"/>
                <w:szCs w:val="21"/>
                <w:highlight w:val="none"/>
              </w:rPr>
              <w:t>以保险合同保险期限中起保时间为准</w:t>
            </w:r>
            <w:r>
              <w:rPr>
                <w:rFonts w:hint="eastAsia" w:hAnsi="宋体" w:cs="宋体"/>
                <w:color w:val="auto"/>
                <w:sz w:val="21"/>
                <w:szCs w:val="21"/>
                <w:highlight w:val="none"/>
              </w:rPr>
              <w:t>）</w:t>
            </w:r>
            <w:r>
              <w:rPr>
                <w:rFonts w:hint="eastAsia" w:hAnsi="宋体" w:cs="宋体"/>
                <w:color w:val="auto"/>
                <w:sz w:val="21"/>
                <w:szCs w:val="21"/>
                <w:highlight w:val="none"/>
                <w:lang w:eastAsia="zh-CN"/>
              </w:rPr>
              <w:t>（要求已出单）</w:t>
            </w:r>
            <w:r>
              <w:rPr>
                <w:rFonts w:hint="eastAsia" w:hAnsi="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具有国家机关（或事业单位）投保的团体意外保险经验</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每提供一项得25分，最高得100分。</w:t>
            </w:r>
          </w:p>
          <w:p w14:paraId="02388578">
            <w:pPr>
              <w:pStyle w:val="8"/>
              <w:adjustRightInd w:val="0"/>
              <w:snapToGrid w:val="0"/>
              <w:spacing w:line="320" w:lineRule="exact"/>
              <w:rPr>
                <w:rFonts w:ascii="宋体" w:hAnsi="宋体" w:cs="宋体"/>
                <w:color w:val="auto"/>
                <w:sz w:val="21"/>
                <w:szCs w:val="21"/>
                <w:highlight w:val="none"/>
              </w:rPr>
            </w:pPr>
            <w:r>
              <w:rPr>
                <w:rFonts w:hint="eastAsia" w:ascii="宋体" w:hAnsi="宋体" w:cs="宋体"/>
                <w:color w:val="auto"/>
                <w:sz w:val="21"/>
                <w:szCs w:val="21"/>
                <w:highlight w:val="none"/>
              </w:rPr>
              <w:t>（二）评分依据：</w:t>
            </w:r>
          </w:p>
          <w:p w14:paraId="6F0D8F22">
            <w:pPr>
              <w:pStyle w:val="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提供项目</w:t>
            </w:r>
            <w:r>
              <w:rPr>
                <w:rFonts w:hint="eastAsia" w:ascii="宋体" w:hAnsi="宋体" w:cs="宋体"/>
                <w:b w:val="0"/>
                <w:bCs w:val="0"/>
                <w:color w:val="auto"/>
                <w:sz w:val="21"/>
                <w:szCs w:val="21"/>
                <w:highlight w:val="none"/>
                <w:lang w:eastAsia="zh-CN"/>
              </w:rPr>
              <w:t>中标（成交）通知书、保险单及</w:t>
            </w:r>
            <w:r>
              <w:rPr>
                <w:rFonts w:hint="eastAsia" w:ascii="宋体" w:hAnsi="宋体" w:eastAsia="宋体" w:cs="宋体"/>
                <w:b w:val="0"/>
                <w:bCs w:val="0"/>
                <w:color w:val="auto"/>
                <w:sz w:val="21"/>
                <w:szCs w:val="21"/>
                <w:highlight w:val="none"/>
              </w:rPr>
              <w:t>保险合同</w:t>
            </w:r>
            <w:r>
              <w:rPr>
                <w:rFonts w:hint="eastAsia" w:ascii="宋体" w:hAnsi="宋体" w:cs="宋体"/>
                <w:b w:val="0"/>
                <w:bCs w:val="0"/>
                <w:color w:val="auto"/>
                <w:sz w:val="21"/>
                <w:szCs w:val="21"/>
                <w:highlight w:val="none"/>
                <w:lang w:eastAsia="zh-CN"/>
              </w:rPr>
              <w:t>关键页（包括但不限于以下内容：合同双方的名称、合同项目名称/险种、服务期限、合同双方签字盖章页）</w:t>
            </w:r>
            <w:r>
              <w:rPr>
                <w:rFonts w:hint="eastAsia" w:ascii="宋体" w:hAnsi="宋体" w:eastAsia="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需能体现上述评审内容，如上述证明材料无法体现上述评审内容的，</w:t>
            </w:r>
            <w:r>
              <w:rPr>
                <w:rFonts w:hint="eastAsia" w:ascii="宋体" w:hAnsi="宋体" w:cs="宋体"/>
                <w:b w:val="0"/>
                <w:bCs w:val="0"/>
                <w:color w:val="auto"/>
                <w:sz w:val="21"/>
                <w:szCs w:val="21"/>
                <w:highlight w:val="none"/>
                <w:lang w:eastAsia="zh-CN"/>
              </w:rPr>
              <w:t>则不视为有效证明</w:t>
            </w:r>
            <w:r>
              <w:rPr>
                <w:rFonts w:hint="eastAsia" w:ascii="宋体" w:hAnsi="宋体" w:eastAsia="宋体" w:cs="宋体"/>
                <w:b w:val="0"/>
                <w:bCs w:val="0"/>
                <w:color w:val="auto"/>
                <w:sz w:val="21"/>
                <w:szCs w:val="21"/>
                <w:highlight w:val="none"/>
              </w:rPr>
              <w:t>。</w:t>
            </w:r>
          </w:p>
          <w:p w14:paraId="07655B81">
            <w:pPr>
              <w:pStyle w:val="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评分中出现无证明资料或者专家无法凭所提供资料判断是否得分的情况，一律做不得分处理。项目名称相同、出具服务评价证明单位相同，但是经过重新组织招标、招标编号不同的，不属同一项目续签。</w:t>
            </w:r>
          </w:p>
          <w:p w14:paraId="439DCC18">
            <w:pPr>
              <w:pStyle w:val="8"/>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未按要求提供相关证明材料（或相关证明材料无法判断是否符合评分要求）的不计得分，原件备查。</w:t>
            </w:r>
          </w:p>
          <w:p w14:paraId="04E2B956">
            <w:pPr>
              <w:adjustRightInd w:val="0"/>
              <w:snapToGrid w:val="0"/>
              <w:spacing w:line="320" w:lineRule="exact"/>
              <w:rPr>
                <w:rFonts w:ascii="宋体" w:hAnsi="宋体" w:cs="宋体"/>
                <w:color w:val="auto"/>
                <w:szCs w:val="21"/>
                <w:highlight w:val="none"/>
              </w:rPr>
            </w:pPr>
            <w:r>
              <w:rPr>
                <w:rFonts w:hint="eastAsia" w:ascii="宋体" w:hAnsi="宋体" w:eastAsia="宋体" w:cs="宋体"/>
                <w:b w:val="0"/>
                <w:bCs w:val="0"/>
                <w:color w:val="auto"/>
                <w:sz w:val="21"/>
                <w:szCs w:val="21"/>
                <w:highlight w:val="none"/>
                <w:lang w:val="en-US" w:eastAsia="zh-CN"/>
              </w:rPr>
              <w:t>4.如投标人为总公司的，提供该投标人及其落地分公司的业绩均可得分；如投标人为分公司的，提供投标人自身的业绩可得分，提供总公司或其他分公司的业绩不得分。</w:t>
            </w:r>
          </w:p>
        </w:tc>
      </w:tr>
      <w:tr w14:paraId="3443A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86A56CB">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630F8FED">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3FE5A8A1">
            <w:pPr>
              <w:wordWrap w:val="0"/>
              <w:adjustRightInd w:val="0"/>
              <w:snapToGrid w:val="0"/>
              <w:spacing w:line="320" w:lineRule="exact"/>
              <w:jc w:val="center"/>
              <w:rPr>
                <w:rFonts w:ascii="宋体" w:hAnsi="宋体" w:cs="宋体"/>
                <w:color w:val="auto"/>
                <w:szCs w:val="21"/>
                <w:highlight w:val="none"/>
              </w:rPr>
            </w:pPr>
            <w:r>
              <w:rPr>
                <w:rFonts w:hint="eastAsia" w:ascii="宋体" w:hAnsi="宋体" w:eastAsia="宋体" w:cs="宋体"/>
                <w:color w:val="auto"/>
                <w:sz w:val="21"/>
                <w:szCs w:val="21"/>
                <w:highlight w:val="none"/>
                <w:lang w:eastAsia="zh-CN"/>
              </w:rPr>
              <w:t>客户评价情况</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CFC1BE2">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439D796E">
            <w:pPr>
              <w:pStyle w:val="8"/>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（一）评分内容：</w:t>
            </w:r>
          </w:p>
          <w:p w14:paraId="1CFD547A">
            <w:pPr>
              <w:pStyle w:val="8"/>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投标人每提供1个对应前述“同类项目业绩”评价为优/优秀/满意或同等评价的履约评价书，得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分，最高100分。</w:t>
            </w:r>
          </w:p>
          <w:p w14:paraId="7A0F7280">
            <w:pPr>
              <w:pStyle w:val="8"/>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（二）评分依据：</w:t>
            </w:r>
          </w:p>
          <w:p w14:paraId="75E78BF9">
            <w:pPr>
              <w:pStyle w:val="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投标人提供被服务单位总体履约评价为“优”或“优秀”或“满意”或“合格”的相关证明文件。</w:t>
            </w:r>
          </w:p>
          <w:p w14:paraId="1B7E5702">
            <w:pPr>
              <w:pStyle w:val="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655F80D6">
            <w:pPr>
              <w:pStyle w:val="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同一项目续签合同的不重复计分；</w:t>
            </w:r>
          </w:p>
          <w:p w14:paraId="61C38DCF">
            <w:pPr>
              <w:pStyle w:val="8"/>
              <w:spacing w:line="24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投保单位或其代表针对项目出具的履约评价视为投保人出具的</w:t>
            </w:r>
            <w:r>
              <w:rPr>
                <w:rFonts w:hint="eastAsia" w:ascii="宋体" w:hAnsi="宋体" w:cs="宋体"/>
                <w:b w:val="0"/>
                <w:bCs w:val="0"/>
                <w:color w:val="auto"/>
                <w:sz w:val="21"/>
                <w:szCs w:val="21"/>
                <w:highlight w:val="none"/>
                <w:lang w:val="en-US" w:eastAsia="zh-CN"/>
              </w:rPr>
              <w:t>加盖公章（或业务章）</w:t>
            </w:r>
            <w:r>
              <w:rPr>
                <w:rFonts w:hint="eastAsia" w:ascii="宋体" w:hAnsi="宋体" w:eastAsia="宋体" w:cs="宋体"/>
                <w:b w:val="0"/>
                <w:bCs w:val="0"/>
                <w:color w:val="auto"/>
                <w:sz w:val="21"/>
                <w:szCs w:val="21"/>
                <w:highlight w:val="none"/>
                <w:lang w:val="en-US" w:eastAsia="zh-CN"/>
              </w:rPr>
              <w:t>履约评价。投保单位代表指的是投保单位内设机构、直属机构、派出机构及投保单位授权委托的第三方机构。</w:t>
            </w:r>
          </w:p>
          <w:p w14:paraId="0D3D91F4">
            <w:pPr>
              <w:pStyle w:val="8"/>
              <w:wordWrap w:val="0"/>
              <w:adjustRightInd w:val="0"/>
              <w:snapToGrid w:val="0"/>
              <w:spacing w:line="320" w:lineRule="exact"/>
              <w:rPr>
                <w:rFonts w:ascii="宋体" w:hAnsi="宋体" w:cs="宋体"/>
                <w:color w:val="auto"/>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投标人为总公司的，该投标人自身及其落地分公司的业绩均符合要求；投标人为分公司的，仅该投标人自身的业绩符合要求，总公司或其他分公司的业绩不予认可。</w:t>
            </w:r>
          </w:p>
        </w:tc>
      </w:tr>
      <w:tr w14:paraId="49E3C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51D5421">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7A395ECF">
            <w:pPr>
              <w:wordWrap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p>
        </w:tc>
        <w:tc>
          <w:tcPr>
            <w:tcW w:w="930" w:type="dxa"/>
            <w:tcBorders>
              <w:top w:val="single" w:color="000000" w:sz="8" w:space="0"/>
              <w:left w:val="single" w:color="000000" w:sz="8" w:space="0"/>
              <w:bottom w:val="single" w:color="000000" w:sz="8" w:space="0"/>
              <w:right w:val="single" w:color="000000" w:sz="8" w:space="0"/>
            </w:tcBorders>
            <w:noWrap w:val="0"/>
            <w:vAlign w:val="top"/>
          </w:tcPr>
          <w:p w14:paraId="10278666">
            <w:pPr>
              <w:wordWrap w:val="0"/>
              <w:rPr>
                <w:rFonts w:ascii="宋体" w:hAnsi="宋体"/>
                <w:color w:val="auto"/>
                <w:highlight w:val="none"/>
              </w:rPr>
            </w:pPr>
            <w:r>
              <w:rPr>
                <w:rFonts w:hint="eastAsia" w:ascii="Calibri" w:hAnsi="Calibri" w:cs="宋体"/>
                <w:color w:val="auto"/>
                <w:szCs w:val="22"/>
                <w:highlight w:val="none"/>
              </w:rPr>
              <w:t>本地化服务能力</w:t>
            </w:r>
          </w:p>
          <w:p w14:paraId="1BB5544C">
            <w:pPr>
              <w:widowControl/>
              <w:jc w:val="left"/>
              <w:rPr>
                <w:rFonts w:ascii="宋体" w:hAnsi="宋体" w:cs="宋体"/>
                <w:color w:val="auto"/>
                <w:szCs w:val="21"/>
                <w:highlight w:val="none"/>
              </w:rPr>
            </w:pPr>
          </w:p>
        </w:tc>
        <w:tc>
          <w:tcPr>
            <w:tcW w:w="960" w:type="dxa"/>
            <w:tcBorders>
              <w:top w:val="single" w:color="000000" w:sz="8" w:space="0"/>
              <w:left w:val="single" w:color="000000" w:sz="8" w:space="0"/>
              <w:bottom w:val="single" w:color="000000" w:sz="8" w:space="0"/>
              <w:right w:val="single" w:color="000000" w:sz="8" w:space="0"/>
            </w:tcBorders>
            <w:noWrap w:val="0"/>
            <w:vAlign w:val="top"/>
          </w:tcPr>
          <w:p w14:paraId="7DC0BD46">
            <w:pPr>
              <w:widowControl/>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795F232F">
            <w:pPr>
              <w:rPr>
                <w:b/>
                <w:color w:val="auto"/>
                <w:highlight w:val="none"/>
              </w:rPr>
            </w:pPr>
            <w:r>
              <w:rPr>
                <w:rFonts w:hint="eastAsia"/>
                <w:b/>
                <w:color w:val="auto"/>
                <w:highlight w:val="none"/>
              </w:rPr>
              <w:t>（一） 评分内容：</w:t>
            </w:r>
          </w:p>
          <w:p w14:paraId="776425BB">
            <w:pPr>
              <w:rPr>
                <w:color w:val="auto"/>
                <w:highlight w:val="none"/>
              </w:rPr>
            </w:pPr>
            <w:r>
              <w:rPr>
                <w:rFonts w:hint="eastAsia"/>
                <w:color w:val="auto"/>
                <w:highlight w:val="none"/>
              </w:rPr>
              <w:t>1投标人在本地</w:t>
            </w:r>
            <w:r>
              <w:rPr>
                <w:rFonts w:hint="eastAsia"/>
                <w:color w:val="auto"/>
                <w:highlight w:val="none"/>
                <w:lang w:eastAsia="zh-CN"/>
              </w:rPr>
              <w:t>（</w:t>
            </w:r>
            <w:r>
              <w:rPr>
                <w:rFonts w:hint="eastAsia"/>
                <w:color w:val="auto"/>
                <w:highlight w:val="none"/>
                <w:lang w:val="en-US" w:eastAsia="zh-CN"/>
              </w:rPr>
              <w:t>深圳市</w:t>
            </w:r>
            <w:r>
              <w:rPr>
                <w:rFonts w:hint="eastAsia"/>
                <w:color w:val="auto"/>
                <w:highlight w:val="none"/>
                <w:lang w:eastAsia="zh-CN"/>
              </w:rPr>
              <w:t>）</w:t>
            </w:r>
            <w:r>
              <w:rPr>
                <w:rFonts w:hint="eastAsia"/>
                <w:color w:val="auto"/>
                <w:highlight w:val="none"/>
              </w:rPr>
              <w:t>设立分公司或售后机构、服务网点、项目部、办公室、办事处等情形，得100分；</w:t>
            </w:r>
          </w:p>
          <w:p w14:paraId="53554EF9">
            <w:pPr>
              <w:rPr>
                <w:color w:val="auto"/>
                <w:highlight w:val="none"/>
              </w:rPr>
            </w:pPr>
            <w:r>
              <w:rPr>
                <w:rFonts w:hint="eastAsia"/>
                <w:color w:val="auto"/>
                <w:highlight w:val="none"/>
              </w:rPr>
              <w:t>2.投标人承诺中标后提供本地</w:t>
            </w:r>
            <w:r>
              <w:rPr>
                <w:rFonts w:hint="eastAsia"/>
                <w:color w:val="auto"/>
                <w:highlight w:val="none"/>
                <w:lang w:eastAsia="zh-CN"/>
              </w:rPr>
              <w:t>（</w:t>
            </w:r>
            <w:r>
              <w:rPr>
                <w:rFonts w:hint="eastAsia"/>
                <w:color w:val="auto"/>
                <w:highlight w:val="none"/>
                <w:lang w:val="en-US" w:eastAsia="zh-CN"/>
              </w:rPr>
              <w:t>深圳市</w:t>
            </w:r>
            <w:r>
              <w:rPr>
                <w:rFonts w:hint="eastAsia"/>
                <w:color w:val="auto"/>
                <w:highlight w:val="none"/>
                <w:lang w:eastAsia="zh-CN"/>
              </w:rPr>
              <w:t>）</w:t>
            </w:r>
            <w:r>
              <w:rPr>
                <w:rFonts w:hint="eastAsia"/>
                <w:color w:val="auto"/>
                <w:highlight w:val="none"/>
              </w:rPr>
              <w:t>化服务，得100分。</w:t>
            </w:r>
          </w:p>
          <w:p w14:paraId="41DAD1FE">
            <w:pPr>
              <w:rPr>
                <w:b/>
                <w:color w:val="auto"/>
                <w:highlight w:val="none"/>
              </w:rPr>
            </w:pPr>
            <w:r>
              <w:rPr>
                <w:rFonts w:hint="eastAsia"/>
                <w:b/>
                <w:color w:val="auto"/>
                <w:highlight w:val="none"/>
              </w:rPr>
              <w:t>（二）评分依据：</w:t>
            </w:r>
          </w:p>
          <w:p w14:paraId="2EBF8423">
            <w:pPr>
              <w:rPr>
                <w:color w:val="auto"/>
                <w:highlight w:val="none"/>
              </w:rPr>
            </w:pPr>
            <w:r>
              <w:rPr>
                <w:rFonts w:hint="eastAsia"/>
                <w:color w:val="auto"/>
                <w:highlight w:val="none"/>
              </w:rPr>
              <w:t>1.第一项投标人需提供合作单位或者自身机构的营业执照，或者投标人在本地设立的项目部、办公室、办事处等证明文件；</w:t>
            </w:r>
          </w:p>
          <w:p w14:paraId="73AB3857">
            <w:pPr>
              <w:rPr>
                <w:color w:val="auto"/>
                <w:highlight w:val="none"/>
              </w:rPr>
            </w:pPr>
            <w:r>
              <w:rPr>
                <w:rFonts w:hint="eastAsia"/>
                <w:color w:val="auto"/>
                <w:highlight w:val="none"/>
              </w:rPr>
              <w:t>2.第二项投标人需提供承诺函（格式自拟）。</w:t>
            </w:r>
          </w:p>
          <w:p w14:paraId="4E2128FC">
            <w:pPr>
              <w:widowControl/>
              <w:jc w:val="left"/>
              <w:rPr>
                <w:rFonts w:ascii="宋体" w:hAnsi="宋体" w:cs="宋体"/>
                <w:color w:val="auto"/>
                <w:szCs w:val="21"/>
                <w:highlight w:val="none"/>
              </w:rPr>
            </w:pPr>
            <w:r>
              <w:rPr>
                <w:rFonts w:hint="eastAsia"/>
                <w:color w:val="auto"/>
                <w:highlight w:val="none"/>
              </w:rPr>
              <w:t>备注：以上资料均要求提供扫描件，评分中出现无证明资料或证书过期或专家无法凭所提供资料判断是否得分的情况，一律作不得分处理。</w:t>
            </w:r>
          </w:p>
        </w:tc>
      </w:tr>
      <w:tr w14:paraId="7A762B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752BAA88">
            <w:pPr>
              <w:wordWrap w:val="0"/>
              <w:jc w:val="center"/>
              <w:rPr>
                <w:rFonts w:ascii="宋体" w:hAnsi="宋体" w:cs="宋体"/>
                <w:b/>
                <w:bCs/>
                <w:color w:val="auto"/>
                <w:sz w:val="24"/>
                <w:highlight w:val="none"/>
              </w:rPr>
            </w:pPr>
            <w:r>
              <w:rPr>
                <w:b/>
                <w:bCs/>
                <w:color w:val="auto"/>
                <w:highlight w:val="none"/>
              </w:rPr>
              <w:t>4</w:t>
            </w:r>
          </w:p>
        </w:tc>
        <w:tc>
          <w:tcPr>
            <w:tcW w:w="2570" w:type="dxa"/>
            <w:gridSpan w:val="3"/>
            <w:tcBorders>
              <w:top w:val="single" w:color="000000" w:sz="8" w:space="0"/>
              <w:left w:val="single" w:color="000000" w:sz="8" w:space="0"/>
              <w:bottom w:val="single" w:color="000000" w:sz="8" w:space="0"/>
              <w:right w:val="single" w:color="000000" w:sz="8" w:space="0"/>
            </w:tcBorders>
            <w:noWrap w:val="0"/>
            <w:vAlign w:val="top"/>
          </w:tcPr>
          <w:p w14:paraId="1A7A884E">
            <w:pPr>
              <w:wordWrap w:val="0"/>
              <w:jc w:val="center"/>
              <w:rPr>
                <w:rFonts w:hint="default" w:ascii="宋体" w:hAnsi="宋体" w:eastAsia="宋体" w:cs="宋体"/>
                <w:b/>
                <w:bCs/>
                <w:color w:val="auto"/>
                <w:sz w:val="24"/>
                <w:highlight w:val="none"/>
                <w:lang w:val="en-US" w:eastAsia="zh-CN"/>
              </w:rPr>
            </w:pPr>
            <w:r>
              <w:rPr>
                <w:rFonts w:hint="eastAsia"/>
                <w:b/>
                <w:bCs/>
                <w:color w:val="auto"/>
                <w:highlight w:val="none"/>
                <w:lang w:val="en-US" w:eastAsia="zh-CN"/>
              </w:rPr>
              <w:t>其他部分</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6C5A6CCA">
            <w:pPr>
              <w:wordWrap w:val="0"/>
              <w:jc w:val="center"/>
              <w:rPr>
                <w:rFonts w:hint="default" w:ascii="宋体" w:hAnsi="宋体" w:cs="宋体"/>
                <w:b/>
                <w:bCs/>
                <w:color w:val="auto"/>
                <w:sz w:val="24"/>
                <w:highlight w:val="none"/>
                <w:lang w:val="en"/>
              </w:rPr>
            </w:pPr>
            <w:r>
              <w:rPr>
                <w:rFonts w:hint="default"/>
                <w:b/>
                <w:bCs/>
                <w:color w:val="auto"/>
                <w:highlight w:val="none"/>
                <w:lang w:val="en"/>
              </w:rPr>
              <w:t>5</w:t>
            </w:r>
          </w:p>
        </w:tc>
      </w:tr>
      <w:tr w14:paraId="10952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A1ACA78">
            <w:pPr>
              <w:rPr>
                <w:rFonts w:ascii="宋体" w:hAnsi="宋体" w:cs="宋体"/>
                <w:b/>
                <w:bCs/>
                <w:color w:val="auto"/>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3F46AE05">
            <w:pPr>
              <w:wordWrap w:val="0"/>
              <w:rPr>
                <w:rFonts w:ascii="宋体" w:hAnsi="宋体" w:cs="宋体"/>
                <w:color w:val="auto"/>
                <w:szCs w:val="21"/>
                <w:highlight w:val="none"/>
              </w:rPr>
            </w:pPr>
          </w:p>
        </w:tc>
      </w:tr>
      <w:tr w14:paraId="49C5F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263A1EF0">
            <w:pPr>
              <w:rPr>
                <w:rFonts w:ascii="宋体" w:hAnsi="宋体" w:cs="宋体"/>
                <w:b/>
                <w:bCs/>
                <w:color w:val="auto"/>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DEDC78C">
            <w:pPr>
              <w:wordWrap w:val="0"/>
              <w:jc w:val="center"/>
              <w:rPr>
                <w:rFonts w:ascii="宋体" w:hAnsi="宋体" w:cs="宋体"/>
                <w:color w:val="auto"/>
                <w:szCs w:val="21"/>
                <w:highlight w:val="none"/>
              </w:rPr>
            </w:pPr>
            <w:r>
              <w:rPr>
                <w:color w:val="auto"/>
                <w:szCs w:val="21"/>
                <w:highlight w:val="none"/>
              </w:rPr>
              <w:t>序号</w:t>
            </w:r>
          </w:p>
        </w:tc>
        <w:tc>
          <w:tcPr>
            <w:tcW w:w="9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D11BB96">
            <w:pPr>
              <w:wordWrap w:val="0"/>
              <w:jc w:val="center"/>
              <w:rPr>
                <w:rFonts w:ascii="宋体" w:hAnsi="宋体" w:cs="宋体"/>
                <w:color w:val="auto"/>
                <w:szCs w:val="21"/>
                <w:highlight w:val="none"/>
              </w:rPr>
            </w:pPr>
            <w:r>
              <w:rPr>
                <w:color w:val="auto"/>
                <w:szCs w:val="21"/>
                <w:highlight w:val="none"/>
              </w:rPr>
              <w:t>评分因素</w:t>
            </w:r>
          </w:p>
        </w:tc>
        <w:tc>
          <w:tcPr>
            <w:tcW w:w="96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A52F2E7">
            <w:pPr>
              <w:wordWrap w:val="0"/>
              <w:jc w:val="center"/>
              <w:rPr>
                <w:rFonts w:ascii="宋体" w:hAnsi="宋体" w:cs="宋体"/>
                <w:color w:val="auto"/>
                <w:szCs w:val="21"/>
                <w:highlight w:val="none"/>
              </w:rPr>
            </w:pPr>
            <w:r>
              <w:rPr>
                <w:color w:val="auto"/>
                <w:szCs w:val="21"/>
                <w:highlight w:val="none"/>
              </w:rPr>
              <w:t>权重(%)</w:t>
            </w:r>
          </w:p>
        </w:tc>
        <w:tc>
          <w:tcPr>
            <w:tcW w:w="582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2013399">
            <w:pPr>
              <w:wordWrap w:val="0"/>
              <w:jc w:val="center"/>
              <w:rPr>
                <w:rFonts w:ascii="宋体" w:hAnsi="宋体" w:cs="宋体"/>
                <w:color w:val="auto"/>
                <w:szCs w:val="21"/>
                <w:highlight w:val="none"/>
              </w:rPr>
            </w:pPr>
            <w:r>
              <w:rPr>
                <w:color w:val="auto"/>
                <w:szCs w:val="21"/>
                <w:highlight w:val="none"/>
              </w:rPr>
              <w:t>评分准则</w:t>
            </w:r>
          </w:p>
        </w:tc>
      </w:tr>
      <w:tr w14:paraId="398682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DD9CD0B">
            <w:pPr>
              <w:rPr>
                <w:rFonts w:ascii="宋体" w:hAnsi="宋体" w:cs="宋体"/>
                <w:b/>
                <w:bCs/>
                <w:color w:val="auto"/>
                <w:sz w:val="24"/>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29D7CC5">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30" w:type="dxa"/>
            <w:tcBorders>
              <w:top w:val="single" w:color="000000" w:sz="8" w:space="0"/>
              <w:left w:val="single" w:color="000000" w:sz="8" w:space="0"/>
              <w:bottom w:val="single" w:color="000000" w:sz="8" w:space="0"/>
              <w:right w:val="single" w:color="000000" w:sz="8" w:space="0"/>
            </w:tcBorders>
            <w:noWrap w:val="0"/>
            <w:vAlign w:val="center"/>
          </w:tcPr>
          <w:p w14:paraId="2F729A9B">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诚信情况</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CEF5334">
            <w:pPr>
              <w:wordWrap w:val="0"/>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822" w:type="dxa"/>
            <w:tcBorders>
              <w:top w:val="single" w:color="000000" w:sz="8" w:space="0"/>
              <w:left w:val="single" w:color="000000" w:sz="8" w:space="0"/>
              <w:bottom w:val="single" w:color="000000" w:sz="8" w:space="0"/>
              <w:right w:val="single" w:color="000000" w:sz="8" w:space="0"/>
            </w:tcBorders>
            <w:noWrap w:val="0"/>
            <w:vAlign w:val="top"/>
          </w:tcPr>
          <w:p w14:paraId="4B1661EB">
            <w:pPr>
              <w:wordWrap w:val="0"/>
              <w:adjustRightInd w:val="0"/>
              <w:snapToGrid w:val="0"/>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5628F7A2">
            <w:pPr>
              <w:wordWrap w:val="0"/>
              <w:adjustRightInd w:val="0"/>
              <w:snapToGrid w:val="0"/>
              <w:spacing w:line="320" w:lineRule="exact"/>
              <w:rPr>
                <w:rFonts w:ascii="宋体" w:hAnsi="宋体" w:cs="宋体"/>
                <w:color w:val="auto"/>
                <w:szCs w:val="21"/>
                <w:highlight w:val="none"/>
              </w:rPr>
            </w:pPr>
            <w:r>
              <w:rPr>
                <w:rFonts w:hint="eastAsia" w:ascii="宋体" w:hAnsi="宋体" w:eastAsia="宋体" w:cs="宋体"/>
                <w:color w:val="auto"/>
                <w:szCs w:val="21"/>
                <w:highlight w:val="none"/>
              </w:rPr>
              <w:t>查询渠道具体包括“信用中国”（www.creditchina.gov.cn）、“中国政府采购网”（www.ccgp.gov.cn）”以及“深圳市政府采购监管网”（http://zfcg.sz.gov.cn）为供应商信用信息的查询渠道，相关信息以开标当日的查询结果为准。</w:t>
            </w:r>
          </w:p>
        </w:tc>
      </w:tr>
    </w:tbl>
    <w:p w14:paraId="7F3DE266">
      <w:pPr>
        <w:rPr>
          <w:rFonts w:ascii="宋体" w:hAnsi="宋体"/>
          <w:sz w:val="24"/>
        </w:rPr>
      </w:pPr>
    </w:p>
    <w:p w14:paraId="7F88551A">
      <w:pPr>
        <w:sectPr>
          <w:pgSz w:w="11907" w:h="16840"/>
          <w:pgMar w:top="1440" w:right="1417" w:bottom="1440" w:left="1417" w:header="851" w:footer="992" w:gutter="0"/>
          <w:cols w:space="425" w:num="1"/>
          <w:titlePg/>
          <w:docGrid w:linePitch="462" w:charSpace="0"/>
        </w:sectPr>
      </w:pPr>
    </w:p>
    <w:p w14:paraId="6F95A7D2">
      <w:pPr>
        <w:jc w:val="center"/>
        <w:rPr>
          <w:b/>
          <w:sz w:val="120"/>
          <w:szCs w:val="120"/>
        </w:rPr>
      </w:pPr>
    </w:p>
    <w:p w14:paraId="1ABDEF85">
      <w:pPr>
        <w:jc w:val="center"/>
        <w:rPr>
          <w:b/>
          <w:sz w:val="120"/>
          <w:szCs w:val="120"/>
        </w:rPr>
      </w:pPr>
    </w:p>
    <w:p w14:paraId="35D16609">
      <w:pPr>
        <w:jc w:val="center"/>
        <w:rPr>
          <w:b/>
          <w:sz w:val="120"/>
          <w:szCs w:val="120"/>
        </w:rPr>
      </w:pPr>
    </w:p>
    <w:p w14:paraId="38677DF3">
      <w:pPr>
        <w:jc w:val="center"/>
        <w:rPr>
          <w:b/>
          <w:sz w:val="120"/>
          <w:szCs w:val="120"/>
        </w:rPr>
      </w:pPr>
      <w:r>
        <w:rPr>
          <w:rFonts w:hint="eastAsia"/>
          <w:b/>
          <w:sz w:val="120"/>
          <w:szCs w:val="120"/>
        </w:rPr>
        <w:t>政府采购</w:t>
      </w:r>
    </w:p>
    <w:p w14:paraId="04C83C4F">
      <w:pPr>
        <w:jc w:val="center"/>
        <w:rPr>
          <w:b/>
          <w:sz w:val="120"/>
          <w:szCs w:val="120"/>
        </w:rPr>
      </w:pPr>
      <w:r>
        <w:rPr>
          <w:rFonts w:hint="eastAsia"/>
          <w:b/>
          <w:sz w:val="120"/>
          <w:szCs w:val="120"/>
        </w:rPr>
        <w:t>招标文件</w:t>
      </w:r>
    </w:p>
    <w:p w14:paraId="3FA90764">
      <w:pPr>
        <w:jc w:val="center"/>
        <w:rPr>
          <w:b/>
          <w:sz w:val="52"/>
          <w:szCs w:val="52"/>
        </w:rPr>
      </w:pPr>
      <w:r>
        <w:rPr>
          <w:rFonts w:hint="eastAsia"/>
          <w:b/>
          <w:sz w:val="52"/>
          <w:szCs w:val="52"/>
        </w:rPr>
        <w:t>（服务类）</w:t>
      </w:r>
    </w:p>
    <w:p w14:paraId="535BA275">
      <w:pPr>
        <w:jc w:val="center"/>
        <w:rPr>
          <w:b/>
          <w:sz w:val="44"/>
          <w:szCs w:val="44"/>
        </w:rPr>
      </w:pPr>
    </w:p>
    <w:p w14:paraId="5B0B1DD9">
      <w:pPr>
        <w:jc w:val="center"/>
        <w:rPr>
          <w:b/>
          <w:sz w:val="44"/>
          <w:szCs w:val="44"/>
        </w:rPr>
      </w:pPr>
    </w:p>
    <w:p w14:paraId="567AFFA4">
      <w:pPr>
        <w:jc w:val="center"/>
        <w:rPr>
          <w:b/>
          <w:sz w:val="44"/>
          <w:szCs w:val="44"/>
        </w:rPr>
      </w:pPr>
    </w:p>
    <w:p w14:paraId="3DC72F2E">
      <w:pPr>
        <w:jc w:val="center"/>
        <w:rPr>
          <w:b/>
          <w:sz w:val="44"/>
          <w:szCs w:val="44"/>
        </w:rPr>
      </w:pPr>
    </w:p>
    <w:p w14:paraId="0E471BD6">
      <w:pPr>
        <w:jc w:val="center"/>
        <w:rPr>
          <w:b/>
          <w:sz w:val="44"/>
          <w:szCs w:val="44"/>
        </w:rPr>
      </w:pPr>
    </w:p>
    <w:p w14:paraId="5A288033">
      <w:pPr>
        <w:jc w:val="center"/>
        <w:rPr>
          <w:b/>
          <w:sz w:val="44"/>
          <w:szCs w:val="44"/>
        </w:rPr>
      </w:pPr>
    </w:p>
    <w:p w14:paraId="0DBEB4D5">
      <w:pPr>
        <w:jc w:val="center"/>
        <w:rPr>
          <w:b/>
          <w:sz w:val="44"/>
          <w:szCs w:val="44"/>
        </w:rPr>
      </w:pPr>
    </w:p>
    <w:p w14:paraId="46DFDD30">
      <w:pPr>
        <w:jc w:val="center"/>
        <w:rPr>
          <w:b/>
          <w:sz w:val="44"/>
          <w:szCs w:val="44"/>
        </w:rPr>
      </w:pPr>
    </w:p>
    <w:p w14:paraId="6D2B6625">
      <w:pPr>
        <w:jc w:val="center"/>
        <w:rPr>
          <w:b/>
          <w:sz w:val="44"/>
          <w:szCs w:val="44"/>
        </w:rPr>
      </w:pPr>
      <w:bookmarkStart w:id="0" w:name="_Hlk71465316"/>
      <w:r>
        <w:rPr>
          <w:rFonts w:hint="eastAsia"/>
          <w:b/>
          <w:sz w:val="44"/>
          <w:szCs w:val="44"/>
        </w:rPr>
        <w:t>深圳公共资源交易中心</w:t>
      </w:r>
    </w:p>
    <w:p w14:paraId="3E485228">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77989542">
      <w:pPr>
        <w:ind w:firstLine="420" w:firstLineChars="200"/>
        <w:sectPr>
          <w:pgSz w:w="11907" w:h="16840"/>
          <w:pgMar w:top="1440" w:right="1797" w:bottom="1440" w:left="1797" w:header="851" w:footer="992" w:gutter="0"/>
          <w:cols w:space="425" w:num="1"/>
          <w:titlePg/>
          <w:docGrid w:linePitch="462" w:charSpace="0"/>
        </w:sectPr>
      </w:pPr>
    </w:p>
    <w:p w14:paraId="3599FA4D">
      <w:pPr>
        <w:jc w:val="center"/>
        <w:rPr>
          <w:rFonts w:ascii="黑体" w:hAnsi="黑体" w:eastAsia="黑体"/>
          <w:b/>
          <w:sz w:val="28"/>
        </w:rPr>
      </w:pPr>
      <w:r>
        <w:rPr>
          <w:rFonts w:hint="eastAsia" w:ascii="黑体" w:hAnsi="黑体" w:eastAsia="黑体"/>
          <w:b/>
          <w:sz w:val="28"/>
        </w:rPr>
        <w:t>目   录</w:t>
      </w:r>
    </w:p>
    <w:p w14:paraId="27CC4024">
      <w:pPr>
        <w:rPr>
          <w:b/>
        </w:rPr>
      </w:pPr>
      <w:r>
        <w:rPr>
          <w:rFonts w:hint="eastAsia"/>
          <w:b/>
        </w:rPr>
        <w:t>第一册  专用条款</w:t>
      </w:r>
    </w:p>
    <w:p w14:paraId="68250858">
      <w:pPr>
        <w:ind w:firstLine="960" w:firstLineChars="400"/>
        <w:rPr>
          <w:sz w:val="24"/>
        </w:rPr>
      </w:pPr>
      <w:r>
        <w:rPr>
          <w:rFonts w:hint="eastAsia"/>
          <w:sz w:val="24"/>
        </w:rPr>
        <w:t>关键信息</w:t>
      </w:r>
    </w:p>
    <w:p w14:paraId="005FEEB6">
      <w:pPr>
        <w:ind w:left="630" w:leftChars="300" w:firstLine="630" w:firstLineChars="300"/>
        <w:rPr>
          <w:rFonts w:ascii="宋体" w:hAnsi="宋体"/>
          <w:szCs w:val="21"/>
        </w:rPr>
      </w:pPr>
      <w:r>
        <w:rPr>
          <w:rFonts w:hint="eastAsia" w:ascii="宋体" w:hAnsi="宋体"/>
          <w:szCs w:val="21"/>
        </w:rPr>
        <w:t>第一章  招标公告</w:t>
      </w:r>
    </w:p>
    <w:p w14:paraId="4B481BFF">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73DD498A">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352C260">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5DEAEF2">
      <w:pPr>
        <w:ind w:left="630" w:leftChars="300" w:firstLine="630" w:firstLineChars="300"/>
        <w:rPr>
          <w:rFonts w:ascii="宋体" w:hAnsi="宋体"/>
          <w:szCs w:val="21"/>
        </w:rPr>
      </w:pPr>
      <w:r>
        <w:rPr>
          <w:rFonts w:hint="eastAsia" w:ascii="宋体" w:hAnsi="宋体"/>
          <w:szCs w:val="21"/>
        </w:rPr>
        <w:t>第五章  合同条款及格式</w:t>
      </w:r>
    </w:p>
    <w:p w14:paraId="53A3D66B">
      <w:pPr>
        <w:rPr>
          <w:b/>
          <w:sz w:val="24"/>
        </w:rPr>
      </w:pPr>
    </w:p>
    <w:p w14:paraId="31A11286">
      <w:pPr>
        <w:rPr>
          <w:b/>
        </w:rPr>
      </w:pPr>
      <w:r>
        <w:rPr>
          <w:rFonts w:hint="eastAsia"/>
          <w:b/>
        </w:rPr>
        <w:t>第二册  通用条款</w:t>
      </w:r>
    </w:p>
    <w:p w14:paraId="4BCD8C50">
      <w:pPr>
        <w:ind w:left="630" w:leftChars="300" w:firstLine="411" w:firstLineChars="196"/>
        <w:rPr>
          <w:rFonts w:ascii="宋体" w:hAnsi="宋体"/>
          <w:szCs w:val="21"/>
        </w:rPr>
      </w:pPr>
      <w:r>
        <w:rPr>
          <w:rFonts w:hint="eastAsia" w:ascii="宋体" w:hAnsi="宋体"/>
          <w:szCs w:val="21"/>
        </w:rPr>
        <w:t>第一章  总则</w:t>
      </w:r>
    </w:p>
    <w:p w14:paraId="4F288D70">
      <w:pPr>
        <w:ind w:left="630" w:leftChars="300" w:firstLine="411" w:firstLineChars="196"/>
        <w:rPr>
          <w:rFonts w:ascii="宋体" w:hAnsi="宋体"/>
          <w:szCs w:val="21"/>
        </w:rPr>
      </w:pPr>
      <w:r>
        <w:rPr>
          <w:rFonts w:hint="eastAsia" w:ascii="宋体" w:hAnsi="宋体"/>
          <w:szCs w:val="21"/>
        </w:rPr>
        <w:t>第二章  招标文件</w:t>
      </w:r>
    </w:p>
    <w:p w14:paraId="1F72C2EE">
      <w:pPr>
        <w:ind w:left="630" w:leftChars="300" w:firstLine="411" w:firstLineChars="196"/>
        <w:rPr>
          <w:rFonts w:ascii="宋体" w:hAnsi="宋体"/>
          <w:szCs w:val="21"/>
        </w:rPr>
      </w:pPr>
      <w:r>
        <w:rPr>
          <w:rFonts w:hint="eastAsia" w:ascii="宋体" w:hAnsi="宋体"/>
          <w:szCs w:val="21"/>
        </w:rPr>
        <w:t>第三章  投标文件的编制</w:t>
      </w:r>
    </w:p>
    <w:p w14:paraId="379F3A32">
      <w:pPr>
        <w:ind w:left="630" w:leftChars="300" w:firstLine="411" w:firstLineChars="196"/>
        <w:rPr>
          <w:rFonts w:ascii="宋体" w:hAnsi="宋体"/>
          <w:szCs w:val="21"/>
        </w:rPr>
      </w:pPr>
      <w:r>
        <w:rPr>
          <w:rFonts w:hint="eastAsia" w:ascii="宋体" w:hAnsi="宋体"/>
          <w:szCs w:val="21"/>
        </w:rPr>
        <w:t>第四章  投标文件的递交</w:t>
      </w:r>
    </w:p>
    <w:p w14:paraId="440FB000">
      <w:pPr>
        <w:ind w:left="630" w:leftChars="300" w:firstLine="411" w:firstLineChars="196"/>
        <w:rPr>
          <w:rFonts w:ascii="宋体" w:hAnsi="宋体"/>
          <w:szCs w:val="21"/>
        </w:rPr>
      </w:pPr>
      <w:r>
        <w:rPr>
          <w:rFonts w:hint="eastAsia" w:ascii="宋体" w:hAnsi="宋体"/>
          <w:szCs w:val="21"/>
        </w:rPr>
        <w:t>第五章  开标</w:t>
      </w:r>
    </w:p>
    <w:p w14:paraId="7681EAC7">
      <w:pPr>
        <w:ind w:left="630" w:leftChars="300" w:firstLine="411" w:firstLineChars="196"/>
        <w:rPr>
          <w:rFonts w:ascii="宋体" w:hAnsi="宋体"/>
          <w:szCs w:val="21"/>
        </w:rPr>
      </w:pPr>
      <w:r>
        <w:rPr>
          <w:rFonts w:hint="eastAsia" w:ascii="宋体" w:hAnsi="宋体"/>
          <w:szCs w:val="21"/>
        </w:rPr>
        <w:t>第六章  评审要求</w:t>
      </w:r>
    </w:p>
    <w:p w14:paraId="055C0582">
      <w:pPr>
        <w:ind w:left="630" w:leftChars="300" w:firstLine="411" w:firstLineChars="196"/>
        <w:rPr>
          <w:rFonts w:ascii="宋体" w:hAnsi="宋体"/>
          <w:szCs w:val="21"/>
        </w:rPr>
      </w:pPr>
      <w:r>
        <w:rPr>
          <w:rFonts w:hint="eastAsia" w:ascii="宋体" w:hAnsi="宋体"/>
          <w:szCs w:val="21"/>
        </w:rPr>
        <w:t>第七章  评审程序及评审方法</w:t>
      </w:r>
    </w:p>
    <w:p w14:paraId="44B9ED53">
      <w:pPr>
        <w:ind w:left="630" w:leftChars="300" w:firstLine="411" w:firstLineChars="196"/>
        <w:rPr>
          <w:rFonts w:ascii="宋体" w:hAnsi="宋体"/>
          <w:szCs w:val="21"/>
        </w:rPr>
      </w:pPr>
      <w:r>
        <w:rPr>
          <w:rFonts w:hint="eastAsia" w:ascii="宋体" w:hAnsi="宋体"/>
          <w:szCs w:val="21"/>
        </w:rPr>
        <w:t>第八章  定标及公示</w:t>
      </w:r>
    </w:p>
    <w:p w14:paraId="22CA4835">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5DC290D2">
      <w:pPr>
        <w:ind w:left="630" w:leftChars="300" w:firstLine="411" w:firstLineChars="196"/>
        <w:rPr>
          <w:rFonts w:ascii="宋体" w:hAnsi="宋体"/>
          <w:szCs w:val="21"/>
        </w:rPr>
      </w:pPr>
      <w:r>
        <w:rPr>
          <w:rFonts w:hint="eastAsia" w:ascii="宋体" w:hAnsi="宋体"/>
          <w:szCs w:val="21"/>
        </w:rPr>
        <w:t>第十章  合同的授予与备案</w:t>
      </w:r>
    </w:p>
    <w:p w14:paraId="4863878E">
      <w:pPr>
        <w:ind w:firstLine="1050" w:firstLineChars="500"/>
        <w:rPr>
          <w:b/>
          <w:sz w:val="24"/>
        </w:rPr>
      </w:pPr>
      <w:r>
        <w:rPr>
          <w:rFonts w:hint="eastAsia"/>
        </w:rPr>
        <w:t>第十一章  质疑处理</w:t>
      </w:r>
    </w:p>
    <w:p w14:paraId="2BFDB4C6">
      <w:pPr>
        <w:spacing w:line="360" w:lineRule="auto"/>
        <w:ind w:firstLine="420" w:firstLineChars="200"/>
        <w:jc w:val="left"/>
        <w:rPr>
          <w:rFonts w:ascii="宋体" w:hAnsi="宋体"/>
          <w:szCs w:val="21"/>
        </w:rPr>
      </w:pPr>
    </w:p>
    <w:p w14:paraId="5856D5F8">
      <w:pPr>
        <w:pStyle w:val="2"/>
        <w:rPr>
          <w:sz w:val="24"/>
        </w:rPr>
      </w:pPr>
      <w:r>
        <w:br w:type="page"/>
      </w:r>
      <w:bookmarkStart w:id="2" w:name="bt技术标投标文件格式"/>
      <w:bookmarkEnd w:id="2"/>
      <w:bookmarkStart w:id="3" w:name="bt开标一览表"/>
      <w:bookmarkEnd w:id="3"/>
      <w:bookmarkStart w:id="4" w:name="bt说明"/>
      <w:bookmarkEnd w:id="4"/>
      <w:bookmarkStart w:id="5" w:name="bt投标人情况介绍"/>
      <w:bookmarkEnd w:id="5"/>
      <w:bookmarkStart w:id="6" w:name="bt投标函"/>
      <w:bookmarkEnd w:id="6"/>
      <w:bookmarkStart w:id="7" w:name="bt合同格式"/>
      <w:bookmarkEnd w:id="7"/>
      <w:bookmarkStart w:id="8" w:name="合同格式"/>
      <w:bookmarkEnd w:id="8"/>
      <w:bookmarkStart w:id="9" w:name="bt投标人须知"/>
      <w:bookmarkEnd w:id="9"/>
      <w:bookmarkStart w:id="10" w:name="bt其他资料2"/>
      <w:bookmarkEnd w:id="10"/>
      <w:bookmarkStart w:id="11" w:name="bt投标报价汇总表"/>
      <w:bookmarkEnd w:id="11"/>
      <w:bookmarkStart w:id="12" w:name="bt其他资料由投标人自定"/>
      <w:bookmarkEnd w:id="12"/>
      <w:bookmarkStart w:id="13" w:name="bt本工程承诺书"/>
      <w:bookmarkEnd w:id="13"/>
      <w:bookmarkStart w:id="14" w:name="bt合同条款"/>
      <w:bookmarkEnd w:id="14"/>
      <w:bookmarkStart w:id="15" w:name="bt投标文件签署授权委托书"/>
      <w:bookmarkEnd w:id="15"/>
      <w:bookmarkStart w:id="16" w:name="bt项目管理班子配备情况"/>
      <w:bookmarkEnd w:id="16"/>
      <w:bookmarkStart w:id="17" w:name="bt商务标投标文件格式"/>
      <w:bookmarkEnd w:id="17"/>
      <w:bookmarkStart w:id="18" w:name="bt合同条款及格式"/>
      <w:bookmarkEnd w:id="18"/>
      <w:r>
        <w:rPr>
          <w:rFonts w:hint="eastAsia"/>
        </w:rPr>
        <w:t>第一册  专用条款</w:t>
      </w:r>
    </w:p>
    <w:p w14:paraId="126D8A42">
      <w:pPr>
        <w:pStyle w:val="5"/>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676B81E">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3CB414B9">
              <w:trPr>
                <w:tblCellSpacing w:w="0" w:type="dxa"/>
                <w:jc w:val="center"/>
              </w:trPr>
              <w:tc>
                <w:tcPr>
                  <w:tcW w:w="8147" w:type="dxa"/>
                </w:tcPr>
                <w:p w14:paraId="16EE1E2C">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AAC2820">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65FF687F">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C78FD29">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1FAE2822">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4ED7CC8B">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0099D60E">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6D93C542">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6EC9E736">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62775FBF">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9.本项目是（否）专门面向中小企业采购：否。</w:t>
                  </w:r>
                </w:p>
                <w:p w14:paraId="6271018A">
                  <w:pPr>
                    <w:ind w:firstLine="630" w:firstLineChars="300"/>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10.总公司参与投标的提供由中国银保监会(或原中国保险监督管理委员会)或其派</w:t>
                  </w:r>
                </w:p>
                <w:p w14:paraId="6D8FB926">
                  <w:pP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出机构核发的《保险公司法人许可证》或《保险许可证》，分支机构参与投标的提供由中国银保监会或其派出机构核发的《经营保险业务许可证》或《保险许可证》(须提供有效许可证复印件)。</w:t>
                  </w:r>
                </w:p>
                <w:p w14:paraId="7763531B">
                  <w:pPr>
                    <w:ind w:firstLine="632" w:firstLineChars="300"/>
                    <w:rPr>
                      <w:rFonts w:ascii="宋体" w:hAnsi="宋体" w:cs="宋体"/>
                      <w:b/>
                      <w:bCs/>
                      <w:kern w:val="0"/>
                      <w:szCs w:val="21"/>
                    </w:rPr>
                  </w:pPr>
                </w:p>
                <w:p w14:paraId="133A63F2">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5747A2B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33A6E14A">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1565BCA1">
            <w:pPr>
              <w:rPr>
                <w:rFonts w:ascii="宋体" w:hAnsi="宋体" w:cs="宋体"/>
                <w:sz w:val="24"/>
              </w:rPr>
            </w:pPr>
          </w:p>
        </w:tc>
      </w:tr>
    </w:tbl>
    <w:p w14:paraId="3533453D">
      <w:r>
        <w:rPr>
          <w:rFonts w:hint="eastAsia"/>
        </w:rPr>
        <w:br w:type="page"/>
      </w:r>
    </w:p>
    <w:p w14:paraId="4AE7B423">
      <w:pPr>
        <w:pStyle w:val="5"/>
        <w:rPr>
          <w:sz w:val="28"/>
          <w:szCs w:val="28"/>
        </w:rPr>
      </w:pPr>
      <w:r>
        <w:rPr>
          <w:rFonts w:hint="eastAsia"/>
          <w:sz w:val="28"/>
          <w:szCs w:val="28"/>
        </w:rPr>
        <w:t>第二章 对通用条款的补充内容及其他关键信息</w:t>
      </w:r>
    </w:p>
    <w:p w14:paraId="5E4DE36C">
      <w:pPr>
        <w:pStyle w:val="5"/>
        <w:spacing w:before="120" w:beforeLines="50" w:after="120" w:afterLines="50"/>
        <w:rPr>
          <w:sz w:val="28"/>
          <w:szCs w:val="28"/>
        </w:rPr>
      </w:pPr>
      <w:bookmarkStart w:id="20" w:name="_Toc101074876"/>
      <w:bookmarkStart w:id="21" w:name="_Toc100052364"/>
      <w:bookmarkStart w:id="22" w:name="_Toc73521547"/>
      <w:bookmarkStart w:id="23" w:name="_Toc73517639"/>
      <w:bookmarkStart w:id="24" w:name="_Toc73518117"/>
      <w:bookmarkStart w:id="25" w:name="_Toc60560625"/>
      <w:bookmarkStart w:id="26" w:name="_Toc60631620"/>
      <w:bookmarkStart w:id="27" w:name="_Toc73521635"/>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FB56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823D0D">
            <w:pPr>
              <w:jc w:val="center"/>
              <w:rPr>
                <w:rFonts w:ascii="宋体" w:hAnsi="宋体"/>
                <w:b/>
                <w:bCs/>
              </w:rPr>
            </w:pPr>
            <w:r>
              <w:rPr>
                <w:rFonts w:hint="eastAsia" w:ascii="宋体" w:hAnsi="宋体"/>
                <w:b/>
                <w:bCs/>
              </w:rPr>
              <w:t>通用条款序号</w:t>
            </w:r>
          </w:p>
        </w:tc>
        <w:tc>
          <w:tcPr>
            <w:tcW w:w="2409" w:type="dxa"/>
            <w:vAlign w:val="center"/>
          </w:tcPr>
          <w:p w14:paraId="667AA0C0">
            <w:pPr>
              <w:jc w:val="center"/>
              <w:rPr>
                <w:rFonts w:ascii="宋体" w:hAnsi="宋体"/>
                <w:b/>
                <w:bCs/>
              </w:rPr>
            </w:pPr>
            <w:r>
              <w:rPr>
                <w:rFonts w:hint="eastAsia" w:ascii="宋体" w:hAnsi="宋体"/>
                <w:b/>
                <w:bCs/>
              </w:rPr>
              <w:t>涉及事项</w:t>
            </w:r>
          </w:p>
        </w:tc>
        <w:tc>
          <w:tcPr>
            <w:tcW w:w="4980" w:type="dxa"/>
            <w:vAlign w:val="center"/>
          </w:tcPr>
          <w:p w14:paraId="3A44548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3334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E28374">
            <w:pPr>
              <w:jc w:val="center"/>
              <w:rPr>
                <w:rFonts w:ascii="宋体" w:hAnsi="宋体"/>
              </w:rPr>
            </w:pPr>
            <w:r>
              <w:rPr>
                <w:rFonts w:hint="eastAsia" w:ascii="宋体" w:hAnsi="宋体"/>
              </w:rPr>
              <w:t>3</w:t>
            </w:r>
            <w:r>
              <w:rPr>
                <w:rFonts w:ascii="宋体" w:hAnsi="宋体"/>
              </w:rPr>
              <w:t>.1</w:t>
            </w:r>
          </w:p>
        </w:tc>
        <w:tc>
          <w:tcPr>
            <w:tcW w:w="2409" w:type="dxa"/>
            <w:vAlign w:val="center"/>
          </w:tcPr>
          <w:p w14:paraId="20B80FB5">
            <w:pPr>
              <w:jc w:val="center"/>
            </w:pPr>
            <w:r>
              <w:rPr>
                <w:rFonts w:hint="eastAsia"/>
              </w:rPr>
              <w:t>采购人</w:t>
            </w:r>
          </w:p>
        </w:tc>
        <w:tc>
          <w:tcPr>
            <w:tcW w:w="4980" w:type="dxa"/>
            <w:vAlign w:val="center"/>
          </w:tcPr>
          <w:p w14:paraId="4C5BA751">
            <w:pPr>
              <w:jc w:val="left"/>
              <w:rPr>
                <w:rFonts w:ascii="宋体" w:hAnsi="宋体"/>
              </w:rPr>
            </w:pPr>
            <w:r>
              <w:rPr>
                <w:rFonts w:hint="eastAsia" w:ascii="宋体" w:hAnsi="宋体"/>
              </w:rPr>
              <w:t>深圳市盐田区民政局</w:t>
            </w:r>
          </w:p>
        </w:tc>
      </w:tr>
      <w:tr w14:paraId="4682A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444980">
            <w:pPr>
              <w:jc w:val="center"/>
              <w:rPr>
                <w:rFonts w:ascii="宋体" w:hAnsi="宋体"/>
              </w:rPr>
            </w:pPr>
            <w:r>
              <w:rPr>
                <w:rFonts w:hint="eastAsia" w:ascii="宋体" w:hAnsi="宋体"/>
              </w:rPr>
              <w:t>3</w:t>
            </w:r>
            <w:r>
              <w:rPr>
                <w:rFonts w:ascii="宋体" w:hAnsi="宋体"/>
              </w:rPr>
              <w:t>.2</w:t>
            </w:r>
          </w:p>
        </w:tc>
        <w:tc>
          <w:tcPr>
            <w:tcW w:w="2409" w:type="dxa"/>
            <w:vAlign w:val="center"/>
          </w:tcPr>
          <w:p w14:paraId="7E04DD34">
            <w:pPr>
              <w:jc w:val="center"/>
              <w:rPr>
                <w:rFonts w:ascii="宋体" w:hAnsi="宋体"/>
              </w:rPr>
            </w:pPr>
            <w:r>
              <w:rPr>
                <w:rFonts w:hint="eastAsia" w:ascii="宋体" w:hAnsi="宋体"/>
              </w:rPr>
              <w:t>政府集中采购机构</w:t>
            </w:r>
          </w:p>
        </w:tc>
        <w:tc>
          <w:tcPr>
            <w:tcW w:w="4980" w:type="dxa"/>
            <w:vAlign w:val="center"/>
          </w:tcPr>
          <w:p w14:paraId="6DB9F8F3">
            <w:pPr>
              <w:jc w:val="left"/>
              <w:rPr>
                <w:rFonts w:ascii="宋体" w:hAnsi="宋体" w:cs="宋体"/>
                <w:kern w:val="0"/>
                <w:szCs w:val="21"/>
              </w:rPr>
            </w:pPr>
            <w:r>
              <w:rPr>
                <w:rFonts w:hint="eastAsia" w:ascii="宋体" w:hAnsi="宋体" w:cs="宋体"/>
                <w:kern w:val="0"/>
                <w:szCs w:val="21"/>
              </w:rPr>
              <w:t>深圳公共资源交易中心</w:t>
            </w:r>
          </w:p>
          <w:p w14:paraId="2ADC6B9D">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val="en-US" w:eastAsia="zh-CN"/>
              </w:rPr>
              <w:t>盐田</w:t>
            </w:r>
            <w:r>
              <w:rPr>
                <w:rFonts w:hint="eastAsia" w:ascii="宋体" w:hAnsi="宋体" w:cs="宋体"/>
                <w:kern w:val="0"/>
                <w:szCs w:val="21"/>
              </w:rPr>
              <w:t>分公司）</w:t>
            </w:r>
          </w:p>
        </w:tc>
      </w:tr>
      <w:tr w14:paraId="74634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3E98C6">
            <w:pPr>
              <w:jc w:val="center"/>
              <w:rPr>
                <w:rFonts w:ascii="宋体" w:hAnsi="宋体"/>
              </w:rPr>
            </w:pPr>
            <w:r>
              <w:rPr>
                <w:rFonts w:hint="eastAsia" w:ascii="宋体" w:hAnsi="宋体"/>
              </w:rPr>
              <w:t>9</w:t>
            </w:r>
          </w:p>
        </w:tc>
        <w:tc>
          <w:tcPr>
            <w:tcW w:w="2409" w:type="dxa"/>
            <w:vAlign w:val="center"/>
          </w:tcPr>
          <w:p w14:paraId="0EC26664">
            <w:pPr>
              <w:jc w:val="center"/>
              <w:rPr>
                <w:rFonts w:ascii="宋体" w:hAnsi="宋体"/>
              </w:rPr>
            </w:pPr>
            <w:r>
              <w:rPr>
                <w:rFonts w:hint="eastAsia" w:ascii="宋体" w:hAnsi="宋体"/>
              </w:rPr>
              <w:t>踏勘现场</w:t>
            </w:r>
          </w:p>
        </w:tc>
        <w:tc>
          <w:tcPr>
            <w:tcW w:w="4980" w:type="dxa"/>
            <w:vAlign w:val="center"/>
          </w:tcPr>
          <w:p w14:paraId="2A9B7D30">
            <w:pPr>
              <w:jc w:val="left"/>
              <w:rPr>
                <w:rFonts w:ascii="宋体" w:hAnsi="宋体"/>
              </w:rPr>
            </w:pPr>
            <w:r>
              <w:rPr>
                <w:rFonts w:ascii="宋体" w:hAnsi="宋体"/>
              </w:rPr>
              <w:t>不组织</w:t>
            </w:r>
          </w:p>
        </w:tc>
      </w:tr>
      <w:tr w14:paraId="77AE9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4C3F9D">
            <w:pPr>
              <w:jc w:val="center"/>
              <w:rPr>
                <w:rFonts w:ascii="宋体" w:hAnsi="宋体"/>
              </w:rPr>
            </w:pPr>
            <w:r>
              <w:rPr>
                <w:rFonts w:hint="eastAsia" w:ascii="宋体" w:hAnsi="宋体"/>
              </w:rPr>
              <w:t>1</w:t>
            </w:r>
            <w:r>
              <w:rPr>
                <w:rFonts w:ascii="宋体" w:hAnsi="宋体"/>
              </w:rPr>
              <w:t>0</w:t>
            </w:r>
          </w:p>
        </w:tc>
        <w:tc>
          <w:tcPr>
            <w:tcW w:w="2409" w:type="dxa"/>
            <w:vAlign w:val="center"/>
          </w:tcPr>
          <w:p w14:paraId="067A6A56">
            <w:pPr>
              <w:jc w:val="center"/>
              <w:rPr>
                <w:rFonts w:ascii="宋体" w:hAnsi="宋体"/>
              </w:rPr>
            </w:pPr>
            <w:r>
              <w:rPr>
                <w:rFonts w:hint="eastAsia" w:ascii="宋体" w:hAnsi="宋体"/>
              </w:rPr>
              <w:t>标前会议</w:t>
            </w:r>
          </w:p>
        </w:tc>
        <w:tc>
          <w:tcPr>
            <w:tcW w:w="4980" w:type="dxa"/>
            <w:vAlign w:val="center"/>
          </w:tcPr>
          <w:p w14:paraId="2B8EB7CF">
            <w:pPr>
              <w:jc w:val="left"/>
              <w:rPr>
                <w:rFonts w:ascii="宋体" w:hAnsi="宋体"/>
              </w:rPr>
            </w:pPr>
            <w:r>
              <w:rPr>
                <w:rFonts w:ascii="宋体" w:hAnsi="宋体"/>
              </w:rPr>
              <w:t>不组织</w:t>
            </w:r>
          </w:p>
        </w:tc>
      </w:tr>
      <w:tr w14:paraId="7A006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1922B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21F4181C">
            <w:pPr>
              <w:jc w:val="center"/>
              <w:rPr>
                <w:rFonts w:ascii="宋体" w:hAnsi="宋体"/>
              </w:rPr>
            </w:pPr>
            <w:r>
              <w:rPr>
                <w:rFonts w:hint="eastAsia" w:ascii="宋体" w:hAnsi="宋体"/>
              </w:rPr>
              <w:t>招标文件的澄清和修改</w:t>
            </w:r>
          </w:p>
        </w:tc>
        <w:tc>
          <w:tcPr>
            <w:tcW w:w="4980" w:type="dxa"/>
            <w:vAlign w:val="center"/>
          </w:tcPr>
          <w:p w14:paraId="29643824">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2C6B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F4EF08">
            <w:pPr>
              <w:jc w:val="center"/>
              <w:rPr>
                <w:rFonts w:ascii="宋体" w:hAnsi="宋体"/>
              </w:rPr>
            </w:pPr>
            <w:r>
              <w:rPr>
                <w:rFonts w:hint="eastAsia" w:ascii="宋体" w:hAnsi="宋体"/>
              </w:rPr>
              <w:t>2</w:t>
            </w:r>
            <w:r>
              <w:rPr>
                <w:rFonts w:ascii="宋体" w:hAnsi="宋体"/>
              </w:rPr>
              <w:t>0</w:t>
            </w:r>
          </w:p>
        </w:tc>
        <w:tc>
          <w:tcPr>
            <w:tcW w:w="2409" w:type="dxa"/>
            <w:vAlign w:val="center"/>
          </w:tcPr>
          <w:p w14:paraId="6FA49967">
            <w:pPr>
              <w:jc w:val="center"/>
              <w:rPr>
                <w:rFonts w:ascii="宋体" w:hAnsi="宋体"/>
              </w:rPr>
            </w:pPr>
            <w:r>
              <w:rPr>
                <w:rFonts w:hint="eastAsia" w:ascii="宋体" w:hAnsi="宋体"/>
              </w:rPr>
              <w:t>投标有效期</w:t>
            </w:r>
          </w:p>
        </w:tc>
        <w:tc>
          <w:tcPr>
            <w:tcW w:w="4980" w:type="dxa"/>
            <w:vAlign w:val="center"/>
          </w:tcPr>
          <w:p w14:paraId="3F7A70E5">
            <w:pPr>
              <w:jc w:val="left"/>
              <w:rPr>
                <w:rFonts w:ascii="宋体" w:hAnsi="宋体"/>
              </w:rPr>
            </w:pPr>
            <w:r>
              <w:rPr>
                <w:rFonts w:hint="eastAsia" w:ascii="宋体" w:hAnsi="宋体"/>
              </w:rPr>
              <w:t>120个日历日</w:t>
            </w:r>
          </w:p>
        </w:tc>
      </w:tr>
      <w:tr w14:paraId="73B27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9AE26">
            <w:pPr>
              <w:jc w:val="center"/>
              <w:rPr>
                <w:rFonts w:ascii="宋体" w:hAnsi="宋体"/>
              </w:rPr>
            </w:pPr>
            <w:r>
              <w:rPr>
                <w:rFonts w:hint="eastAsia" w:ascii="宋体" w:hAnsi="宋体"/>
              </w:rPr>
              <w:t>2</w:t>
            </w:r>
            <w:r>
              <w:rPr>
                <w:rFonts w:ascii="宋体" w:hAnsi="宋体"/>
              </w:rPr>
              <w:t>2</w:t>
            </w:r>
          </w:p>
        </w:tc>
        <w:tc>
          <w:tcPr>
            <w:tcW w:w="2409" w:type="dxa"/>
            <w:vAlign w:val="center"/>
          </w:tcPr>
          <w:p w14:paraId="137C5C91">
            <w:pPr>
              <w:jc w:val="center"/>
              <w:rPr>
                <w:rFonts w:ascii="宋体" w:hAnsi="宋体"/>
              </w:rPr>
            </w:pPr>
            <w:r>
              <w:rPr>
                <w:rFonts w:hint="eastAsia" w:ascii="宋体" w:hAnsi="宋体"/>
              </w:rPr>
              <w:t>投标人的替代方案</w:t>
            </w:r>
          </w:p>
        </w:tc>
        <w:tc>
          <w:tcPr>
            <w:tcW w:w="4980" w:type="dxa"/>
            <w:vAlign w:val="center"/>
          </w:tcPr>
          <w:p w14:paraId="1B6B756E">
            <w:pPr>
              <w:jc w:val="left"/>
              <w:rPr>
                <w:rFonts w:ascii="宋体" w:hAnsi="宋体"/>
              </w:rPr>
            </w:pPr>
            <w:r>
              <w:rPr>
                <w:rFonts w:hint="eastAsia" w:ascii="宋体" w:hAnsi="宋体"/>
              </w:rPr>
              <w:t>不接受</w:t>
            </w:r>
          </w:p>
        </w:tc>
      </w:tr>
      <w:tr w14:paraId="69DC3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6CD706">
            <w:pPr>
              <w:jc w:val="center"/>
              <w:rPr>
                <w:rFonts w:ascii="宋体" w:hAnsi="宋体"/>
              </w:rPr>
            </w:pPr>
            <w:r>
              <w:rPr>
                <w:rFonts w:hint="eastAsia" w:ascii="宋体" w:hAnsi="宋体"/>
              </w:rPr>
              <w:t>2</w:t>
            </w:r>
            <w:r>
              <w:rPr>
                <w:rFonts w:ascii="宋体" w:hAnsi="宋体"/>
              </w:rPr>
              <w:t>5</w:t>
            </w:r>
          </w:p>
        </w:tc>
        <w:tc>
          <w:tcPr>
            <w:tcW w:w="2409" w:type="dxa"/>
            <w:vAlign w:val="center"/>
          </w:tcPr>
          <w:p w14:paraId="65F518CD">
            <w:pPr>
              <w:jc w:val="center"/>
              <w:rPr>
                <w:rFonts w:ascii="宋体" w:hAnsi="宋体"/>
              </w:rPr>
            </w:pPr>
            <w:r>
              <w:rPr>
                <w:rFonts w:hint="eastAsia" w:ascii="宋体" w:hAnsi="宋体"/>
              </w:rPr>
              <w:t>投标文件的大小</w:t>
            </w:r>
          </w:p>
        </w:tc>
        <w:tc>
          <w:tcPr>
            <w:tcW w:w="4980" w:type="dxa"/>
            <w:vAlign w:val="center"/>
          </w:tcPr>
          <w:p w14:paraId="5AFDD8A1">
            <w:pPr>
              <w:jc w:val="left"/>
              <w:rPr>
                <w:rFonts w:ascii="宋体" w:hAnsi="宋体"/>
              </w:rPr>
            </w:pPr>
            <w:r>
              <w:rPr>
                <w:rFonts w:hint="eastAsia" w:ascii="宋体" w:hAnsi="宋体"/>
              </w:rPr>
              <w:t>投标文件大小不得超过100MB</w:t>
            </w:r>
          </w:p>
        </w:tc>
      </w:tr>
      <w:tr w14:paraId="02FDD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56D0FD">
            <w:pPr>
              <w:jc w:val="center"/>
              <w:rPr>
                <w:rFonts w:ascii="宋体" w:hAnsi="宋体"/>
              </w:rPr>
            </w:pPr>
            <w:r>
              <w:rPr>
                <w:rFonts w:hint="eastAsia" w:ascii="宋体" w:hAnsi="宋体"/>
              </w:rPr>
              <w:t>2</w:t>
            </w:r>
            <w:r>
              <w:rPr>
                <w:rFonts w:ascii="宋体" w:hAnsi="宋体"/>
              </w:rPr>
              <w:t>6</w:t>
            </w:r>
          </w:p>
        </w:tc>
        <w:tc>
          <w:tcPr>
            <w:tcW w:w="2409" w:type="dxa"/>
            <w:vAlign w:val="center"/>
          </w:tcPr>
          <w:p w14:paraId="1A37596B">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42AB1800">
            <w:pPr>
              <w:jc w:val="left"/>
              <w:rPr>
                <w:rFonts w:ascii="宋体" w:hAnsi="宋体"/>
              </w:rPr>
            </w:pPr>
            <w:r>
              <w:rPr>
                <w:rFonts w:hint="eastAsia" w:ascii="宋体" w:hAnsi="宋体"/>
              </w:rPr>
              <w:t>无</w:t>
            </w:r>
          </w:p>
        </w:tc>
      </w:tr>
      <w:tr w14:paraId="489A3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B73A8A">
            <w:pPr>
              <w:jc w:val="center"/>
              <w:rPr>
                <w:rFonts w:ascii="宋体" w:hAnsi="宋体"/>
              </w:rPr>
            </w:pPr>
            <w:r>
              <w:rPr>
                <w:rFonts w:hint="eastAsia" w:ascii="宋体" w:hAnsi="宋体"/>
              </w:rPr>
              <w:t>3</w:t>
            </w:r>
            <w:r>
              <w:rPr>
                <w:rFonts w:ascii="宋体" w:hAnsi="宋体"/>
              </w:rPr>
              <w:t>7</w:t>
            </w:r>
          </w:p>
        </w:tc>
        <w:tc>
          <w:tcPr>
            <w:tcW w:w="2409" w:type="dxa"/>
            <w:vAlign w:val="center"/>
          </w:tcPr>
          <w:p w14:paraId="39DC52E1">
            <w:pPr>
              <w:jc w:val="center"/>
              <w:rPr>
                <w:rFonts w:ascii="宋体" w:hAnsi="宋体"/>
              </w:rPr>
            </w:pPr>
            <w:r>
              <w:rPr>
                <w:rFonts w:hint="eastAsia" w:ascii="宋体" w:hAnsi="宋体"/>
              </w:rPr>
              <w:t>评审方法</w:t>
            </w:r>
          </w:p>
        </w:tc>
        <w:tc>
          <w:tcPr>
            <w:tcW w:w="4980" w:type="dxa"/>
            <w:vAlign w:val="center"/>
          </w:tcPr>
          <w:p w14:paraId="6178F5F6">
            <w:pPr>
              <w:jc w:val="left"/>
              <w:rPr>
                <w:rFonts w:ascii="宋体" w:hAnsi="宋体"/>
              </w:rPr>
            </w:pPr>
            <w:r>
              <w:rPr>
                <w:rFonts w:ascii="宋体" w:hAnsi="宋体"/>
              </w:rPr>
              <w:t>综合评分法</w:t>
            </w:r>
          </w:p>
        </w:tc>
      </w:tr>
      <w:tr w14:paraId="3F89A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169463">
            <w:pPr>
              <w:jc w:val="center"/>
              <w:rPr>
                <w:rFonts w:ascii="宋体" w:hAnsi="宋体"/>
              </w:rPr>
            </w:pPr>
            <w:r>
              <w:rPr>
                <w:rFonts w:hint="eastAsia" w:ascii="宋体" w:hAnsi="宋体"/>
              </w:rPr>
              <w:t>3</w:t>
            </w:r>
            <w:r>
              <w:rPr>
                <w:rFonts w:ascii="宋体" w:hAnsi="宋体"/>
              </w:rPr>
              <w:t>8</w:t>
            </w:r>
          </w:p>
        </w:tc>
        <w:tc>
          <w:tcPr>
            <w:tcW w:w="2409" w:type="dxa"/>
            <w:vAlign w:val="center"/>
          </w:tcPr>
          <w:p w14:paraId="61847FD8">
            <w:pPr>
              <w:jc w:val="center"/>
              <w:rPr>
                <w:rFonts w:ascii="宋体" w:hAnsi="宋体"/>
              </w:rPr>
            </w:pPr>
            <w:r>
              <w:rPr>
                <w:rFonts w:hint="eastAsia" w:ascii="宋体" w:hAnsi="宋体"/>
              </w:rPr>
              <w:t>定标方法</w:t>
            </w:r>
          </w:p>
        </w:tc>
        <w:tc>
          <w:tcPr>
            <w:tcW w:w="4980" w:type="dxa"/>
            <w:vAlign w:val="center"/>
          </w:tcPr>
          <w:p w14:paraId="74C2F492">
            <w:pPr>
              <w:jc w:val="left"/>
              <w:rPr>
                <w:rFonts w:ascii="宋体" w:hAnsi="宋体"/>
              </w:rPr>
            </w:pPr>
            <w:r>
              <w:rPr>
                <w:rFonts w:ascii="宋体" w:hAnsi="宋体"/>
              </w:rPr>
              <w:t>非评定分离</w:t>
            </w:r>
          </w:p>
        </w:tc>
      </w:tr>
      <w:tr w14:paraId="02511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8A870E">
            <w:pPr>
              <w:jc w:val="center"/>
              <w:rPr>
                <w:rFonts w:ascii="宋体" w:hAnsi="宋体"/>
              </w:rPr>
            </w:pPr>
            <w:r>
              <w:rPr>
                <w:rFonts w:hint="eastAsia" w:ascii="宋体" w:hAnsi="宋体"/>
              </w:rPr>
              <w:t>4</w:t>
            </w:r>
            <w:r>
              <w:rPr>
                <w:rFonts w:ascii="宋体" w:hAnsi="宋体"/>
              </w:rPr>
              <w:t>6</w:t>
            </w:r>
          </w:p>
        </w:tc>
        <w:tc>
          <w:tcPr>
            <w:tcW w:w="2409" w:type="dxa"/>
            <w:vAlign w:val="center"/>
          </w:tcPr>
          <w:p w14:paraId="5C6A6FEE">
            <w:pPr>
              <w:jc w:val="center"/>
              <w:rPr>
                <w:rFonts w:ascii="宋体" w:hAnsi="宋体"/>
              </w:rPr>
            </w:pPr>
            <w:r>
              <w:rPr>
                <w:rFonts w:hint="eastAsia" w:ascii="宋体" w:hAnsi="宋体"/>
              </w:rPr>
              <w:t>履约担保</w:t>
            </w:r>
          </w:p>
        </w:tc>
        <w:tc>
          <w:tcPr>
            <w:tcW w:w="4980" w:type="dxa"/>
            <w:vAlign w:val="center"/>
          </w:tcPr>
          <w:p w14:paraId="6BEAF7E0">
            <w:pPr>
              <w:jc w:val="left"/>
              <w:rPr>
                <w:rFonts w:ascii="宋体" w:hAnsi="宋体"/>
              </w:rPr>
            </w:pPr>
            <w:r>
              <w:rPr>
                <w:rFonts w:hint="eastAsia" w:ascii="宋体" w:hAnsi="宋体"/>
                <w:color w:val="0000FF"/>
              </w:rPr>
              <w:t>本项目无需提供履约保证金。</w:t>
            </w:r>
          </w:p>
        </w:tc>
      </w:tr>
    </w:tbl>
    <w:p w14:paraId="568FB0E9">
      <w:pPr>
        <w:rPr>
          <w:b/>
        </w:rPr>
      </w:pPr>
      <w:r>
        <w:rPr>
          <w:rFonts w:hint="eastAsia"/>
          <w:szCs w:val="21"/>
        </w:rPr>
        <w:t>备注：本表是通用条款相关条款的补充和明确，如与通用条款内容相冲突的，以本表为准。</w:t>
      </w:r>
    </w:p>
    <w:p w14:paraId="6422B705">
      <w:pPr>
        <w:rPr>
          <w:b/>
        </w:rPr>
      </w:pPr>
    </w:p>
    <w:p w14:paraId="766519F7">
      <w:pPr>
        <w:pStyle w:val="5"/>
        <w:spacing w:before="120" w:beforeLines="50" w:after="120" w:afterLines="50"/>
        <w:rPr>
          <w:szCs w:val="24"/>
        </w:rPr>
      </w:pPr>
      <w:r>
        <w:rPr>
          <w:rFonts w:hint="eastAsia"/>
          <w:szCs w:val="24"/>
        </w:rPr>
        <w:t>二、其他关键信息</w:t>
      </w:r>
    </w:p>
    <w:p w14:paraId="285AB51B">
      <w:pPr>
        <w:ind w:firstLine="422" w:firstLineChars="200"/>
        <w:rPr>
          <w:b/>
          <w:bCs/>
        </w:rPr>
      </w:pPr>
      <w:r>
        <w:rPr>
          <w:rFonts w:hint="eastAsia"/>
          <w:b/>
          <w:bCs/>
        </w:rPr>
        <w:t>（一）与“对通用条款的补充内容”章节相关的事项</w:t>
      </w:r>
    </w:p>
    <w:p w14:paraId="66BEFC13">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496CFD9A">
      <w:pPr>
        <w:jc w:val="center"/>
      </w:pPr>
      <w:r>
        <w:rPr>
          <w:rFonts w:hint="eastAsia"/>
          <w:b/>
        </w:rPr>
        <w:t>非评定分离项目</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85"/>
      </w:tblGrid>
      <w:tr w14:paraId="306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3F3AA13">
            <w:pPr>
              <w:jc w:val="center"/>
            </w:pPr>
            <w:r>
              <w:rPr>
                <w:rFonts w:hint="eastAsia"/>
              </w:rPr>
              <w:t>评标方法</w:t>
            </w:r>
          </w:p>
        </w:tc>
        <w:tc>
          <w:tcPr>
            <w:tcW w:w="5685" w:type="dxa"/>
          </w:tcPr>
          <w:p w14:paraId="6C74820D">
            <w:pPr>
              <w:jc w:val="center"/>
            </w:pPr>
            <w:r>
              <w:rPr>
                <w:rFonts w:hint="eastAsia"/>
              </w:rPr>
              <w:t>综合评分法</w:t>
            </w:r>
          </w:p>
        </w:tc>
      </w:tr>
      <w:tr w14:paraId="0E74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9FF1C7E">
            <w:pPr>
              <w:jc w:val="center"/>
            </w:pPr>
            <w:r>
              <w:rPr>
                <w:rFonts w:hint="eastAsia"/>
              </w:rPr>
              <w:t>候选中标供应商家数</w:t>
            </w:r>
          </w:p>
        </w:tc>
        <w:tc>
          <w:tcPr>
            <w:tcW w:w="5685" w:type="dxa"/>
          </w:tcPr>
          <w:p w14:paraId="67285DD1">
            <w:pPr>
              <w:jc w:val="center"/>
              <w:rPr>
                <w:rFonts w:hint="eastAsia" w:eastAsia="宋体"/>
                <w:lang w:eastAsia="zh-CN"/>
              </w:rPr>
            </w:pPr>
            <w:r>
              <w:rPr>
                <w:rFonts w:hint="eastAsia"/>
                <w:lang w:val="en-US" w:eastAsia="zh-CN"/>
              </w:rPr>
              <w:t>3</w:t>
            </w:r>
          </w:p>
        </w:tc>
      </w:tr>
      <w:tr w14:paraId="59D0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6EBD43C">
            <w:pPr>
              <w:jc w:val="center"/>
            </w:pPr>
            <w:r>
              <w:rPr>
                <w:rFonts w:hint="eastAsia"/>
              </w:rPr>
              <w:t>中标供应商家数</w:t>
            </w:r>
          </w:p>
        </w:tc>
        <w:tc>
          <w:tcPr>
            <w:tcW w:w="5685" w:type="dxa"/>
          </w:tcPr>
          <w:p w14:paraId="3B335940">
            <w:pPr>
              <w:jc w:val="center"/>
            </w:pPr>
            <w:r>
              <w:rPr>
                <w:rFonts w:hint="eastAsia"/>
              </w:rPr>
              <w:t>1</w:t>
            </w:r>
          </w:p>
        </w:tc>
      </w:tr>
    </w:tbl>
    <w:p w14:paraId="38E9D040">
      <w:pPr>
        <w:pStyle w:val="36"/>
      </w:pPr>
    </w:p>
    <w:bookmarkEnd w:id="29"/>
    <w:p w14:paraId="4FF75CE2">
      <w:pPr>
        <w:ind w:firstLine="422" w:firstLineChars="200"/>
        <w:rPr>
          <w:b/>
        </w:rPr>
      </w:pPr>
      <w:r>
        <w:rPr>
          <w:rFonts w:hint="eastAsia"/>
          <w:b/>
        </w:rPr>
        <w:t>（二）其他事项</w:t>
      </w:r>
    </w:p>
    <w:p w14:paraId="4F2FF893">
      <w:pPr>
        <w:ind w:firstLine="420" w:firstLineChars="200"/>
      </w:pPr>
      <w:r>
        <w:t>1</w:t>
      </w:r>
      <w:r>
        <w:rPr>
          <w:rFonts w:hint="eastAsia"/>
        </w:rPr>
        <w:t>、关于享受优惠政策的主体及价格扣除比例</w:t>
      </w:r>
    </w:p>
    <w:p w14:paraId="0F78D320">
      <w:pPr>
        <w:ind w:firstLine="420" w:firstLineChars="200"/>
      </w:pPr>
      <w:r>
        <w:rPr>
          <w:rFonts w:hint="eastAsia"/>
        </w:rPr>
        <w:t>（1）专门面向中小企业采购的项目，不再执行价格扣除比例。</w:t>
      </w:r>
    </w:p>
    <w:p w14:paraId="4B072279">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43AD83D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9719A67">
      <w:pPr>
        <w:numPr>
          <w:ilvl w:val="0"/>
          <w:numId w:val="9"/>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48B33D4B">
      <w:pPr>
        <w:numPr>
          <w:ilvl w:val="0"/>
          <w:numId w:val="9"/>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3DBA4126">
      <w:pPr>
        <w:numPr>
          <w:ilvl w:val="0"/>
          <w:numId w:val="9"/>
        </w:numPr>
        <w:ind w:firstLine="420" w:firstLineChars="200"/>
      </w:pPr>
      <w:r>
        <w:rPr>
          <w:rFonts w:hint="eastAsia"/>
        </w:rPr>
        <w:t>享受价格扣除获得政府采购合同的，小微企业不得将合同分包给大中型企业。</w:t>
      </w:r>
    </w:p>
    <w:p w14:paraId="44C8928B">
      <w:pPr>
        <w:numPr>
          <w:ilvl w:val="0"/>
          <w:numId w:val="9"/>
        </w:numPr>
        <w:ind w:firstLine="420" w:firstLineChars="200"/>
      </w:pPr>
      <w:r>
        <w:rPr>
          <w:rFonts w:hint="eastAsia"/>
        </w:rPr>
        <w:t>（不接受联合体投标的项目，本条不适用）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的扣除，用扣除后的价格参与评审。</w:t>
      </w:r>
    </w:p>
    <w:p w14:paraId="5643DDAE">
      <w:pPr>
        <w:ind w:firstLine="422" w:firstLineChars="200"/>
        <w:rPr>
          <w:b/>
        </w:rPr>
      </w:pPr>
      <w:bookmarkStart w:id="30" w:name="_Hlk72594729"/>
      <w:bookmarkStart w:id="31" w:name="_Hlk76855768"/>
      <w:r>
        <w:rPr>
          <w:rFonts w:hint="eastAsia"/>
          <w:b/>
        </w:rPr>
        <w:t>2、本项目为代理服务项目，将向中标（成交）供应商收取代理服务费。</w:t>
      </w:r>
    </w:p>
    <w:bookmarkEnd w:id="30"/>
    <w:bookmarkEnd w:id="31"/>
    <w:p w14:paraId="30D7788B">
      <w:pPr>
        <w:ind w:firstLine="420" w:firstLineChars="200"/>
      </w:pPr>
      <w:r>
        <w:rPr>
          <w:rFonts w:hint="eastAsia"/>
        </w:rPr>
        <w:t>中标（成交）供应商在领取《中标（成交）通知书》之前须向深圳公共资源交易中心（</w:t>
      </w:r>
      <w:r>
        <w:rPr>
          <w:rFonts w:hint="eastAsia"/>
          <w:lang w:eastAsia="zh-CN"/>
        </w:rPr>
        <w:t>深圳交易集团有限公司盐田分公司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9461332">
      <w:pPr>
        <w:ind w:firstLine="420" w:firstLineChars="200"/>
      </w:pPr>
      <w:r>
        <w:rPr>
          <w:rFonts w:hint="eastAsia"/>
        </w:rPr>
        <w:t>（1）代理服务费以《中标（成交）通知书》确定的中标（成交）金额作为计算基数，按差额定率累进法计算。</w:t>
      </w:r>
    </w:p>
    <w:p w14:paraId="7036B4D0">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C2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F64E935">
            <w:pPr>
              <w:widowControl/>
              <w:spacing w:line="360" w:lineRule="auto"/>
              <w:jc w:val="center"/>
            </w:pPr>
            <w:r>
              <w:rPr>
                <w:rFonts w:hint="eastAsia"/>
              </w:rPr>
              <w:t>中标（成交）金额</w:t>
            </w:r>
          </w:p>
        </w:tc>
        <w:tc>
          <w:tcPr>
            <w:tcW w:w="1799" w:type="dxa"/>
            <w:vAlign w:val="center"/>
          </w:tcPr>
          <w:p w14:paraId="0B22B9EC">
            <w:pPr>
              <w:widowControl/>
              <w:spacing w:line="360" w:lineRule="auto"/>
              <w:jc w:val="center"/>
            </w:pPr>
            <w:r>
              <w:rPr>
                <w:rFonts w:hint="eastAsia"/>
              </w:rPr>
              <w:t>货物采购</w:t>
            </w:r>
          </w:p>
        </w:tc>
        <w:tc>
          <w:tcPr>
            <w:tcW w:w="1799" w:type="dxa"/>
            <w:vAlign w:val="center"/>
          </w:tcPr>
          <w:p w14:paraId="10FA7FF8">
            <w:pPr>
              <w:widowControl/>
              <w:spacing w:line="360" w:lineRule="auto"/>
              <w:jc w:val="center"/>
            </w:pPr>
            <w:r>
              <w:rPr>
                <w:rFonts w:hint="eastAsia"/>
              </w:rPr>
              <w:t>服务采购</w:t>
            </w:r>
          </w:p>
        </w:tc>
        <w:tc>
          <w:tcPr>
            <w:tcW w:w="1799" w:type="dxa"/>
            <w:vAlign w:val="center"/>
          </w:tcPr>
          <w:p w14:paraId="2C0F8532">
            <w:pPr>
              <w:widowControl/>
              <w:spacing w:line="360" w:lineRule="auto"/>
              <w:jc w:val="center"/>
            </w:pPr>
            <w:r>
              <w:rPr>
                <w:rFonts w:hint="eastAsia"/>
              </w:rPr>
              <w:t>工程采购</w:t>
            </w:r>
          </w:p>
        </w:tc>
      </w:tr>
      <w:tr w14:paraId="342E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D7C694A">
            <w:pPr>
              <w:widowControl/>
              <w:spacing w:line="360" w:lineRule="auto"/>
              <w:jc w:val="center"/>
            </w:pPr>
            <w:r>
              <w:rPr>
                <w:rFonts w:hint="eastAsia"/>
              </w:rPr>
              <w:t>100万元以下</w:t>
            </w:r>
          </w:p>
        </w:tc>
        <w:tc>
          <w:tcPr>
            <w:tcW w:w="1799" w:type="dxa"/>
            <w:vAlign w:val="center"/>
          </w:tcPr>
          <w:p w14:paraId="4DC599EC">
            <w:pPr>
              <w:widowControl/>
              <w:spacing w:line="360" w:lineRule="auto"/>
              <w:jc w:val="center"/>
            </w:pPr>
            <w:r>
              <w:rPr>
                <w:rFonts w:hint="eastAsia"/>
              </w:rPr>
              <w:t>1.5%</w:t>
            </w:r>
          </w:p>
        </w:tc>
        <w:tc>
          <w:tcPr>
            <w:tcW w:w="1799" w:type="dxa"/>
            <w:vAlign w:val="center"/>
          </w:tcPr>
          <w:p w14:paraId="2E1FBC84">
            <w:pPr>
              <w:widowControl/>
              <w:spacing w:line="360" w:lineRule="auto"/>
              <w:jc w:val="center"/>
            </w:pPr>
            <w:r>
              <w:rPr>
                <w:rFonts w:hint="eastAsia"/>
              </w:rPr>
              <w:t>1.5%</w:t>
            </w:r>
          </w:p>
        </w:tc>
        <w:tc>
          <w:tcPr>
            <w:tcW w:w="1799" w:type="dxa"/>
            <w:vAlign w:val="center"/>
          </w:tcPr>
          <w:p w14:paraId="5115A36C">
            <w:pPr>
              <w:widowControl/>
              <w:spacing w:line="360" w:lineRule="auto"/>
              <w:jc w:val="center"/>
            </w:pPr>
            <w:r>
              <w:rPr>
                <w:rFonts w:hint="eastAsia"/>
              </w:rPr>
              <w:t>1.0%</w:t>
            </w:r>
          </w:p>
        </w:tc>
      </w:tr>
      <w:tr w14:paraId="6366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4D39F1">
            <w:pPr>
              <w:widowControl/>
              <w:spacing w:line="360" w:lineRule="auto"/>
              <w:jc w:val="center"/>
            </w:pPr>
            <w:r>
              <w:rPr>
                <w:rFonts w:hint="eastAsia"/>
              </w:rPr>
              <w:t>100万元（含）-500万元</w:t>
            </w:r>
          </w:p>
        </w:tc>
        <w:tc>
          <w:tcPr>
            <w:tcW w:w="1799" w:type="dxa"/>
            <w:vAlign w:val="center"/>
          </w:tcPr>
          <w:p w14:paraId="7F58F84E">
            <w:pPr>
              <w:widowControl/>
              <w:spacing w:line="360" w:lineRule="auto"/>
              <w:jc w:val="center"/>
            </w:pPr>
            <w:r>
              <w:rPr>
                <w:rFonts w:hint="eastAsia"/>
              </w:rPr>
              <w:t>1.1%</w:t>
            </w:r>
          </w:p>
        </w:tc>
        <w:tc>
          <w:tcPr>
            <w:tcW w:w="1799" w:type="dxa"/>
            <w:vAlign w:val="center"/>
          </w:tcPr>
          <w:p w14:paraId="6C7EA778">
            <w:pPr>
              <w:widowControl/>
              <w:spacing w:line="360" w:lineRule="auto"/>
              <w:jc w:val="center"/>
            </w:pPr>
            <w:r>
              <w:rPr>
                <w:rFonts w:hint="eastAsia"/>
              </w:rPr>
              <w:t>0.8%</w:t>
            </w:r>
          </w:p>
        </w:tc>
        <w:tc>
          <w:tcPr>
            <w:tcW w:w="1799" w:type="dxa"/>
            <w:vAlign w:val="center"/>
          </w:tcPr>
          <w:p w14:paraId="261A13FC">
            <w:pPr>
              <w:widowControl/>
              <w:spacing w:line="360" w:lineRule="auto"/>
              <w:jc w:val="center"/>
            </w:pPr>
            <w:r>
              <w:rPr>
                <w:rFonts w:hint="eastAsia"/>
              </w:rPr>
              <w:t>0.7%</w:t>
            </w:r>
          </w:p>
        </w:tc>
      </w:tr>
      <w:tr w14:paraId="714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BE54B4">
            <w:pPr>
              <w:widowControl/>
              <w:spacing w:line="360" w:lineRule="auto"/>
              <w:jc w:val="center"/>
            </w:pPr>
            <w:r>
              <w:rPr>
                <w:rFonts w:hint="eastAsia"/>
              </w:rPr>
              <w:t>500万元（含）-1000万元</w:t>
            </w:r>
          </w:p>
        </w:tc>
        <w:tc>
          <w:tcPr>
            <w:tcW w:w="1799" w:type="dxa"/>
            <w:vAlign w:val="center"/>
          </w:tcPr>
          <w:p w14:paraId="4B55FA00">
            <w:pPr>
              <w:widowControl/>
              <w:spacing w:line="360" w:lineRule="auto"/>
              <w:jc w:val="center"/>
            </w:pPr>
            <w:r>
              <w:rPr>
                <w:rFonts w:hint="eastAsia"/>
              </w:rPr>
              <w:t>0.8%</w:t>
            </w:r>
          </w:p>
        </w:tc>
        <w:tc>
          <w:tcPr>
            <w:tcW w:w="1799" w:type="dxa"/>
            <w:vAlign w:val="center"/>
          </w:tcPr>
          <w:p w14:paraId="76D4FC79">
            <w:pPr>
              <w:widowControl/>
              <w:spacing w:line="360" w:lineRule="auto"/>
              <w:jc w:val="center"/>
            </w:pPr>
            <w:r>
              <w:rPr>
                <w:rFonts w:hint="eastAsia"/>
              </w:rPr>
              <w:t>0.45%</w:t>
            </w:r>
          </w:p>
        </w:tc>
        <w:tc>
          <w:tcPr>
            <w:tcW w:w="1799" w:type="dxa"/>
            <w:vAlign w:val="center"/>
          </w:tcPr>
          <w:p w14:paraId="0543786D">
            <w:pPr>
              <w:widowControl/>
              <w:spacing w:line="360" w:lineRule="auto"/>
              <w:jc w:val="center"/>
            </w:pPr>
            <w:r>
              <w:rPr>
                <w:rFonts w:hint="eastAsia"/>
              </w:rPr>
              <w:t>0.55%</w:t>
            </w:r>
          </w:p>
        </w:tc>
      </w:tr>
      <w:tr w14:paraId="6E14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DFF9B0">
            <w:pPr>
              <w:widowControl/>
              <w:spacing w:line="360" w:lineRule="auto"/>
              <w:jc w:val="center"/>
            </w:pPr>
            <w:r>
              <w:rPr>
                <w:rFonts w:hint="eastAsia"/>
              </w:rPr>
              <w:t>1000万元（含）-5000万元</w:t>
            </w:r>
          </w:p>
        </w:tc>
        <w:tc>
          <w:tcPr>
            <w:tcW w:w="1799" w:type="dxa"/>
            <w:vAlign w:val="center"/>
          </w:tcPr>
          <w:p w14:paraId="0B213CD4">
            <w:pPr>
              <w:widowControl/>
              <w:spacing w:line="360" w:lineRule="auto"/>
              <w:jc w:val="center"/>
            </w:pPr>
            <w:r>
              <w:rPr>
                <w:rFonts w:hint="eastAsia"/>
              </w:rPr>
              <w:t>0.5%</w:t>
            </w:r>
          </w:p>
        </w:tc>
        <w:tc>
          <w:tcPr>
            <w:tcW w:w="1799" w:type="dxa"/>
            <w:vAlign w:val="center"/>
          </w:tcPr>
          <w:p w14:paraId="41BB9A33">
            <w:pPr>
              <w:widowControl/>
              <w:spacing w:line="360" w:lineRule="auto"/>
              <w:jc w:val="center"/>
            </w:pPr>
            <w:r>
              <w:rPr>
                <w:rFonts w:hint="eastAsia"/>
              </w:rPr>
              <w:t>0.25%</w:t>
            </w:r>
          </w:p>
        </w:tc>
        <w:tc>
          <w:tcPr>
            <w:tcW w:w="1799" w:type="dxa"/>
            <w:vAlign w:val="center"/>
          </w:tcPr>
          <w:p w14:paraId="648D38CB">
            <w:pPr>
              <w:widowControl/>
              <w:spacing w:line="360" w:lineRule="auto"/>
              <w:jc w:val="center"/>
            </w:pPr>
            <w:r>
              <w:rPr>
                <w:rFonts w:hint="eastAsia"/>
              </w:rPr>
              <w:t>0.35%</w:t>
            </w:r>
          </w:p>
        </w:tc>
      </w:tr>
      <w:tr w14:paraId="43E3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101EF6">
            <w:pPr>
              <w:widowControl/>
              <w:spacing w:line="360" w:lineRule="auto"/>
              <w:jc w:val="center"/>
            </w:pPr>
            <w:r>
              <w:rPr>
                <w:rFonts w:hint="eastAsia"/>
              </w:rPr>
              <w:t>5000万元（含）-1亿元</w:t>
            </w:r>
          </w:p>
        </w:tc>
        <w:tc>
          <w:tcPr>
            <w:tcW w:w="1799" w:type="dxa"/>
            <w:vAlign w:val="center"/>
          </w:tcPr>
          <w:p w14:paraId="0572954D">
            <w:pPr>
              <w:widowControl/>
              <w:spacing w:line="360" w:lineRule="auto"/>
              <w:jc w:val="center"/>
            </w:pPr>
            <w:r>
              <w:rPr>
                <w:rFonts w:hint="eastAsia"/>
              </w:rPr>
              <w:t>0.25%</w:t>
            </w:r>
          </w:p>
        </w:tc>
        <w:tc>
          <w:tcPr>
            <w:tcW w:w="1799" w:type="dxa"/>
            <w:vAlign w:val="center"/>
          </w:tcPr>
          <w:p w14:paraId="77C2119B">
            <w:pPr>
              <w:widowControl/>
              <w:spacing w:line="360" w:lineRule="auto"/>
              <w:jc w:val="center"/>
            </w:pPr>
            <w:r>
              <w:rPr>
                <w:rFonts w:hint="eastAsia"/>
              </w:rPr>
              <w:t>0.1%</w:t>
            </w:r>
          </w:p>
        </w:tc>
        <w:tc>
          <w:tcPr>
            <w:tcW w:w="1799" w:type="dxa"/>
            <w:vAlign w:val="center"/>
          </w:tcPr>
          <w:p w14:paraId="0F23B183">
            <w:pPr>
              <w:widowControl/>
              <w:spacing w:line="360" w:lineRule="auto"/>
              <w:jc w:val="center"/>
            </w:pPr>
            <w:r>
              <w:rPr>
                <w:rFonts w:hint="eastAsia"/>
              </w:rPr>
              <w:t>0.2%</w:t>
            </w:r>
          </w:p>
        </w:tc>
      </w:tr>
      <w:tr w14:paraId="45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BF47ED">
            <w:pPr>
              <w:widowControl/>
              <w:spacing w:line="360" w:lineRule="auto"/>
              <w:jc w:val="center"/>
            </w:pPr>
            <w:r>
              <w:rPr>
                <w:rFonts w:hint="eastAsia"/>
              </w:rPr>
              <w:t>1亿元（含）-5亿元</w:t>
            </w:r>
          </w:p>
        </w:tc>
        <w:tc>
          <w:tcPr>
            <w:tcW w:w="1799" w:type="dxa"/>
            <w:vAlign w:val="center"/>
          </w:tcPr>
          <w:p w14:paraId="2EBAAA4E">
            <w:pPr>
              <w:widowControl/>
              <w:spacing w:line="360" w:lineRule="auto"/>
              <w:jc w:val="center"/>
            </w:pPr>
            <w:r>
              <w:rPr>
                <w:rFonts w:hint="eastAsia"/>
              </w:rPr>
              <w:t>0.05%</w:t>
            </w:r>
          </w:p>
        </w:tc>
        <w:tc>
          <w:tcPr>
            <w:tcW w:w="1799" w:type="dxa"/>
            <w:vAlign w:val="center"/>
          </w:tcPr>
          <w:p w14:paraId="726948A5">
            <w:pPr>
              <w:widowControl/>
              <w:spacing w:line="360" w:lineRule="auto"/>
              <w:jc w:val="center"/>
            </w:pPr>
            <w:r>
              <w:rPr>
                <w:rFonts w:hint="eastAsia"/>
              </w:rPr>
              <w:t>0.05%</w:t>
            </w:r>
          </w:p>
        </w:tc>
        <w:tc>
          <w:tcPr>
            <w:tcW w:w="1799" w:type="dxa"/>
            <w:vAlign w:val="center"/>
          </w:tcPr>
          <w:p w14:paraId="26D0333D">
            <w:pPr>
              <w:widowControl/>
              <w:spacing w:line="360" w:lineRule="auto"/>
              <w:jc w:val="center"/>
            </w:pPr>
            <w:r>
              <w:rPr>
                <w:rFonts w:hint="eastAsia"/>
              </w:rPr>
              <w:t>0.05%</w:t>
            </w:r>
          </w:p>
        </w:tc>
      </w:tr>
      <w:tr w14:paraId="38A3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37E059">
            <w:pPr>
              <w:widowControl/>
              <w:spacing w:line="360" w:lineRule="auto"/>
              <w:jc w:val="center"/>
            </w:pPr>
            <w:r>
              <w:rPr>
                <w:rFonts w:hint="eastAsia"/>
              </w:rPr>
              <w:t>5亿元（含）-10亿元</w:t>
            </w:r>
          </w:p>
        </w:tc>
        <w:tc>
          <w:tcPr>
            <w:tcW w:w="1799" w:type="dxa"/>
            <w:vAlign w:val="center"/>
          </w:tcPr>
          <w:p w14:paraId="11320B42">
            <w:pPr>
              <w:widowControl/>
              <w:spacing w:line="360" w:lineRule="auto"/>
              <w:jc w:val="center"/>
            </w:pPr>
            <w:r>
              <w:rPr>
                <w:rFonts w:hint="eastAsia"/>
              </w:rPr>
              <w:t>0.035%</w:t>
            </w:r>
          </w:p>
        </w:tc>
        <w:tc>
          <w:tcPr>
            <w:tcW w:w="1799" w:type="dxa"/>
            <w:vAlign w:val="center"/>
          </w:tcPr>
          <w:p w14:paraId="2F5BE337">
            <w:pPr>
              <w:widowControl/>
              <w:spacing w:line="360" w:lineRule="auto"/>
              <w:jc w:val="center"/>
            </w:pPr>
            <w:r>
              <w:rPr>
                <w:rFonts w:hint="eastAsia"/>
              </w:rPr>
              <w:t>0.035%</w:t>
            </w:r>
          </w:p>
        </w:tc>
        <w:tc>
          <w:tcPr>
            <w:tcW w:w="1799" w:type="dxa"/>
            <w:vAlign w:val="center"/>
          </w:tcPr>
          <w:p w14:paraId="445928E7">
            <w:pPr>
              <w:widowControl/>
              <w:spacing w:line="360" w:lineRule="auto"/>
              <w:jc w:val="center"/>
            </w:pPr>
            <w:r>
              <w:rPr>
                <w:rFonts w:hint="eastAsia"/>
              </w:rPr>
              <w:t>0.035%</w:t>
            </w:r>
          </w:p>
        </w:tc>
      </w:tr>
      <w:tr w14:paraId="4A6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2022A07F">
            <w:pPr>
              <w:widowControl/>
              <w:spacing w:line="360" w:lineRule="auto"/>
              <w:jc w:val="center"/>
            </w:pPr>
            <w:r>
              <w:rPr>
                <w:rFonts w:hint="eastAsia"/>
              </w:rPr>
              <w:t>10亿元（含）-50亿元</w:t>
            </w:r>
          </w:p>
        </w:tc>
        <w:tc>
          <w:tcPr>
            <w:tcW w:w="1799" w:type="dxa"/>
            <w:vAlign w:val="center"/>
          </w:tcPr>
          <w:p w14:paraId="5ADC7492">
            <w:pPr>
              <w:widowControl/>
              <w:spacing w:line="360" w:lineRule="auto"/>
              <w:jc w:val="center"/>
            </w:pPr>
            <w:r>
              <w:rPr>
                <w:rFonts w:hint="eastAsia"/>
              </w:rPr>
              <w:t>0.008%</w:t>
            </w:r>
          </w:p>
        </w:tc>
        <w:tc>
          <w:tcPr>
            <w:tcW w:w="1799" w:type="dxa"/>
            <w:vAlign w:val="center"/>
          </w:tcPr>
          <w:p w14:paraId="17D17131">
            <w:pPr>
              <w:widowControl/>
              <w:spacing w:line="360" w:lineRule="auto"/>
              <w:jc w:val="center"/>
            </w:pPr>
            <w:r>
              <w:rPr>
                <w:rFonts w:hint="eastAsia"/>
              </w:rPr>
              <w:t>0.008%</w:t>
            </w:r>
          </w:p>
        </w:tc>
        <w:tc>
          <w:tcPr>
            <w:tcW w:w="1799" w:type="dxa"/>
            <w:vAlign w:val="center"/>
          </w:tcPr>
          <w:p w14:paraId="34B614EE">
            <w:pPr>
              <w:widowControl/>
              <w:spacing w:line="360" w:lineRule="auto"/>
              <w:jc w:val="center"/>
            </w:pPr>
            <w:r>
              <w:rPr>
                <w:rFonts w:hint="eastAsia"/>
              </w:rPr>
              <w:t>0.008%</w:t>
            </w:r>
          </w:p>
        </w:tc>
      </w:tr>
      <w:tr w14:paraId="5FF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97E2CDC">
            <w:pPr>
              <w:widowControl/>
              <w:spacing w:line="360" w:lineRule="auto"/>
              <w:jc w:val="center"/>
            </w:pPr>
            <w:r>
              <w:rPr>
                <w:rFonts w:hint="eastAsia"/>
              </w:rPr>
              <w:t>50亿元（含）-100亿元</w:t>
            </w:r>
          </w:p>
        </w:tc>
        <w:tc>
          <w:tcPr>
            <w:tcW w:w="1799" w:type="dxa"/>
            <w:vAlign w:val="center"/>
          </w:tcPr>
          <w:p w14:paraId="08EA740B">
            <w:pPr>
              <w:widowControl/>
              <w:spacing w:line="360" w:lineRule="auto"/>
              <w:jc w:val="center"/>
            </w:pPr>
            <w:r>
              <w:rPr>
                <w:rFonts w:hint="eastAsia"/>
              </w:rPr>
              <w:t>0.006%</w:t>
            </w:r>
          </w:p>
        </w:tc>
        <w:tc>
          <w:tcPr>
            <w:tcW w:w="1799" w:type="dxa"/>
            <w:vAlign w:val="center"/>
          </w:tcPr>
          <w:p w14:paraId="28B43DB6">
            <w:pPr>
              <w:widowControl/>
              <w:spacing w:line="360" w:lineRule="auto"/>
              <w:jc w:val="center"/>
            </w:pPr>
            <w:r>
              <w:rPr>
                <w:rFonts w:hint="eastAsia"/>
              </w:rPr>
              <w:t>0.006%</w:t>
            </w:r>
          </w:p>
        </w:tc>
        <w:tc>
          <w:tcPr>
            <w:tcW w:w="1799" w:type="dxa"/>
            <w:vAlign w:val="center"/>
          </w:tcPr>
          <w:p w14:paraId="285D42DA">
            <w:pPr>
              <w:widowControl/>
              <w:spacing w:line="360" w:lineRule="auto"/>
              <w:jc w:val="center"/>
            </w:pPr>
            <w:r>
              <w:rPr>
                <w:rFonts w:hint="eastAsia"/>
              </w:rPr>
              <w:t>0.006%</w:t>
            </w:r>
          </w:p>
        </w:tc>
      </w:tr>
      <w:tr w14:paraId="6A45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424AF6">
            <w:pPr>
              <w:widowControl/>
              <w:spacing w:line="360" w:lineRule="auto"/>
              <w:jc w:val="center"/>
            </w:pPr>
            <w:r>
              <w:rPr>
                <w:rFonts w:hint="eastAsia"/>
              </w:rPr>
              <w:t>100亿元（含）以上</w:t>
            </w:r>
          </w:p>
        </w:tc>
        <w:tc>
          <w:tcPr>
            <w:tcW w:w="1799" w:type="dxa"/>
            <w:vAlign w:val="center"/>
          </w:tcPr>
          <w:p w14:paraId="3E6F5FCD">
            <w:pPr>
              <w:widowControl/>
              <w:spacing w:line="360" w:lineRule="auto"/>
              <w:jc w:val="center"/>
            </w:pPr>
            <w:r>
              <w:rPr>
                <w:rFonts w:hint="eastAsia"/>
              </w:rPr>
              <w:t>0.004%</w:t>
            </w:r>
          </w:p>
        </w:tc>
        <w:tc>
          <w:tcPr>
            <w:tcW w:w="1799" w:type="dxa"/>
            <w:vAlign w:val="center"/>
          </w:tcPr>
          <w:p w14:paraId="34FC9903">
            <w:pPr>
              <w:widowControl/>
              <w:spacing w:line="360" w:lineRule="auto"/>
              <w:jc w:val="center"/>
            </w:pPr>
            <w:r>
              <w:rPr>
                <w:rFonts w:hint="eastAsia"/>
              </w:rPr>
              <w:t>0.004%</w:t>
            </w:r>
          </w:p>
        </w:tc>
        <w:tc>
          <w:tcPr>
            <w:tcW w:w="1799" w:type="dxa"/>
            <w:vAlign w:val="center"/>
          </w:tcPr>
          <w:p w14:paraId="2F4B6012">
            <w:pPr>
              <w:widowControl/>
              <w:spacing w:line="360" w:lineRule="auto"/>
              <w:jc w:val="center"/>
            </w:pPr>
            <w:r>
              <w:rPr>
                <w:rFonts w:hint="eastAsia"/>
              </w:rPr>
              <w:t>0.004%</w:t>
            </w:r>
          </w:p>
        </w:tc>
      </w:tr>
    </w:tbl>
    <w:p w14:paraId="30122B27">
      <w:pPr>
        <w:ind w:firstLine="420" w:firstLineChars="200"/>
      </w:pPr>
      <w:r>
        <w:rPr>
          <w:rFonts w:hint="eastAsia"/>
        </w:rPr>
        <w:t>备注：1.每宗交易代理服务费不低于 5000 元；</w:t>
      </w:r>
    </w:p>
    <w:p w14:paraId="34226921">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AE80A56">
      <w:pPr>
        <w:ind w:firstLine="420" w:firstLineChars="200"/>
      </w:pPr>
    </w:p>
    <w:p w14:paraId="6B3A0E03">
      <w:pPr>
        <w:ind w:firstLine="420" w:firstLineChars="200"/>
      </w:pPr>
      <w:r>
        <w:rPr>
          <w:rFonts w:hint="eastAsia"/>
        </w:rPr>
        <w:t>如某货物采购项目，中标（成交）金额为600万元，总共交纳的代理服务费的具体计算过程如下：</w:t>
      </w:r>
    </w:p>
    <w:p w14:paraId="741386DC">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81C415D">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0F6C970A">
      <w:pPr>
        <w:pStyle w:val="8"/>
      </w:pPr>
    </w:p>
    <w:p w14:paraId="5544E02F">
      <w:pPr>
        <w:pStyle w:val="36"/>
        <w:rPr>
          <w:b/>
        </w:rPr>
      </w:pPr>
    </w:p>
    <w:p w14:paraId="27914673">
      <w:pPr>
        <w:rPr>
          <w:b/>
        </w:rPr>
        <w:sectPr>
          <w:pgSz w:w="11907" w:h="16840"/>
          <w:pgMar w:top="1440" w:right="1797" w:bottom="1440" w:left="1797" w:header="851" w:footer="992" w:gutter="0"/>
          <w:cols w:space="425" w:num="1"/>
          <w:titlePg/>
          <w:docGrid w:linePitch="462" w:charSpace="0"/>
        </w:sectPr>
      </w:pPr>
    </w:p>
    <w:p w14:paraId="20156A7D">
      <w:pPr>
        <w:pStyle w:val="5"/>
        <w:rPr>
          <w:sz w:val="28"/>
          <w:szCs w:val="28"/>
        </w:rPr>
      </w:pPr>
      <w:bookmarkStart w:id="32" w:name="_Toc128884461"/>
      <w:r>
        <w:rPr>
          <w:rFonts w:hint="eastAsia"/>
          <w:sz w:val="28"/>
          <w:szCs w:val="28"/>
        </w:rPr>
        <w:t>第三章 用户需求书</w:t>
      </w:r>
    </w:p>
    <w:p w14:paraId="18027F29">
      <w:pPr>
        <w:pStyle w:val="5"/>
        <w:spacing w:before="120" w:beforeLines="50" w:after="120" w:afterLines="50"/>
        <w:rPr>
          <w:szCs w:val="24"/>
        </w:rPr>
      </w:pPr>
      <w:r>
        <w:rPr>
          <w:rFonts w:hint="eastAsia"/>
          <w:szCs w:val="24"/>
        </w:rPr>
        <w:t>一、项目基本信息</w:t>
      </w:r>
    </w:p>
    <w:p w14:paraId="5A055210">
      <w:pPr>
        <w:rPr>
          <w:rFonts w:ascii="宋体" w:hAnsi="宋体"/>
          <w:b/>
          <w:color w:val="FF0000"/>
          <w:szCs w:val="21"/>
        </w:rPr>
      </w:pPr>
    </w:p>
    <w:tbl>
      <w:tblPr>
        <w:tblStyle w:val="42"/>
        <w:tblpPr w:leftFromText="180" w:rightFromText="180" w:vertAnchor="text" w:horzAnchor="margin" w:tblpY="17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2195"/>
        <w:gridCol w:w="1701"/>
        <w:gridCol w:w="1701"/>
      </w:tblGrid>
      <w:tr w14:paraId="2AB5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6BFC595D">
            <w:pPr>
              <w:jc w:val="center"/>
              <w:rPr>
                <w:bCs/>
                <w:szCs w:val="21"/>
              </w:rPr>
            </w:pPr>
            <w:r>
              <w:rPr>
                <w:rFonts w:hint="eastAsia"/>
                <w:bCs/>
                <w:szCs w:val="21"/>
              </w:rPr>
              <w:t>序号</w:t>
            </w:r>
          </w:p>
        </w:tc>
        <w:tc>
          <w:tcPr>
            <w:tcW w:w="2603" w:type="dxa"/>
            <w:vAlign w:val="center"/>
          </w:tcPr>
          <w:p w14:paraId="73BA8CAD">
            <w:pPr>
              <w:jc w:val="center"/>
              <w:rPr>
                <w:bCs/>
                <w:szCs w:val="21"/>
              </w:rPr>
            </w:pPr>
            <w:r>
              <w:rPr>
                <w:rFonts w:hint="eastAsia"/>
                <w:szCs w:val="21"/>
                <w:lang w:val="en-US" w:eastAsia="zh-CN"/>
              </w:rPr>
              <w:t>项目</w:t>
            </w:r>
            <w:r>
              <w:rPr>
                <w:rFonts w:hint="eastAsia"/>
                <w:szCs w:val="21"/>
              </w:rPr>
              <w:t>编号</w:t>
            </w:r>
          </w:p>
        </w:tc>
        <w:tc>
          <w:tcPr>
            <w:tcW w:w="2195" w:type="dxa"/>
            <w:vAlign w:val="center"/>
          </w:tcPr>
          <w:p w14:paraId="12B93A66">
            <w:pPr>
              <w:jc w:val="center"/>
              <w:rPr>
                <w:bCs/>
                <w:szCs w:val="21"/>
              </w:rPr>
            </w:pPr>
            <w:r>
              <w:rPr>
                <w:rFonts w:hint="eastAsia"/>
                <w:bCs/>
                <w:szCs w:val="21"/>
              </w:rPr>
              <w:t>采购项目名称</w:t>
            </w:r>
          </w:p>
        </w:tc>
        <w:tc>
          <w:tcPr>
            <w:tcW w:w="1701" w:type="dxa"/>
            <w:vAlign w:val="center"/>
          </w:tcPr>
          <w:p w14:paraId="169EAC2F">
            <w:pPr>
              <w:jc w:val="center"/>
              <w:rPr>
                <w:b/>
                <w:bCs/>
                <w:color w:val="FF0000"/>
                <w:szCs w:val="21"/>
              </w:rPr>
            </w:pPr>
            <w:r>
              <w:rPr>
                <w:rFonts w:hint="eastAsia"/>
                <w:b/>
                <w:bCs/>
                <w:color w:val="FF0000"/>
                <w:szCs w:val="21"/>
              </w:rPr>
              <w:t>预算金额（元）</w:t>
            </w:r>
          </w:p>
        </w:tc>
        <w:tc>
          <w:tcPr>
            <w:tcW w:w="1701" w:type="dxa"/>
            <w:vAlign w:val="center"/>
          </w:tcPr>
          <w:p w14:paraId="3737C4A0">
            <w:pPr>
              <w:jc w:val="center"/>
              <w:rPr>
                <w:b/>
                <w:bCs/>
                <w:color w:val="FF0000"/>
                <w:szCs w:val="21"/>
              </w:rPr>
            </w:pPr>
            <w:r>
              <w:rPr>
                <w:rFonts w:hint="eastAsia" w:ascii="宋体" w:hAnsi="宋体"/>
                <w:b/>
                <w:snapToGrid w:val="0"/>
                <w:color w:val="FF0000"/>
                <w:kern w:val="0"/>
                <w:highlight w:val="yellow"/>
              </w:rPr>
              <w:t>最高限价（元）</w:t>
            </w:r>
          </w:p>
        </w:tc>
      </w:tr>
      <w:tr w14:paraId="1A68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14:paraId="4F76C7A8">
            <w:pPr>
              <w:jc w:val="center"/>
              <w:rPr>
                <w:bCs/>
                <w:color w:val="FF0000"/>
                <w:szCs w:val="21"/>
              </w:rPr>
            </w:pPr>
            <w:r>
              <w:rPr>
                <w:rFonts w:hint="eastAsia"/>
                <w:bCs/>
                <w:color w:val="FF0000"/>
                <w:szCs w:val="21"/>
              </w:rPr>
              <w:t>1</w:t>
            </w:r>
          </w:p>
        </w:tc>
        <w:tc>
          <w:tcPr>
            <w:tcW w:w="2603" w:type="dxa"/>
            <w:vAlign w:val="center"/>
          </w:tcPr>
          <w:p w14:paraId="5F412EE2">
            <w:pPr>
              <w:jc w:val="center"/>
              <w:rPr>
                <w:rFonts w:hint="eastAsia" w:eastAsia="宋体"/>
                <w:bCs/>
                <w:color w:val="FF0000"/>
                <w:szCs w:val="21"/>
                <w:lang w:eastAsia="zh-CN"/>
              </w:rPr>
            </w:pPr>
            <w:r>
              <w:rPr>
                <w:rFonts w:hint="eastAsia"/>
                <w:bCs/>
                <w:color w:val="FF0000"/>
                <w:szCs w:val="21"/>
                <w:lang w:eastAsia="zh-CN"/>
              </w:rPr>
              <w:t>YTZXCG-2025-00031</w:t>
            </w:r>
          </w:p>
        </w:tc>
        <w:tc>
          <w:tcPr>
            <w:tcW w:w="2195" w:type="dxa"/>
            <w:vAlign w:val="center"/>
          </w:tcPr>
          <w:p w14:paraId="59DDC5F3">
            <w:pPr>
              <w:jc w:val="center"/>
              <w:rPr>
                <w:b/>
                <w:bCs/>
                <w:color w:val="FF0000"/>
                <w:szCs w:val="21"/>
              </w:rPr>
            </w:pPr>
            <w:r>
              <w:rPr>
                <w:rFonts w:hint="eastAsia" w:ascii="Times New Roman" w:hAnsi="Times New Roman" w:eastAsia="宋体" w:cs="Times New Roman"/>
                <w:bCs/>
                <w:color w:val="FF0000"/>
                <w:szCs w:val="21"/>
                <w:highlight w:val="none"/>
                <w:lang w:val="en-US" w:eastAsia="zh-CN"/>
              </w:rPr>
              <w:t>2025年盐田区60周岁以上户籍老人意外伤害和意外医疗保险购买工作项目</w:t>
            </w:r>
          </w:p>
        </w:tc>
        <w:tc>
          <w:tcPr>
            <w:tcW w:w="1701" w:type="dxa"/>
            <w:vAlign w:val="center"/>
          </w:tcPr>
          <w:p w14:paraId="2908307D">
            <w:pPr>
              <w:jc w:val="center"/>
              <w:rPr>
                <w:bCs/>
                <w:color w:val="FF0000"/>
                <w:szCs w:val="21"/>
              </w:rPr>
            </w:pPr>
            <w:r>
              <w:rPr>
                <w:rFonts w:hint="eastAsia"/>
                <w:bCs/>
                <w:color w:val="FF0000"/>
                <w:szCs w:val="21"/>
                <w:highlight w:val="none"/>
                <w:lang w:val="en-US" w:eastAsia="zh-CN"/>
              </w:rPr>
              <w:t>850,000.00</w:t>
            </w:r>
          </w:p>
        </w:tc>
        <w:tc>
          <w:tcPr>
            <w:tcW w:w="1701" w:type="dxa"/>
            <w:vMerge w:val="restart"/>
            <w:vAlign w:val="center"/>
          </w:tcPr>
          <w:p w14:paraId="133590DF">
            <w:pPr>
              <w:jc w:val="center"/>
              <w:rPr>
                <w:bCs/>
                <w:color w:val="FF0000"/>
                <w:szCs w:val="21"/>
              </w:rPr>
            </w:pPr>
            <w:r>
              <w:rPr>
                <w:rFonts w:hint="eastAsia"/>
                <w:bCs/>
                <w:color w:val="FF0000"/>
                <w:szCs w:val="21"/>
              </w:rPr>
              <w:t>/</w:t>
            </w:r>
          </w:p>
        </w:tc>
      </w:tr>
      <w:tr w14:paraId="75FB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211" w:type="dxa"/>
            <w:gridSpan w:val="3"/>
            <w:vAlign w:val="center"/>
          </w:tcPr>
          <w:p w14:paraId="4EEA2B58">
            <w:pPr>
              <w:jc w:val="center"/>
              <w:rPr>
                <w:b/>
                <w:bCs/>
                <w:color w:val="FF0000"/>
                <w:szCs w:val="21"/>
              </w:rPr>
            </w:pPr>
            <w:r>
              <w:rPr>
                <w:b/>
                <w:bCs/>
                <w:color w:val="FF0000"/>
                <w:szCs w:val="21"/>
              </w:rPr>
              <w:t>合计</w:t>
            </w:r>
          </w:p>
        </w:tc>
        <w:tc>
          <w:tcPr>
            <w:tcW w:w="1701" w:type="dxa"/>
            <w:vAlign w:val="center"/>
          </w:tcPr>
          <w:p w14:paraId="48E14B14">
            <w:pPr>
              <w:jc w:val="center"/>
              <w:rPr>
                <w:rFonts w:hint="default"/>
                <w:bCs/>
                <w:color w:val="FF0000"/>
                <w:szCs w:val="21"/>
                <w:lang w:val="en-US"/>
              </w:rPr>
            </w:pPr>
            <w:r>
              <w:rPr>
                <w:rFonts w:hint="eastAsia"/>
                <w:bCs/>
                <w:color w:val="FF0000"/>
                <w:szCs w:val="21"/>
                <w:highlight w:val="none"/>
                <w:lang w:val="en-US" w:eastAsia="zh-CN"/>
              </w:rPr>
              <w:t>850,000.00</w:t>
            </w:r>
          </w:p>
        </w:tc>
        <w:tc>
          <w:tcPr>
            <w:tcW w:w="1701" w:type="dxa"/>
            <w:vMerge w:val="continue"/>
          </w:tcPr>
          <w:p w14:paraId="7FD0BFB7">
            <w:pPr>
              <w:jc w:val="center"/>
              <w:rPr>
                <w:bCs/>
                <w:color w:val="FF0000"/>
                <w:szCs w:val="21"/>
              </w:rPr>
            </w:pPr>
          </w:p>
        </w:tc>
      </w:tr>
    </w:tbl>
    <w:p w14:paraId="42FA3E8B">
      <w:pPr>
        <w:ind w:firstLine="422" w:firstLineChars="200"/>
        <w:rPr>
          <w:rFonts w:ascii="宋体" w:hAnsi="宋体"/>
          <w:b/>
          <w:snapToGrid w:val="0"/>
          <w:color w:val="FF0000"/>
          <w:kern w:val="0"/>
        </w:rPr>
      </w:pPr>
      <w:r>
        <w:rPr>
          <w:rFonts w:hint="eastAsia" w:ascii="宋体" w:hAnsi="宋体"/>
          <w:b/>
          <w:snapToGrid w:val="0"/>
          <w:color w:val="FF0000"/>
          <w:kern w:val="0"/>
        </w:rPr>
        <w:t>本项目在财政预算金额下设定最高限价，如投标人的投标报价超过此最高限价，将按照符合性审查要求作投标无效处理。</w:t>
      </w:r>
    </w:p>
    <w:p w14:paraId="44C0C06A">
      <w:pPr>
        <w:rPr>
          <w:rFonts w:ascii="宋体" w:hAnsi="宋体"/>
          <w:b/>
          <w:color w:val="FF0000"/>
          <w:szCs w:val="21"/>
        </w:rPr>
      </w:pPr>
    </w:p>
    <w:p w14:paraId="2D6F4585">
      <w:pPr>
        <w:rPr>
          <w:rFonts w:ascii="宋体" w:hAnsi="宋体"/>
          <w:b/>
          <w:color w:val="FF0000"/>
          <w:szCs w:val="21"/>
        </w:rPr>
      </w:pPr>
    </w:p>
    <w:p w14:paraId="60AF73F1">
      <w:pPr>
        <w:pStyle w:val="5"/>
        <w:spacing w:before="120" w:beforeLines="50" w:after="120" w:afterLines="50"/>
        <w:rPr>
          <w:szCs w:val="24"/>
        </w:rPr>
      </w:pPr>
      <w:r>
        <w:rPr>
          <w:rFonts w:hint="eastAsia"/>
          <w:szCs w:val="24"/>
        </w:rPr>
        <w:t>二、项目概况</w:t>
      </w:r>
    </w:p>
    <w:p w14:paraId="1CC7394E">
      <w:pPr>
        <w:ind w:firstLine="420" w:firstLineChars="200"/>
        <w:rPr>
          <w:sz w:val="24"/>
          <w:highlight w:val="none"/>
        </w:rPr>
      </w:pPr>
      <w:r>
        <w:rPr>
          <w:rFonts w:hint="eastAsia" w:ascii="宋体" w:hAnsi="宋体" w:cs="宋体"/>
          <w:szCs w:val="21"/>
          <w:highlight w:val="none"/>
        </w:rPr>
        <w:t>根据《市卫生健康委关于印发深圳市60周岁及以上户籍老年人意外伤害保险方案的通知》（深卫健老龄〔2021〕3号）、《市卫生健康委关于做好深圳市老年人意外伤害保险服务有关工作的通知》的要求，为充分保障老年人及其家庭抗风险能力，不断提高老年人的幸福感、获得感，减少因老年人意外伤害引发的矛盾和纠纷，</w:t>
      </w:r>
      <w:r>
        <w:rPr>
          <w:rFonts w:hint="eastAsia" w:ascii="宋体" w:hAnsi="宋体" w:cs="宋体"/>
          <w:szCs w:val="21"/>
          <w:highlight w:val="none"/>
          <w:lang w:eastAsia="zh-CN"/>
        </w:rPr>
        <w:t>盐田</w:t>
      </w:r>
      <w:r>
        <w:rPr>
          <w:rFonts w:hint="eastAsia" w:ascii="宋体" w:hAnsi="宋体" w:cs="宋体"/>
          <w:szCs w:val="21"/>
          <w:highlight w:val="none"/>
        </w:rPr>
        <w:t>区</w:t>
      </w:r>
      <w:r>
        <w:rPr>
          <w:rFonts w:hint="eastAsia" w:ascii="宋体" w:hAnsi="宋体" w:eastAsia="宋体" w:cs="宋体"/>
          <w:szCs w:val="21"/>
          <w:highlight w:val="none"/>
          <w:lang w:val="en-US" w:eastAsia="zh-CN"/>
        </w:rPr>
        <w:t>民政局</w:t>
      </w:r>
      <w:r>
        <w:rPr>
          <w:rFonts w:hint="eastAsia" w:ascii="宋体" w:hAnsi="宋体" w:cs="宋体"/>
          <w:szCs w:val="21"/>
          <w:highlight w:val="none"/>
        </w:rPr>
        <w:t>拟开展深圳市</w:t>
      </w:r>
      <w:r>
        <w:rPr>
          <w:rFonts w:hint="eastAsia" w:ascii="宋体" w:hAnsi="宋体" w:cs="宋体"/>
          <w:szCs w:val="21"/>
          <w:highlight w:val="none"/>
          <w:lang w:eastAsia="zh-CN"/>
        </w:rPr>
        <w:t>盐田</w:t>
      </w:r>
      <w:r>
        <w:rPr>
          <w:rFonts w:hint="eastAsia" w:ascii="宋体" w:hAnsi="宋体" w:cs="宋体"/>
          <w:szCs w:val="21"/>
          <w:highlight w:val="none"/>
        </w:rPr>
        <w:t>区60周岁及以上户籍老年人意外伤害保险项目的采购工作。</w:t>
      </w:r>
    </w:p>
    <w:p w14:paraId="635E93C1">
      <w:pPr>
        <w:ind w:firstLine="480" w:firstLineChars="200"/>
        <w:rPr>
          <w:sz w:val="24"/>
        </w:rPr>
      </w:pPr>
    </w:p>
    <w:p w14:paraId="7C8F43EB">
      <w:pPr>
        <w:rPr>
          <w:rFonts w:ascii="宋体" w:hAnsi="宋体"/>
          <w:b/>
          <w:color w:val="FF0000"/>
          <w:szCs w:val="21"/>
        </w:rPr>
      </w:pPr>
    </w:p>
    <w:p w14:paraId="737443B5">
      <w:pPr>
        <w:pStyle w:val="5"/>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75"/>
        <w:gridCol w:w="1635"/>
        <w:gridCol w:w="709"/>
        <w:gridCol w:w="709"/>
        <w:gridCol w:w="1135"/>
        <w:gridCol w:w="993"/>
      </w:tblGrid>
      <w:tr w14:paraId="416C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4EC4E5E6">
            <w:pPr>
              <w:jc w:val="center"/>
              <w:rPr>
                <w:bCs/>
                <w:szCs w:val="21"/>
              </w:rPr>
            </w:pPr>
            <w:r>
              <w:rPr>
                <w:rFonts w:hint="eastAsia"/>
                <w:bCs/>
                <w:szCs w:val="21"/>
              </w:rPr>
              <w:t>序号</w:t>
            </w:r>
          </w:p>
        </w:tc>
        <w:tc>
          <w:tcPr>
            <w:tcW w:w="2475" w:type="dxa"/>
            <w:vAlign w:val="center"/>
          </w:tcPr>
          <w:p w14:paraId="0DF1E17C">
            <w:pPr>
              <w:jc w:val="center"/>
              <w:rPr>
                <w:bCs/>
                <w:szCs w:val="21"/>
              </w:rPr>
            </w:pPr>
            <w:r>
              <w:rPr>
                <w:rFonts w:hint="eastAsia"/>
                <w:szCs w:val="21"/>
                <w:lang w:val="en-US" w:eastAsia="zh-CN"/>
              </w:rPr>
              <w:t>项目</w:t>
            </w:r>
            <w:r>
              <w:rPr>
                <w:rFonts w:hint="eastAsia"/>
                <w:szCs w:val="21"/>
              </w:rPr>
              <w:t>编号</w:t>
            </w:r>
          </w:p>
        </w:tc>
        <w:tc>
          <w:tcPr>
            <w:tcW w:w="1635" w:type="dxa"/>
            <w:vAlign w:val="center"/>
          </w:tcPr>
          <w:p w14:paraId="07AB6929">
            <w:pPr>
              <w:jc w:val="center"/>
              <w:rPr>
                <w:bCs/>
                <w:szCs w:val="21"/>
              </w:rPr>
            </w:pPr>
            <w:r>
              <w:rPr>
                <w:rFonts w:hint="eastAsia"/>
                <w:bCs/>
                <w:szCs w:val="21"/>
              </w:rPr>
              <w:t>服务需求名称（标的名称）</w:t>
            </w:r>
          </w:p>
        </w:tc>
        <w:tc>
          <w:tcPr>
            <w:tcW w:w="709" w:type="dxa"/>
            <w:vAlign w:val="center"/>
          </w:tcPr>
          <w:p w14:paraId="6A787396">
            <w:pPr>
              <w:jc w:val="center"/>
              <w:rPr>
                <w:bCs/>
                <w:szCs w:val="21"/>
              </w:rPr>
            </w:pPr>
            <w:r>
              <w:rPr>
                <w:rFonts w:hint="eastAsia"/>
                <w:bCs/>
                <w:szCs w:val="21"/>
              </w:rPr>
              <w:t>数量</w:t>
            </w:r>
          </w:p>
        </w:tc>
        <w:tc>
          <w:tcPr>
            <w:tcW w:w="709" w:type="dxa"/>
            <w:vAlign w:val="center"/>
          </w:tcPr>
          <w:p w14:paraId="61E43FFF">
            <w:pPr>
              <w:jc w:val="center"/>
              <w:rPr>
                <w:bCs/>
                <w:szCs w:val="21"/>
              </w:rPr>
            </w:pPr>
            <w:r>
              <w:rPr>
                <w:rFonts w:hint="eastAsia"/>
                <w:bCs/>
                <w:szCs w:val="21"/>
              </w:rPr>
              <w:t>单位</w:t>
            </w:r>
          </w:p>
        </w:tc>
        <w:tc>
          <w:tcPr>
            <w:tcW w:w="1135" w:type="dxa"/>
            <w:vAlign w:val="center"/>
          </w:tcPr>
          <w:p w14:paraId="2BF397B2">
            <w:pPr>
              <w:rPr>
                <w:rFonts w:hint="eastAsia"/>
                <w:b/>
                <w:color w:val="FF0000"/>
              </w:rPr>
            </w:pPr>
            <w:r>
              <w:rPr>
                <w:rFonts w:hint="eastAsia"/>
                <w:b/>
                <w:color w:val="FF0000"/>
              </w:rPr>
              <w:t>是否专门面向中小企业</w:t>
            </w:r>
          </w:p>
        </w:tc>
        <w:tc>
          <w:tcPr>
            <w:tcW w:w="993" w:type="dxa"/>
            <w:vAlign w:val="center"/>
          </w:tcPr>
          <w:p w14:paraId="3527C945">
            <w:pPr>
              <w:rPr>
                <w:b/>
                <w:color w:val="FF0000"/>
              </w:rPr>
            </w:pPr>
            <w:r>
              <w:rPr>
                <w:rFonts w:hint="eastAsia"/>
                <w:b/>
                <w:color w:val="FF0000"/>
              </w:rPr>
              <w:t xml:space="preserve">标的所属行业 </w:t>
            </w:r>
          </w:p>
        </w:tc>
      </w:tr>
      <w:tr w14:paraId="7A18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060354DB">
            <w:pPr>
              <w:jc w:val="center"/>
              <w:rPr>
                <w:bCs/>
                <w:szCs w:val="21"/>
              </w:rPr>
            </w:pPr>
            <w:r>
              <w:rPr>
                <w:rFonts w:hint="eastAsia"/>
                <w:bCs/>
                <w:szCs w:val="21"/>
              </w:rPr>
              <w:t>1</w:t>
            </w:r>
          </w:p>
        </w:tc>
        <w:tc>
          <w:tcPr>
            <w:tcW w:w="2475" w:type="dxa"/>
            <w:vAlign w:val="center"/>
          </w:tcPr>
          <w:p w14:paraId="6E538A80">
            <w:pPr>
              <w:jc w:val="center"/>
              <w:rPr>
                <w:rFonts w:hint="eastAsia" w:eastAsia="宋体"/>
                <w:bCs/>
                <w:szCs w:val="21"/>
                <w:lang w:eastAsia="zh-CN"/>
              </w:rPr>
            </w:pPr>
            <w:r>
              <w:rPr>
                <w:rFonts w:hint="eastAsia"/>
                <w:bCs/>
                <w:color w:val="FF0000"/>
                <w:szCs w:val="21"/>
                <w:lang w:eastAsia="zh-CN"/>
              </w:rPr>
              <w:t>YTZXCG-2025-00031</w:t>
            </w:r>
          </w:p>
        </w:tc>
        <w:tc>
          <w:tcPr>
            <w:tcW w:w="1635" w:type="dxa"/>
            <w:vAlign w:val="center"/>
          </w:tcPr>
          <w:p w14:paraId="2042EC34">
            <w:pPr>
              <w:jc w:val="center"/>
              <w:rPr>
                <w:bCs/>
                <w:szCs w:val="21"/>
              </w:rPr>
            </w:pPr>
            <w:r>
              <w:rPr>
                <w:rFonts w:hint="eastAsia" w:ascii="Times New Roman" w:hAnsi="Times New Roman" w:eastAsia="宋体" w:cs="Times New Roman"/>
                <w:bCs/>
                <w:color w:val="FF0000"/>
                <w:szCs w:val="21"/>
                <w:highlight w:val="none"/>
                <w:lang w:val="en-US" w:eastAsia="zh-CN"/>
              </w:rPr>
              <w:t>保险购买</w:t>
            </w:r>
          </w:p>
        </w:tc>
        <w:tc>
          <w:tcPr>
            <w:tcW w:w="709" w:type="dxa"/>
            <w:vAlign w:val="center"/>
          </w:tcPr>
          <w:p w14:paraId="19910268">
            <w:pPr>
              <w:jc w:val="center"/>
              <w:rPr>
                <w:rFonts w:hint="eastAsia" w:eastAsia="宋体"/>
                <w:bCs/>
                <w:szCs w:val="21"/>
                <w:lang w:eastAsia="zh-CN"/>
              </w:rPr>
            </w:pPr>
            <w:r>
              <w:rPr>
                <w:rFonts w:hint="eastAsia"/>
                <w:lang w:val="en-US" w:eastAsia="zh-CN"/>
              </w:rPr>
              <w:t>1</w:t>
            </w:r>
          </w:p>
        </w:tc>
        <w:tc>
          <w:tcPr>
            <w:tcW w:w="709" w:type="dxa"/>
            <w:vAlign w:val="center"/>
          </w:tcPr>
          <w:p w14:paraId="690D808B">
            <w:pPr>
              <w:jc w:val="center"/>
              <w:rPr>
                <w:rFonts w:hint="eastAsia" w:eastAsia="宋体"/>
                <w:bCs/>
                <w:szCs w:val="21"/>
                <w:lang w:val="en-US" w:eastAsia="zh-CN"/>
              </w:rPr>
            </w:pPr>
            <w:r>
              <w:rPr>
                <w:rFonts w:hint="eastAsia"/>
                <w:bCs/>
                <w:szCs w:val="21"/>
                <w:lang w:val="en-US" w:eastAsia="zh-CN"/>
              </w:rPr>
              <w:t>项</w:t>
            </w:r>
          </w:p>
        </w:tc>
        <w:tc>
          <w:tcPr>
            <w:tcW w:w="1135" w:type="dxa"/>
            <w:vAlign w:val="center"/>
          </w:tcPr>
          <w:p w14:paraId="6765DF0B">
            <w:pPr>
              <w:jc w:val="center"/>
              <w:rPr>
                <w:rFonts w:hint="eastAsia" w:eastAsia="宋体"/>
                <w:bCs/>
                <w:szCs w:val="21"/>
                <w:lang w:val="en-US" w:eastAsia="zh-CN"/>
              </w:rPr>
            </w:pPr>
            <w:r>
              <w:rPr>
                <w:rFonts w:hint="eastAsia"/>
                <w:bCs/>
                <w:szCs w:val="21"/>
                <w:lang w:val="en-US" w:eastAsia="zh-CN"/>
              </w:rPr>
              <w:t>否</w:t>
            </w:r>
          </w:p>
        </w:tc>
        <w:tc>
          <w:tcPr>
            <w:tcW w:w="993" w:type="dxa"/>
            <w:vAlign w:val="center"/>
          </w:tcPr>
          <w:p w14:paraId="3AA18B54">
            <w:pPr>
              <w:jc w:val="center"/>
              <w:rPr>
                <w:bCs/>
                <w:szCs w:val="21"/>
              </w:rPr>
            </w:pPr>
            <w:r>
              <w:rPr>
                <w:rFonts w:hint="eastAsia"/>
                <w:bCs/>
                <w:szCs w:val="21"/>
                <w:lang w:val="en-US" w:eastAsia="zh-CN"/>
              </w:rPr>
              <w:t>金融</w:t>
            </w:r>
            <w:r>
              <w:rPr>
                <w:rFonts w:hint="eastAsia"/>
                <w:bCs/>
                <w:szCs w:val="21"/>
              </w:rPr>
              <w:t>业</w:t>
            </w:r>
          </w:p>
        </w:tc>
      </w:tr>
    </w:tbl>
    <w:p w14:paraId="64586DCF">
      <w:pPr>
        <w:rPr>
          <w:rFonts w:ascii="宋体" w:hAnsi="宋体"/>
          <w:b/>
          <w:color w:val="FF0000"/>
          <w:szCs w:val="21"/>
        </w:rPr>
      </w:pPr>
    </w:p>
    <w:p w14:paraId="462E06C9">
      <w:pPr>
        <w:pStyle w:val="5"/>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7B2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7C6997A8">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序号</w:t>
            </w:r>
          </w:p>
        </w:tc>
        <w:tc>
          <w:tcPr>
            <w:tcW w:w="7795" w:type="dxa"/>
            <w:noWrap w:val="0"/>
            <w:vAlign w:val="top"/>
          </w:tcPr>
          <w:p w14:paraId="6309DC1A">
            <w:pPr>
              <w:adjustRightInd w:val="0"/>
              <w:snapToGrid w:val="0"/>
              <w:spacing w:line="360" w:lineRule="auto"/>
              <w:jc w:val="center"/>
              <w:rPr>
                <w:rFonts w:ascii="宋体" w:hAnsi="宋体"/>
                <w:b/>
                <w:kern w:val="0"/>
                <w:szCs w:val="21"/>
                <w:highlight w:val="none"/>
              </w:rPr>
            </w:pPr>
            <w:r>
              <w:rPr>
                <w:rFonts w:hint="eastAsia" w:ascii="宋体" w:hAnsi="宋体"/>
                <w:b/>
                <w:kern w:val="0"/>
                <w:szCs w:val="21"/>
                <w:highlight w:val="none"/>
              </w:rPr>
              <w:t>实质性条款具体内容</w:t>
            </w:r>
          </w:p>
        </w:tc>
      </w:tr>
      <w:tr w14:paraId="591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noWrap w:val="0"/>
            <w:vAlign w:val="top"/>
          </w:tcPr>
          <w:p w14:paraId="63A58A29">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noWrap w:val="0"/>
            <w:vAlign w:val="top"/>
          </w:tcPr>
          <w:p w14:paraId="13D1176E">
            <w:pPr>
              <w:rPr>
                <w:rFonts w:hAnsi="宋体" w:eastAsia="宋体"/>
                <w:kern w:val="0"/>
                <w:szCs w:val="21"/>
                <w:highlight w:val="none"/>
              </w:rPr>
            </w:pPr>
            <w:r>
              <w:rPr>
                <w:rFonts w:hint="eastAsia"/>
                <w:color w:val="FF0000"/>
                <w:szCs w:val="21"/>
                <w:highlight w:val="none"/>
              </w:rPr>
              <w:t>★</w:t>
            </w:r>
            <w:r>
              <w:rPr>
                <w:rFonts w:hint="eastAsia"/>
                <w:color w:val="FF0000"/>
                <w:highlight w:val="none"/>
              </w:rPr>
              <w:t>完全满足本项目服务期限的要求。</w:t>
            </w:r>
          </w:p>
        </w:tc>
      </w:tr>
      <w:tr w14:paraId="682E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621C92C1">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2</w:t>
            </w:r>
          </w:p>
        </w:tc>
        <w:tc>
          <w:tcPr>
            <w:tcW w:w="7795" w:type="dxa"/>
            <w:noWrap w:val="0"/>
            <w:vAlign w:val="top"/>
          </w:tcPr>
          <w:p w14:paraId="02BAFF2A">
            <w:pPr>
              <w:jc w:val="left"/>
              <w:rPr>
                <w:rFonts w:ascii="宋体" w:hAnsi="宋体" w:eastAsia="宋体"/>
                <w:highlight w:val="none"/>
              </w:rPr>
            </w:pPr>
            <w:r>
              <w:rPr>
                <w:rFonts w:hint="eastAsia"/>
                <w:color w:val="FF0000"/>
                <w:szCs w:val="21"/>
                <w:highlight w:val="none"/>
              </w:rPr>
              <w:t>★</w:t>
            </w:r>
            <w:r>
              <w:rPr>
                <w:rFonts w:hint="eastAsia" w:ascii="宋体" w:hAnsi="宋体"/>
                <w:color w:val="FF0000"/>
                <w:highlight w:val="none"/>
              </w:rPr>
              <w:t>完全满足本项目★标记条款的要求。</w:t>
            </w:r>
          </w:p>
        </w:tc>
      </w:tr>
      <w:tr w14:paraId="72BD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01967CCB">
            <w:pPr>
              <w:adjustRightInd w:val="0"/>
              <w:snapToGrid w:val="0"/>
              <w:spacing w:line="360" w:lineRule="auto"/>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3</w:t>
            </w:r>
          </w:p>
        </w:tc>
        <w:tc>
          <w:tcPr>
            <w:tcW w:w="7795" w:type="dxa"/>
            <w:noWrap w:val="0"/>
            <w:vAlign w:val="top"/>
          </w:tcPr>
          <w:p w14:paraId="01B10677">
            <w:pPr>
              <w:jc w:val="left"/>
              <w:rPr>
                <w:rFonts w:hint="eastAsia"/>
                <w:color w:val="FF0000"/>
                <w:szCs w:val="21"/>
                <w:highlight w:val="none"/>
              </w:rPr>
            </w:pPr>
            <w:r>
              <w:rPr>
                <w:rFonts w:hint="eastAsia" w:ascii="宋体" w:hAnsi="宋体" w:eastAsia="宋体"/>
                <w:color w:val="FF0000"/>
                <w:highlight w:val="yellow"/>
              </w:rPr>
              <w:t>★各投标供应商不得与其他投标供应商的法定代表人、主要经营负责人、投标授权代表人、项目负责人、主要技术人员为同一人、同一单位或者在同一单位缴纳社会保险。</w:t>
            </w:r>
            <w:r>
              <w:rPr>
                <w:rFonts w:hint="eastAsia" w:ascii="宋体" w:hAnsi="宋体" w:eastAsia="宋体"/>
                <w:b/>
                <w:bCs/>
                <w:color w:val="FF0000"/>
                <w:highlight w:val="yellow"/>
              </w:rPr>
              <w:t>（需提供法定代表人</w:t>
            </w:r>
            <w:r>
              <w:rPr>
                <w:rFonts w:hint="eastAsia" w:ascii="宋体" w:hAnsi="宋体" w:eastAsia="宋体"/>
                <w:b/>
                <w:bCs/>
                <w:color w:val="FF0000"/>
                <w:highlight w:val="yellow"/>
                <w:lang w:eastAsia="zh-CN"/>
              </w:rPr>
              <w:t>（</w:t>
            </w:r>
            <w:r>
              <w:rPr>
                <w:rFonts w:hint="eastAsia" w:ascii="宋体" w:hAnsi="宋体" w:eastAsia="宋体"/>
                <w:b/>
                <w:bCs/>
                <w:color w:val="FF0000"/>
                <w:highlight w:val="yellow"/>
                <w:lang w:val="en-US" w:eastAsia="zh-CN"/>
              </w:rPr>
              <w:t>或</w:t>
            </w:r>
            <w:r>
              <w:rPr>
                <w:rFonts w:hint="eastAsia" w:ascii="宋体" w:hAnsi="宋体" w:eastAsia="宋体"/>
                <w:b/>
                <w:bCs/>
                <w:color w:val="FF0000"/>
                <w:highlight w:val="yellow"/>
              </w:rPr>
              <w:t>单位负责人</w:t>
            </w:r>
            <w:r>
              <w:rPr>
                <w:rFonts w:hint="eastAsia" w:ascii="宋体" w:hAnsi="宋体" w:eastAsia="宋体"/>
                <w:b/>
                <w:bCs/>
                <w:color w:val="FF0000"/>
                <w:highlight w:val="yellow"/>
                <w:lang w:val="en-US" w:eastAsia="zh-CN"/>
              </w:rPr>
              <w:t>或</w:t>
            </w:r>
            <w:r>
              <w:rPr>
                <w:rFonts w:hint="eastAsia" w:ascii="宋体" w:hAnsi="宋体" w:eastAsia="宋体"/>
                <w:b/>
                <w:bCs/>
                <w:color w:val="FF0000"/>
                <w:highlight w:val="yellow"/>
              </w:rPr>
              <w:t>主要经营负责人</w:t>
            </w:r>
            <w:r>
              <w:rPr>
                <w:rFonts w:hint="eastAsia" w:ascii="宋体" w:hAnsi="宋体" w:eastAsia="宋体"/>
                <w:b/>
                <w:bCs/>
                <w:color w:val="FF0000"/>
                <w:highlight w:val="yellow"/>
                <w:lang w:eastAsia="zh-CN"/>
              </w:rPr>
              <w:t>）</w:t>
            </w:r>
            <w:r>
              <w:rPr>
                <w:rFonts w:hint="eastAsia" w:ascii="宋体" w:hAnsi="宋体" w:eastAsia="宋体"/>
                <w:b/>
                <w:bCs/>
                <w:color w:val="FF0000"/>
                <w:highlight w:val="yellow"/>
              </w:rPr>
              <w:t>、投标授权代表人</w:t>
            </w:r>
            <w:r>
              <w:rPr>
                <w:rFonts w:hint="eastAsia" w:ascii="宋体" w:hAnsi="宋体" w:eastAsia="宋体"/>
                <w:b/>
                <w:bCs/>
                <w:color w:val="FF0000"/>
                <w:highlight w:val="yellow"/>
                <w:lang w:eastAsia="zh-CN"/>
              </w:rPr>
              <w:t>、投标文件编制人员</w:t>
            </w:r>
            <w:r>
              <w:rPr>
                <w:rFonts w:hint="eastAsia" w:ascii="宋体" w:hAnsi="宋体" w:eastAsia="宋体"/>
                <w:b/>
                <w:bCs/>
                <w:color w:val="FF0000"/>
                <w:highlight w:val="yellow"/>
              </w:rPr>
              <w:t>等近一个月的社保缴纳证明）</w:t>
            </w:r>
          </w:p>
        </w:tc>
      </w:tr>
    </w:tbl>
    <w:p w14:paraId="4E2FEFC2">
      <w:pPr>
        <w:rPr>
          <w:b/>
        </w:rPr>
      </w:pPr>
      <w:r>
        <w:rPr>
          <w:rFonts w:hint="eastAsia"/>
          <w:b/>
        </w:rPr>
        <w:t>注：上表所列内容为不可负偏离条款，负偏离将视为未实质性满足招标文件要求作投标无效处理。</w:t>
      </w:r>
      <w:bookmarkEnd w:id="32"/>
    </w:p>
    <w:p w14:paraId="012ABA48">
      <w:pPr>
        <w:rPr>
          <w:b/>
          <w:bCs/>
          <w:sz w:val="24"/>
        </w:rPr>
      </w:pPr>
    </w:p>
    <w:p w14:paraId="765C5CDF">
      <w:pPr>
        <w:pStyle w:val="5"/>
        <w:spacing w:before="120" w:beforeLines="50" w:after="120" w:afterLines="50"/>
        <w:rPr>
          <w:szCs w:val="24"/>
        </w:rPr>
      </w:pPr>
      <w:r>
        <w:rPr>
          <w:rFonts w:hint="eastAsia"/>
          <w:szCs w:val="24"/>
        </w:rPr>
        <w:t>五、技术要求</w:t>
      </w:r>
    </w:p>
    <w:p w14:paraId="2C85DB06">
      <w:pPr>
        <w:rPr>
          <w:b/>
          <w:sz w:val="24"/>
        </w:rPr>
      </w:pPr>
    </w:p>
    <w:p w14:paraId="3F40C52D">
      <w:pPr>
        <w:rPr>
          <w:b/>
          <w:sz w:val="24"/>
        </w:rPr>
      </w:pPr>
    </w:p>
    <w:p w14:paraId="4C8A947F">
      <w:pPr>
        <w:numPr>
          <w:ilvl w:val="0"/>
          <w:numId w:val="0"/>
        </w:numPr>
        <w:ind w:firstLine="422" w:firstLineChars="200"/>
        <w:jc w:val="left"/>
        <w:rPr>
          <w:rFonts w:hint="eastAsia" w:ascii="宋体" w:hAnsi="宋体" w:cs="宋体"/>
          <w:b/>
          <w:bCs/>
          <w:sz w:val="21"/>
          <w:szCs w:val="21"/>
          <w:highlight w:val="none"/>
        </w:rPr>
      </w:pPr>
      <w:r>
        <w:rPr>
          <w:rFonts w:hint="eastAsia" w:ascii="宋体" w:hAnsi="宋体"/>
          <w:b/>
          <w:snapToGrid w:val="0"/>
          <w:kern w:val="0"/>
          <w:highlight w:val="none"/>
        </w:rPr>
        <w:t>主要包含但不限于下列内容：</w:t>
      </w:r>
    </w:p>
    <w:p w14:paraId="32384EDD">
      <w:pPr>
        <w:numPr>
          <w:ilvl w:val="0"/>
          <w:numId w:val="0"/>
        </w:numPr>
        <w:ind w:firstLine="422" w:firstLineChars="200"/>
        <w:jc w:val="left"/>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（一）项目情况</w:t>
      </w:r>
    </w:p>
    <w:p w14:paraId="1F523508">
      <w:pPr>
        <w:widowControl/>
        <w:numPr>
          <w:ilvl w:val="0"/>
          <w:numId w:val="0"/>
        </w:numPr>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1.项目背景</w:t>
      </w:r>
    </w:p>
    <w:p w14:paraId="0A56F88A">
      <w:pPr>
        <w:widowControl/>
        <w:numPr>
          <w:ilvl w:val="0"/>
          <w:numId w:val="0"/>
        </w:numPr>
        <w:ind w:firstLine="420" w:firstLineChars="200"/>
        <w:rPr>
          <w:rFonts w:hint="eastAsia"/>
          <w:highlight w:val="none"/>
          <w:lang w:eastAsia="zh-CN"/>
        </w:rPr>
      </w:pPr>
      <w:r>
        <w:rPr>
          <w:rFonts w:hint="eastAsia" w:ascii="宋体" w:hAnsi="宋体" w:cs="宋体"/>
          <w:szCs w:val="21"/>
          <w:highlight w:val="none"/>
        </w:rPr>
        <w:t>根据《市卫生健康委关于印发深圳市60周岁及以上户籍老年人意外伤害保险方案的通知》（深卫健老龄〔2021〕3号）、《市卫生健康委关于做好深圳市老年人意外伤害保险服务有关工作的通知》的要求，为充分保障老年人及其家庭抗风险能力，不断提高老年人的幸福感、获得感，减少因老年人意外伤害引发的矛盾和纠纷，</w:t>
      </w:r>
      <w:r>
        <w:rPr>
          <w:rFonts w:hint="eastAsia" w:ascii="宋体" w:hAnsi="宋体" w:cs="宋体"/>
          <w:szCs w:val="21"/>
          <w:highlight w:val="none"/>
          <w:lang w:eastAsia="zh-CN"/>
        </w:rPr>
        <w:t>盐田</w:t>
      </w:r>
      <w:r>
        <w:rPr>
          <w:rFonts w:hint="eastAsia" w:ascii="宋体" w:hAnsi="宋体" w:cs="宋体"/>
          <w:szCs w:val="21"/>
          <w:highlight w:val="none"/>
        </w:rPr>
        <w:t>区</w:t>
      </w:r>
      <w:r>
        <w:rPr>
          <w:rFonts w:hint="eastAsia" w:ascii="宋体" w:hAnsi="宋体" w:eastAsia="宋体" w:cs="宋体"/>
          <w:szCs w:val="21"/>
          <w:highlight w:val="none"/>
          <w:lang w:val="en-US" w:eastAsia="zh-CN"/>
        </w:rPr>
        <w:t>民政局</w:t>
      </w:r>
      <w:r>
        <w:rPr>
          <w:rFonts w:hint="eastAsia" w:ascii="宋体" w:hAnsi="宋体" w:cs="宋体"/>
          <w:szCs w:val="21"/>
          <w:highlight w:val="none"/>
        </w:rPr>
        <w:t>拟开展</w:t>
      </w:r>
      <w:r>
        <w:rPr>
          <w:rFonts w:hint="eastAsia" w:ascii="宋体" w:hAnsi="宋体" w:cs="宋体"/>
          <w:szCs w:val="21"/>
          <w:highlight w:val="none"/>
          <w:lang w:val="en-US" w:eastAsia="zh-CN"/>
        </w:rPr>
        <w:t>2025年盐田区</w:t>
      </w:r>
      <w:r>
        <w:rPr>
          <w:rFonts w:hint="eastAsia" w:ascii="宋体" w:hAnsi="宋体" w:cs="宋体"/>
          <w:szCs w:val="21"/>
          <w:highlight w:val="none"/>
        </w:rPr>
        <w:t>60周岁及以上户籍老年人意外伤害</w:t>
      </w:r>
      <w:r>
        <w:rPr>
          <w:rFonts w:hint="eastAsia" w:ascii="宋体" w:hAnsi="宋体" w:cs="宋体"/>
          <w:szCs w:val="21"/>
          <w:highlight w:val="none"/>
          <w:lang w:eastAsia="zh-CN"/>
        </w:rPr>
        <w:t>和意外医疗保险购买</w:t>
      </w:r>
      <w:r>
        <w:rPr>
          <w:rFonts w:hint="eastAsia" w:ascii="宋体" w:hAnsi="宋体" w:cs="宋体"/>
          <w:szCs w:val="21"/>
          <w:highlight w:val="none"/>
        </w:rPr>
        <w:t>项目的采购工作。</w:t>
      </w:r>
    </w:p>
    <w:p w14:paraId="06096006">
      <w:pPr>
        <w:numPr>
          <w:ilvl w:val="0"/>
          <w:numId w:val="0"/>
        </w:numPr>
        <w:ind w:firstLine="420" w:firstLineChars="200"/>
        <w:jc w:val="left"/>
        <w:rPr>
          <w:rFonts w:ascii="宋体" w:hAnsi="宋体" w:cs="宋体"/>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sz w:val="21"/>
          <w:szCs w:val="21"/>
          <w:highlight w:val="none"/>
        </w:rPr>
        <w:t>招标目标：</w:t>
      </w:r>
    </w:p>
    <w:p w14:paraId="177BCB23">
      <w:pPr>
        <w:widowControl/>
        <w:numPr>
          <w:ilvl w:val="0"/>
          <w:numId w:val="0"/>
        </w:numPr>
        <w:ind w:firstLine="420" w:firstLineChars="200"/>
        <w:rPr>
          <w:rFonts w:ascii="宋体" w:hAnsi="宋体" w:cs="宋体"/>
          <w:sz w:val="21"/>
          <w:szCs w:val="21"/>
          <w:highlight w:val="none"/>
        </w:rPr>
      </w:pPr>
      <w:r>
        <w:rPr>
          <w:rFonts w:hint="eastAsia" w:ascii="宋体" w:hAnsi="宋体" w:cs="宋体"/>
          <w:sz w:val="21"/>
          <w:szCs w:val="21"/>
          <w:highlight w:val="none"/>
        </w:rPr>
        <w:t>通过</w:t>
      </w:r>
      <w:r>
        <w:rPr>
          <w:rFonts w:hint="eastAsia" w:ascii="宋体" w:hAnsi="宋体" w:cs="宋体"/>
          <w:sz w:val="21"/>
          <w:szCs w:val="21"/>
          <w:highlight w:val="none"/>
          <w:lang w:eastAsia="zh-CN"/>
        </w:rPr>
        <w:t>公开招标（公开征集）</w:t>
      </w:r>
      <w:r>
        <w:rPr>
          <w:rFonts w:hint="eastAsia" w:ascii="宋体" w:hAnsi="宋体" w:cs="宋体"/>
          <w:sz w:val="21"/>
          <w:szCs w:val="21"/>
          <w:highlight w:val="none"/>
        </w:rPr>
        <w:t>确定1名中标供应商，为本项目提供承保、理赔、宣传培训及其他保险服务。在服务期内，中标人有违反承诺行为且符合服务内容终止情形的，采购单位将按照有关规定进行处理。</w:t>
      </w:r>
    </w:p>
    <w:p w14:paraId="6A78515A">
      <w:pPr>
        <w:widowControl/>
        <w:numPr>
          <w:ilvl w:val="0"/>
          <w:numId w:val="0"/>
        </w:numPr>
        <w:tabs>
          <w:tab w:val="left" w:pos="5869"/>
        </w:tabs>
        <w:ind w:firstLine="422" w:firstLineChars="200"/>
        <w:rPr>
          <w:rFonts w:hint="eastAsia" w:ascii="宋体" w:hAnsi="宋体" w:eastAsia="宋体" w:cs="宋体"/>
          <w:sz w:val="21"/>
          <w:szCs w:val="21"/>
          <w:highlight w:val="none"/>
          <w:lang w:eastAsia="zh-CN"/>
        </w:rPr>
      </w:pPr>
      <w:r>
        <w:rPr>
          <w:rFonts w:hint="eastAsia" w:ascii="宋体" w:hAnsi="宋体" w:cs="宋体"/>
          <w:b/>
          <w:bCs/>
          <w:sz w:val="21"/>
          <w:szCs w:val="21"/>
          <w:highlight w:val="none"/>
          <w:lang w:eastAsia="zh-CN"/>
        </w:rPr>
        <w:t>（二）</w:t>
      </w:r>
      <w:r>
        <w:rPr>
          <w:rFonts w:hint="eastAsia" w:ascii="宋体" w:hAnsi="宋体" w:cs="宋体"/>
          <w:b/>
          <w:bCs/>
          <w:sz w:val="21"/>
          <w:szCs w:val="21"/>
          <w:highlight w:val="none"/>
        </w:rPr>
        <w:t>保险方案</w:t>
      </w:r>
      <w:r>
        <w:rPr>
          <w:rFonts w:hint="eastAsia" w:ascii="宋体" w:hAnsi="宋体" w:cs="宋体"/>
          <w:b/>
          <w:bCs/>
          <w:sz w:val="21"/>
          <w:szCs w:val="21"/>
          <w:highlight w:val="none"/>
          <w:lang w:eastAsia="zh-CN"/>
        </w:rPr>
        <w:tab/>
      </w:r>
    </w:p>
    <w:p w14:paraId="739B1485">
      <w:pPr>
        <w:widowControl/>
        <w:numPr>
          <w:ilvl w:val="0"/>
          <w:numId w:val="0"/>
        </w:numPr>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rPr>
        <w:t>1.投保人：深圳市</w:t>
      </w:r>
      <w:r>
        <w:rPr>
          <w:rFonts w:hint="eastAsia" w:ascii="宋体" w:hAnsi="宋体" w:cs="宋体"/>
          <w:sz w:val="21"/>
          <w:szCs w:val="21"/>
          <w:highlight w:val="none"/>
          <w:lang w:eastAsia="zh-CN"/>
        </w:rPr>
        <w:t>盐田</w:t>
      </w:r>
      <w:r>
        <w:rPr>
          <w:rFonts w:hint="eastAsia" w:ascii="宋体" w:hAnsi="宋体" w:cs="宋体"/>
          <w:sz w:val="21"/>
          <w:szCs w:val="21"/>
          <w:highlight w:val="none"/>
        </w:rPr>
        <w:t>区</w:t>
      </w:r>
      <w:r>
        <w:rPr>
          <w:rFonts w:hint="eastAsia" w:ascii="宋体" w:hAnsi="宋体" w:eastAsia="宋体" w:cs="宋体"/>
          <w:sz w:val="21"/>
          <w:szCs w:val="21"/>
          <w:highlight w:val="none"/>
          <w:lang w:val="en-US" w:eastAsia="zh-CN"/>
        </w:rPr>
        <w:t>民政局</w:t>
      </w:r>
    </w:p>
    <w:p w14:paraId="531153C9">
      <w:pPr>
        <w:widowControl/>
        <w:numPr>
          <w:ilvl w:val="0"/>
          <w:numId w:val="0"/>
        </w:numPr>
        <w:ind w:firstLine="420" w:firstLineChars="200"/>
        <w:rPr>
          <w:rFonts w:ascii="宋体" w:hAnsi="宋体" w:cs="宋体"/>
          <w:sz w:val="21"/>
          <w:szCs w:val="21"/>
          <w:highlight w:val="none"/>
        </w:rPr>
      </w:pPr>
      <w:r>
        <w:rPr>
          <w:rFonts w:hint="eastAsia" w:ascii="宋体" w:hAnsi="宋体" w:cs="宋体"/>
          <w:sz w:val="21"/>
          <w:szCs w:val="21"/>
          <w:highlight w:val="none"/>
        </w:rPr>
        <w:t>2.被保险人：保单年度内年满60周岁及以上的深圳市</w:t>
      </w:r>
      <w:r>
        <w:rPr>
          <w:rFonts w:hint="eastAsia" w:ascii="宋体" w:hAnsi="宋体" w:cs="宋体"/>
          <w:sz w:val="21"/>
          <w:szCs w:val="21"/>
          <w:highlight w:val="none"/>
          <w:lang w:eastAsia="zh-CN"/>
        </w:rPr>
        <w:t>盐田</w:t>
      </w:r>
      <w:r>
        <w:rPr>
          <w:rFonts w:hint="eastAsia" w:ascii="宋体" w:hAnsi="宋体" w:cs="宋体"/>
          <w:sz w:val="21"/>
          <w:szCs w:val="21"/>
          <w:highlight w:val="none"/>
        </w:rPr>
        <w:t>区户籍老年人，参保人数为</w:t>
      </w:r>
      <w:r>
        <w:rPr>
          <w:rFonts w:hint="default" w:ascii="宋体" w:hAnsi="宋体" w:cs="宋体"/>
          <w:b/>
          <w:bCs/>
          <w:color w:val="FF0000"/>
          <w:sz w:val="21"/>
          <w:szCs w:val="21"/>
          <w:highlight w:val="none"/>
          <w:lang w:val="en" w:eastAsia="zh-CN"/>
        </w:rPr>
        <w:t>12000</w:t>
      </w:r>
      <w:r>
        <w:rPr>
          <w:rFonts w:hint="eastAsia" w:ascii="宋体" w:hAnsi="宋体" w:cs="宋体"/>
          <w:sz w:val="21"/>
          <w:szCs w:val="21"/>
          <w:highlight w:val="none"/>
        </w:rPr>
        <w:t>人。</w:t>
      </w:r>
    </w:p>
    <w:p w14:paraId="05FC9643">
      <w:pPr>
        <w:widowControl/>
        <w:numPr>
          <w:ilvl w:val="0"/>
          <w:numId w:val="0"/>
        </w:numPr>
        <w:ind w:firstLine="420" w:firstLineChars="200"/>
        <w:rPr>
          <w:rFonts w:ascii="宋体" w:hAnsi="宋体" w:cs="宋体"/>
          <w:sz w:val="21"/>
          <w:szCs w:val="21"/>
          <w:highlight w:val="none"/>
        </w:rPr>
      </w:pPr>
      <w:r>
        <w:rPr>
          <w:rFonts w:hint="eastAsia" w:ascii="宋体" w:hAnsi="宋体" w:cs="宋体"/>
          <w:sz w:val="21"/>
          <w:szCs w:val="21"/>
          <w:highlight w:val="none"/>
        </w:rPr>
        <w:t>3.保障项目及保险金额：</w:t>
      </w:r>
    </w:p>
    <w:tbl>
      <w:tblPr>
        <w:tblStyle w:val="43"/>
        <w:tblW w:w="6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57"/>
        <w:gridCol w:w="2793"/>
      </w:tblGrid>
      <w:tr w14:paraId="170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53" w:type="dxa"/>
            <w:noWrap w:val="0"/>
            <w:vAlign w:val="center"/>
          </w:tcPr>
          <w:p w14:paraId="3C321874">
            <w:pPr>
              <w:widowControl w:val="0"/>
              <w:adjustRightInd w:val="0"/>
              <w:snapToGrid w:val="0"/>
              <w:jc w:val="both"/>
              <w:rPr>
                <w:rFonts w:ascii="宋体" w:hAnsi="宋体" w:cs="宋体"/>
                <w:color w:val="000000"/>
                <w:sz w:val="21"/>
                <w:szCs w:val="21"/>
                <w:highlight w:val="none"/>
              </w:rPr>
            </w:pPr>
            <w:r>
              <w:rPr>
                <w:rFonts w:hint="eastAsia" w:ascii="宋体" w:hAnsi="宋体" w:cs="宋体"/>
                <w:b/>
                <w:bCs/>
                <w:color w:val="000000"/>
                <w:sz w:val="21"/>
                <w:szCs w:val="21"/>
                <w:highlight w:val="none"/>
              </w:rPr>
              <w:t>序号</w:t>
            </w:r>
          </w:p>
        </w:tc>
        <w:tc>
          <w:tcPr>
            <w:tcW w:w="3057" w:type="dxa"/>
            <w:noWrap w:val="0"/>
            <w:vAlign w:val="center"/>
          </w:tcPr>
          <w:p w14:paraId="2980993C">
            <w:pPr>
              <w:widowControl w:val="0"/>
              <w:adjustRightInd w:val="0"/>
              <w:snapToGrid w:val="0"/>
              <w:jc w:val="center"/>
              <w:rPr>
                <w:rFonts w:ascii="宋体" w:hAnsi="宋体" w:cs="宋体"/>
                <w:color w:val="000000"/>
                <w:sz w:val="21"/>
                <w:szCs w:val="21"/>
                <w:highlight w:val="none"/>
              </w:rPr>
            </w:pPr>
            <w:r>
              <w:rPr>
                <w:rFonts w:hint="eastAsia" w:ascii="宋体" w:hAnsi="宋体" w:cs="宋体"/>
                <w:b/>
                <w:bCs/>
                <w:color w:val="000000"/>
                <w:sz w:val="21"/>
                <w:szCs w:val="21"/>
                <w:highlight w:val="none"/>
              </w:rPr>
              <w:t>保障项目</w:t>
            </w:r>
          </w:p>
        </w:tc>
        <w:tc>
          <w:tcPr>
            <w:tcW w:w="2793" w:type="dxa"/>
            <w:noWrap w:val="0"/>
            <w:vAlign w:val="center"/>
          </w:tcPr>
          <w:p w14:paraId="79748C93">
            <w:pPr>
              <w:widowControl w:val="0"/>
              <w:adjustRightInd w:val="0"/>
              <w:snapToGrid w:val="0"/>
              <w:jc w:val="center"/>
              <w:rPr>
                <w:rFonts w:ascii="宋体" w:hAnsi="宋体" w:cs="宋体"/>
                <w:color w:val="000000"/>
                <w:sz w:val="21"/>
                <w:szCs w:val="21"/>
                <w:highlight w:val="none"/>
              </w:rPr>
            </w:pPr>
            <w:r>
              <w:rPr>
                <w:rFonts w:hint="eastAsia" w:ascii="宋体" w:hAnsi="宋体" w:cs="宋体"/>
                <w:b/>
                <w:bCs/>
                <w:color w:val="000000"/>
                <w:sz w:val="21"/>
                <w:szCs w:val="21"/>
                <w:highlight w:val="none"/>
              </w:rPr>
              <w:t>保险金额</w:t>
            </w:r>
          </w:p>
        </w:tc>
      </w:tr>
      <w:tr w14:paraId="4AB8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0B1E8D40">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46B2299E">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意外身故保险金</w:t>
            </w:r>
          </w:p>
        </w:tc>
        <w:tc>
          <w:tcPr>
            <w:tcW w:w="2793" w:type="dxa"/>
            <w:noWrap w:val="0"/>
            <w:vAlign w:val="center"/>
          </w:tcPr>
          <w:p w14:paraId="57D2F756">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5万元/人</w:t>
            </w:r>
          </w:p>
        </w:tc>
      </w:tr>
      <w:tr w14:paraId="1C2C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4398FE19">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59FC2D61">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意外残疾保险金</w:t>
            </w:r>
          </w:p>
        </w:tc>
        <w:tc>
          <w:tcPr>
            <w:tcW w:w="2793" w:type="dxa"/>
            <w:noWrap w:val="0"/>
            <w:vAlign w:val="center"/>
          </w:tcPr>
          <w:p w14:paraId="1ACE8B93">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最高5万元/人</w:t>
            </w:r>
          </w:p>
        </w:tc>
      </w:tr>
      <w:tr w14:paraId="6283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3DFFB060">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5C086E70">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特定活动及场所意外伤害保险金</w:t>
            </w:r>
          </w:p>
        </w:tc>
        <w:tc>
          <w:tcPr>
            <w:tcW w:w="2793" w:type="dxa"/>
            <w:noWrap w:val="0"/>
            <w:vAlign w:val="center"/>
          </w:tcPr>
          <w:p w14:paraId="2DCD476C">
            <w:pPr>
              <w:widowControl w:val="0"/>
              <w:jc w:val="left"/>
              <w:rPr>
                <w:rFonts w:ascii="宋体" w:hAnsi="宋体" w:cs="宋体"/>
                <w:color w:val="000000"/>
                <w:sz w:val="21"/>
                <w:szCs w:val="21"/>
                <w:highlight w:val="none"/>
              </w:rPr>
            </w:pPr>
            <w:r>
              <w:rPr>
                <w:rFonts w:hint="eastAsia" w:ascii="宋体" w:hAnsi="宋体" w:cs="宋体"/>
                <w:color w:val="000000"/>
                <w:sz w:val="21"/>
                <w:szCs w:val="21"/>
                <w:highlight w:val="none"/>
              </w:rPr>
              <w:t>1.死亡：10万元/人；</w:t>
            </w:r>
          </w:p>
          <w:p w14:paraId="1347E69A">
            <w:pPr>
              <w:widowControl w:val="0"/>
              <w:jc w:val="left"/>
              <w:rPr>
                <w:rFonts w:ascii="宋体" w:hAnsi="宋体" w:cs="宋体"/>
                <w:color w:val="000000"/>
                <w:sz w:val="21"/>
                <w:szCs w:val="21"/>
                <w:highlight w:val="none"/>
              </w:rPr>
            </w:pPr>
            <w:r>
              <w:rPr>
                <w:rFonts w:hint="eastAsia" w:ascii="宋体" w:hAnsi="宋体" w:cs="宋体"/>
                <w:color w:val="000000"/>
                <w:sz w:val="21"/>
                <w:szCs w:val="21"/>
                <w:highlight w:val="none"/>
              </w:rPr>
              <w:t>2.残疾：最高10万元/人</w:t>
            </w:r>
          </w:p>
        </w:tc>
      </w:tr>
      <w:tr w14:paraId="3E07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6B24C238">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479BED06">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意外骨折/关节脱位保险金</w:t>
            </w:r>
          </w:p>
        </w:tc>
        <w:tc>
          <w:tcPr>
            <w:tcW w:w="2793" w:type="dxa"/>
            <w:noWrap w:val="0"/>
            <w:vAlign w:val="center"/>
          </w:tcPr>
          <w:p w14:paraId="54771ABB">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最高3万元/人</w:t>
            </w:r>
          </w:p>
        </w:tc>
      </w:tr>
      <w:tr w14:paraId="5538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5C646761">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7305CF8F">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意外伤害门诊/住院医疗保险金</w:t>
            </w:r>
          </w:p>
        </w:tc>
        <w:tc>
          <w:tcPr>
            <w:tcW w:w="2793" w:type="dxa"/>
            <w:noWrap w:val="0"/>
            <w:vAlign w:val="center"/>
          </w:tcPr>
          <w:p w14:paraId="1788EE8B">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最高1.5万元/人</w:t>
            </w:r>
          </w:p>
        </w:tc>
      </w:tr>
      <w:tr w14:paraId="1C12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4326C0FF">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0A9A33FC">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意外医疗辅助器材费用</w:t>
            </w:r>
          </w:p>
        </w:tc>
        <w:tc>
          <w:tcPr>
            <w:tcW w:w="2793" w:type="dxa"/>
            <w:noWrap w:val="0"/>
            <w:vAlign w:val="center"/>
          </w:tcPr>
          <w:p w14:paraId="06C38D9E">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最高1000元/人</w:t>
            </w:r>
          </w:p>
        </w:tc>
      </w:tr>
      <w:tr w14:paraId="3BCE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6B7432A9">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39A2AB5B">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意外伤害住院津贴</w:t>
            </w:r>
          </w:p>
        </w:tc>
        <w:tc>
          <w:tcPr>
            <w:tcW w:w="2793" w:type="dxa"/>
            <w:noWrap w:val="0"/>
            <w:vAlign w:val="center"/>
          </w:tcPr>
          <w:p w14:paraId="04E9E7C4">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100元/天/人</w:t>
            </w:r>
          </w:p>
        </w:tc>
      </w:tr>
      <w:tr w14:paraId="4801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742D96E7">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1C86A0D4">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意外伤害住院照护津贴</w:t>
            </w:r>
          </w:p>
        </w:tc>
        <w:tc>
          <w:tcPr>
            <w:tcW w:w="2793" w:type="dxa"/>
            <w:noWrap w:val="0"/>
            <w:vAlign w:val="center"/>
          </w:tcPr>
          <w:p w14:paraId="5FE56D85">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100元/天/人</w:t>
            </w:r>
          </w:p>
        </w:tc>
      </w:tr>
      <w:tr w14:paraId="3BF7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73304941">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565C113B">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意外伤害住院营养津贴</w:t>
            </w:r>
          </w:p>
        </w:tc>
        <w:tc>
          <w:tcPr>
            <w:tcW w:w="2793" w:type="dxa"/>
            <w:noWrap w:val="0"/>
            <w:vAlign w:val="center"/>
          </w:tcPr>
          <w:p w14:paraId="0DB7B968">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100元/天/人</w:t>
            </w:r>
          </w:p>
        </w:tc>
      </w:tr>
      <w:tr w14:paraId="451A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 w:type="dxa"/>
            <w:noWrap w:val="0"/>
            <w:vAlign w:val="center"/>
          </w:tcPr>
          <w:p w14:paraId="73854B6D">
            <w:pPr>
              <w:widowControl w:val="0"/>
              <w:numPr>
                <w:ilvl w:val="0"/>
                <w:numId w:val="10"/>
              </w:numPr>
              <w:adjustRightInd w:val="0"/>
              <w:snapToGrid w:val="0"/>
              <w:jc w:val="center"/>
              <w:rPr>
                <w:rFonts w:ascii="宋体" w:hAnsi="宋体" w:cs="宋体"/>
                <w:color w:val="000000"/>
                <w:sz w:val="21"/>
                <w:szCs w:val="21"/>
                <w:highlight w:val="none"/>
              </w:rPr>
            </w:pPr>
          </w:p>
        </w:tc>
        <w:tc>
          <w:tcPr>
            <w:tcW w:w="3057" w:type="dxa"/>
            <w:noWrap w:val="0"/>
            <w:vAlign w:val="center"/>
          </w:tcPr>
          <w:p w14:paraId="6AED40C4">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“120”急救费用</w:t>
            </w:r>
          </w:p>
        </w:tc>
        <w:tc>
          <w:tcPr>
            <w:tcW w:w="2793" w:type="dxa"/>
            <w:noWrap w:val="0"/>
            <w:vAlign w:val="center"/>
          </w:tcPr>
          <w:p w14:paraId="1AC42B51">
            <w:pPr>
              <w:widowControl w:val="0"/>
              <w:adjustRightInd w:val="0"/>
              <w:snapToGrid w:val="0"/>
              <w:jc w:val="center"/>
              <w:rPr>
                <w:rFonts w:ascii="宋体" w:hAnsi="宋体" w:cs="宋体"/>
                <w:color w:val="000000"/>
                <w:sz w:val="21"/>
                <w:szCs w:val="21"/>
                <w:highlight w:val="none"/>
              </w:rPr>
            </w:pPr>
            <w:r>
              <w:rPr>
                <w:rFonts w:hint="eastAsia" w:ascii="宋体" w:hAnsi="宋体" w:cs="宋体"/>
                <w:color w:val="000000"/>
                <w:sz w:val="21"/>
                <w:szCs w:val="21"/>
                <w:highlight w:val="none"/>
              </w:rPr>
              <w:t>最高1000元/人</w:t>
            </w:r>
          </w:p>
        </w:tc>
      </w:tr>
    </w:tbl>
    <w:p w14:paraId="0B974902">
      <w:pPr>
        <w:widowControl/>
        <w:ind w:firstLine="420" w:firstLineChars="200"/>
        <w:jc w:val="left"/>
        <w:textAlignment w:val="center"/>
        <w:rPr>
          <w:rFonts w:hint="eastAsia" w:ascii="宋体" w:hAnsi="宋体" w:eastAsia="宋体" w:cs="宋体"/>
          <w:color w:val="000000"/>
          <w:sz w:val="21"/>
          <w:szCs w:val="21"/>
          <w:highlight w:val="none"/>
        </w:rPr>
      </w:pPr>
      <w:r>
        <w:rPr>
          <w:rFonts w:ascii="宋体" w:hAnsi="宋体" w:cs="宋体"/>
          <w:color w:val="000000"/>
          <w:sz w:val="21"/>
          <w:szCs w:val="21"/>
          <w:highlight w:val="none"/>
        </w:rPr>
        <w:t>4.</w:t>
      </w:r>
      <w:r>
        <w:rPr>
          <w:rFonts w:hint="eastAsia" w:ascii="宋体" w:hAnsi="宋体" w:eastAsia="宋体" w:cs="宋体"/>
          <w:color w:val="000000"/>
          <w:sz w:val="21"/>
          <w:szCs w:val="21"/>
          <w:highlight w:val="none"/>
        </w:rPr>
        <w:t>投保方式：本项目是政府作为投保人为老年人特殊群体投保的具有公益性质的团体保险，根据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市卫生健康委关于印发深圳市60周岁及以上户籍老年人意外伤害保险方案的通知（深卫健老龄〔2021〕3 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，本项目采用不记名方式进行投保，</w:t>
      </w:r>
      <w:r>
        <w:rPr>
          <w:rFonts w:hint="eastAsia" w:ascii="宋体" w:hAnsi="宋体" w:eastAsia="宋体" w:cs="宋体"/>
          <w:sz w:val="21"/>
          <w:szCs w:val="21"/>
          <w:highlight w:val="none"/>
        </w:rPr>
        <w:t>参保人数为</w:t>
      </w:r>
      <w:r>
        <w:rPr>
          <w:rFonts w:hint="default" w:ascii="宋体" w:hAnsi="宋体" w:cs="宋体"/>
          <w:b/>
          <w:bCs/>
          <w:color w:val="FF0000"/>
          <w:sz w:val="21"/>
          <w:szCs w:val="21"/>
          <w:highlight w:val="none"/>
          <w:lang w:val="en" w:eastAsia="zh-CN"/>
        </w:rPr>
        <w:t>12000</w:t>
      </w:r>
      <w:r>
        <w:rPr>
          <w:rFonts w:hint="eastAsia" w:ascii="宋体" w:hAnsi="宋体" w:eastAsia="宋体" w:cs="宋体"/>
          <w:sz w:val="21"/>
          <w:szCs w:val="21"/>
          <w:highlight w:val="none"/>
        </w:rPr>
        <w:t>人</w:t>
      </w:r>
      <w:r>
        <w:rPr>
          <w:rFonts w:hint="eastAsia" w:ascii="宋体" w:hAnsi="宋体" w:eastAsia="宋体" w:cs="宋体"/>
          <w:color w:val="000000"/>
          <w:sz w:val="21"/>
          <w:szCs w:val="21"/>
          <w:highlight w:val="none"/>
        </w:rPr>
        <w:t>。</w:t>
      </w:r>
    </w:p>
    <w:p w14:paraId="17CAE7D4">
      <w:pPr>
        <w:widowControl/>
        <w:ind w:firstLine="420" w:firstLineChars="20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5.免赔：各保障项目均不设免赔。</w:t>
      </w:r>
    </w:p>
    <w:p w14:paraId="5E409F30">
      <w:pPr>
        <w:widowControl/>
        <w:ind w:firstLine="420" w:firstLineChars="200"/>
        <w:jc w:val="left"/>
        <w:textAlignment w:val="center"/>
        <w:rPr>
          <w:rFonts w:hint="eastAsia" w:ascii="宋体" w:hAnsi="宋体" w:cs="宋体"/>
          <w:color w:val="000000"/>
          <w:sz w:val="21"/>
          <w:szCs w:val="21"/>
          <w:highlight w:val="none"/>
        </w:rPr>
      </w:pPr>
      <w:r>
        <w:rPr>
          <w:rFonts w:ascii="宋体" w:hAnsi="宋体" w:cs="宋体"/>
          <w:color w:val="000000"/>
          <w:sz w:val="21"/>
          <w:szCs w:val="21"/>
          <w:highlight w:val="none"/>
        </w:rPr>
        <w:t>6.保险期限：</w:t>
      </w:r>
      <w:r>
        <w:rPr>
          <w:rFonts w:hint="eastAsia" w:ascii="宋体" w:hAnsi="宋体" w:cs="宋体"/>
          <w:color w:val="000000"/>
          <w:sz w:val="21"/>
          <w:szCs w:val="21"/>
          <w:highlight w:val="none"/>
        </w:rPr>
        <w:t>1年。</w:t>
      </w:r>
    </w:p>
    <w:p w14:paraId="06E606E8">
      <w:pPr>
        <w:widowControl/>
        <w:ind w:firstLine="420" w:firstLine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.服务期限：</w:t>
      </w:r>
      <w:r>
        <w:rPr>
          <w:rFonts w:hint="eastAsia" w:ascii="宋体" w:hAnsi="宋体" w:cs="宋体"/>
          <w:sz w:val="21"/>
          <w:szCs w:val="21"/>
          <w:highlight w:val="none"/>
          <w:lang w:val="en-US" w:eastAsia="zh-CN"/>
        </w:rPr>
        <w:t>2025年6月</w:t>
      </w:r>
      <w:r>
        <w:rPr>
          <w:rFonts w:hint="default" w:ascii="宋体" w:hAnsi="宋体" w:cs="宋体"/>
          <w:sz w:val="21"/>
          <w:szCs w:val="21"/>
          <w:highlight w:val="none"/>
          <w:lang w:val="en-US" w:eastAsia="zh-CN"/>
        </w:rPr>
        <w:t>20</w:t>
      </w:r>
      <w:r>
        <w:rPr>
          <w:rFonts w:hint="eastAsia" w:ascii="宋体" w:hAnsi="宋体" w:cs="宋体"/>
          <w:sz w:val="21"/>
          <w:szCs w:val="21"/>
          <w:highlight w:val="none"/>
          <w:lang w:val="en-US" w:eastAsia="zh-CN"/>
        </w:rPr>
        <w:t>日-2026年</w:t>
      </w:r>
      <w:r>
        <w:rPr>
          <w:rFonts w:hint="default" w:ascii="宋体" w:hAnsi="宋体" w:cs="宋体"/>
          <w:sz w:val="21"/>
          <w:szCs w:val="21"/>
          <w:highlight w:val="none"/>
          <w:lang w:val="en-US" w:eastAsia="zh-CN"/>
        </w:rPr>
        <w:t>6</w:t>
      </w:r>
      <w:r>
        <w:rPr>
          <w:rFonts w:hint="eastAsia" w:ascii="宋体" w:hAnsi="宋体" w:cs="宋体"/>
          <w:sz w:val="21"/>
          <w:szCs w:val="21"/>
          <w:highlight w:val="none"/>
          <w:lang w:val="en-US" w:eastAsia="zh-CN"/>
        </w:rPr>
        <w:t>月19日</w:t>
      </w:r>
    </w:p>
    <w:p w14:paraId="41357BEC">
      <w:pPr>
        <w:widowControl/>
        <w:ind w:firstLine="422" w:firstLineChars="200"/>
        <w:jc w:val="left"/>
        <w:textAlignment w:val="center"/>
        <w:rPr>
          <w:rFonts w:ascii="宋体" w:hAnsi="宋体" w:cs="宋体"/>
          <w:b/>
          <w:bCs/>
          <w:color w:val="FF0000"/>
          <w:sz w:val="21"/>
          <w:szCs w:val="21"/>
          <w:highlight w:val="none"/>
        </w:rPr>
      </w:pPr>
      <w:r>
        <w:rPr>
          <w:rFonts w:hint="eastAsia" w:ascii="宋体" w:hAnsi="宋体" w:cs="宋体"/>
          <w:b/>
          <w:color w:val="FF0000"/>
          <w:sz w:val="21"/>
          <w:szCs w:val="21"/>
          <w:highlight w:val="none"/>
        </w:rPr>
        <w:t>★</w:t>
      </w:r>
      <w:r>
        <w:rPr>
          <w:rFonts w:hint="eastAsia" w:ascii="宋体" w:hAnsi="宋体" w:eastAsia="宋体" w:cs="宋体"/>
          <w:b/>
          <w:color w:val="FF0000"/>
          <w:sz w:val="21"/>
          <w:szCs w:val="21"/>
          <w:highlight w:val="none"/>
          <w:lang w:val="en-US" w:eastAsia="zh-CN"/>
        </w:rPr>
        <w:t>8.</w:t>
      </w:r>
      <w:r>
        <w:rPr>
          <w:rFonts w:hint="eastAsia" w:ascii="宋体" w:hAnsi="宋体" w:cs="宋体"/>
          <w:b/>
          <w:color w:val="FF0000"/>
          <w:sz w:val="21"/>
          <w:szCs w:val="21"/>
          <w:highlight w:val="none"/>
        </w:rPr>
        <w:t>投标人须完全响应</w:t>
      </w:r>
      <w:r>
        <w:rPr>
          <w:rFonts w:ascii="宋体" w:hAnsi="宋体" w:cs="宋体"/>
          <w:b/>
          <w:bCs/>
          <w:color w:val="FF0000"/>
          <w:sz w:val="21"/>
          <w:szCs w:val="21"/>
          <w:highlight w:val="none"/>
        </w:rPr>
        <w:t>本项目保险方案，包括保险责任说明及名词定义。</w:t>
      </w:r>
    </w:p>
    <w:p w14:paraId="6E6253D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bCs/>
          <w:color w:val="auto"/>
          <w:spacing w:val="0"/>
          <w:sz w:val="21"/>
          <w:szCs w:val="21"/>
          <w:highlight w:val="none"/>
          <w:lang w:eastAsia="zh-CN"/>
        </w:rPr>
      </w:pPr>
      <w:r>
        <w:rPr>
          <w:rFonts w:hint="eastAsia" w:ascii="宋体" w:hAnsi="宋体" w:cs="宋体"/>
          <w:b/>
          <w:bCs/>
          <w:spacing w:val="0"/>
          <w:sz w:val="21"/>
          <w:szCs w:val="21"/>
          <w:highlight w:val="none"/>
          <w:lang w:val="en-US" w:eastAsia="zh-CN"/>
        </w:rPr>
        <w:t>（三）</w:t>
      </w:r>
      <w:r>
        <w:rPr>
          <w:rFonts w:hint="eastAsia" w:ascii="宋体" w:hAnsi="宋体" w:eastAsia="Times New Roman" w:cs="宋体"/>
          <w:b/>
          <w:bCs/>
          <w:color w:val="auto"/>
          <w:spacing w:val="0"/>
          <w:sz w:val="21"/>
          <w:szCs w:val="21"/>
          <w:highlight w:val="none"/>
        </w:rPr>
        <w:t>保险责任说明</w:t>
      </w:r>
      <w:r>
        <w:rPr>
          <w:rFonts w:hint="eastAsia" w:ascii="宋体" w:hAnsi="宋体" w:eastAsia="宋体" w:cs="宋体"/>
          <w:b/>
          <w:bCs/>
          <w:color w:val="auto"/>
          <w:spacing w:val="0"/>
          <w:sz w:val="21"/>
          <w:szCs w:val="21"/>
          <w:highlight w:val="none"/>
          <w:lang w:eastAsia="zh-CN"/>
        </w:rPr>
        <w:t>及名词定义</w:t>
      </w:r>
    </w:p>
    <w:p w14:paraId="0C24A460">
      <w:pPr>
        <w:keepNext w:val="0"/>
        <w:keepLines w:val="0"/>
        <w:pageBreakBefore w:val="0"/>
        <w:widowControl w:val="0"/>
        <w:kinsoku/>
        <w:wordWrap/>
        <w:overflowPunct/>
        <w:topLinePunct w:val="0"/>
        <w:autoSpaceDE/>
        <w:autoSpaceDN/>
        <w:bidi w:val="0"/>
        <w:adjustRightInd w:val="0"/>
        <w:snapToGrid w:val="0"/>
        <w:spacing w:line="320" w:lineRule="exact"/>
        <w:ind w:firstLine="462" w:firstLineChars="200"/>
        <w:textAlignment w:val="auto"/>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1.意外身故保险金：5万元/人。</w:t>
      </w:r>
    </w:p>
    <w:p w14:paraId="635CC581">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在保险期间内，被保险人因遭受意外伤害事故，并自事故发生之日起一百八十日内因该事故身故的，保险人按约定的保险金额给付意外身故保险金，对该被保险人的保险责任终止。</w:t>
      </w:r>
    </w:p>
    <w:p w14:paraId="310F72DD">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因遭受意外伤害事故且自该事故发生日起下落不明，后经人民法院宣告死亡的，保险人按约定的保险金额给付意外身故保险金。但若被保险人被宣告死亡后生还的，保险金受领人应于知道或应当知道被保险人生还后三十日内退还保险人给付的意外身故保险金。</w:t>
      </w:r>
    </w:p>
    <w:p w14:paraId="2ED298E6">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被保险人身故前已领有“2.意外残疾保险金”约定的残疾保险金的，意外身故保险金为约定的保险金额扣除已给付意外残疾保险金后的余额。</w:t>
      </w:r>
    </w:p>
    <w:p w14:paraId="14744872">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2.意外残疾保险金：最高5万元/人</w:t>
      </w:r>
    </w:p>
    <w:p w14:paraId="29BB5D66">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因遭受意外伤害事故，并自事故发生之日起一百八十日内因该事故造成《人身保险伤残评定标准》（中保协发〔2013〕88号）所列伤残程度之一者，保险人按该标准所列伤残程度对应的保险金给付比例乘以约定的保险金额给付意外残疾保险金。如第一百八十日治疗仍未结束的，按第一百八十日的身体情况进行伤残鉴定，并据此给付意外残疾保险金。</w:t>
      </w:r>
    </w:p>
    <w:p w14:paraId="129D5E17">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人身保险伤残程度等级相对应的保险金给付比例分为十级，伤残程度第一级对应的保险金给付比例为100%，伤残程度第十级对应的保险金给付比例为10%，每级相差10%。</w:t>
      </w:r>
    </w:p>
    <w:p w14:paraId="329F3563">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人身保险伤残评定标准》两条以上条文或者同一条文两次以上进行评定。 </w:t>
      </w:r>
    </w:p>
    <w:p w14:paraId="442F64D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被保险人如在本次意外伤害事故之前已有伤残，保险人按合并后的伤残程度在《人身保险伤残评定标准》中所对应的给付比例给付意外残疾保险金，但应扣除原有伤残程度在《人身保险伤残评定标准》中所对应的意外残疾保险金。</w:t>
      </w:r>
    </w:p>
    <w:p w14:paraId="7F0054D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在保险期间内，对被保险人的意外残疾保险金累计给付金额以约定的意外残疾保险金额为限，累计给付金额达到约定的意外残疾保险金额时，对被保险人的该项保险责任终止。</w:t>
      </w:r>
    </w:p>
    <w:p w14:paraId="6C2144D0">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3.特定活动及场所意外伤害：（1）死亡：10万元/人；（2）残疾：最高10万元/人</w:t>
      </w:r>
    </w:p>
    <w:p w14:paraId="023CDDC5">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在保险期间内，被保险人在参加以下特定活动期间或约定的特定场所遭受意外伤害事故，保险人在约定保险金额内承担死亡、残疾的保险责任。</w:t>
      </w:r>
    </w:p>
    <w:p w14:paraId="2B9381A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特定活动及特定场所是指：①政府及社会机构组织的老年人公益活动、社会服务活动； ②老年人志愿者参与的社会服务活动；③符合《深圳市人民政府办公厅关于扩大我市老年人享受敬老优惠待遇范围的通知》（深府办函〔2019〕183号）规定的以下各项公共场所：1）深圳市内各公园；2）深圳市政府投资建设各旅游景区；3）深圳市内各公共文化场所（博物馆、文化馆、美术馆、图书馆等）；4）深圳市内公共体育场馆（含公立学校体育场馆）；5）深圳市内各公厕；6）深圳市内各医疗机构；7）深圳市内公交车和轨道交通。</w:t>
      </w:r>
    </w:p>
    <w:p w14:paraId="2CC685A2">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本项责任与“1.意外身故保险金”“2.意外残疾保险金”可叠加赔付。</w:t>
      </w:r>
    </w:p>
    <w:p w14:paraId="71A08360">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4.意外骨折/关节脱位保险金：最高3万元/人</w:t>
      </w:r>
    </w:p>
    <w:p w14:paraId="7D182D1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遭受意外伤害事故，并因此造成《骨折或关节脱位给付比例表》（详见附件）所列骨折、关节脱位程度之一者，保险人按表中所列给付比例乘以约定的保险金额给付意外伤害骨折/关节脱位保险金。</w:t>
      </w:r>
    </w:p>
    <w:p w14:paraId="79BBAE49">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骨折或关节脱位给付比例表》中所列骨折指开放性骨折及闭合性骨折，如为闭合性骨折并住院施行切开复位手术或穿透性固定手术的，保险人按《骨折或关节脱位给付比例表》中对应的给付比例乘以75%的比例给付；如为闭合性骨折住院但未施行手术仅实行保守治疗的，则按《骨折或关节脱位给付比例表》中该骨折对应的给付比例乘以25%的比例给付；如为闭合性骨折门诊治疗，则按《骨折或关节脱位给付比例表》中该骨折对应给付比例乘以10%的比例给付。</w:t>
      </w:r>
    </w:p>
    <w:p w14:paraId="56785CBF">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保险期间，被保险人因同一意外伤害造成多项骨折、关节脱位时，保险人给付对应各项意外骨折/关节脱位保险金之和。但发生同一项目中不同分项的意外骨折/关节脱位的，保险人仅给付其中比例较高分项目的意外骨折/关节脱位保险金。同一意外伤害事故中，同一分项目意外骨折关节脱位保险金仅给付一次。</w:t>
      </w:r>
    </w:p>
    <w:p w14:paraId="1A99DB1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若发生多次骨折/关节脱位，则本次意外伤害导致的骨折、关节脱位合并前次骨折/关节脱位可领较严重等级的意外伤害骨折、关节脱位保险金者，按较严重等级标准给付，但前次已给付的意外伤害骨折/关节脱位保险金（投保前已有或因责任免除事项所致《骨折或关节脱位给付比例表》所列的骨折/关节脱位视为已给付意外伤害骨折、关节脱位保险金）应予以扣除。</w:t>
      </w:r>
    </w:p>
    <w:p w14:paraId="29E9CED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（3）若被保险人遭受意外事故所致骨折/关节脱位程度同属《人身保险伤残评定标准》和《骨折或关节脱位给付比例表》，应分别予以赔付。</w:t>
      </w:r>
    </w:p>
    <w:p w14:paraId="4B480677">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（4）无论被保险人是否患有骨质疏松症或病理性骨折，如该事件是由意外事故引发的，保险人也应按上述条款进行赔付。</w:t>
      </w:r>
    </w:p>
    <w:p w14:paraId="3495AC52">
      <w:pPr>
        <w:keepNext w:val="0"/>
        <w:keepLines w:val="0"/>
        <w:pageBreakBefore w:val="0"/>
        <w:numPr>
          <w:ilvl w:val="0"/>
          <w:numId w:val="0"/>
        </w:numPr>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对被保险人的意外伤害骨折/关节脱位保险金累计给付金额以约定的意外骨折/关节脱位保险金额为限。累计给付金额达到约定的意外伤害骨折/关节脱位保险金额时，对被保险人的该项保险责任终止。</w:t>
      </w:r>
    </w:p>
    <w:p w14:paraId="774DF21C">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5.意外门诊/住院医疗保险金：最高1.5万元/人</w:t>
      </w:r>
    </w:p>
    <w:p w14:paraId="65592481">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在保险期间内，被保险人因遭受意外伤害事故，并自事故发生之日起一百八十日内在医院进行治疗，保险人按实际支出的合理医疗费用按照100％给付意外</w:t>
      </w:r>
      <w:r>
        <w:rPr>
          <w:rFonts w:hint="eastAsia" w:ascii="宋体" w:hAnsi="宋体" w:eastAsia="宋体" w:cs="宋体"/>
          <w:color w:val="000000"/>
          <w:spacing w:val="10"/>
          <w:sz w:val="21"/>
          <w:szCs w:val="21"/>
          <w:highlight w:val="none"/>
        </w:rPr>
        <w:t>门诊/住院</w:t>
      </w:r>
      <w:r>
        <w:rPr>
          <w:rFonts w:hint="eastAsia" w:ascii="宋体" w:hAnsi="宋体" w:eastAsia="宋体" w:cs="宋体"/>
          <w:color w:val="000000"/>
          <w:sz w:val="21"/>
          <w:szCs w:val="21"/>
          <w:highlight w:val="none"/>
        </w:rPr>
        <w:t>医疗保险金，累计赔付金额不超过约定的保险金额。</w:t>
      </w:r>
    </w:p>
    <w:p w14:paraId="6C850B14">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被保险人不论一次或多次发生意外伤害保险事故，保险人均按上述规定分别给付意外门诊/住院医疗保险金，但累计给付金额以不超过约定的意外门诊/住院医疗保险金额为限，累计给付金额达到约定的意外</w:t>
      </w:r>
      <w:r>
        <w:rPr>
          <w:rFonts w:hint="eastAsia" w:ascii="宋体" w:hAnsi="宋体" w:eastAsia="宋体" w:cs="宋体"/>
          <w:color w:val="000000"/>
          <w:spacing w:val="10"/>
          <w:sz w:val="21"/>
          <w:szCs w:val="21"/>
          <w:highlight w:val="none"/>
        </w:rPr>
        <w:t>门诊/住院</w:t>
      </w:r>
      <w:r>
        <w:rPr>
          <w:rFonts w:hint="eastAsia" w:ascii="宋体" w:hAnsi="宋体" w:eastAsia="宋体" w:cs="宋体"/>
          <w:color w:val="000000"/>
          <w:sz w:val="21"/>
          <w:szCs w:val="21"/>
          <w:highlight w:val="none"/>
        </w:rPr>
        <w:t>医疗保险金额时，对被保险人的该项保险责任终止。</w:t>
      </w:r>
    </w:p>
    <w:p w14:paraId="286701D4">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除另有约定外，当保险期间结束时，被保险人必须继续接受治疗的，保险人继续承担最高一百八十日的保险责任，但累计给付金额达到约定的意外门诊/住院医疗保险金额时，对该被保险人的该项保险责任终止。 </w:t>
      </w:r>
    </w:p>
    <w:p w14:paraId="66459821">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可根据实际情况自行选择报销顺序，被保险人如果已从其它途径获得补偿，保险人只承担合理医疗费用剩余部分的保险责任，但个人账户支出的医疗费用也应予以赔偿。被保险人如为境外就医，本项保险责任中的医疗费用按照国内当地相同治疗的平均水平折算。</w:t>
      </w:r>
    </w:p>
    <w:p w14:paraId="47AFB972">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6.意外医疗辅助器材保险金：最高1000元/人</w:t>
      </w:r>
    </w:p>
    <w:p w14:paraId="67E88E6D">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因遭受意外伤害事故，并自事故发生之日起一百八十日内进行治疗，根据医嘱需要使用辅助医疗器材的，按实际支出的医疗辅助器材费用100%赔付意外医疗辅助器材保险金，单次及累计给付金额以约定的意外医疗辅助器材保险金额为限。</w:t>
      </w:r>
    </w:p>
    <w:p w14:paraId="47F89FD2">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辅助医疗器材包括但不限于如下种类器材：拐杖、轮椅、吊带、牵引器、康复训练器、雾化器、微波治疗仪、颈托、头部固定器。</w:t>
      </w:r>
    </w:p>
    <w:p w14:paraId="4C3C419E">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如被保险人已通过医保等其它途径获得补偿，保险人仅承担医疗辅助器材费剩余部分的保险责任。</w:t>
      </w:r>
    </w:p>
    <w:p w14:paraId="1092BF74">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7.意外住院津贴：100元/天/人</w:t>
      </w:r>
    </w:p>
    <w:p w14:paraId="3961BFE7">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在保险期间内，被保险人因遭受意外伤害事故，经医院诊断必须住院治疗，保险人按约定的意外住院津贴日额，扣除免赔0天后对被保险人的实际住院天数给付意外住院津贴。</w:t>
      </w:r>
    </w:p>
    <w:p w14:paraId="5923B173">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在保险期内多次遭受意外伤害事故进行住院治疗，保险人按规定分别给付意外住院津贴。每次住院意外住院津贴保险金的合理给付天数不超过一百八十日，且对同一被保险人累计给付天数以三百六十五日为限。</w:t>
      </w:r>
    </w:p>
    <w:p w14:paraId="4E17065B">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当保险期间结束时，被保险人必须继续接受住院治疗的，保险人继续承担最高一百八十日的保险责任，但累计给付天数达到约定的一百八十日时，对该被保险人的该项保险责任终止。 </w:t>
      </w:r>
    </w:p>
    <w:p w14:paraId="6156A89F">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8.意外住院照护津贴：100元/天/人</w:t>
      </w:r>
    </w:p>
    <w:p w14:paraId="547004E3">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被保险人因遭受意外伤害事故，经医院诊断必须住院治疗的，保险人按约定的意外住院照护津贴日额，扣除免赔0天后对被保险人的实际住院天数给付意外住院照护津贴。</w:t>
      </w:r>
    </w:p>
    <w:p w14:paraId="175BE61E">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被保险人在保险期内多次遭受意外伤害事故进行住院治疗，保险人按规定分别给付意外住院照护津贴。每次及累计住院意外住院照护津贴的合理给付天数不超过三十五日。</w:t>
      </w:r>
    </w:p>
    <w:p w14:paraId="7E2247F3">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当保险期间结束时，被保险人必须继续接受住院治疗的，保险人继续承担最高三十五日的保险责任，但累计给付天数达到约定的三十五日时，对该被保险人的该项保险责任终止。 </w:t>
      </w:r>
    </w:p>
    <w:p w14:paraId="1F1C4B7C">
      <w:pPr>
        <w:keepNext w:val="0"/>
        <w:keepLines w:val="0"/>
        <w:pageBreakBefore w:val="0"/>
        <w:kinsoku/>
        <w:wordWrap/>
        <w:overflowPunct/>
        <w:topLinePunct w:val="0"/>
        <w:bidi w:val="0"/>
        <w:adjustRightInd w:val="0"/>
        <w:snapToGrid w:val="0"/>
        <w:spacing w:line="320" w:lineRule="exact"/>
        <w:ind w:firstLine="462" w:firstLineChars="200"/>
        <w:rPr>
          <w:rFonts w:hint="eastAsia" w:ascii="宋体" w:hAnsi="宋体" w:eastAsia="宋体" w:cs="宋体"/>
          <w:b/>
          <w:bCs/>
          <w:color w:val="000000"/>
          <w:spacing w:val="10"/>
          <w:sz w:val="21"/>
          <w:szCs w:val="21"/>
          <w:highlight w:val="none"/>
        </w:rPr>
      </w:pPr>
      <w:r>
        <w:rPr>
          <w:rFonts w:hint="eastAsia" w:ascii="宋体" w:hAnsi="宋体" w:eastAsia="宋体" w:cs="宋体"/>
          <w:b/>
          <w:bCs/>
          <w:color w:val="000000"/>
          <w:spacing w:val="10"/>
          <w:sz w:val="21"/>
          <w:szCs w:val="21"/>
          <w:highlight w:val="none"/>
        </w:rPr>
        <w:t>9.意外住院营养津贴：100元/天/人</w:t>
      </w:r>
    </w:p>
    <w:p w14:paraId="303EAB43">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被保险人因遭受意外伤害事故，经医院诊断必须住院治疗的，保险人按约定的意外住院营养津贴日额，扣除免赔0天后对被保险人的实际住院天数给付意外住院营养津贴。</w:t>
      </w:r>
    </w:p>
    <w:p w14:paraId="5022F7B1">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被保险人在保险期内多次遭受意外伤害事故进行住院治疗，保险人按规定分别给付意外营养照护津贴。每次及累计住院意外住院营养津贴的合理给付天数不超过十日。</w:t>
      </w:r>
    </w:p>
    <w:p w14:paraId="7CD23D96">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当保险期间结束时，被保险人必须继续接受住院治疗的，保险人继续承担最高十日的保险责任，但累计给付天数达到约定的十日时，对该被保险人的该项保险责任终止。</w:t>
      </w:r>
    </w:p>
    <w:p w14:paraId="31365C64">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b/>
          <w:bCs/>
          <w:color w:val="000000"/>
          <w:spacing w:val="1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pacing w:val="10"/>
          <w:sz w:val="21"/>
          <w:szCs w:val="21"/>
          <w:highlight w:val="none"/>
        </w:rPr>
        <w:t>10.“120”急救费用：最高1000元/人</w:t>
      </w:r>
    </w:p>
    <w:p w14:paraId="683E1F9D">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保险期间内，被保险人因遭受意外伤害事故，并因意外事故突发导致需要拨打“120”进行急救治疗的，对于被保险人因该事故实际支付的、必要的“120”急救费用，保险人按照约定负责赔偿。保险人一次或累计限额承担的“120”急救费用以约定的“120”急救费用金额为限。</w:t>
      </w:r>
    </w:p>
    <w:p w14:paraId="780D8277">
      <w:pPr>
        <w:keepNext w:val="0"/>
        <w:keepLines w:val="0"/>
        <w:pageBreakBefore w:val="0"/>
        <w:kinsoku/>
        <w:wordWrap/>
        <w:overflowPunct/>
        <w:topLinePunct w:val="0"/>
        <w:bidi w:val="0"/>
        <w:adjustRightInd w:val="0"/>
        <w:snapToGrid w:val="0"/>
        <w:spacing w:line="320" w:lineRule="exact"/>
        <w:rPr>
          <w:rFonts w:hint="eastAsia" w:ascii="宋体" w:hAnsi="宋体" w:eastAsia="宋体" w:cs="宋体"/>
          <w:b/>
          <w:bCs/>
          <w:color w:val="000000"/>
          <w:spacing w:val="10"/>
          <w:sz w:val="21"/>
          <w:szCs w:val="21"/>
          <w:highlight w:val="none"/>
          <w:lang w:eastAsia="zh-CN"/>
        </w:rPr>
      </w:pPr>
      <w:r>
        <w:rPr>
          <w:rFonts w:hint="eastAsia" w:ascii="宋体" w:hAnsi="宋体" w:cs="宋体"/>
          <w:b/>
          <w:bCs/>
          <w:color w:val="000000"/>
          <w:spacing w:val="10"/>
          <w:sz w:val="21"/>
          <w:szCs w:val="21"/>
          <w:highlight w:val="none"/>
          <w:lang w:val="en-US" w:eastAsia="zh-CN"/>
        </w:rPr>
        <w:t xml:space="preserve">    11.</w:t>
      </w:r>
      <w:r>
        <w:rPr>
          <w:rFonts w:hint="eastAsia" w:ascii="宋体" w:hAnsi="宋体" w:eastAsia="宋体" w:cs="宋体"/>
          <w:b/>
          <w:bCs/>
          <w:color w:val="000000"/>
          <w:spacing w:val="10"/>
          <w:sz w:val="21"/>
          <w:szCs w:val="21"/>
          <w:highlight w:val="none"/>
        </w:rPr>
        <w:t>名词定义</w:t>
      </w:r>
      <w:r>
        <w:rPr>
          <w:rFonts w:hint="eastAsia" w:ascii="宋体" w:hAnsi="宋体" w:eastAsia="宋体" w:cs="宋体"/>
          <w:b/>
          <w:bCs/>
          <w:color w:val="000000"/>
          <w:spacing w:val="10"/>
          <w:sz w:val="21"/>
          <w:szCs w:val="21"/>
          <w:highlight w:val="none"/>
          <w:lang w:eastAsia="zh-CN"/>
        </w:rPr>
        <w:t>：</w:t>
      </w:r>
    </w:p>
    <w:p w14:paraId="228FC0AB">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）意外伤害：意外伤害是指外来的、突发的、非本意的、非疾病的使身体受到伤害的客观事故，也包括中暑。</w:t>
      </w:r>
    </w:p>
    <w:p w14:paraId="560EC527">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）中暑:是指在烈日下或高温高湿环境中，由于体热发散困难，体温调节能力不能适应而出现的症状；</w:t>
      </w:r>
    </w:p>
    <w:p w14:paraId="5C01F040">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）医院：在卫生健康行政部门认定的二级以上公立医院或保险人认可的医疗机构，及深圳市辖内各社康医院。</w:t>
      </w:r>
    </w:p>
    <w:p w14:paraId="066A1D5F">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医疗费用：指意外伤害治疗期间发生的符合当地政府社会医疗保险主管部门规定的基本医疗保险支付范围内的合理且必要的医疗费用及个人自付（负）费用；以及符合当地政府社会医疗保险主管部门规定的基本医疗保险支付范围外的合理且必要的个人自费费用，包括药品费、手术费、治疗费、检查检验费、特殊检查治疗费等，不含康复费、理疗费。</w:t>
      </w:r>
    </w:p>
    <w:p w14:paraId="310734F9">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pacing w:val="1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）医嘱：指医师在医疗活动中书面下达的医学指令，是医生根据病情和治疗的需要对病人在饮食、用药、化验等方面的指示。</w:t>
      </w:r>
    </w:p>
    <w:p w14:paraId="3FC95C0F">
      <w:pPr>
        <w:keepNext w:val="0"/>
        <w:keepLines w:val="0"/>
        <w:pageBreakBefore w:val="0"/>
        <w:kinsoku/>
        <w:wordWrap/>
        <w:overflowPunct/>
        <w:topLinePunct w:val="0"/>
        <w:bidi w:val="0"/>
        <w:adjustRightInd w:val="0"/>
        <w:snapToGrid w:val="0"/>
        <w:spacing w:line="320" w:lineRule="exact"/>
        <w:ind w:firstLine="460" w:firstLineChars="200"/>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附件：骨折或关节脱位给付比例表</w:t>
      </w:r>
    </w:p>
    <w:p w14:paraId="21A6E588">
      <w:pPr>
        <w:keepNext w:val="0"/>
        <w:keepLines w:val="0"/>
        <w:pageBreakBefore w:val="0"/>
        <w:kinsoku/>
        <w:wordWrap/>
        <w:overflowPunct/>
        <w:topLinePunct w:val="0"/>
        <w:bidi w:val="0"/>
        <w:adjustRightInd w:val="0"/>
        <w:snapToGrid w:val="0"/>
        <w:spacing w:line="320" w:lineRule="exact"/>
        <w:ind w:left="-420" w:left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p>
    <w:p w14:paraId="29B02904">
      <w:pPr>
        <w:keepNext w:val="0"/>
        <w:keepLines w:val="0"/>
        <w:pageBreakBefore w:val="0"/>
        <w:kinsoku/>
        <w:wordWrap/>
        <w:overflowPunct/>
        <w:topLinePunct w:val="0"/>
        <w:bidi w:val="0"/>
        <w:adjustRightInd w:val="0"/>
        <w:snapToGrid w:val="0"/>
        <w:spacing w:line="320" w:lineRule="exact"/>
        <w:ind w:left="-420" w:leftChars="-20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骨折或关节脱位给付比例表</w:t>
      </w:r>
    </w:p>
    <w:tbl>
      <w:tblPr>
        <w:tblStyle w:val="196"/>
        <w:tblW w:w="8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5179"/>
        <w:gridCol w:w="1680"/>
      </w:tblGrid>
      <w:tr w14:paraId="03D9D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noWrap w:val="0"/>
            <w:vAlign w:val="center"/>
          </w:tcPr>
          <w:p w14:paraId="6B80AA6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00" w:hangingChars="200"/>
              <w:jc w:val="center"/>
              <w:textAlignment w:val="auto"/>
              <w:rPr>
                <w:rFonts w:hint="eastAsia" w:ascii="宋体" w:hAnsi="宋体" w:eastAsia="宋体" w:cs="宋体"/>
                <w:b/>
                <w:color w:val="000000"/>
                <w:kern w:val="0"/>
                <w:sz w:val="21"/>
                <w:szCs w:val="21"/>
                <w:highlight w:val="none"/>
                <w:lang w:eastAsia="en-US"/>
              </w:rPr>
            </w:pPr>
            <w:r>
              <w:rPr>
                <w:rFonts w:hint="eastAsia" w:ascii="宋体" w:hAnsi="宋体" w:eastAsia="宋体" w:cs="宋体"/>
                <w:b/>
                <w:color w:val="000000"/>
                <w:w w:val="95"/>
                <w:kern w:val="0"/>
                <w:sz w:val="21"/>
                <w:szCs w:val="21"/>
                <w:highlight w:val="none"/>
                <w:lang w:eastAsia="en-US"/>
              </w:rPr>
              <w:t>骨折或关节</w:t>
            </w:r>
            <w:r>
              <w:rPr>
                <w:rFonts w:hint="eastAsia" w:ascii="宋体" w:hAnsi="宋体" w:eastAsia="宋体" w:cs="宋体"/>
                <w:b/>
                <w:color w:val="000000"/>
                <w:kern w:val="0"/>
                <w:sz w:val="21"/>
                <w:szCs w:val="21"/>
                <w:highlight w:val="none"/>
                <w:lang w:eastAsia="en-US"/>
              </w:rPr>
              <w:t>脱位项目</w:t>
            </w:r>
          </w:p>
        </w:tc>
        <w:tc>
          <w:tcPr>
            <w:tcW w:w="5179" w:type="dxa"/>
            <w:noWrap w:val="0"/>
            <w:vAlign w:val="center"/>
          </w:tcPr>
          <w:p w14:paraId="658B0BB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2" w:hangingChars="200"/>
              <w:jc w:val="center"/>
              <w:textAlignment w:val="auto"/>
              <w:rPr>
                <w:rFonts w:hint="eastAsia" w:ascii="宋体" w:hAnsi="宋体" w:eastAsia="宋体" w:cs="宋体"/>
                <w:b/>
                <w:color w:val="000000"/>
                <w:kern w:val="0"/>
                <w:sz w:val="21"/>
                <w:szCs w:val="21"/>
                <w:highlight w:val="none"/>
                <w:lang w:eastAsia="en-US"/>
              </w:rPr>
            </w:pPr>
            <w:r>
              <w:rPr>
                <w:rFonts w:hint="eastAsia" w:ascii="宋体" w:hAnsi="宋体" w:eastAsia="宋体" w:cs="宋体"/>
                <w:b/>
                <w:color w:val="000000"/>
                <w:kern w:val="0"/>
                <w:sz w:val="21"/>
                <w:szCs w:val="21"/>
                <w:highlight w:val="none"/>
                <w:lang w:eastAsia="en-US"/>
              </w:rPr>
              <w:t>项目等级</w:t>
            </w:r>
          </w:p>
        </w:tc>
        <w:tc>
          <w:tcPr>
            <w:tcW w:w="1680" w:type="dxa"/>
            <w:noWrap w:val="0"/>
            <w:vAlign w:val="center"/>
          </w:tcPr>
          <w:p w14:paraId="74282CB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2" w:hangingChars="200"/>
              <w:jc w:val="center"/>
              <w:textAlignment w:val="auto"/>
              <w:rPr>
                <w:rFonts w:hint="eastAsia" w:ascii="宋体" w:hAnsi="宋体" w:eastAsia="宋体" w:cs="宋体"/>
                <w:b/>
                <w:color w:val="000000"/>
                <w:kern w:val="0"/>
                <w:sz w:val="21"/>
                <w:szCs w:val="21"/>
                <w:highlight w:val="none"/>
                <w:lang w:eastAsia="en-US"/>
              </w:rPr>
            </w:pPr>
            <w:r>
              <w:rPr>
                <w:rFonts w:hint="eastAsia" w:ascii="宋体" w:hAnsi="宋体" w:eastAsia="宋体" w:cs="宋体"/>
                <w:b/>
                <w:color w:val="000000"/>
                <w:kern w:val="0"/>
                <w:sz w:val="21"/>
                <w:szCs w:val="21"/>
                <w:highlight w:val="none"/>
                <w:lang w:eastAsia="en-US"/>
              </w:rPr>
              <w:t>给付比例</w:t>
            </w:r>
          </w:p>
        </w:tc>
      </w:tr>
      <w:tr w14:paraId="4BB7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restart"/>
            <w:noWrap w:val="0"/>
            <w:vAlign w:val="center"/>
          </w:tcPr>
          <w:p w14:paraId="34F6D054">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头部骨折</w:t>
            </w:r>
          </w:p>
        </w:tc>
        <w:tc>
          <w:tcPr>
            <w:tcW w:w="5179" w:type="dxa"/>
            <w:noWrap w:val="0"/>
            <w:vAlign w:val="center"/>
          </w:tcPr>
          <w:p w14:paraId="61DDE8D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颅盖骨（包括额、顶、枕、筛、颞或蝶骨）骨折</w:t>
            </w:r>
          </w:p>
        </w:tc>
        <w:tc>
          <w:tcPr>
            <w:tcW w:w="1680" w:type="dxa"/>
            <w:noWrap w:val="0"/>
            <w:vAlign w:val="center"/>
          </w:tcPr>
          <w:p w14:paraId="57A6C31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100%</w:t>
            </w:r>
          </w:p>
        </w:tc>
      </w:tr>
      <w:tr w14:paraId="4AAED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29D9162F">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19B454E2">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下颌骨骨折</w:t>
            </w:r>
          </w:p>
        </w:tc>
        <w:tc>
          <w:tcPr>
            <w:tcW w:w="1680" w:type="dxa"/>
            <w:noWrap w:val="0"/>
            <w:vAlign w:val="center"/>
          </w:tcPr>
          <w:p w14:paraId="1EEC747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3B8BA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0F9F8177">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16A4EB80">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颧骨或上颌骨骨折</w:t>
            </w:r>
          </w:p>
        </w:tc>
        <w:tc>
          <w:tcPr>
            <w:tcW w:w="1680" w:type="dxa"/>
            <w:noWrap w:val="0"/>
            <w:vAlign w:val="center"/>
          </w:tcPr>
          <w:p w14:paraId="36F27F4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46044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3C1FA29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5CAC456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鼻骨骨折</w:t>
            </w:r>
          </w:p>
        </w:tc>
        <w:tc>
          <w:tcPr>
            <w:tcW w:w="1680" w:type="dxa"/>
            <w:noWrap w:val="0"/>
            <w:vAlign w:val="center"/>
          </w:tcPr>
          <w:p w14:paraId="017F535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1518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restart"/>
            <w:noWrap w:val="0"/>
            <w:vAlign w:val="center"/>
          </w:tcPr>
          <w:p w14:paraId="735E3EE4">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躯干骨折</w:t>
            </w:r>
          </w:p>
        </w:tc>
        <w:tc>
          <w:tcPr>
            <w:tcW w:w="5179" w:type="dxa"/>
            <w:noWrap w:val="0"/>
            <w:vAlign w:val="center"/>
          </w:tcPr>
          <w:p w14:paraId="6C7EC06B">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椎骨（注 1）椎体压缩性骨折（注 2）且棘突、横突或椎弓根骨折</w:t>
            </w:r>
          </w:p>
        </w:tc>
        <w:tc>
          <w:tcPr>
            <w:tcW w:w="1680" w:type="dxa"/>
            <w:noWrap w:val="0"/>
            <w:vAlign w:val="center"/>
          </w:tcPr>
          <w:p w14:paraId="75F3E237">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100%</w:t>
            </w:r>
          </w:p>
        </w:tc>
      </w:tr>
      <w:tr w14:paraId="4B08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00834ED">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27BCD4D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椎骨椎体压缩性骨折或棘突、横突或椎弓根骨折</w:t>
            </w:r>
          </w:p>
        </w:tc>
        <w:tc>
          <w:tcPr>
            <w:tcW w:w="1680" w:type="dxa"/>
            <w:noWrap w:val="0"/>
            <w:vAlign w:val="center"/>
          </w:tcPr>
          <w:p w14:paraId="3B7596D7">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80%</w:t>
            </w:r>
          </w:p>
        </w:tc>
      </w:tr>
      <w:tr w14:paraId="14AF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BCBB1DB">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0566874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骨盆骨折（包括骶、髂、耻、坐骨骨折，但不包括尾骨骨折）</w:t>
            </w:r>
          </w:p>
        </w:tc>
        <w:tc>
          <w:tcPr>
            <w:tcW w:w="1680" w:type="dxa"/>
            <w:noWrap w:val="0"/>
            <w:vAlign w:val="center"/>
          </w:tcPr>
          <w:p w14:paraId="4CC1FE2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80%</w:t>
            </w:r>
          </w:p>
        </w:tc>
      </w:tr>
      <w:tr w14:paraId="3CE17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5F7E0AC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36AE8640">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肩胛骨骨折</w:t>
            </w:r>
          </w:p>
        </w:tc>
        <w:tc>
          <w:tcPr>
            <w:tcW w:w="1680" w:type="dxa"/>
            <w:noWrap w:val="0"/>
            <w:vAlign w:val="center"/>
          </w:tcPr>
          <w:p w14:paraId="3AEA3A19">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1DB62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012F9C9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4E66F14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肋骨(含多根肋骨多处骨折)骨折</w:t>
            </w:r>
          </w:p>
        </w:tc>
        <w:tc>
          <w:tcPr>
            <w:tcW w:w="1680" w:type="dxa"/>
            <w:noWrap w:val="0"/>
            <w:vAlign w:val="center"/>
          </w:tcPr>
          <w:p w14:paraId="37B19BA7">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7BC77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343241A">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5FC0DD6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胸骨骨折</w:t>
            </w:r>
          </w:p>
        </w:tc>
        <w:tc>
          <w:tcPr>
            <w:tcW w:w="1680" w:type="dxa"/>
            <w:noWrap w:val="0"/>
            <w:vAlign w:val="center"/>
          </w:tcPr>
          <w:p w14:paraId="3DFFA57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0C48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3BAF41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21E568A0">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锁骨骨折</w:t>
            </w:r>
          </w:p>
        </w:tc>
        <w:tc>
          <w:tcPr>
            <w:tcW w:w="1680" w:type="dxa"/>
            <w:noWrap w:val="0"/>
            <w:vAlign w:val="center"/>
          </w:tcPr>
          <w:p w14:paraId="5792213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04362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044BAC12">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0CE0B12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尾骨骨折</w:t>
            </w:r>
          </w:p>
        </w:tc>
        <w:tc>
          <w:tcPr>
            <w:tcW w:w="1680" w:type="dxa"/>
            <w:noWrap w:val="0"/>
            <w:vAlign w:val="center"/>
          </w:tcPr>
          <w:p w14:paraId="0440C85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27B2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restart"/>
            <w:noWrap w:val="0"/>
            <w:vAlign w:val="center"/>
          </w:tcPr>
          <w:p w14:paraId="56774DA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上肢骨折</w:t>
            </w:r>
          </w:p>
        </w:tc>
        <w:tc>
          <w:tcPr>
            <w:tcW w:w="5179" w:type="dxa"/>
            <w:noWrap w:val="0"/>
            <w:vAlign w:val="center"/>
          </w:tcPr>
          <w:p w14:paraId="48DEF932">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肱骨骨折</w:t>
            </w:r>
          </w:p>
        </w:tc>
        <w:tc>
          <w:tcPr>
            <w:tcW w:w="1680" w:type="dxa"/>
            <w:noWrap w:val="0"/>
            <w:vAlign w:val="center"/>
          </w:tcPr>
          <w:p w14:paraId="0BF5F19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80%</w:t>
            </w:r>
          </w:p>
        </w:tc>
      </w:tr>
      <w:tr w14:paraId="7329E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7CF336FF">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1D68A33D">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桡尺骨双骨折</w:t>
            </w:r>
          </w:p>
        </w:tc>
        <w:tc>
          <w:tcPr>
            <w:tcW w:w="1680" w:type="dxa"/>
            <w:noWrap w:val="0"/>
            <w:vAlign w:val="center"/>
          </w:tcPr>
          <w:p w14:paraId="169D094B">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80%</w:t>
            </w:r>
          </w:p>
        </w:tc>
      </w:tr>
      <w:tr w14:paraId="453C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1682C894">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1A22633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桡骨或尺骨骨折</w:t>
            </w:r>
          </w:p>
        </w:tc>
        <w:tc>
          <w:tcPr>
            <w:tcW w:w="1680" w:type="dxa"/>
            <w:noWrap w:val="0"/>
            <w:vAlign w:val="center"/>
          </w:tcPr>
          <w:p w14:paraId="70FBAE7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60%</w:t>
            </w:r>
          </w:p>
        </w:tc>
      </w:tr>
      <w:tr w14:paraId="056A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15014EE0">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06618F1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腕骨骨折</w:t>
            </w:r>
          </w:p>
        </w:tc>
        <w:tc>
          <w:tcPr>
            <w:tcW w:w="1680" w:type="dxa"/>
            <w:noWrap w:val="0"/>
            <w:vAlign w:val="center"/>
          </w:tcPr>
          <w:p w14:paraId="543E437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0AC2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2A3ED10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3D7F046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掌骨或指骨骨折</w:t>
            </w:r>
          </w:p>
        </w:tc>
        <w:tc>
          <w:tcPr>
            <w:tcW w:w="1680" w:type="dxa"/>
            <w:noWrap w:val="0"/>
            <w:vAlign w:val="center"/>
          </w:tcPr>
          <w:p w14:paraId="321CA25F">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5FE4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restart"/>
            <w:noWrap w:val="0"/>
            <w:vAlign w:val="center"/>
          </w:tcPr>
          <w:p w14:paraId="50B0AB03">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上肢关节脱位</w:t>
            </w:r>
          </w:p>
        </w:tc>
        <w:tc>
          <w:tcPr>
            <w:tcW w:w="5179" w:type="dxa"/>
            <w:noWrap w:val="0"/>
            <w:vAlign w:val="center"/>
          </w:tcPr>
          <w:p w14:paraId="5C46E6ED">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肩关节脱位</w:t>
            </w:r>
          </w:p>
        </w:tc>
        <w:tc>
          <w:tcPr>
            <w:tcW w:w="1680" w:type="dxa"/>
            <w:noWrap w:val="0"/>
            <w:vAlign w:val="center"/>
          </w:tcPr>
          <w:p w14:paraId="47829D3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7B66C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394814A">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0CC48049">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肘关节脱位</w:t>
            </w:r>
          </w:p>
        </w:tc>
        <w:tc>
          <w:tcPr>
            <w:tcW w:w="1680" w:type="dxa"/>
            <w:noWrap w:val="0"/>
            <w:vAlign w:val="center"/>
          </w:tcPr>
          <w:p w14:paraId="4170FD1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6FAB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restart"/>
            <w:noWrap w:val="0"/>
            <w:vAlign w:val="center"/>
          </w:tcPr>
          <w:p w14:paraId="4D05310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下肢骨折</w:t>
            </w:r>
          </w:p>
        </w:tc>
        <w:tc>
          <w:tcPr>
            <w:tcW w:w="5179" w:type="dxa"/>
            <w:noWrap w:val="0"/>
            <w:vAlign w:val="center"/>
          </w:tcPr>
          <w:p w14:paraId="5A8D667A">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股骨颈骨折</w:t>
            </w:r>
          </w:p>
        </w:tc>
        <w:tc>
          <w:tcPr>
            <w:tcW w:w="1680" w:type="dxa"/>
            <w:noWrap w:val="0"/>
            <w:vAlign w:val="center"/>
          </w:tcPr>
          <w:p w14:paraId="62A66C89">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100%</w:t>
            </w:r>
          </w:p>
        </w:tc>
      </w:tr>
      <w:tr w14:paraId="45D97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4ECB1EA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2A90A58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股骨（不含股骨颈）骨折</w:t>
            </w:r>
          </w:p>
        </w:tc>
        <w:tc>
          <w:tcPr>
            <w:tcW w:w="1680" w:type="dxa"/>
            <w:noWrap w:val="0"/>
            <w:vAlign w:val="center"/>
          </w:tcPr>
          <w:p w14:paraId="03EF9BC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100%</w:t>
            </w:r>
          </w:p>
        </w:tc>
      </w:tr>
      <w:tr w14:paraId="0A7A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5E3506C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7F8ED6B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胫腓骨双骨折</w:t>
            </w:r>
          </w:p>
        </w:tc>
        <w:tc>
          <w:tcPr>
            <w:tcW w:w="1680" w:type="dxa"/>
            <w:noWrap w:val="0"/>
            <w:vAlign w:val="center"/>
          </w:tcPr>
          <w:p w14:paraId="08AC8E27">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80%</w:t>
            </w:r>
          </w:p>
        </w:tc>
      </w:tr>
      <w:tr w14:paraId="60AF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7270BB53">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69135FA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胫骨或腓骨骨折</w:t>
            </w:r>
          </w:p>
        </w:tc>
        <w:tc>
          <w:tcPr>
            <w:tcW w:w="1680" w:type="dxa"/>
            <w:noWrap w:val="0"/>
            <w:vAlign w:val="center"/>
          </w:tcPr>
          <w:p w14:paraId="3F4F2137">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60%</w:t>
            </w:r>
          </w:p>
        </w:tc>
      </w:tr>
      <w:tr w14:paraId="4DF1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88715A0">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074D7CB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踝关节骨折</w:t>
            </w:r>
          </w:p>
        </w:tc>
        <w:tc>
          <w:tcPr>
            <w:tcW w:w="1680" w:type="dxa"/>
            <w:noWrap w:val="0"/>
            <w:vAlign w:val="center"/>
          </w:tcPr>
          <w:p w14:paraId="1A3E10E6">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60%</w:t>
            </w:r>
          </w:p>
        </w:tc>
      </w:tr>
      <w:tr w14:paraId="58C3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0F9DF412">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43468E44">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髌骨骨折</w:t>
            </w:r>
          </w:p>
        </w:tc>
        <w:tc>
          <w:tcPr>
            <w:tcW w:w="1680" w:type="dxa"/>
            <w:noWrap w:val="0"/>
            <w:vAlign w:val="center"/>
          </w:tcPr>
          <w:p w14:paraId="5C884183">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5669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7B63D679">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6D6150F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跖骨或跟骨骨折</w:t>
            </w:r>
          </w:p>
        </w:tc>
        <w:tc>
          <w:tcPr>
            <w:tcW w:w="1680" w:type="dxa"/>
            <w:noWrap w:val="0"/>
            <w:vAlign w:val="center"/>
          </w:tcPr>
          <w:p w14:paraId="3CFF2208">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40%</w:t>
            </w:r>
          </w:p>
        </w:tc>
      </w:tr>
      <w:tr w14:paraId="4F7F6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4F4A3BBD">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60B929E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足骨（不含跖骨、跟骨）骨折</w:t>
            </w:r>
          </w:p>
        </w:tc>
        <w:tc>
          <w:tcPr>
            <w:tcW w:w="1680" w:type="dxa"/>
            <w:noWrap w:val="0"/>
            <w:vAlign w:val="center"/>
          </w:tcPr>
          <w:p w14:paraId="757339BC">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20%</w:t>
            </w:r>
          </w:p>
        </w:tc>
      </w:tr>
      <w:tr w14:paraId="22AC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restart"/>
            <w:noWrap w:val="0"/>
            <w:vAlign w:val="center"/>
          </w:tcPr>
          <w:p w14:paraId="75D5D7A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下肢关节脱位</w:t>
            </w:r>
          </w:p>
        </w:tc>
        <w:tc>
          <w:tcPr>
            <w:tcW w:w="5179" w:type="dxa"/>
            <w:noWrap w:val="0"/>
            <w:vAlign w:val="center"/>
          </w:tcPr>
          <w:p w14:paraId="7D0717E3">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髋关节脱位</w:t>
            </w:r>
          </w:p>
        </w:tc>
        <w:tc>
          <w:tcPr>
            <w:tcW w:w="1680" w:type="dxa"/>
            <w:noWrap w:val="0"/>
            <w:vAlign w:val="center"/>
          </w:tcPr>
          <w:p w14:paraId="63E9CE80">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100%</w:t>
            </w:r>
          </w:p>
        </w:tc>
      </w:tr>
      <w:tr w14:paraId="71A21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78" w:type="dxa"/>
            <w:vMerge w:val="continue"/>
            <w:noWrap w:val="0"/>
            <w:vAlign w:val="center"/>
          </w:tcPr>
          <w:p w14:paraId="6A649C51">
            <w:pPr>
              <w:keepNext w:val="0"/>
              <w:keepLines w:val="0"/>
              <w:pageBreakBefore w:val="0"/>
              <w:widowControl w:val="0"/>
              <w:kinsoku/>
              <w:wordWrap/>
              <w:overflowPunct/>
              <w:topLinePunct w:val="0"/>
              <w:autoSpaceDE w:val="0"/>
              <w:autoSpaceDN w:val="0"/>
              <w:bidi w:val="0"/>
              <w:adjustRightInd w:val="0"/>
              <w:snapToGrid w:val="0"/>
              <w:spacing w:line="320" w:lineRule="exact"/>
              <w:ind w:left="0" w:hanging="420" w:hangingChars="200"/>
              <w:jc w:val="center"/>
              <w:textAlignment w:val="auto"/>
              <w:rPr>
                <w:rFonts w:hint="eastAsia" w:ascii="宋体" w:hAnsi="宋体" w:eastAsia="宋体" w:cs="宋体"/>
                <w:color w:val="000000"/>
                <w:kern w:val="0"/>
                <w:sz w:val="21"/>
                <w:szCs w:val="21"/>
                <w:highlight w:val="none"/>
                <w:lang w:eastAsia="en-US"/>
              </w:rPr>
            </w:pPr>
          </w:p>
        </w:tc>
        <w:tc>
          <w:tcPr>
            <w:tcW w:w="5179" w:type="dxa"/>
            <w:noWrap w:val="0"/>
            <w:vAlign w:val="center"/>
          </w:tcPr>
          <w:p w14:paraId="2F50C8CE">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膝关节脱位</w:t>
            </w:r>
          </w:p>
        </w:tc>
        <w:tc>
          <w:tcPr>
            <w:tcW w:w="1680" w:type="dxa"/>
            <w:noWrap w:val="0"/>
            <w:vAlign w:val="center"/>
          </w:tcPr>
          <w:p w14:paraId="1D1EFFB5">
            <w:pPr>
              <w:keepNext w:val="0"/>
              <w:keepLines w:val="0"/>
              <w:pageBreakBefore w:val="0"/>
              <w:widowControl w:val="0"/>
              <w:kinsoku/>
              <w:wordWrap/>
              <w:overflowPunct/>
              <w:topLinePunct w:val="0"/>
              <w:autoSpaceDE w:val="0"/>
              <w:autoSpaceDN w:val="0"/>
              <w:bidi w:val="0"/>
              <w:adjustRightInd w:val="0"/>
              <w:snapToGrid w:val="0"/>
              <w:spacing w:line="320" w:lineRule="exact"/>
              <w:ind w:left="0" w:hanging="378" w:hangingChars="200"/>
              <w:jc w:val="center"/>
              <w:textAlignment w:val="auto"/>
              <w:rPr>
                <w:rFonts w:hint="eastAsia" w:ascii="宋体" w:hAnsi="宋体" w:eastAsia="宋体" w:cs="宋体"/>
                <w:color w:val="000000"/>
                <w:w w:val="90"/>
                <w:kern w:val="0"/>
                <w:sz w:val="21"/>
                <w:szCs w:val="21"/>
                <w:highlight w:val="none"/>
                <w:lang w:eastAsia="en-US"/>
              </w:rPr>
            </w:pPr>
            <w:r>
              <w:rPr>
                <w:rFonts w:hint="eastAsia" w:ascii="宋体" w:hAnsi="宋体" w:eastAsia="宋体" w:cs="宋体"/>
                <w:color w:val="000000"/>
                <w:w w:val="90"/>
                <w:kern w:val="0"/>
                <w:sz w:val="21"/>
                <w:szCs w:val="21"/>
                <w:highlight w:val="none"/>
                <w:lang w:eastAsia="en-US"/>
              </w:rPr>
              <w:t>60%</w:t>
            </w:r>
          </w:p>
        </w:tc>
      </w:tr>
    </w:tbl>
    <w:p w14:paraId="59CED401">
      <w:pPr>
        <w:keepNext w:val="0"/>
        <w:keepLines w:val="0"/>
        <w:pageBreakBefore w:val="0"/>
        <w:kinsoku/>
        <w:wordWrap/>
        <w:overflowPunct/>
        <w:topLinePunct w:val="0"/>
        <w:bidi w:val="0"/>
        <w:adjustRightInd w:val="0"/>
        <w:snapToGrid w:val="0"/>
        <w:spacing w:line="320" w:lineRule="exact"/>
        <w:ind w:left="640" w:hanging="420" w:hanging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注1：本表所称的椎骨包括颈椎、胸椎、腰椎骨折，但不包括骶骨和尾骨骨折。</w:t>
      </w:r>
    </w:p>
    <w:p w14:paraId="20936E4C">
      <w:pPr>
        <w:keepNext w:val="0"/>
        <w:keepLines w:val="0"/>
        <w:pageBreakBefore w:val="0"/>
        <w:kinsoku/>
        <w:wordWrap/>
        <w:overflowPunct/>
        <w:topLinePunct w:val="0"/>
        <w:bidi w:val="0"/>
        <w:adjustRightInd w:val="0"/>
        <w:snapToGrid w:val="0"/>
        <w:spacing w:line="320" w:lineRule="exact"/>
        <w:ind w:left="640" w:hanging="420" w:hangingChars="200"/>
        <w:rPr>
          <w:rFonts w:ascii="宋体" w:hAnsi="宋体" w:cs="宋体"/>
          <w:b/>
          <w:bCs/>
          <w:color w:val="000000"/>
          <w:sz w:val="21"/>
          <w:szCs w:val="21"/>
          <w:highlight w:val="none"/>
        </w:rPr>
      </w:pPr>
      <w:r>
        <w:rPr>
          <w:rFonts w:hint="eastAsia" w:ascii="宋体" w:hAnsi="宋体" w:eastAsia="宋体" w:cs="宋体"/>
          <w:color w:val="000000"/>
          <w:kern w:val="0"/>
          <w:sz w:val="21"/>
          <w:szCs w:val="21"/>
          <w:highlight w:val="none"/>
        </w:rPr>
        <w:t>注2：压缩性骨折指因外力导致椎骨的椎体部分发生压缩、变形或爆裂。</w:t>
      </w:r>
    </w:p>
    <w:p w14:paraId="07CBA833">
      <w:pPr>
        <w:widowControl/>
        <w:numPr>
          <w:ilvl w:val="0"/>
          <w:numId w:val="0"/>
        </w:numPr>
        <w:ind w:firstLine="422" w:firstLineChars="200"/>
        <w:rPr>
          <w:rFonts w:ascii="宋体" w:hAnsi="宋体" w:cs="宋体"/>
          <w:sz w:val="21"/>
          <w:szCs w:val="21"/>
          <w:highlight w:val="none"/>
        </w:rPr>
      </w:pPr>
      <w:r>
        <w:rPr>
          <w:rFonts w:hint="eastAsia" w:ascii="宋体" w:hAnsi="宋体" w:cs="宋体"/>
          <w:b/>
          <w:bCs/>
          <w:sz w:val="21"/>
          <w:szCs w:val="21"/>
          <w:highlight w:val="none"/>
          <w:lang w:val="en-US" w:eastAsia="zh-CN"/>
        </w:rPr>
        <w:t>（四）</w:t>
      </w:r>
      <w:r>
        <w:rPr>
          <w:rFonts w:hint="eastAsia" w:ascii="宋体" w:hAnsi="宋体" w:cs="宋体"/>
          <w:b/>
          <w:bCs/>
          <w:sz w:val="21"/>
          <w:szCs w:val="21"/>
          <w:highlight w:val="none"/>
        </w:rPr>
        <w:t>服务要求</w:t>
      </w:r>
    </w:p>
    <w:p w14:paraId="450719BE">
      <w:pPr>
        <w:widowControl/>
        <w:ind w:firstLine="422" w:firstLineChars="200"/>
        <w:rPr>
          <w:rFonts w:ascii="宋体" w:hAnsi="宋体" w:cs="宋体"/>
          <w:b/>
          <w:bCs/>
          <w:sz w:val="21"/>
          <w:szCs w:val="21"/>
          <w:highlight w:val="none"/>
        </w:rPr>
      </w:pP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rPr>
        <w:t>承保服务</w:t>
      </w:r>
    </w:p>
    <w:p w14:paraId="0BD847AE">
      <w:pPr>
        <w:widowControl/>
        <w:ind w:firstLine="420" w:firstLineChars="200"/>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中标人须针对本项目建立项目服务小组，服务小组成员不得少于</w:t>
      </w:r>
      <w:r>
        <w:rPr>
          <w:rFonts w:hint="default" w:ascii="宋体" w:hAnsi="宋体" w:cs="宋体"/>
          <w:sz w:val="21"/>
          <w:szCs w:val="21"/>
          <w:highlight w:val="none"/>
          <w:lang w:val="en"/>
        </w:rPr>
        <w:t>4</w:t>
      </w:r>
      <w:r>
        <w:rPr>
          <w:rFonts w:hint="eastAsia" w:ascii="宋体" w:hAnsi="宋体" w:cs="宋体"/>
          <w:sz w:val="21"/>
          <w:szCs w:val="21"/>
          <w:highlight w:val="none"/>
        </w:rPr>
        <w:t>人（含负责人），且服务小组成员需具有保险或医学相关专业。服务小组需要明确岗位职责，</w:t>
      </w:r>
      <w:r>
        <w:rPr>
          <w:rFonts w:hint="eastAsia" w:ascii="宋体" w:hAnsi="宋体" w:cs="宋体"/>
          <w:color w:val="000000"/>
          <w:sz w:val="21"/>
          <w:szCs w:val="21"/>
          <w:highlight w:val="none"/>
        </w:rPr>
        <w:t>设立“第一责任人”制度，</w:t>
      </w:r>
      <w:r>
        <w:rPr>
          <w:rFonts w:hint="eastAsia" w:ascii="宋体" w:hAnsi="宋体" w:cs="宋体"/>
          <w:sz w:val="21"/>
          <w:szCs w:val="21"/>
          <w:highlight w:val="none"/>
        </w:rPr>
        <w:t>全权负责投保及索赔的联系事宜，分工明确、科学高效。</w:t>
      </w:r>
    </w:p>
    <w:p w14:paraId="65EE5E56">
      <w:pPr>
        <w:widowControl/>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w:t>
      </w:r>
      <w:r>
        <w:rPr>
          <w:rFonts w:hint="eastAsia" w:ascii="宋体" w:hAnsi="宋体" w:cs="宋体"/>
          <w:sz w:val="21"/>
          <w:szCs w:val="21"/>
          <w:highlight w:val="none"/>
        </w:rPr>
        <w:t>中标后，中标单位应当及时完成投保出单工作，避免保单脱保，如采购人未在规定时效内缴纳保费的，不影响保单效力，保险责任期限开始后实际付款前，保险公司也应按保单约定承担保险期内的保险责任。</w:t>
      </w:r>
    </w:p>
    <w:p w14:paraId="4D79EFC3">
      <w:pPr>
        <w:widowControl/>
        <w:ind w:firstLine="420" w:firstLineChars="200"/>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中标人必须与</w:t>
      </w:r>
      <w:r>
        <w:rPr>
          <w:rFonts w:hint="eastAsia" w:ascii="宋体" w:hAnsi="宋体" w:cs="宋体"/>
          <w:color w:val="000000"/>
          <w:sz w:val="21"/>
          <w:szCs w:val="21"/>
          <w:highlight w:val="none"/>
          <w:lang w:eastAsia="zh-CN"/>
        </w:rPr>
        <w:t>盐田区民政局相关工作人员</w:t>
      </w:r>
      <w:r>
        <w:rPr>
          <w:rFonts w:hint="eastAsia" w:ascii="宋体" w:hAnsi="宋体" w:cs="宋体"/>
          <w:color w:val="000000"/>
          <w:sz w:val="21"/>
          <w:szCs w:val="21"/>
          <w:highlight w:val="none"/>
        </w:rPr>
        <w:t>保持良好沟通、积极开展走访采购人及各街道办等工作，为本项目提供高效、专业的保险服务</w:t>
      </w:r>
      <w:r>
        <w:rPr>
          <w:rFonts w:hint="eastAsia" w:ascii="宋体" w:hAnsi="宋体" w:cs="宋体"/>
          <w:sz w:val="21"/>
          <w:szCs w:val="21"/>
          <w:highlight w:val="none"/>
        </w:rPr>
        <w:t>。</w:t>
      </w:r>
    </w:p>
    <w:p w14:paraId="03CAC5D1">
      <w:pPr>
        <w:ind w:firstLine="420"/>
        <w:rPr>
          <w:rFonts w:ascii="宋体" w:hAnsi="宋体" w:cs="宋体"/>
          <w:color w:val="FF0000"/>
          <w:sz w:val="21"/>
          <w:szCs w:val="21"/>
          <w:highlight w:val="none"/>
        </w:rPr>
      </w:pPr>
      <w:r>
        <w:rPr>
          <w:rFonts w:hint="eastAsia" w:ascii="宋体" w:hAnsi="宋体" w:cs="宋体"/>
          <w:b/>
          <w:color w:val="FF0000"/>
          <w:sz w:val="21"/>
          <w:szCs w:val="21"/>
          <w:highlight w:val="none"/>
        </w:rPr>
        <w:t>★</w:t>
      </w:r>
      <w:r>
        <w:rPr>
          <w:rFonts w:hint="eastAsia" w:ascii="宋体" w:hAnsi="宋体" w:cs="宋体"/>
          <w:color w:val="FF0000"/>
          <w:sz w:val="21"/>
          <w:szCs w:val="21"/>
          <w:highlight w:val="none"/>
          <w:lang w:eastAsia="zh-CN"/>
        </w:rPr>
        <w:t>（</w:t>
      </w:r>
      <w:r>
        <w:rPr>
          <w:rFonts w:hint="eastAsia" w:ascii="宋体" w:hAnsi="宋体" w:cs="宋体"/>
          <w:color w:val="FF0000"/>
          <w:sz w:val="21"/>
          <w:szCs w:val="21"/>
          <w:highlight w:val="none"/>
          <w:lang w:val="en-US" w:eastAsia="zh-CN"/>
        </w:rPr>
        <w:t>4</w:t>
      </w:r>
      <w:r>
        <w:rPr>
          <w:rFonts w:hint="eastAsia" w:ascii="宋体" w:hAnsi="宋体" w:cs="宋体"/>
          <w:color w:val="FF0000"/>
          <w:sz w:val="21"/>
          <w:szCs w:val="21"/>
          <w:highlight w:val="none"/>
          <w:lang w:eastAsia="zh-CN"/>
        </w:rPr>
        <w:t>）</w:t>
      </w:r>
      <w:r>
        <w:rPr>
          <w:rFonts w:hint="eastAsia" w:ascii="宋体" w:hAnsi="宋体" w:cs="宋体"/>
          <w:color w:val="FF0000"/>
          <w:sz w:val="21"/>
          <w:szCs w:val="21"/>
          <w:highlight w:val="none"/>
        </w:rPr>
        <w:t>投标人需提供本项目使用的保险条款明细措辞，但不得与保险责任说明及名词定义相冲突；条款与保险责任说明及名词定义相冲突的，以招标文件的保险责任说明及名词定义为准。</w:t>
      </w:r>
    </w:p>
    <w:p w14:paraId="636D74C7">
      <w:pPr>
        <w:ind w:firstLine="420"/>
        <w:rPr>
          <w:rFonts w:ascii="宋体" w:hAnsi="宋体" w:cs="宋体"/>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中标人应在收到批改申请后及时出具批单。</w:t>
      </w:r>
    </w:p>
    <w:p w14:paraId="17402B25">
      <w:pPr>
        <w:widowControl/>
        <w:ind w:firstLine="422" w:firstLineChars="200"/>
        <w:rPr>
          <w:rFonts w:ascii="宋体" w:hAnsi="宋体" w:cs="宋体"/>
          <w:b/>
          <w:bCs/>
          <w:sz w:val="21"/>
          <w:szCs w:val="21"/>
          <w:highlight w:val="none"/>
        </w:rPr>
      </w:pP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理赔服务</w:t>
      </w:r>
    </w:p>
    <w:p w14:paraId="59870773">
      <w:pPr>
        <w:keepNext w:val="0"/>
        <w:keepLines w:val="0"/>
        <w:pageBreakBefore w:val="0"/>
        <w:kinsoku/>
        <w:wordWrap/>
        <w:overflowPunct/>
        <w:topLinePunct w:val="0"/>
        <w:bidi w:val="0"/>
        <w:adjustRightInd w:val="0"/>
        <w:snapToGrid w:val="0"/>
        <w:spacing w:line="320" w:lineRule="exact"/>
        <w:ind w:firstLine="422" w:firstLineChars="200"/>
        <w:jc w:val="left"/>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lang w:val="en-US" w:eastAsia="zh-CN"/>
        </w:rPr>
        <w:t>理赔程序</w:t>
      </w:r>
    </w:p>
    <w:p w14:paraId="135E302E">
      <w:pPr>
        <w:keepNext w:val="0"/>
        <w:keepLines w:val="0"/>
        <w:pageBreakBefore w:val="0"/>
        <w:kinsoku/>
        <w:wordWrap/>
        <w:overflowPunct/>
        <w:topLinePunct w:val="0"/>
        <w:bidi w:val="0"/>
        <w:spacing w:line="32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中标单位应</w:t>
      </w:r>
      <w:r>
        <w:rPr>
          <w:rFonts w:hint="eastAsia" w:ascii="宋体" w:hAnsi="宋体" w:eastAsia="宋体" w:cs="宋体"/>
          <w:b/>
          <w:bCs/>
          <w:color w:val="000000"/>
          <w:sz w:val="21"/>
          <w:szCs w:val="21"/>
          <w:highlight w:val="none"/>
          <w:lang w:eastAsia="zh-CN"/>
        </w:rPr>
        <w:t>在服务期间</w:t>
      </w:r>
      <w:r>
        <w:rPr>
          <w:rFonts w:hint="eastAsia" w:ascii="宋体" w:hAnsi="宋体" w:eastAsia="宋体" w:cs="宋体"/>
          <w:b/>
          <w:bCs/>
          <w:color w:val="000000"/>
          <w:sz w:val="21"/>
          <w:szCs w:val="21"/>
          <w:highlight w:val="none"/>
        </w:rPr>
        <w:t>及时处理各出险案件，提</w:t>
      </w:r>
      <w:r>
        <w:rPr>
          <w:rFonts w:hint="eastAsia" w:ascii="宋体" w:hAnsi="宋体" w:eastAsia="宋体" w:cs="宋体"/>
          <w:b/>
          <w:bCs/>
          <w:color w:val="000000"/>
          <w:sz w:val="21"/>
          <w:szCs w:val="21"/>
          <w:highlight w:val="none"/>
          <w:lang w:eastAsia="zh-CN"/>
        </w:rPr>
        <w:t>高</w:t>
      </w:r>
      <w:r>
        <w:rPr>
          <w:rFonts w:hint="eastAsia" w:ascii="宋体" w:hAnsi="宋体" w:eastAsia="宋体" w:cs="宋体"/>
          <w:b/>
          <w:bCs/>
          <w:color w:val="000000"/>
          <w:sz w:val="21"/>
          <w:szCs w:val="21"/>
          <w:highlight w:val="none"/>
        </w:rPr>
        <w:t>项目</w:t>
      </w:r>
      <w:r>
        <w:rPr>
          <w:rFonts w:hint="eastAsia" w:ascii="宋体" w:hAnsi="宋体" w:eastAsia="宋体" w:cs="宋体"/>
          <w:b/>
          <w:bCs/>
          <w:color w:val="000000"/>
          <w:sz w:val="21"/>
          <w:szCs w:val="21"/>
          <w:highlight w:val="none"/>
          <w:lang w:eastAsia="zh-CN"/>
        </w:rPr>
        <w:t>理赔案件的处理速度，提升项目</w:t>
      </w:r>
      <w:r>
        <w:rPr>
          <w:rFonts w:hint="eastAsia" w:ascii="宋体" w:hAnsi="宋体" w:eastAsia="宋体" w:cs="宋体"/>
          <w:b/>
          <w:bCs/>
          <w:color w:val="000000"/>
          <w:sz w:val="21"/>
          <w:szCs w:val="21"/>
          <w:highlight w:val="none"/>
        </w:rPr>
        <w:t>结案率</w:t>
      </w:r>
      <w:r>
        <w:rPr>
          <w:rFonts w:hint="eastAsia" w:ascii="宋体" w:hAnsi="宋体" w:eastAsia="宋体" w:cs="宋体"/>
          <w:b/>
          <w:bCs/>
          <w:color w:val="000000"/>
          <w:sz w:val="21"/>
          <w:szCs w:val="21"/>
          <w:highlight w:val="none"/>
          <w:lang w:eastAsia="zh-CN"/>
        </w:rPr>
        <w:t>（结案率</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lang w:eastAsia="zh-CN"/>
        </w:rPr>
        <w:t>已结案件/总案件量）</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保单年度结案率不得低于</w:t>
      </w:r>
      <w:r>
        <w:rPr>
          <w:rFonts w:hint="eastAsia" w:ascii="宋体" w:hAnsi="宋体" w:eastAsia="宋体" w:cs="宋体"/>
          <w:b/>
          <w:bCs/>
          <w:color w:val="000000"/>
          <w:sz w:val="21"/>
          <w:szCs w:val="21"/>
          <w:highlight w:val="none"/>
          <w:lang w:val="en-US" w:eastAsia="zh-CN"/>
        </w:rPr>
        <w:t>60%，</w:t>
      </w:r>
      <w:r>
        <w:rPr>
          <w:rFonts w:hint="eastAsia" w:ascii="宋体" w:hAnsi="宋体" w:eastAsia="宋体" w:cs="宋体"/>
          <w:b/>
          <w:bCs/>
          <w:color w:val="000000"/>
          <w:sz w:val="21"/>
          <w:szCs w:val="21"/>
          <w:highlight w:val="none"/>
          <w:lang w:eastAsia="zh-CN"/>
        </w:rPr>
        <w:t>同时</w:t>
      </w:r>
      <w:r>
        <w:rPr>
          <w:rFonts w:hint="eastAsia" w:ascii="宋体" w:hAnsi="宋体" w:eastAsia="宋体" w:cs="宋体"/>
          <w:b/>
          <w:bCs/>
          <w:color w:val="000000"/>
          <w:sz w:val="21"/>
          <w:szCs w:val="21"/>
          <w:highlight w:val="none"/>
        </w:rPr>
        <w:t>确保案件处理的合理性，提高老年人项目满意度。</w:t>
      </w:r>
      <w:r>
        <w:rPr>
          <w:rFonts w:hint="eastAsia" w:ascii="宋体" w:hAnsi="宋体" w:eastAsia="宋体" w:cs="宋体"/>
          <w:b/>
          <w:bCs/>
          <w:color w:val="000000"/>
          <w:sz w:val="21"/>
          <w:szCs w:val="21"/>
          <w:highlight w:val="none"/>
          <w:lang w:eastAsia="zh-CN"/>
        </w:rPr>
        <w:t>理赔程序约定如下：</w:t>
      </w:r>
    </w:p>
    <w:p w14:paraId="4A8F076E">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b/>
          <w:bCs/>
          <w:sz w:val="21"/>
          <w:szCs w:val="21"/>
          <w:highlight w:val="none"/>
        </w:rPr>
      </w:pPr>
      <w:r>
        <w:rPr>
          <w:rFonts w:hint="eastAsia" w:ascii="宋体" w:hAnsi="宋体" w:cs="宋体"/>
          <w:sz w:val="21"/>
          <w:szCs w:val="21"/>
          <w:highlight w:val="none"/>
          <w:lang w:eastAsia="zh-CN"/>
        </w:rPr>
        <w:t>①</w:t>
      </w:r>
      <w:r>
        <w:rPr>
          <w:rFonts w:hint="eastAsia" w:ascii="宋体" w:hAnsi="宋体" w:eastAsia="宋体" w:cs="宋体"/>
          <w:sz w:val="21"/>
          <w:szCs w:val="21"/>
          <w:highlight w:val="none"/>
        </w:rPr>
        <w:t>出险报案。</w:t>
      </w:r>
    </w:p>
    <w:p w14:paraId="00A3446D">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承保机构应至少提供三种报案方式，以便老年人或其家属向承保机构报案：</w:t>
      </w:r>
    </w:p>
    <w:p w14:paraId="3C91EACD">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电话报案。承保机构应提供7*24小时客户服务专线电话。</w:t>
      </w:r>
    </w:p>
    <w:p w14:paraId="2C4FF762">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线上自主报案。承保机构应提供可实现自主报案、理赔的线上理赔平台，包括但不限于微信公众号、小程序、官网、APP等。线上理赔平台应至少包含报案、递交单证、查询理赔进度三项功能。</w:t>
      </w:r>
    </w:p>
    <w:p w14:paraId="3A7D4839">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联系承保机构专项服务小组报案。承保机构应建立专项服务小组，提供接报案、咨询、处理理赔等服务。</w:t>
      </w:r>
    </w:p>
    <w:p w14:paraId="635624E2">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②</w:t>
      </w:r>
      <w:r>
        <w:rPr>
          <w:rFonts w:hint="eastAsia" w:ascii="宋体" w:hAnsi="宋体" w:eastAsia="宋体" w:cs="宋体"/>
          <w:sz w:val="21"/>
          <w:szCs w:val="21"/>
          <w:highlight w:val="none"/>
        </w:rPr>
        <w:t>现场查勘。</w:t>
      </w:r>
    </w:p>
    <w:p w14:paraId="59541151">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对需进行现场查勘的案件，承保机构自行或委托公估公司及时进行现场查勘，并提醒被保险人保留意外伤害事故发生的有关现场证据资料。</w:t>
      </w:r>
    </w:p>
    <w:p w14:paraId="384E5D54">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③</w:t>
      </w:r>
      <w:r>
        <w:rPr>
          <w:rFonts w:hint="eastAsia" w:ascii="宋体" w:hAnsi="宋体" w:eastAsia="宋体" w:cs="宋体"/>
          <w:sz w:val="21"/>
          <w:szCs w:val="21"/>
          <w:highlight w:val="none"/>
        </w:rPr>
        <w:t>定责定损。</w:t>
      </w:r>
    </w:p>
    <w:p w14:paraId="32484B96">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属于保险责任的，承保机构应初步核定损失金额；不属于保险责任的，承保机构应书面告知被保险人。</w:t>
      </w:r>
    </w:p>
    <w:p w14:paraId="5666CF2E">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被保险人对承保机构定责定损结果进行确定，如认同案件定责定损结果的，开始准备索赔单证（属于保险责任）或案件结束（不属于保险责任）。如与承保机构沟通存有异议的，应告知户籍所在</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进行协商沟通。</w:t>
      </w:r>
    </w:p>
    <w:p w14:paraId="483FB736">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④</w:t>
      </w:r>
      <w:r>
        <w:rPr>
          <w:rFonts w:hint="eastAsia" w:ascii="宋体" w:hAnsi="宋体" w:eastAsia="宋体" w:cs="宋体"/>
          <w:sz w:val="21"/>
          <w:szCs w:val="21"/>
          <w:highlight w:val="none"/>
        </w:rPr>
        <w:t>单证收集与审核。</w:t>
      </w:r>
    </w:p>
    <w:p w14:paraId="44FC16B4">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承保机构向被保险人提供索赔单证收集相关指引。</w:t>
      </w:r>
    </w:p>
    <w:p w14:paraId="0CF90031">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承保机构对收集到的索赔单证进行审核，对单证不齐全的案件，应及时通知被保险人一次性补充完整。</w:t>
      </w:r>
    </w:p>
    <w:p w14:paraId="31FC3B06">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⑤</w:t>
      </w:r>
      <w:r>
        <w:rPr>
          <w:rFonts w:hint="eastAsia" w:ascii="宋体" w:hAnsi="宋体" w:eastAsia="宋体" w:cs="宋体"/>
          <w:sz w:val="21"/>
          <w:szCs w:val="21"/>
          <w:highlight w:val="none"/>
        </w:rPr>
        <w:t>理算核赔。</w:t>
      </w:r>
    </w:p>
    <w:p w14:paraId="5FFFB208">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对于单证齐全的案件，应在约定的赔付时效范围内完成理算核赔，将赔款及时支付给被保险人。</w:t>
      </w:r>
    </w:p>
    <w:p w14:paraId="7B0BAAF6">
      <w:pPr>
        <w:keepNext w:val="0"/>
        <w:keepLines w:val="0"/>
        <w:pageBreakBefore w:val="0"/>
        <w:kinsoku/>
        <w:wordWrap/>
        <w:overflowPunct/>
        <w:topLinePunct w:val="0"/>
        <w:bidi w:val="0"/>
        <w:adjustRightInd w:val="0"/>
        <w:snapToGrid w:val="0"/>
        <w:spacing w:line="320" w:lineRule="exact"/>
        <w:ind w:firstLine="422" w:firstLineChars="200"/>
        <w:jc w:val="left"/>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理赔时效要求</w:t>
      </w:r>
    </w:p>
    <w:p w14:paraId="330F4B66">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①</w:t>
      </w:r>
      <w:r>
        <w:rPr>
          <w:rFonts w:hint="eastAsia" w:ascii="宋体" w:hAnsi="宋体" w:eastAsia="宋体" w:cs="宋体"/>
          <w:sz w:val="21"/>
          <w:szCs w:val="21"/>
          <w:highlight w:val="none"/>
        </w:rPr>
        <w:t>报案指引时效。</w:t>
      </w:r>
    </w:p>
    <w:p w14:paraId="60201D60">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承保机构应在收到报案后24小时内安排服务专员联系被保险人，提供后续指引服务。</w:t>
      </w:r>
    </w:p>
    <w:p w14:paraId="47E18973">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②</w:t>
      </w:r>
      <w:r>
        <w:rPr>
          <w:rFonts w:hint="eastAsia" w:ascii="宋体" w:hAnsi="宋体" w:eastAsia="宋体" w:cs="宋体"/>
          <w:sz w:val="21"/>
          <w:szCs w:val="21"/>
          <w:highlight w:val="none"/>
        </w:rPr>
        <w:t>单证审核时效。</w:t>
      </w:r>
    </w:p>
    <w:p w14:paraId="6913B739">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在接到被保险人的索赔单证后，承保机构应在3日内完成审核工作，其中3000元以下小额案件应在1日内完成审核工作。若索赔单证不完整或不合要求，应一次性向被保险人/受益人书面或电话告知需要补充的资料。</w:t>
      </w:r>
    </w:p>
    <w:p w14:paraId="56C31011">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③</w:t>
      </w:r>
      <w:r>
        <w:rPr>
          <w:rFonts w:hint="eastAsia" w:ascii="宋体" w:hAnsi="宋体" w:eastAsia="宋体" w:cs="宋体"/>
          <w:sz w:val="21"/>
          <w:szCs w:val="21"/>
          <w:highlight w:val="none"/>
        </w:rPr>
        <w:t>定责定损时效。</w:t>
      </w:r>
    </w:p>
    <w:p w14:paraId="248897BF">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应及时核定保险责任。一般情形下，承保机构应在收到完整的索赔单证后3日内完成定责定损；情形复杂的，应当在20日内完成定责定损，否则即视为承保机构完全认可被保险人提供的索赔资料及索赔要求。</w:t>
      </w:r>
    </w:p>
    <w:p w14:paraId="0A5EA06D">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承保机构若认为案件不属于保险责任的，应向被保险人发出书面拒绝赔偿和拒付保险赔偿金的通知，并说明拒赔依据。</w:t>
      </w:r>
    </w:p>
    <w:p w14:paraId="66098633">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b/>
          <w:bCs/>
          <w:sz w:val="21"/>
          <w:szCs w:val="21"/>
          <w:highlight w:val="none"/>
        </w:rPr>
      </w:pPr>
      <w:r>
        <w:rPr>
          <w:rFonts w:hint="eastAsia" w:ascii="宋体" w:hAnsi="宋体" w:cs="宋体"/>
          <w:sz w:val="21"/>
          <w:szCs w:val="21"/>
          <w:highlight w:val="none"/>
          <w:lang w:eastAsia="zh-CN"/>
        </w:rPr>
        <w:t>④</w:t>
      </w:r>
      <w:r>
        <w:rPr>
          <w:rFonts w:hint="eastAsia" w:ascii="宋体" w:hAnsi="宋体" w:eastAsia="宋体" w:cs="宋体"/>
          <w:sz w:val="21"/>
          <w:szCs w:val="21"/>
          <w:highlight w:val="none"/>
        </w:rPr>
        <w:t>赔付时效。</w:t>
      </w:r>
    </w:p>
    <w:p w14:paraId="5B4A9634">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对属于保险责任的案件，在索赔单证齐全且完成定责定损后，金额在3000元以内的案件应在1日内赔付，其他案件应在5日内赔付。</w:t>
      </w:r>
    </w:p>
    <w:p w14:paraId="440905D3">
      <w:pPr>
        <w:keepNext w:val="0"/>
        <w:keepLines w:val="0"/>
        <w:pageBreakBefore w:val="0"/>
        <w:kinsoku/>
        <w:wordWrap/>
        <w:overflowPunct/>
        <w:topLinePunct w:val="0"/>
        <w:bidi w:val="0"/>
        <w:adjustRightInd w:val="0"/>
        <w:snapToGrid w:val="0"/>
        <w:spacing w:line="320" w:lineRule="exact"/>
        <w:ind w:firstLine="422" w:firstLineChars="200"/>
        <w:jc w:val="left"/>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rPr>
        <w:t>索赔单证要求</w:t>
      </w:r>
    </w:p>
    <w:p w14:paraId="64C9CF39">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eastAsia="zh-CN"/>
        </w:rPr>
        <w:t>①</w:t>
      </w:r>
      <w:r>
        <w:rPr>
          <w:rFonts w:hint="eastAsia" w:ascii="宋体" w:hAnsi="宋体" w:eastAsia="宋体" w:cs="宋体"/>
          <w:sz w:val="21"/>
          <w:szCs w:val="21"/>
          <w:highlight w:val="none"/>
        </w:rPr>
        <w:t>索赔单证材料</w:t>
      </w:r>
    </w:p>
    <w:p w14:paraId="07545264">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承保机构应向被保险人提供索赔单证收集指引，索赔单证材料详见</w:t>
      </w:r>
      <w:r>
        <w:rPr>
          <w:rFonts w:hint="eastAsia" w:ascii="宋体" w:hAnsi="宋体" w:eastAsia="宋体" w:cs="宋体"/>
          <w:sz w:val="21"/>
          <w:szCs w:val="21"/>
          <w:highlight w:val="none"/>
          <w:lang w:eastAsia="zh-CN"/>
        </w:rPr>
        <w:t>下表</w:t>
      </w:r>
      <w:r>
        <w:rPr>
          <w:rFonts w:hint="eastAsia" w:ascii="宋体" w:hAnsi="宋体" w:eastAsia="宋体" w:cs="宋体"/>
          <w:sz w:val="21"/>
          <w:szCs w:val="21"/>
          <w:highlight w:val="none"/>
        </w:rPr>
        <w:t>。</w:t>
      </w:r>
    </w:p>
    <w:tbl>
      <w:tblPr>
        <w:tblStyle w:val="4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2111"/>
        <w:gridCol w:w="2656"/>
      </w:tblGrid>
      <w:tr w14:paraId="678A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758" w:type="dxa"/>
            <w:tcBorders>
              <w:bottom w:val="single" w:color="auto" w:sz="4" w:space="0"/>
            </w:tcBorders>
            <w:noWrap w:val="0"/>
            <w:vAlign w:val="center"/>
          </w:tcPr>
          <w:p w14:paraId="757CD1D0">
            <w:pPr>
              <w:keepNext w:val="0"/>
              <w:keepLines w:val="0"/>
              <w:pageBreakBefore w:val="0"/>
              <w:widowControl w:val="0"/>
              <w:kinsoku/>
              <w:wordWrap/>
              <w:overflowPunct/>
              <w:topLinePunct w:val="0"/>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申请项目</w:t>
            </w:r>
          </w:p>
        </w:tc>
        <w:tc>
          <w:tcPr>
            <w:tcW w:w="2111" w:type="dxa"/>
            <w:tcBorders>
              <w:bottom w:val="single" w:color="auto" w:sz="4" w:space="0"/>
            </w:tcBorders>
            <w:noWrap w:val="0"/>
            <w:vAlign w:val="center"/>
          </w:tcPr>
          <w:p w14:paraId="2605EEAF">
            <w:pPr>
              <w:keepNext w:val="0"/>
              <w:keepLines w:val="0"/>
              <w:pageBreakBefore w:val="0"/>
              <w:widowControl w:val="0"/>
              <w:kinsoku/>
              <w:wordWrap/>
              <w:overflowPunct/>
              <w:topLinePunct w:val="0"/>
              <w:bidi w:val="0"/>
              <w:spacing w:line="32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通用材料</w:t>
            </w:r>
          </w:p>
        </w:tc>
        <w:tc>
          <w:tcPr>
            <w:tcW w:w="2656" w:type="dxa"/>
            <w:noWrap w:val="0"/>
            <w:vAlign w:val="center"/>
          </w:tcPr>
          <w:p w14:paraId="37B53AA4">
            <w:pPr>
              <w:keepNext w:val="0"/>
              <w:keepLines w:val="0"/>
              <w:pageBreakBefore w:val="0"/>
              <w:widowControl w:val="0"/>
              <w:kinsoku/>
              <w:wordWrap/>
              <w:overflowPunct/>
              <w:topLinePunct w:val="0"/>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应备材料</w:t>
            </w:r>
          </w:p>
        </w:tc>
      </w:tr>
      <w:tr w14:paraId="729E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4DA77B2C">
            <w:pPr>
              <w:keepNext w:val="0"/>
              <w:keepLines w:val="0"/>
              <w:pageBreakBefore w:val="0"/>
              <w:widowControl w:val="0"/>
              <w:tabs>
                <w:tab w:val="left" w:pos="2617"/>
              </w:tabs>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意外身故保险金</w:t>
            </w:r>
          </w:p>
        </w:tc>
        <w:tc>
          <w:tcPr>
            <w:tcW w:w="2111" w:type="dxa"/>
            <w:vMerge w:val="restart"/>
            <w:tcBorders>
              <w:top w:val="single" w:color="auto" w:sz="4" w:space="0"/>
              <w:left w:val="single" w:color="auto" w:sz="4" w:space="0"/>
              <w:bottom w:val="single" w:color="auto" w:sz="4" w:space="0"/>
              <w:right w:val="single" w:color="auto" w:sz="4" w:space="0"/>
            </w:tcBorders>
            <w:noWrap w:val="0"/>
            <w:vAlign w:val="center"/>
          </w:tcPr>
          <w:p w14:paraId="2DA141DE">
            <w:pPr>
              <w:keepNext w:val="0"/>
              <w:keepLines w:val="0"/>
              <w:pageBreakBefore w:val="0"/>
              <w:widowControl w:val="0"/>
              <w:kinsoku/>
              <w:wordWrap/>
              <w:overflowPunct/>
              <w:topLinePunct w:val="0"/>
              <w:bidi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①②③</w:t>
            </w: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⑤</w:t>
            </w:r>
          </w:p>
        </w:tc>
        <w:tc>
          <w:tcPr>
            <w:tcW w:w="2656" w:type="dxa"/>
            <w:tcBorders>
              <w:left w:val="single" w:color="auto" w:sz="4" w:space="0"/>
            </w:tcBorders>
            <w:noWrap w:val="0"/>
            <w:vAlign w:val="center"/>
          </w:tcPr>
          <w:p w14:paraId="2BDC1FC7">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⑥⑦</w:t>
            </w:r>
            <w:r>
              <w:rPr>
                <w:rFonts w:hint="eastAsia" w:ascii="宋体" w:hAnsi="宋体" w:eastAsia="宋体" w:cs="宋体"/>
                <w:color w:val="auto"/>
                <w:sz w:val="21"/>
                <w:szCs w:val="21"/>
                <w:highlight w:val="none"/>
                <w:lang w:val="en-US" w:eastAsia="zh-CN"/>
              </w:rPr>
              <w:t>⑧</w:t>
            </w:r>
          </w:p>
        </w:tc>
      </w:tr>
      <w:tr w14:paraId="7D9D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6B5603AF">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意外残疾保险金</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63031A94">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763756AB">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⑨</w:t>
            </w:r>
          </w:p>
        </w:tc>
      </w:tr>
      <w:tr w14:paraId="7C9F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6248FA6B">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意外骨折/关节脱位保险金</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7F942E06">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2F667C71">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1E16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05E62DB1">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意外门诊/住院医疗保险金</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5C39CAF5">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5CEF5C10">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63DC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6CE83610">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意外医疗辅助器材</w:t>
            </w:r>
            <w:r>
              <w:rPr>
                <w:rFonts w:hint="eastAsia" w:ascii="宋体" w:hAnsi="宋体" w:eastAsia="宋体" w:cs="宋体"/>
                <w:color w:val="auto"/>
                <w:sz w:val="21"/>
                <w:szCs w:val="21"/>
                <w:highlight w:val="none"/>
                <w:lang w:val="en-US" w:eastAsia="zh-CN"/>
              </w:rPr>
              <w:t>保险金</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7C964614">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0FF15CD5">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w:t>
            </w:r>
          </w:p>
        </w:tc>
      </w:tr>
      <w:tr w14:paraId="5AC6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3CE34BFA">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意外住院津贴</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087B8E6E">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577E495C">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5C87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739BB6D2">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意外住院</w:t>
            </w:r>
            <w:r>
              <w:rPr>
                <w:rFonts w:hint="eastAsia" w:ascii="宋体" w:hAnsi="宋体" w:eastAsia="宋体" w:cs="宋体"/>
                <w:color w:val="auto"/>
                <w:sz w:val="21"/>
                <w:szCs w:val="21"/>
                <w:highlight w:val="none"/>
                <w:lang w:val="en-US" w:eastAsia="zh-CN"/>
              </w:rPr>
              <w:t>照</w:t>
            </w:r>
            <w:r>
              <w:rPr>
                <w:rFonts w:hint="eastAsia" w:ascii="宋体" w:hAnsi="宋体" w:eastAsia="宋体" w:cs="宋体"/>
                <w:color w:val="auto"/>
                <w:sz w:val="21"/>
                <w:szCs w:val="21"/>
                <w:highlight w:val="none"/>
                <w:lang w:eastAsia="zh-CN"/>
              </w:rPr>
              <w:t>护津贴</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549AED63">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6E1A713E">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087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tcBorders>
              <w:top w:val="single" w:color="auto" w:sz="4" w:space="0"/>
              <w:left w:val="single" w:color="auto" w:sz="4" w:space="0"/>
              <w:bottom w:val="single" w:color="auto" w:sz="4" w:space="0"/>
              <w:right w:val="single" w:color="auto" w:sz="4" w:space="0"/>
            </w:tcBorders>
            <w:noWrap w:val="0"/>
            <w:vAlign w:val="center"/>
          </w:tcPr>
          <w:p w14:paraId="1BB7417C">
            <w:pPr>
              <w:keepNext w:val="0"/>
              <w:keepLines w:val="0"/>
              <w:pageBreakBefore w:val="0"/>
              <w:widowControl w:val="0"/>
              <w:kinsoku/>
              <w:wordWrap/>
              <w:overflowPunct/>
              <w:topLinePunct w:val="0"/>
              <w:bidi w:val="0"/>
              <w:adjustRightInd w:val="0"/>
              <w:snapToGrid w:val="0"/>
              <w:spacing w:line="32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意外住院营养津贴</w:t>
            </w:r>
          </w:p>
        </w:tc>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14:paraId="68CA9490">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495FB976">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6455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58" w:type="dxa"/>
            <w:noWrap w:val="0"/>
            <w:vAlign w:val="center"/>
          </w:tcPr>
          <w:p w14:paraId="2219BCF7">
            <w:pPr>
              <w:keepNext w:val="0"/>
              <w:keepLines w:val="0"/>
              <w:pageBreakBefore w:val="0"/>
              <w:widowControl w:val="0"/>
              <w:kinsoku/>
              <w:wordWrap/>
              <w:overflowPunct/>
              <w:topLinePunct w:val="0"/>
              <w:bidi w:val="0"/>
              <w:adjustRightInd w:val="0"/>
              <w:snapToGrid w:val="0"/>
              <w:spacing w:line="320" w:lineRule="exact"/>
              <w:ind w:firstLine="105" w:firstLineChars="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“120”急救费用</w:t>
            </w:r>
          </w:p>
        </w:tc>
        <w:tc>
          <w:tcPr>
            <w:tcW w:w="2111" w:type="dxa"/>
            <w:vMerge w:val="continue"/>
            <w:tcBorders>
              <w:right w:val="single" w:color="auto" w:sz="4" w:space="0"/>
            </w:tcBorders>
            <w:noWrap w:val="0"/>
            <w:vAlign w:val="center"/>
          </w:tcPr>
          <w:p w14:paraId="6C33C42D">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rPr>
            </w:pPr>
          </w:p>
        </w:tc>
        <w:tc>
          <w:tcPr>
            <w:tcW w:w="2656" w:type="dxa"/>
            <w:tcBorders>
              <w:left w:val="single" w:color="auto" w:sz="4" w:space="0"/>
            </w:tcBorders>
            <w:noWrap w:val="0"/>
            <w:vAlign w:val="center"/>
          </w:tcPr>
          <w:p w14:paraId="2D624AC6">
            <w:pPr>
              <w:keepNext w:val="0"/>
              <w:keepLines w:val="0"/>
              <w:pageBreakBefore w:val="0"/>
              <w:widowControl w:val="0"/>
              <w:kinsoku/>
              <w:wordWrap/>
              <w:overflowPunct/>
              <w:topLinePunct w:val="0"/>
              <w:bidi w:val="0"/>
              <w:spacing w:line="32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⑪</w:t>
            </w:r>
          </w:p>
        </w:tc>
      </w:tr>
      <w:tr w14:paraId="304C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25" w:type="dxa"/>
            <w:gridSpan w:val="3"/>
            <w:noWrap w:val="0"/>
            <w:vAlign w:val="center"/>
          </w:tcPr>
          <w:p w14:paraId="4DC2E68F">
            <w:pPr>
              <w:keepNext w:val="0"/>
              <w:keepLines w:val="0"/>
              <w:pageBreakBefore w:val="0"/>
              <w:widowControl w:val="0"/>
              <w:kinsoku/>
              <w:wordWrap/>
              <w:overflowPunct/>
              <w:topLinePunct w:val="0"/>
              <w:bidi w:val="0"/>
              <w:spacing w:line="32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材料项目说明</w:t>
            </w:r>
            <w:r>
              <w:rPr>
                <w:rFonts w:hint="eastAsia" w:ascii="宋体" w:hAnsi="宋体" w:eastAsia="宋体" w:cs="宋体"/>
                <w:b/>
                <w:bCs/>
                <w:color w:val="auto"/>
                <w:sz w:val="21"/>
                <w:szCs w:val="21"/>
                <w:highlight w:val="none"/>
                <w:lang w:eastAsia="zh-CN"/>
              </w:rPr>
              <w:t>：</w:t>
            </w:r>
          </w:p>
          <w:p w14:paraId="0AFB0EAA">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索赔申请书；</w:t>
            </w:r>
          </w:p>
          <w:p w14:paraId="77380DDD">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被保险人身份证明及户口本</w:t>
            </w:r>
            <w:r>
              <w:rPr>
                <w:rFonts w:hint="eastAsia" w:ascii="宋体" w:hAnsi="宋体" w:eastAsia="宋体" w:cs="宋体"/>
                <w:color w:val="auto"/>
                <w:sz w:val="21"/>
                <w:szCs w:val="21"/>
                <w:highlight w:val="none"/>
                <w:lang w:eastAsia="zh-CN"/>
              </w:rPr>
              <w:t>；</w:t>
            </w:r>
          </w:p>
          <w:p w14:paraId="499D8F6D">
            <w:pPr>
              <w:keepNext w:val="0"/>
              <w:keepLines w:val="0"/>
              <w:pageBreakBefore w:val="0"/>
              <w:widowControl w:val="0"/>
              <w:numPr>
                <w:ilvl w:val="0"/>
                <w:numId w:val="0"/>
              </w:numPr>
              <w:kinsoku/>
              <w:wordWrap/>
              <w:overflowPunct/>
              <w:topLinePunct w:val="0"/>
              <w:bidi w:val="0"/>
              <w:spacing w:line="32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被保险人或受益人银行卡复印件</w:t>
            </w:r>
            <w:r>
              <w:rPr>
                <w:rFonts w:hint="eastAsia" w:ascii="宋体" w:hAnsi="宋体" w:eastAsia="宋体" w:cs="宋体"/>
                <w:color w:val="auto"/>
                <w:sz w:val="21"/>
                <w:szCs w:val="21"/>
                <w:highlight w:val="none"/>
                <w:lang w:eastAsia="zh-CN"/>
              </w:rPr>
              <w:t>；</w:t>
            </w:r>
          </w:p>
          <w:p w14:paraId="1AB9B7B3">
            <w:pPr>
              <w:keepNext w:val="0"/>
              <w:keepLines w:val="0"/>
              <w:pageBreakBefore w:val="0"/>
              <w:widowControl w:val="0"/>
              <w:numPr>
                <w:ilvl w:val="0"/>
                <w:numId w:val="0"/>
              </w:numPr>
              <w:kinsoku/>
              <w:wordWrap/>
              <w:overflowPunct/>
              <w:topLinePunct w:val="0"/>
              <w:bidi w:val="0"/>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有关部门出具的意外事故证明，</w:t>
            </w:r>
            <w:r>
              <w:rPr>
                <w:rFonts w:hint="eastAsia" w:ascii="宋体" w:hAnsi="宋体" w:eastAsia="宋体" w:cs="宋体"/>
                <w:color w:val="auto"/>
                <w:sz w:val="21"/>
                <w:szCs w:val="21"/>
                <w:highlight w:val="none"/>
                <w:lang w:eastAsia="zh-CN"/>
              </w:rPr>
              <w:t>部分事故适用，如</w:t>
            </w:r>
            <w:r>
              <w:rPr>
                <w:rFonts w:hint="eastAsia" w:ascii="宋体" w:hAnsi="宋体" w:eastAsia="宋体" w:cs="宋体"/>
                <w:color w:val="auto"/>
                <w:sz w:val="21"/>
                <w:szCs w:val="21"/>
                <w:highlight w:val="none"/>
              </w:rPr>
              <w:t>交通事故需提供交警事故认定书；</w:t>
            </w:r>
          </w:p>
          <w:p w14:paraId="442226C4">
            <w:pPr>
              <w:keepNext w:val="0"/>
              <w:keepLines w:val="0"/>
              <w:pageBreakBefore w:val="0"/>
              <w:widowControl w:val="0"/>
              <w:numPr>
                <w:ilvl w:val="0"/>
                <w:numId w:val="0"/>
              </w:numPr>
              <w:kinsoku/>
              <w:wordWrap/>
              <w:overflowPunct/>
              <w:topLinePunct w:val="0"/>
              <w:bidi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医疗相关资料：医疗费用</w:t>
            </w:r>
            <w:r>
              <w:rPr>
                <w:rFonts w:hint="eastAsia" w:ascii="宋体" w:hAnsi="宋体" w:eastAsia="宋体" w:cs="宋体"/>
                <w:color w:val="auto"/>
                <w:sz w:val="21"/>
                <w:szCs w:val="21"/>
                <w:highlight w:val="none"/>
                <w:lang w:val="en-US" w:eastAsia="zh-CN"/>
              </w:rPr>
              <w:t>票据</w:t>
            </w:r>
            <w:r>
              <w:rPr>
                <w:rFonts w:hint="eastAsia" w:ascii="宋体" w:hAnsi="宋体" w:eastAsia="宋体" w:cs="宋体"/>
                <w:color w:val="auto"/>
                <w:sz w:val="21"/>
                <w:szCs w:val="21"/>
                <w:highlight w:val="none"/>
              </w:rPr>
              <w:t>原件、门诊病历、医疗费用明细清单/处方、影像检查报告；涉及住院治疗，则需住院病历、诊断证明、出院小结、入院记录、长期短期医嘱；涉及手术治疗，则需手术记录及手术材料标签；</w:t>
            </w:r>
          </w:p>
          <w:p w14:paraId="4153591A">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居民死亡医学证明书或法医鉴定书</w:t>
            </w:r>
            <w:r>
              <w:rPr>
                <w:rFonts w:hint="eastAsia" w:ascii="宋体" w:hAnsi="宋体" w:eastAsia="宋体" w:cs="宋体"/>
                <w:color w:val="auto"/>
                <w:sz w:val="21"/>
                <w:szCs w:val="21"/>
                <w:highlight w:val="none"/>
                <w:lang w:eastAsia="zh-CN"/>
              </w:rPr>
              <w:t>或户口注销证明或丧葬火化证明</w:t>
            </w:r>
            <w:r>
              <w:rPr>
                <w:rFonts w:hint="eastAsia" w:ascii="宋体" w:hAnsi="宋体" w:eastAsia="宋体" w:cs="宋体"/>
                <w:color w:val="auto"/>
                <w:sz w:val="21"/>
                <w:szCs w:val="21"/>
                <w:highlight w:val="none"/>
              </w:rPr>
              <w:t>；</w:t>
            </w:r>
          </w:p>
          <w:p w14:paraId="52C0665C">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受益人身份证明；</w:t>
            </w:r>
          </w:p>
          <w:p w14:paraId="07B73AE8">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⑧</w:t>
            </w:r>
            <w:r>
              <w:rPr>
                <w:rFonts w:hint="eastAsia" w:ascii="宋体" w:hAnsi="宋体" w:eastAsia="宋体" w:cs="宋体"/>
                <w:color w:val="auto"/>
                <w:sz w:val="21"/>
                <w:szCs w:val="21"/>
                <w:highlight w:val="none"/>
              </w:rPr>
              <w:t>受益人与事故者关系证明</w:t>
            </w:r>
            <w:r>
              <w:rPr>
                <w:rFonts w:hint="eastAsia" w:ascii="宋体" w:hAnsi="宋体" w:eastAsia="宋体" w:cs="宋体"/>
                <w:color w:val="auto"/>
                <w:sz w:val="21"/>
                <w:szCs w:val="21"/>
                <w:highlight w:val="none"/>
                <w:lang w:eastAsia="zh-CN"/>
              </w:rPr>
              <w:t>；</w:t>
            </w:r>
          </w:p>
          <w:p w14:paraId="74FEE4CA">
            <w:pPr>
              <w:keepNext w:val="0"/>
              <w:keepLines w:val="0"/>
              <w:pageBreakBefore w:val="0"/>
              <w:widowControl w:val="0"/>
              <w:numPr>
                <w:ilvl w:val="0"/>
                <w:numId w:val="0"/>
              </w:numPr>
              <w:kinsoku/>
              <w:wordWrap/>
              <w:overflowPunct/>
              <w:topLinePunct w:val="0"/>
              <w:bidi w:val="0"/>
              <w:spacing w:line="32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⑨</w:t>
            </w:r>
            <w:r>
              <w:rPr>
                <w:rFonts w:hint="eastAsia" w:ascii="宋体" w:hAnsi="宋体" w:eastAsia="宋体" w:cs="宋体"/>
                <w:color w:val="auto"/>
                <w:sz w:val="21"/>
                <w:szCs w:val="21"/>
                <w:highlight w:val="none"/>
              </w:rPr>
              <w:t>残疾鉴定报告；</w:t>
            </w:r>
          </w:p>
          <w:p w14:paraId="7AE50CE5">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⑩</w:t>
            </w:r>
            <w:r>
              <w:rPr>
                <w:rFonts w:hint="eastAsia" w:ascii="宋体" w:hAnsi="宋体" w:eastAsia="宋体" w:cs="宋体"/>
                <w:color w:val="auto"/>
                <w:sz w:val="21"/>
                <w:szCs w:val="21"/>
                <w:highlight w:val="none"/>
              </w:rPr>
              <w:t>辅助器材发票及需购买辅助器材相关医嘱证明；</w:t>
            </w:r>
          </w:p>
          <w:p w14:paraId="060E9F0F">
            <w:pPr>
              <w:keepNext w:val="0"/>
              <w:keepLines w:val="0"/>
              <w:pageBreakBefore w:val="0"/>
              <w:widowControl w:val="0"/>
              <w:numPr>
                <w:ilvl w:val="0"/>
                <w:numId w:val="0"/>
              </w:numPr>
              <w:kinsoku/>
              <w:wordWrap/>
              <w:overflowPunct/>
              <w:topLinePunct w:val="0"/>
              <w:bidi w:val="0"/>
              <w:spacing w:line="320" w:lineRule="exact"/>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⑪</w:t>
            </w:r>
            <w:r>
              <w:rPr>
                <w:rFonts w:hint="eastAsia" w:ascii="宋体" w:hAnsi="宋体" w:eastAsia="宋体" w:cs="宋体"/>
                <w:color w:val="auto"/>
                <w:sz w:val="21"/>
                <w:szCs w:val="21"/>
                <w:highlight w:val="none"/>
              </w:rPr>
              <w:t>120急救</w:t>
            </w:r>
            <w:r>
              <w:rPr>
                <w:rFonts w:hint="eastAsia" w:ascii="宋体" w:hAnsi="宋体" w:eastAsia="宋体" w:cs="宋体"/>
                <w:color w:val="auto"/>
                <w:sz w:val="21"/>
                <w:szCs w:val="21"/>
                <w:highlight w:val="none"/>
                <w:lang w:val="en-US" w:eastAsia="zh-CN"/>
              </w:rPr>
              <w:t>票据</w:t>
            </w:r>
            <w:r>
              <w:rPr>
                <w:rFonts w:hint="eastAsia" w:ascii="宋体" w:hAnsi="宋体" w:eastAsia="宋体" w:cs="宋体"/>
                <w:color w:val="auto"/>
                <w:sz w:val="21"/>
                <w:szCs w:val="21"/>
                <w:highlight w:val="none"/>
                <w:lang w:eastAsia="zh-CN"/>
              </w:rPr>
              <w:t>。</w:t>
            </w:r>
          </w:p>
        </w:tc>
      </w:tr>
    </w:tbl>
    <w:p w14:paraId="226E646B">
      <w:pPr>
        <w:keepNext w:val="0"/>
        <w:keepLines w:val="0"/>
        <w:pageBreakBefore w:val="0"/>
        <w:kinsoku/>
        <w:wordWrap/>
        <w:overflowPunct/>
        <w:topLinePunct w:val="0"/>
        <w:bidi w:val="0"/>
        <w:adjustRightInd w:val="0"/>
        <w:snapToGrid w:val="0"/>
        <w:spacing w:line="320" w:lineRule="exact"/>
        <w:ind w:firstLine="420" w:firstLineChars="200"/>
        <w:jc w:val="left"/>
        <w:rPr>
          <w:rFonts w:hint="eastAsia" w:ascii="宋体" w:hAnsi="宋体" w:eastAsia="宋体" w:cs="宋体"/>
          <w:b/>
          <w:bCs/>
          <w:sz w:val="21"/>
          <w:szCs w:val="21"/>
          <w:highlight w:val="none"/>
        </w:rPr>
      </w:pPr>
      <w:r>
        <w:rPr>
          <w:rFonts w:hint="eastAsia" w:ascii="宋体" w:hAnsi="宋体" w:cs="宋体"/>
          <w:sz w:val="21"/>
          <w:szCs w:val="21"/>
          <w:highlight w:val="none"/>
          <w:lang w:eastAsia="zh-CN"/>
        </w:rPr>
        <w:t>②</w:t>
      </w:r>
      <w:r>
        <w:rPr>
          <w:rFonts w:hint="eastAsia" w:ascii="宋体" w:hAnsi="宋体" w:eastAsia="宋体" w:cs="宋体"/>
          <w:sz w:val="21"/>
          <w:szCs w:val="21"/>
          <w:highlight w:val="none"/>
        </w:rPr>
        <w:t>单证提交方式。</w:t>
      </w:r>
    </w:p>
    <w:p w14:paraId="3686D12C">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承保机构应提供多种索赔单证提交方式，包括但不限于：</w:t>
      </w:r>
    </w:p>
    <w:p w14:paraId="5F41203C">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联系承保机构服务专员，通过上门收集、邮寄到付等方式提交单证。</w:t>
      </w:r>
    </w:p>
    <w:p w14:paraId="346B065B">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通过承保机构的线上理赔平台上传或补传索赔单证。</w:t>
      </w:r>
    </w:p>
    <w:p w14:paraId="5BBCDFA9">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向承保区域所在的承保机构营业网点提交索赔单证。如未在承保区域设立营业网点的，须允许被保险人通过方式1及方式2提交索赔单证。</w:t>
      </w:r>
    </w:p>
    <w:p w14:paraId="671B9B64">
      <w:pPr>
        <w:keepNext w:val="0"/>
        <w:keepLines w:val="0"/>
        <w:pageBreakBefore w:val="0"/>
        <w:widowControl/>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③</w:t>
      </w:r>
      <w:r>
        <w:rPr>
          <w:rFonts w:hint="eastAsia" w:ascii="宋体" w:hAnsi="宋体" w:eastAsia="宋体" w:cs="宋体"/>
          <w:sz w:val="21"/>
          <w:szCs w:val="21"/>
          <w:highlight w:val="none"/>
        </w:rPr>
        <w:t>单证减免情形。</w:t>
      </w:r>
    </w:p>
    <w:p w14:paraId="27E93FC0">
      <w:pPr>
        <w:keepNext w:val="0"/>
        <w:keepLines w:val="0"/>
        <w:pageBreakBefore w:val="0"/>
        <w:widowControl/>
        <w:kinsoku/>
        <w:wordWrap/>
        <w:overflowPunct/>
        <w:topLinePunct w:val="0"/>
        <w:bidi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在不影响案件定责定损的前提下，承保机构应视情况减免部分索赔单证：</w:t>
      </w:r>
    </w:p>
    <w:p w14:paraId="5F7DB6C3">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重大事故免医疗就诊资料：针对重大事故（单次事故死亡人数在3人以上或受伤人数在5人以上）医疗费用赔偿部分，免提供医疗就诊资料，仅提供医疗费用票据。</w:t>
      </w:r>
    </w:p>
    <w:p w14:paraId="343BD881">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 xml:space="preserve">免索赔申请书填写：对于被保险人不方便填写资料的，承保机构安排服务专员协助被保险人填写《索赔申请书》及《索赔委托书》。 </w:t>
      </w:r>
    </w:p>
    <w:p w14:paraId="216C0507">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其他合理原因而难以提供的资料，承保机构应酌情予以免除。</w:t>
      </w:r>
    </w:p>
    <w:p w14:paraId="0C299A7E">
      <w:pPr>
        <w:keepNext w:val="0"/>
        <w:keepLines w:val="0"/>
        <w:pageBreakBefore w:val="0"/>
        <w:kinsoku/>
        <w:wordWrap/>
        <w:overflowPunct/>
        <w:topLinePunct w:val="0"/>
        <w:bidi w:val="0"/>
        <w:adjustRightInd w:val="0"/>
        <w:snapToGrid w:val="0"/>
        <w:spacing w:line="320" w:lineRule="exact"/>
        <w:ind w:firstLine="422" w:firstLineChars="200"/>
        <w:jc w:val="left"/>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（4）</w:t>
      </w:r>
      <w:r>
        <w:rPr>
          <w:rFonts w:hint="eastAsia" w:ascii="宋体" w:hAnsi="宋体" w:eastAsia="宋体" w:cs="宋体"/>
          <w:b/>
          <w:bCs/>
          <w:sz w:val="21"/>
          <w:szCs w:val="21"/>
          <w:highlight w:val="none"/>
        </w:rPr>
        <w:t>理赔增值服务</w:t>
      </w:r>
    </w:p>
    <w:p w14:paraId="0950552A">
      <w:pPr>
        <w:keepNext w:val="0"/>
        <w:keepLines w:val="0"/>
        <w:pageBreakBefore w:val="0"/>
        <w:widowControl/>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①</w:t>
      </w:r>
      <w:r>
        <w:rPr>
          <w:rFonts w:hint="eastAsia" w:ascii="宋体" w:hAnsi="宋体" w:eastAsia="宋体" w:cs="宋体"/>
          <w:sz w:val="21"/>
          <w:szCs w:val="21"/>
          <w:highlight w:val="none"/>
        </w:rPr>
        <w:t>线上化理赔服务。</w:t>
      </w:r>
    </w:p>
    <w:p w14:paraId="7E120742">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承保机构应提供线上化理赔服务，3000元以下的小额案件应实现全流程在线理赔服务；此外被保险人可通过在线平台进行报案、提交理赔单证、查看理赔进度。</w:t>
      </w:r>
    </w:p>
    <w:p w14:paraId="4CC33841">
      <w:pPr>
        <w:keepNext w:val="0"/>
        <w:keepLines w:val="0"/>
        <w:pageBreakBefore w:val="0"/>
        <w:widowControl/>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②</w:t>
      </w:r>
      <w:r>
        <w:rPr>
          <w:rFonts w:hint="eastAsia" w:ascii="宋体" w:hAnsi="宋体" w:eastAsia="宋体" w:cs="宋体"/>
          <w:sz w:val="21"/>
          <w:szCs w:val="21"/>
          <w:highlight w:val="none"/>
        </w:rPr>
        <w:t>预付赔款服务。</w:t>
      </w:r>
    </w:p>
    <w:p w14:paraId="11B5D648">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对于已明确属于本保单意外医疗费用保障责任且治疗尚未结束的事故，被保险人提出预付赔款的请求，且出具相应医疗费用发票等证明资料的，承保机构可对其已确定部分的医疗费用在保险金额内予以赔付。</w:t>
      </w:r>
    </w:p>
    <w:p w14:paraId="653D337B">
      <w:pPr>
        <w:keepNext w:val="0"/>
        <w:keepLines w:val="0"/>
        <w:pageBreakBefore w:val="0"/>
        <w:widowControl/>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③</w:t>
      </w:r>
      <w:r>
        <w:rPr>
          <w:rFonts w:hint="eastAsia" w:ascii="宋体" w:hAnsi="宋体" w:eastAsia="宋体" w:cs="宋体"/>
          <w:sz w:val="21"/>
          <w:szCs w:val="21"/>
          <w:highlight w:val="none"/>
        </w:rPr>
        <w:t>人性化理赔服务。</w:t>
      </w:r>
    </w:p>
    <w:p w14:paraId="2A9278B0">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对于失能失智或行动不便的老年人，承保机构应安排服务专员对接并提供全流程的理赔协助处理服务，直至顺利结案。</w:t>
      </w:r>
    </w:p>
    <w:p w14:paraId="3FE6842C">
      <w:pPr>
        <w:keepNext w:val="0"/>
        <w:keepLines w:val="0"/>
        <w:pageBreakBefore w:val="0"/>
        <w:widowControl/>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⑤</w:t>
      </w:r>
      <w:r>
        <w:rPr>
          <w:rFonts w:hint="eastAsia" w:ascii="宋体" w:hAnsi="宋体" w:eastAsia="宋体" w:cs="宋体"/>
          <w:sz w:val="21"/>
          <w:szCs w:val="21"/>
          <w:highlight w:val="none"/>
        </w:rPr>
        <w:t>慰问回访服务。</w:t>
      </w:r>
    </w:p>
    <w:p w14:paraId="45B34EBE">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老年人发生意外事故后，承保机构应积极提供</w:t>
      </w:r>
      <w:r>
        <w:rPr>
          <w:rFonts w:hint="eastAsia" w:ascii="宋体" w:hAnsi="宋体" w:eastAsia="宋体" w:cs="宋体"/>
          <w:sz w:val="21"/>
          <w:szCs w:val="21"/>
          <w:highlight w:val="none"/>
          <w:lang w:eastAsia="zh-CN"/>
        </w:rPr>
        <w:t>人性化、</w:t>
      </w:r>
      <w:r>
        <w:rPr>
          <w:rFonts w:hint="eastAsia" w:ascii="宋体" w:hAnsi="宋体" w:eastAsia="宋体" w:cs="宋体"/>
          <w:sz w:val="21"/>
          <w:szCs w:val="21"/>
          <w:highlight w:val="none"/>
        </w:rPr>
        <w:t>上门慰问服务</w:t>
      </w:r>
      <w:r>
        <w:rPr>
          <w:rFonts w:hint="eastAsia" w:ascii="宋体" w:hAnsi="宋体" w:eastAsia="宋体" w:cs="宋体"/>
          <w:sz w:val="21"/>
          <w:szCs w:val="21"/>
          <w:highlight w:val="none"/>
          <w:lang w:eastAsia="zh-CN"/>
        </w:rPr>
        <w:t>，保单年度慰问率不得低于</w:t>
      </w:r>
      <w:r>
        <w:rPr>
          <w:rFonts w:hint="eastAsia" w:ascii="宋体" w:hAnsi="宋体" w:eastAsia="宋体" w:cs="宋体"/>
          <w:sz w:val="21"/>
          <w:szCs w:val="21"/>
          <w:highlight w:val="none"/>
          <w:lang w:val="en-US" w:eastAsia="zh-CN"/>
        </w:rPr>
        <w:t>5%（慰问率=慰问案件量/总案件量*100%。）</w:t>
      </w:r>
      <w:r>
        <w:rPr>
          <w:rFonts w:hint="eastAsia" w:ascii="宋体" w:hAnsi="宋体" w:eastAsia="宋体" w:cs="宋体"/>
          <w:sz w:val="21"/>
          <w:szCs w:val="21"/>
          <w:highlight w:val="none"/>
        </w:rPr>
        <w:t>；案件处理完毕后，应开展对老年人的满意度回访工作，了解被保险人对案件处理的满意度。重大案件承保机构应及时向</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反馈案件进度。</w:t>
      </w:r>
    </w:p>
    <w:p w14:paraId="2DC31547">
      <w:pPr>
        <w:keepNext w:val="0"/>
        <w:keepLines w:val="0"/>
        <w:pageBreakBefore w:val="0"/>
        <w:widowControl/>
        <w:kinsoku/>
        <w:wordWrap/>
        <w:overflowPunct/>
        <w:topLinePunct w:val="0"/>
        <w:bidi w:val="0"/>
        <w:adjustRightInd w:val="0"/>
        <w:snapToGri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⑥</w:t>
      </w:r>
      <w:r>
        <w:rPr>
          <w:rFonts w:hint="eastAsia" w:ascii="宋体" w:hAnsi="宋体" w:eastAsia="宋体" w:cs="宋体"/>
          <w:sz w:val="21"/>
          <w:szCs w:val="21"/>
          <w:highlight w:val="none"/>
        </w:rPr>
        <w:t>理赔数据定期报告。</w:t>
      </w:r>
    </w:p>
    <w:p w14:paraId="488A43A1">
      <w:pPr>
        <w:keepNext w:val="0"/>
        <w:keepLines w:val="0"/>
        <w:pageBreakBefore w:val="0"/>
        <w:kinsoku/>
        <w:wordWrap/>
        <w:overflowPunct/>
        <w:topLinePunct w:val="0"/>
        <w:bidi w:val="0"/>
        <w:adjustRightInd w:val="0"/>
        <w:snapToGrid w:val="0"/>
        <w:spacing w:line="320" w:lineRule="exact"/>
        <w:ind w:firstLine="420" w:firstLineChars="200"/>
        <w:rPr>
          <w:rFonts w:hint="eastAsia" w:ascii="宋体" w:hAnsi="宋体" w:eastAsia="宋体" w:cs="宋体"/>
          <w:kern w:val="0"/>
          <w:sz w:val="24"/>
          <w:szCs w:val="24"/>
          <w:highlight w:val="none"/>
        </w:rPr>
      </w:pPr>
      <w:r>
        <w:rPr>
          <w:rFonts w:hint="eastAsia" w:ascii="宋体" w:hAnsi="宋体" w:eastAsia="宋体" w:cs="宋体"/>
          <w:sz w:val="21"/>
          <w:szCs w:val="21"/>
          <w:highlight w:val="none"/>
        </w:rPr>
        <w:t>承保机构应在每</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rPr>
        <w:t>结束后10日内</w:t>
      </w:r>
      <w:r>
        <w:rPr>
          <w:rFonts w:hint="eastAsia" w:ascii="宋体" w:hAnsi="宋体" w:eastAsia="宋体" w:cs="宋体"/>
          <w:kern w:val="0"/>
          <w:sz w:val="21"/>
          <w:szCs w:val="21"/>
          <w:highlight w:val="none"/>
        </w:rPr>
        <w:t>向</w:t>
      </w:r>
      <w:r>
        <w:rPr>
          <w:rFonts w:hint="eastAsia" w:ascii="宋体" w:hAnsi="宋体" w:eastAsia="宋体" w:cs="宋体"/>
          <w:color w:val="000000"/>
          <w:sz w:val="21"/>
          <w:szCs w:val="21"/>
          <w:highlight w:val="none"/>
        </w:rPr>
        <w:t>采购人报送理赔数据</w:t>
      </w:r>
      <w:r>
        <w:rPr>
          <w:rFonts w:hint="eastAsia" w:ascii="宋体" w:hAnsi="宋体" w:eastAsia="宋体" w:cs="宋体"/>
          <w:kern w:val="0"/>
          <w:sz w:val="21"/>
          <w:szCs w:val="21"/>
          <w:highlight w:val="none"/>
        </w:rPr>
        <w:t>，理赔数据报送规范详见</w:t>
      </w:r>
      <w:r>
        <w:rPr>
          <w:rFonts w:hint="eastAsia" w:ascii="宋体" w:hAnsi="宋体" w:eastAsia="宋体" w:cs="宋体"/>
          <w:kern w:val="0"/>
          <w:sz w:val="21"/>
          <w:szCs w:val="21"/>
          <w:highlight w:val="none"/>
          <w:lang w:eastAsia="zh-CN"/>
        </w:rPr>
        <w:t>下表</w:t>
      </w:r>
      <w:r>
        <w:rPr>
          <w:rFonts w:hint="eastAsia" w:ascii="宋体" w:hAnsi="宋体" w:eastAsia="宋体" w:cs="宋体"/>
          <w:kern w:val="0"/>
          <w:sz w:val="21"/>
          <w:szCs w:val="21"/>
          <w:highlight w:val="none"/>
        </w:rPr>
        <w:t>。</w:t>
      </w:r>
    </w:p>
    <w:tbl>
      <w:tblPr>
        <w:tblStyle w:val="42"/>
        <w:tblW w:w="90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3"/>
        <w:gridCol w:w="363"/>
        <w:gridCol w:w="363"/>
        <w:gridCol w:w="363"/>
        <w:gridCol w:w="363"/>
        <w:gridCol w:w="363"/>
        <w:gridCol w:w="363"/>
        <w:gridCol w:w="364"/>
        <w:gridCol w:w="364"/>
        <w:gridCol w:w="364"/>
        <w:gridCol w:w="364"/>
        <w:gridCol w:w="364"/>
        <w:gridCol w:w="364"/>
        <w:gridCol w:w="364"/>
        <w:gridCol w:w="364"/>
        <w:gridCol w:w="364"/>
        <w:gridCol w:w="364"/>
        <w:gridCol w:w="659"/>
        <w:gridCol w:w="364"/>
        <w:gridCol w:w="364"/>
        <w:gridCol w:w="364"/>
        <w:gridCol w:w="364"/>
        <w:gridCol w:w="364"/>
        <w:gridCol w:w="364"/>
      </w:tblGrid>
      <w:tr w14:paraId="5250E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3" w:type="dxa"/>
            <w:tcBorders>
              <w:bottom w:val="single" w:color="000000" w:sz="4" w:space="0"/>
              <w:right w:val="single" w:color="000000" w:sz="4" w:space="0"/>
            </w:tcBorders>
            <w:shd w:val="clear" w:color="auto" w:fill="DCE6F1"/>
            <w:noWrap w:val="0"/>
            <w:vAlign w:val="center"/>
          </w:tcPr>
          <w:p w14:paraId="047DA967">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序号</w:t>
            </w:r>
          </w:p>
        </w:tc>
        <w:tc>
          <w:tcPr>
            <w:tcW w:w="363" w:type="dxa"/>
            <w:tcBorders>
              <w:left w:val="single" w:color="000000" w:sz="4" w:space="0"/>
              <w:bottom w:val="single" w:color="000000" w:sz="4" w:space="0"/>
              <w:right w:val="single" w:color="000000" w:sz="4" w:space="0"/>
            </w:tcBorders>
            <w:shd w:val="clear" w:color="auto" w:fill="DCE6F1"/>
            <w:noWrap w:val="0"/>
            <w:vAlign w:val="center"/>
          </w:tcPr>
          <w:p w14:paraId="3A4D7BE0">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归属行政区</w:t>
            </w:r>
          </w:p>
        </w:tc>
        <w:tc>
          <w:tcPr>
            <w:tcW w:w="363" w:type="dxa"/>
            <w:tcBorders>
              <w:left w:val="single" w:color="000000" w:sz="4" w:space="0"/>
              <w:bottom w:val="single" w:color="000000" w:sz="4" w:space="0"/>
              <w:right w:val="single" w:color="000000" w:sz="4" w:space="0"/>
            </w:tcBorders>
            <w:shd w:val="clear" w:color="auto" w:fill="DCE6F1"/>
            <w:noWrap w:val="0"/>
            <w:vAlign w:val="center"/>
          </w:tcPr>
          <w:p w14:paraId="6298EE8F">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归属街道</w:t>
            </w:r>
          </w:p>
        </w:tc>
        <w:tc>
          <w:tcPr>
            <w:tcW w:w="363" w:type="dxa"/>
            <w:tcBorders>
              <w:left w:val="single" w:color="000000" w:sz="4" w:space="0"/>
              <w:bottom w:val="single" w:color="000000" w:sz="4" w:space="0"/>
              <w:right w:val="single" w:color="000000" w:sz="4" w:space="0"/>
            </w:tcBorders>
            <w:shd w:val="clear" w:color="auto" w:fill="DCE6F1"/>
            <w:noWrap w:val="0"/>
            <w:vAlign w:val="center"/>
          </w:tcPr>
          <w:p w14:paraId="1EFB7E51">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保单号</w:t>
            </w:r>
          </w:p>
        </w:tc>
        <w:tc>
          <w:tcPr>
            <w:tcW w:w="363" w:type="dxa"/>
            <w:tcBorders>
              <w:left w:val="single" w:color="000000" w:sz="4" w:space="0"/>
              <w:bottom w:val="single" w:color="000000" w:sz="4" w:space="0"/>
              <w:right w:val="single" w:color="000000" w:sz="4" w:space="0"/>
            </w:tcBorders>
            <w:shd w:val="clear" w:color="auto" w:fill="DCE6F1"/>
            <w:noWrap w:val="0"/>
            <w:vAlign w:val="center"/>
          </w:tcPr>
          <w:p w14:paraId="4D069450">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报案号</w:t>
            </w:r>
          </w:p>
        </w:tc>
        <w:tc>
          <w:tcPr>
            <w:tcW w:w="363" w:type="dxa"/>
            <w:tcBorders>
              <w:left w:val="single" w:color="000000" w:sz="4" w:space="0"/>
              <w:bottom w:val="single" w:color="000000" w:sz="4" w:space="0"/>
              <w:right w:val="single" w:color="000000" w:sz="4" w:space="0"/>
            </w:tcBorders>
            <w:shd w:val="clear" w:color="auto" w:fill="DCE6F1"/>
            <w:noWrap w:val="0"/>
            <w:vAlign w:val="center"/>
          </w:tcPr>
          <w:p w14:paraId="0CC18D4C">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出险人姓名</w:t>
            </w:r>
          </w:p>
        </w:tc>
        <w:tc>
          <w:tcPr>
            <w:tcW w:w="363" w:type="dxa"/>
            <w:tcBorders>
              <w:left w:val="single" w:color="000000" w:sz="4" w:space="0"/>
              <w:bottom w:val="single" w:color="000000" w:sz="4" w:space="0"/>
              <w:right w:val="single" w:color="000000" w:sz="4" w:space="0"/>
            </w:tcBorders>
            <w:shd w:val="clear" w:color="auto" w:fill="DCE6F1"/>
            <w:noWrap w:val="0"/>
            <w:vAlign w:val="center"/>
          </w:tcPr>
          <w:p w14:paraId="11C3C0EB">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证件号码</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222409BA">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出险地点类别</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7E5CC081">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具体出险地址</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1426C596">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报案人</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3A0A3D40">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报案人电话</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0706871E">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出险事故描述</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6A4743B4">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索赔类型</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6BDC989B">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kern w:val="0"/>
                <w:sz w:val="18"/>
                <w:szCs w:val="18"/>
                <w:highlight w:val="none"/>
                <w:lang w:eastAsia="zh-CN"/>
              </w:rPr>
            </w:pPr>
            <w:r>
              <w:rPr>
                <w:rFonts w:hint="eastAsia" w:ascii="宋体" w:hAnsi="宋体" w:eastAsia="宋体" w:cs="宋体"/>
                <w:b/>
                <w:bCs/>
                <w:color w:val="000000"/>
                <w:kern w:val="0"/>
                <w:sz w:val="18"/>
                <w:szCs w:val="18"/>
                <w:highlight w:val="none"/>
                <w:lang w:eastAsia="zh-CN"/>
              </w:rPr>
              <w:t>事故类型</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193CEA36">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出险日期</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72085214">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eastAsia="zh-CN"/>
              </w:rPr>
              <w:t>报</w:t>
            </w:r>
            <w:r>
              <w:rPr>
                <w:rFonts w:hint="eastAsia" w:ascii="宋体" w:hAnsi="宋体" w:eastAsia="宋体" w:cs="宋体"/>
                <w:b/>
                <w:bCs/>
                <w:color w:val="000000"/>
                <w:kern w:val="0"/>
                <w:sz w:val="18"/>
                <w:szCs w:val="18"/>
                <w:highlight w:val="none"/>
              </w:rPr>
              <w:t>案日期</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40D8082C">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结案日期</w:t>
            </w:r>
          </w:p>
        </w:tc>
        <w:tc>
          <w:tcPr>
            <w:tcW w:w="659" w:type="dxa"/>
            <w:tcBorders>
              <w:left w:val="single" w:color="000000" w:sz="4" w:space="0"/>
              <w:bottom w:val="single" w:color="000000" w:sz="4" w:space="0"/>
              <w:right w:val="single" w:color="000000" w:sz="4" w:space="0"/>
            </w:tcBorders>
            <w:shd w:val="clear" w:color="auto" w:fill="DCE6F1"/>
            <w:noWrap w:val="0"/>
            <w:vAlign w:val="center"/>
          </w:tcPr>
          <w:p w14:paraId="4B917478">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赔付金额/估算金额（元）</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495F638B">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案件状态</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18A4DE66">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拒赔/注销原因</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0FC2AA2B">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是否上门慰问</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62CDA1A3">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是否回访</w:t>
            </w:r>
          </w:p>
        </w:tc>
        <w:tc>
          <w:tcPr>
            <w:tcW w:w="364" w:type="dxa"/>
            <w:tcBorders>
              <w:left w:val="single" w:color="000000" w:sz="4" w:space="0"/>
              <w:bottom w:val="single" w:color="000000" w:sz="4" w:space="0"/>
              <w:right w:val="single" w:color="000000" w:sz="4" w:space="0"/>
            </w:tcBorders>
            <w:shd w:val="clear" w:color="auto" w:fill="DCE6F1"/>
            <w:noWrap w:val="0"/>
            <w:vAlign w:val="center"/>
          </w:tcPr>
          <w:p w14:paraId="1E6AD13C">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rPr>
              <w:t>是否满意</w:t>
            </w:r>
          </w:p>
        </w:tc>
        <w:tc>
          <w:tcPr>
            <w:tcW w:w="364" w:type="dxa"/>
            <w:tcBorders>
              <w:left w:val="single" w:color="000000" w:sz="4" w:space="0"/>
              <w:bottom w:val="single" w:color="000000" w:sz="4" w:space="0"/>
            </w:tcBorders>
            <w:shd w:val="clear" w:color="auto" w:fill="DCE6F1"/>
            <w:noWrap w:val="0"/>
            <w:vAlign w:val="center"/>
          </w:tcPr>
          <w:p w14:paraId="395E64CF">
            <w:pPr>
              <w:keepNext w:val="0"/>
              <w:keepLines w:val="0"/>
              <w:pageBreakBefore w:val="0"/>
              <w:widowControl/>
              <w:kinsoku/>
              <w:wordWrap/>
              <w:overflowPunct/>
              <w:topLinePunct w:val="0"/>
              <w:bidi w:val="0"/>
              <w:spacing w:line="320" w:lineRule="exact"/>
              <w:jc w:val="center"/>
              <w:textAlignment w:val="center"/>
              <w:rPr>
                <w:rFonts w:hint="eastAsia" w:ascii="宋体" w:hAnsi="宋体" w:eastAsia="宋体" w:cs="宋体"/>
                <w:b/>
                <w:bCs/>
                <w:color w:val="000000"/>
                <w:kern w:val="0"/>
                <w:sz w:val="18"/>
                <w:szCs w:val="18"/>
                <w:highlight w:val="none"/>
              </w:rPr>
            </w:pPr>
          </w:p>
        </w:tc>
      </w:tr>
      <w:tr w14:paraId="00099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dxa"/>
            <w:tcBorders>
              <w:top w:val="single" w:color="000000" w:sz="4" w:space="0"/>
              <w:bottom w:val="single" w:color="000000" w:sz="4" w:space="0"/>
              <w:right w:val="single" w:color="000000" w:sz="4" w:space="0"/>
            </w:tcBorders>
            <w:noWrap w:val="0"/>
            <w:vAlign w:val="center"/>
          </w:tcPr>
          <w:p w14:paraId="1CE7684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56F01C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1F3F99D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143DD13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62D680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5F14DD8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4996157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0B5C63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225C96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9CC1B3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80A262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3C0C709">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7660E49">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A7A8E7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1C3FE1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F6B829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B4F022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6EA65D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B56D87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6EDA32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94E1A5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74D2346">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EEF805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tcBorders>
            <w:noWrap w:val="0"/>
            <w:vAlign w:val="center"/>
          </w:tcPr>
          <w:p w14:paraId="0C5F9E0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r>
      <w:tr w14:paraId="00267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dxa"/>
            <w:tcBorders>
              <w:top w:val="single" w:color="000000" w:sz="4" w:space="0"/>
              <w:bottom w:val="single" w:color="000000" w:sz="4" w:space="0"/>
              <w:right w:val="single" w:color="000000" w:sz="4" w:space="0"/>
            </w:tcBorders>
            <w:noWrap w:val="0"/>
            <w:vAlign w:val="center"/>
          </w:tcPr>
          <w:p w14:paraId="7B53448E">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05E5A66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13E71D0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5300E83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787DEBF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1EA9E46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514EC94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3A5325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1CB1F1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E22C2D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A90B9B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DB187E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172304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0524AC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DE69C8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77F111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72E153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33A811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9BC264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B2EEA7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7AEA4A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3BBF92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40D856E">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tcBorders>
            <w:noWrap w:val="0"/>
            <w:vAlign w:val="center"/>
          </w:tcPr>
          <w:p w14:paraId="29C0002C">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r>
      <w:tr w14:paraId="49B3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dxa"/>
            <w:tcBorders>
              <w:top w:val="single" w:color="000000" w:sz="4" w:space="0"/>
              <w:bottom w:val="single" w:color="000000" w:sz="4" w:space="0"/>
              <w:right w:val="single" w:color="000000" w:sz="4" w:space="0"/>
            </w:tcBorders>
            <w:noWrap w:val="0"/>
            <w:vAlign w:val="center"/>
          </w:tcPr>
          <w:p w14:paraId="5EA7BA5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63F7A2E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2D2EB7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44037CF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5E13759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48F6B59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699BC10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517B00E">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7F789AE">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7C55B7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5FF7C2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9C9FA6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2D606C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FF75E3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596D3839">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DABA326">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2C5C35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776443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5D1863C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B19819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2B5506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12711A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57CB2F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tcBorders>
            <w:noWrap w:val="0"/>
            <w:vAlign w:val="center"/>
          </w:tcPr>
          <w:p w14:paraId="785D0D5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r>
      <w:tr w14:paraId="1BF5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dxa"/>
            <w:tcBorders>
              <w:top w:val="single" w:color="000000" w:sz="4" w:space="0"/>
              <w:bottom w:val="single" w:color="000000" w:sz="4" w:space="0"/>
              <w:right w:val="single" w:color="000000" w:sz="4" w:space="0"/>
            </w:tcBorders>
            <w:noWrap w:val="0"/>
            <w:vAlign w:val="center"/>
          </w:tcPr>
          <w:p w14:paraId="56C3D5C6">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0D4F318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5160A6B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2C8CD96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0811E50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7BA1A92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85307E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B1DEE36">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295481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84209E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B82E3D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B2E5ED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C92E8A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C39E2C9">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57E1101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7DCCB9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F1D6B7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749811B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CF5E92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4DAFE0E">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508495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1225DB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944054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tcBorders>
            <w:noWrap w:val="0"/>
            <w:vAlign w:val="center"/>
          </w:tcPr>
          <w:p w14:paraId="7FD4158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r>
      <w:tr w14:paraId="48CF8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dxa"/>
            <w:tcBorders>
              <w:top w:val="single" w:color="000000" w:sz="4" w:space="0"/>
              <w:bottom w:val="single" w:color="000000" w:sz="4" w:space="0"/>
              <w:right w:val="single" w:color="000000" w:sz="4" w:space="0"/>
            </w:tcBorders>
            <w:noWrap w:val="0"/>
            <w:vAlign w:val="center"/>
          </w:tcPr>
          <w:p w14:paraId="64286A6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7372CD26">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E761C3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B0F978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749CE3C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57AC304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4BB3558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4428299">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DB650A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9BEC40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38FFBE8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B79F45C">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97F4F0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527B34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B54069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8984DE3">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930647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238A5622">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196D673">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A421E5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8939EA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CF00F0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89228F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tcBorders>
            <w:noWrap w:val="0"/>
            <w:vAlign w:val="center"/>
          </w:tcPr>
          <w:p w14:paraId="0B6D3A2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r>
      <w:tr w14:paraId="33EB7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3" w:type="dxa"/>
            <w:tcBorders>
              <w:top w:val="single" w:color="000000" w:sz="4" w:space="0"/>
              <w:bottom w:val="single" w:color="000000" w:sz="4" w:space="0"/>
              <w:right w:val="single" w:color="000000" w:sz="4" w:space="0"/>
            </w:tcBorders>
            <w:noWrap w:val="0"/>
            <w:vAlign w:val="center"/>
          </w:tcPr>
          <w:p w14:paraId="4433416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D4C13A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7E5FD9C5">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73C03B0C">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38FEE99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4452E4C6">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3" w:type="dxa"/>
            <w:tcBorders>
              <w:top w:val="single" w:color="000000" w:sz="4" w:space="0"/>
              <w:left w:val="single" w:color="000000" w:sz="4" w:space="0"/>
              <w:bottom w:val="single" w:color="000000" w:sz="4" w:space="0"/>
              <w:right w:val="single" w:color="000000" w:sz="4" w:space="0"/>
            </w:tcBorders>
            <w:noWrap w:val="0"/>
            <w:vAlign w:val="center"/>
          </w:tcPr>
          <w:p w14:paraId="6F10A20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857CC68">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4DB0EEC">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0A7CE5DD">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52A7566C">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E2544CF">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FC1D351">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5FFDFEC9">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5E19243">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6A1FC567">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1651AD3C">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4716D28B">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FF2EE4A">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94D25F3">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4D1B4050">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2EE28FE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right w:val="single" w:color="000000" w:sz="4" w:space="0"/>
            </w:tcBorders>
            <w:noWrap w:val="0"/>
            <w:vAlign w:val="center"/>
          </w:tcPr>
          <w:p w14:paraId="72DD7C53">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c>
          <w:tcPr>
            <w:tcW w:w="364" w:type="dxa"/>
            <w:tcBorders>
              <w:top w:val="single" w:color="000000" w:sz="4" w:space="0"/>
              <w:left w:val="single" w:color="000000" w:sz="4" w:space="0"/>
              <w:bottom w:val="single" w:color="000000" w:sz="4" w:space="0"/>
            </w:tcBorders>
            <w:noWrap w:val="0"/>
            <w:vAlign w:val="center"/>
          </w:tcPr>
          <w:p w14:paraId="6615C084">
            <w:pPr>
              <w:keepNext w:val="0"/>
              <w:keepLines w:val="0"/>
              <w:pageBreakBefore w:val="0"/>
              <w:kinsoku/>
              <w:wordWrap/>
              <w:overflowPunct/>
              <w:topLinePunct w:val="0"/>
              <w:bidi w:val="0"/>
              <w:spacing w:line="320" w:lineRule="exact"/>
              <w:jc w:val="center"/>
              <w:rPr>
                <w:rFonts w:hint="eastAsia" w:ascii="宋体" w:hAnsi="宋体" w:eastAsia="宋体" w:cs="宋体"/>
                <w:color w:val="000000"/>
                <w:sz w:val="18"/>
                <w:szCs w:val="18"/>
                <w:highlight w:val="none"/>
              </w:rPr>
            </w:pPr>
          </w:p>
        </w:tc>
      </w:tr>
      <w:tr w14:paraId="3652F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296" w:type="dxa"/>
            <w:gridSpan w:val="22"/>
            <w:tcBorders>
              <w:top w:val="nil"/>
              <w:right w:val="nil"/>
            </w:tcBorders>
            <w:noWrap w:val="0"/>
            <w:vAlign w:val="center"/>
          </w:tcPr>
          <w:p w14:paraId="705F0EEC">
            <w:pPr>
              <w:keepNext w:val="0"/>
              <w:keepLines w:val="0"/>
              <w:pageBreakBefore w:val="0"/>
              <w:widowControl/>
              <w:kinsoku/>
              <w:wordWrap/>
              <w:overflowPunct/>
              <w:topLinePunct w:val="0"/>
              <w:bidi w:val="0"/>
              <w:spacing w:line="320" w:lineRule="exact"/>
              <w:jc w:val="lef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14:paraId="35C5A9D6">
            <w:pPr>
              <w:keepNext w:val="0"/>
              <w:keepLines w:val="0"/>
              <w:pageBreakBefore w:val="0"/>
              <w:widowControl/>
              <w:kinsoku/>
              <w:wordWrap/>
              <w:overflowPunct/>
              <w:topLinePunct w:val="0"/>
              <w:bidi w:val="0"/>
              <w:spacing w:line="320" w:lineRule="exac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1.所有数据从承保机构系统提取后，须按照本模板整理后进行提供。</w:t>
            </w:r>
          </w:p>
          <w:p w14:paraId="1230C6EE">
            <w:pPr>
              <w:keepNext w:val="0"/>
              <w:keepLines w:val="0"/>
              <w:pageBreakBefore w:val="0"/>
              <w:widowControl/>
              <w:kinsoku/>
              <w:wordWrap/>
              <w:overflowPunct/>
              <w:topLinePunct w:val="0"/>
              <w:bidi w:val="0"/>
              <w:spacing w:line="320" w:lineRule="exact"/>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2.数据需保证完整、准确，数据应为累计数，应包含当年度出险的所有理赔数据，不得遗漏。</w:t>
            </w:r>
          </w:p>
          <w:p w14:paraId="7F2363DC">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3.出险地点类别：家中、交通工具</w:t>
            </w:r>
            <w:r>
              <w:rPr>
                <w:rFonts w:hint="eastAsia" w:ascii="宋体" w:hAnsi="宋体" w:eastAsia="宋体" w:cs="宋体"/>
                <w:sz w:val="18"/>
                <w:szCs w:val="18"/>
                <w:highlight w:val="none"/>
                <w:lang w:val="en-US" w:eastAsia="zh-CN"/>
              </w:rPr>
              <w:t>&amp;</w:t>
            </w:r>
            <w:r>
              <w:rPr>
                <w:rFonts w:hint="eastAsia" w:ascii="宋体" w:hAnsi="宋体" w:eastAsia="宋体" w:cs="宋体"/>
                <w:sz w:val="18"/>
                <w:szCs w:val="18"/>
                <w:highlight w:val="none"/>
              </w:rPr>
              <w:t>道路、其他公共场合；</w:t>
            </w:r>
          </w:p>
          <w:p w14:paraId="41373155">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4.索赔类型：意外身故、意外残疾</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骨折/关节脱位保险金、门诊医疗、住院医疗</w:t>
            </w:r>
            <w:r>
              <w:rPr>
                <w:rFonts w:hint="eastAsia" w:ascii="宋体" w:hAnsi="宋体" w:eastAsia="宋体" w:cs="宋体"/>
                <w:sz w:val="18"/>
                <w:szCs w:val="18"/>
                <w:highlight w:val="none"/>
                <w:lang w:val="en-US" w:eastAsia="zh-CN"/>
              </w:rPr>
              <w:t>&amp;津贴补助</w:t>
            </w:r>
            <w:r>
              <w:rPr>
                <w:rFonts w:hint="eastAsia" w:ascii="宋体" w:hAnsi="宋体" w:eastAsia="宋体" w:cs="宋体"/>
                <w:sz w:val="18"/>
                <w:szCs w:val="18"/>
                <w:highlight w:val="none"/>
              </w:rPr>
              <w:t>；</w:t>
            </w:r>
          </w:p>
          <w:p w14:paraId="54447203">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5.事故类型：摔倒/跌倒</w:t>
            </w:r>
            <w:r>
              <w:rPr>
                <w:rFonts w:hint="eastAsia" w:ascii="宋体" w:hAnsi="宋体" w:eastAsia="宋体" w:cs="宋体"/>
                <w:i w:val="0"/>
                <w:iCs w:val="0"/>
                <w:color w:val="000000"/>
                <w:kern w:val="0"/>
                <w:sz w:val="18"/>
                <w:szCs w:val="18"/>
                <w:highlight w:val="none"/>
                <w:u w:val="none"/>
                <w:lang w:val="en-US" w:eastAsia="zh-CN"/>
              </w:rPr>
              <w:t>致伤</w:t>
            </w:r>
            <w:r>
              <w:rPr>
                <w:rFonts w:hint="eastAsia" w:ascii="宋体" w:hAnsi="宋体" w:eastAsia="宋体" w:cs="宋体"/>
                <w:sz w:val="18"/>
                <w:szCs w:val="18"/>
                <w:highlight w:val="none"/>
                <w:lang w:val="en-US" w:eastAsia="zh-CN"/>
              </w:rPr>
              <w:t>、扭伤/崴伤/撞伤、</w:t>
            </w:r>
            <w:r>
              <w:rPr>
                <w:rFonts w:hint="eastAsia" w:ascii="宋体" w:hAnsi="宋体" w:eastAsia="宋体" w:cs="宋体"/>
                <w:i w:val="0"/>
                <w:iCs w:val="0"/>
                <w:color w:val="000000"/>
                <w:kern w:val="0"/>
                <w:sz w:val="18"/>
                <w:szCs w:val="18"/>
                <w:highlight w:val="none"/>
                <w:u w:val="none"/>
                <w:lang w:val="en-US" w:eastAsia="zh-CN"/>
              </w:rPr>
              <w:t>交通事故致伤、动物/宠物致伤、锐器伤/钝器伤、烧烫伤、其他意外事故致伤；</w:t>
            </w:r>
          </w:p>
          <w:p w14:paraId="28AC2D79">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.案件状态：已结案件、未结案件。其中拒赔、注销案件的案件状态为已结案件，赔付金额为0元</w:t>
            </w:r>
            <w:r>
              <w:rPr>
                <w:rFonts w:hint="eastAsia" w:ascii="宋体" w:hAnsi="宋体" w:eastAsia="宋体" w:cs="宋体"/>
                <w:sz w:val="18"/>
                <w:szCs w:val="18"/>
                <w:highlight w:val="none"/>
                <w:lang w:eastAsia="zh-CN"/>
              </w:rPr>
              <w:t>，重复报案的数据应当删除</w:t>
            </w:r>
            <w:r>
              <w:rPr>
                <w:rFonts w:hint="eastAsia" w:ascii="宋体" w:hAnsi="宋体" w:eastAsia="宋体" w:cs="宋体"/>
                <w:sz w:val="18"/>
                <w:szCs w:val="18"/>
                <w:highlight w:val="none"/>
              </w:rPr>
              <w:t>；</w:t>
            </w:r>
          </w:p>
          <w:p w14:paraId="0DBF8DBF">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.数据提取口径：当年度</w:t>
            </w:r>
            <w:r>
              <w:rPr>
                <w:rFonts w:hint="eastAsia" w:ascii="宋体" w:hAnsi="宋体" w:eastAsia="宋体" w:cs="宋体"/>
                <w:sz w:val="18"/>
                <w:szCs w:val="18"/>
                <w:highlight w:val="none"/>
                <w:lang w:eastAsia="zh-CN"/>
              </w:rPr>
              <w:t>报案</w:t>
            </w:r>
            <w:r>
              <w:rPr>
                <w:rFonts w:hint="eastAsia" w:ascii="宋体" w:hAnsi="宋体" w:eastAsia="宋体" w:cs="宋体"/>
                <w:sz w:val="18"/>
                <w:szCs w:val="18"/>
                <w:highlight w:val="none"/>
              </w:rPr>
              <w:t>的所有理赔数据，并注明数据提取截止时间。</w:t>
            </w:r>
          </w:p>
        </w:tc>
        <w:tc>
          <w:tcPr>
            <w:tcW w:w="364" w:type="dxa"/>
            <w:tcBorders>
              <w:top w:val="nil"/>
              <w:left w:val="nil"/>
              <w:right w:val="nil"/>
            </w:tcBorders>
            <w:noWrap w:val="0"/>
            <w:vAlign w:val="center"/>
          </w:tcPr>
          <w:p w14:paraId="05A1FFB0">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rPr>
            </w:pPr>
          </w:p>
        </w:tc>
        <w:tc>
          <w:tcPr>
            <w:tcW w:w="364" w:type="dxa"/>
            <w:tcBorders>
              <w:top w:val="nil"/>
              <w:left w:val="nil"/>
            </w:tcBorders>
            <w:noWrap w:val="0"/>
            <w:vAlign w:val="center"/>
          </w:tcPr>
          <w:p w14:paraId="4B17FF2C">
            <w:pPr>
              <w:keepNext w:val="0"/>
              <w:keepLines w:val="0"/>
              <w:pageBreakBefore w:val="0"/>
              <w:kinsoku/>
              <w:wordWrap/>
              <w:overflowPunct/>
              <w:topLinePunct w:val="0"/>
              <w:bidi w:val="0"/>
              <w:spacing w:line="320" w:lineRule="exact"/>
              <w:rPr>
                <w:rFonts w:hint="eastAsia" w:ascii="宋体" w:hAnsi="宋体" w:eastAsia="宋体" w:cs="宋体"/>
                <w:sz w:val="18"/>
                <w:szCs w:val="18"/>
                <w:highlight w:val="none"/>
              </w:rPr>
            </w:pPr>
          </w:p>
        </w:tc>
      </w:tr>
    </w:tbl>
    <w:p w14:paraId="1F562987">
      <w:pPr>
        <w:ind w:firstLine="420"/>
        <w:rPr>
          <w:rFonts w:ascii="宋体" w:hAnsi="宋体" w:cs="宋体"/>
          <w:color w:val="FF0000"/>
          <w:sz w:val="21"/>
          <w:szCs w:val="21"/>
          <w:highlight w:val="none"/>
        </w:rPr>
      </w:pPr>
      <w:r>
        <w:rPr>
          <w:rFonts w:hint="eastAsia" w:ascii="宋体" w:hAnsi="宋体" w:cs="宋体"/>
          <w:b/>
          <w:color w:val="FF0000"/>
          <w:sz w:val="21"/>
          <w:szCs w:val="21"/>
          <w:highlight w:val="none"/>
        </w:rPr>
        <w:t>★</w:t>
      </w:r>
      <w:r>
        <w:rPr>
          <w:rFonts w:hint="eastAsia" w:ascii="宋体" w:hAnsi="宋体" w:cs="宋体"/>
          <w:color w:val="FF0000"/>
          <w:sz w:val="21"/>
          <w:szCs w:val="21"/>
          <w:highlight w:val="none"/>
        </w:rPr>
        <w:t>1.中标单位须按照深圳市统一理赔服务标准，及时、准确处理本项目的理赔工作，包括理赔程序、理赔时效、理赔单证规范等内容，向老年人提供线上化、人性化、便捷化服务。</w:t>
      </w:r>
    </w:p>
    <w:p w14:paraId="274DA657">
      <w:pPr>
        <w:ind w:firstLine="420"/>
        <w:rPr>
          <w:rFonts w:hint="eastAsia" w:ascii="宋体" w:hAnsi="宋体" w:cs="宋体"/>
          <w:color w:val="FF0000"/>
          <w:sz w:val="21"/>
          <w:szCs w:val="21"/>
          <w:highlight w:val="none"/>
        </w:rPr>
      </w:pPr>
      <w:r>
        <w:rPr>
          <w:rFonts w:hint="eastAsia" w:ascii="宋体" w:hAnsi="宋体" w:cs="宋体"/>
          <w:b/>
          <w:color w:val="FF0000"/>
          <w:sz w:val="21"/>
          <w:szCs w:val="21"/>
          <w:highlight w:val="none"/>
        </w:rPr>
        <w:t>★</w:t>
      </w:r>
      <w:r>
        <w:rPr>
          <w:rFonts w:hint="eastAsia" w:ascii="宋体" w:hAnsi="宋体" w:cs="宋体"/>
          <w:color w:val="FF0000"/>
          <w:sz w:val="21"/>
          <w:szCs w:val="21"/>
          <w:highlight w:val="none"/>
        </w:rPr>
        <w:t>2.中标单位应在每季度结束后10日内向采购人报送理赔数据。</w:t>
      </w:r>
    </w:p>
    <w:p w14:paraId="2744E875">
      <w:pPr>
        <w:ind w:firstLine="420"/>
        <w:rPr>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为减少因老年人意外伤害引发的社会矛盾和纠纷，促进家庭和谐稳定，切实提升老年人的幸福感，投标人应当满足采购人需求，根据本项目设定合议赔付方案，合议赔付包括但不限于以下三种情形：（</w:t>
      </w:r>
      <w:r>
        <w:rPr>
          <w:rFonts w:hint="eastAsia" w:ascii="宋体" w:hAnsi="宋体" w:cs="宋体"/>
          <w:color w:val="000000"/>
          <w:sz w:val="21"/>
          <w:szCs w:val="21"/>
          <w:highlight w:val="none"/>
          <w:lang w:val="en-US" w:eastAsia="zh-CN"/>
        </w:rPr>
        <w:t>1）项目保险责任存在争议的；（2）虽保险责任不存在争议，但案件产生负面社会舆论影响的；（3）采购人要求的其他情形。</w:t>
      </w:r>
    </w:p>
    <w:p w14:paraId="00A8A4F5">
      <w:pPr>
        <w:autoSpaceDE w:val="0"/>
        <w:autoSpaceDN w:val="0"/>
        <w:adjustRightInd w:val="0"/>
        <w:spacing w:line="360" w:lineRule="exact"/>
        <w:ind w:firstLine="422" w:firstLineChars="200"/>
        <w:jc w:val="lef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lang w:val="en-US" w:eastAsia="zh-CN"/>
        </w:rPr>
        <w:t>3.</w:t>
      </w:r>
      <w:r>
        <w:rPr>
          <w:rFonts w:hint="eastAsia" w:ascii="宋体" w:hAnsi="宋体" w:cs="宋体"/>
          <w:b/>
          <w:bCs/>
          <w:color w:val="000000"/>
          <w:kern w:val="0"/>
          <w:sz w:val="21"/>
          <w:szCs w:val="21"/>
          <w:highlight w:val="none"/>
        </w:rPr>
        <w:t>宣传培训服务</w:t>
      </w:r>
    </w:p>
    <w:p w14:paraId="7102CEA0">
      <w:pPr>
        <w:ind w:firstLine="420"/>
        <w:rPr>
          <w:rFonts w:hint="eastAsia" w:ascii="宋体" w:hAnsi="宋体" w:eastAsia="宋体" w:cs="宋体"/>
          <w:color w:val="FF0000"/>
          <w:sz w:val="21"/>
          <w:szCs w:val="21"/>
          <w:highlight w:val="none"/>
        </w:rPr>
      </w:pPr>
      <w:r>
        <w:rPr>
          <w:rFonts w:hint="eastAsia" w:ascii="宋体" w:hAnsi="宋体" w:cs="宋体"/>
          <w:b/>
          <w:color w:val="FF0000"/>
          <w:sz w:val="21"/>
          <w:szCs w:val="21"/>
          <w:highlight w:val="none"/>
        </w:rPr>
        <w:t>★</w:t>
      </w:r>
      <w:r>
        <w:rPr>
          <w:rFonts w:hint="eastAsia" w:ascii="宋体" w:hAnsi="宋体" w:cs="宋体"/>
          <w:b w:val="0"/>
          <w:bCs/>
          <w:color w:val="FF0000"/>
          <w:sz w:val="21"/>
          <w:szCs w:val="21"/>
          <w:highlight w:val="none"/>
          <w:lang w:val="en-US" w:eastAsia="zh-CN"/>
        </w:rPr>
        <w:t>（1）</w:t>
      </w:r>
      <w:r>
        <w:rPr>
          <w:rFonts w:hint="eastAsia" w:ascii="宋体" w:hAnsi="宋体" w:cs="宋体"/>
          <w:color w:val="FF0000"/>
          <w:sz w:val="21"/>
          <w:szCs w:val="21"/>
          <w:highlight w:val="none"/>
        </w:rPr>
        <w:t>中标单位每年须从</w:t>
      </w:r>
      <w:r>
        <w:rPr>
          <w:rFonts w:hint="eastAsia" w:ascii="宋体" w:hAnsi="宋体" w:cs="宋体"/>
          <w:color w:val="FF0000"/>
          <w:sz w:val="21"/>
          <w:szCs w:val="21"/>
          <w:highlight w:val="none"/>
          <w:lang w:eastAsia="zh-CN"/>
        </w:rPr>
        <w:t>总</w:t>
      </w:r>
      <w:r>
        <w:rPr>
          <w:rFonts w:hint="eastAsia" w:ascii="宋体" w:hAnsi="宋体" w:cs="宋体"/>
          <w:color w:val="FF0000"/>
          <w:sz w:val="21"/>
          <w:szCs w:val="21"/>
          <w:highlight w:val="none"/>
        </w:rPr>
        <w:t>保费中</w:t>
      </w:r>
      <w:r>
        <w:rPr>
          <w:rFonts w:hint="eastAsia" w:ascii="宋体" w:hAnsi="宋体" w:eastAsia="宋体" w:cs="宋体"/>
          <w:color w:val="FF0000"/>
          <w:sz w:val="21"/>
          <w:szCs w:val="21"/>
          <w:highlight w:val="none"/>
          <w:lang w:eastAsia="zh-CN"/>
        </w:rPr>
        <w:t>提取</w:t>
      </w:r>
      <w:r>
        <w:rPr>
          <w:rFonts w:hint="eastAsia" w:ascii="宋体" w:hAnsi="宋体" w:cs="宋体"/>
          <w:color w:val="FF0000"/>
          <w:sz w:val="21"/>
          <w:szCs w:val="21"/>
          <w:highlight w:val="none"/>
          <w:lang w:val="en-US" w:eastAsia="zh-CN"/>
        </w:rPr>
        <w:t>3%</w:t>
      </w:r>
      <w:r>
        <w:rPr>
          <w:rFonts w:hint="eastAsia" w:ascii="宋体" w:hAnsi="宋体" w:cs="宋体"/>
          <w:color w:val="FF0000"/>
          <w:sz w:val="21"/>
          <w:szCs w:val="21"/>
          <w:highlight w:val="none"/>
        </w:rPr>
        <w:t>资金，用于辖区内老年人意外伤害保险宣传专项工作</w:t>
      </w:r>
      <w:r>
        <w:rPr>
          <w:rFonts w:hint="eastAsia" w:ascii="宋体" w:hAnsi="宋体" w:eastAsia="宋体" w:cs="宋体"/>
          <w:color w:val="FF0000"/>
          <w:sz w:val="21"/>
          <w:szCs w:val="21"/>
          <w:highlight w:val="none"/>
          <w:lang w:eastAsia="zh-CN"/>
        </w:rPr>
        <w:t>的宣传经费</w:t>
      </w:r>
      <w:r>
        <w:rPr>
          <w:rFonts w:hint="eastAsia" w:ascii="宋体" w:hAnsi="宋体" w:cs="宋体"/>
          <w:color w:val="FF0000"/>
          <w:sz w:val="21"/>
          <w:szCs w:val="21"/>
          <w:highlight w:val="none"/>
        </w:rPr>
        <w:t>，加大宣传力度</w:t>
      </w:r>
      <w:r>
        <w:rPr>
          <w:rFonts w:hint="eastAsia" w:ascii="宋体" w:hAnsi="宋体" w:eastAsia="宋体" w:cs="宋体"/>
          <w:color w:val="FF0000"/>
          <w:sz w:val="21"/>
          <w:szCs w:val="21"/>
          <w:highlight w:val="none"/>
        </w:rPr>
        <w:t>。在签订合同后的30日内出具年度宣传培训工作实施方案，宣传培训具体工作开展前需报采购人通过后执行，服务期内对</w:t>
      </w:r>
      <w:r>
        <w:rPr>
          <w:rFonts w:hint="eastAsia" w:ascii="宋体" w:hAnsi="宋体" w:cs="宋体"/>
          <w:color w:val="FF0000"/>
          <w:sz w:val="21"/>
          <w:szCs w:val="21"/>
          <w:highlight w:val="none"/>
          <w:lang w:eastAsia="zh-CN"/>
        </w:rPr>
        <w:t>采购人</w:t>
      </w:r>
      <w:r>
        <w:rPr>
          <w:rFonts w:hint="eastAsia" w:ascii="宋体" w:hAnsi="宋体" w:eastAsia="宋体" w:cs="宋体"/>
          <w:color w:val="FF0000"/>
          <w:sz w:val="21"/>
          <w:szCs w:val="21"/>
          <w:highlight w:val="none"/>
        </w:rPr>
        <w:t>提出的有关宣传培训工作建议，中标单位应当采纳；每季度报送宣传培训工作开展情况及相关数据、图片资料。</w:t>
      </w:r>
    </w:p>
    <w:p w14:paraId="22359C9E">
      <w:pPr>
        <w:ind w:firstLine="42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中标单位开展的宣传培训服务工作需包括但不限于下表项目内容</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序号1、2、3、4、5、8</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eastAsia="zh-CN"/>
        </w:rPr>
        <w:t>）均应当开展宣传，其余宣传方式</w:t>
      </w:r>
      <w:r>
        <w:rPr>
          <w:rFonts w:hint="eastAsia" w:ascii="宋体" w:hAnsi="宋体" w:eastAsia="宋体" w:cs="宋体"/>
          <w:color w:val="000000"/>
          <w:sz w:val="21"/>
          <w:szCs w:val="21"/>
          <w:highlight w:val="none"/>
        </w:rPr>
        <w:t>具体由投标单位结合自身实际情况在投标文件中进行明确。</w:t>
      </w:r>
    </w:p>
    <w:tbl>
      <w:tblPr>
        <w:tblStyle w:val="43"/>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50"/>
        <w:gridCol w:w="3491"/>
        <w:gridCol w:w="2621"/>
      </w:tblGrid>
      <w:tr w14:paraId="797E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2" w:type="dxa"/>
            <w:noWrap w:val="0"/>
            <w:vAlign w:val="center"/>
          </w:tcPr>
          <w:p w14:paraId="41D32D4A">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序号</w:t>
            </w:r>
          </w:p>
        </w:tc>
        <w:tc>
          <w:tcPr>
            <w:tcW w:w="2250" w:type="dxa"/>
            <w:noWrap w:val="0"/>
            <w:vAlign w:val="center"/>
          </w:tcPr>
          <w:p w14:paraId="4BB67978">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项目内容</w:t>
            </w:r>
          </w:p>
        </w:tc>
        <w:tc>
          <w:tcPr>
            <w:tcW w:w="3491" w:type="dxa"/>
            <w:noWrap w:val="0"/>
            <w:vAlign w:val="center"/>
          </w:tcPr>
          <w:p w14:paraId="6822FDEE">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开展形式</w:t>
            </w:r>
          </w:p>
        </w:tc>
        <w:tc>
          <w:tcPr>
            <w:tcW w:w="2621" w:type="dxa"/>
            <w:noWrap w:val="0"/>
            <w:vAlign w:val="center"/>
          </w:tcPr>
          <w:p w14:paraId="3DC8A3A6">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开展时间及频次</w:t>
            </w:r>
          </w:p>
        </w:tc>
      </w:tr>
      <w:tr w14:paraId="42F1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3128FBBC">
            <w:pPr>
              <w:widowControl/>
              <w:numPr>
                <w:ilvl w:val="0"/>
                <w:numId w:val="11"/>
              </w:numPr>
              <w:ind w:left="425" w:hanging="425"/>
              <w:jc w:val="center"/>
              <w:rPr>
                <w:rFonts w:ascii="宋体" w:hAnsi="宋体" w:cs="宋体"/>
                <w:kern w:val="0"/>
                <w:sz w:val="21"/>
                <w:szCs w:val="21"/>
                <w:highlight w:val="none"/>
              </w:rPr>
            </w:pPr>
          </w:p>
        </w:tc>
        <w:tc>
          <w:tcPr>
            <w:tcW w:w="2250" w:type="dxa"/>
            <w:noWrap w:val="0"/>
            <w:vAlign w:val="center"/>
          </w:tcPr>
          <w:p w14:paraId="021C7A7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短信宣传</w:t>
            </w:r>
          </w:p>
        </w:tc>
        <w:tc>
          <w:tcPr>
            <w:tcW w:w="3491" w:type="dxa"/>
            <w:noWrap w:val="0"/>
            <w:vAlign w:val="center"/>
          </w:tcPr>
          <w:p w14:paraId="3E889E8C">
            <w:pPr>
              <w:widowControl/>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使用相关短信平台，向用户发短信，宣传本项目</w:t>
            </w:r>
            <w:r>
              <w:rPr>
                <w:rFonts w:hint="eastAsia" w:ascii="宋体" w:hAnsi="宋体" w:cs="宋体"/>
                <w:color w:val="000000"/>
                <w:kern w:val="0"/>
                <w:sz w:val="21"/>
                <w:szCs w:val="21"/>
                <w:highlight w:val="none"/>
                <w:lang w:eastAsia="zh-CN"/>
              </w:rPr>
              <w:t>；</w:t>
            </w:r>
          </w:p>
        </w:tc>
        <w:tc>
          <w:tcPr>
            <w:tcW w:w="2621" w:type="dxa"/>
            <w:noWrap w:val="0"/>
            <w:vAlign w:val="center"/>
          </w:tcPr>
          <w:p w14:paraId="189E23DF">
            <w:pPr>
              <w:widowControl/>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每年度保险起保后3个月内开展，不少于1次/每年</w:t>
            </w:r>
            <w:r>
              <w:rPr>
                <w:rFonts w:hint="eastAsia" w:ascii="宋体" w:hAnsi="宋体" w:cs="宋体"/>
                <w:color w:val="000000"/>
                <w:kern w:val="0"/>
                <w:sz w:val="21"/>
                <w:szCs w:val="21"/>
                <w:highlight w:val="none"/>
                <w:lang w:eastAsia="zh-CN"/>
              </w:rPr>
              <w:t>；</w:t>
            </w:r>
          </w:p>
        </w:tc>
      </w:tr>
      <w:tr w14:paraId="3D2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52A84C78">
            <w:pPr>
              <w:widowControl/>
              <w:numPr>
                <w:ilvl w:val="0"/>
                <w:numId w:val="11"/>
              </w:numPr>
              <w:ind w:left="425" w:hanging="425"/>
              <w:jc w:val="center"/>
              <w:rPr>
                <w:rFonts w:hint="eastAsia" w:ascii="宋体" w:hAnsi="宋体" w:eastAsia="宋体" w:cs="宋体"/>
                <w:kern w:val="0"/>
                <w:sz w:val="21"/>
                <w:szCs w:val="21"/>
                <w:highlight w:val="none"/>
                <w:lang w:val="en-US" w:eastAsia="zh-CN"/>
              </w:rPr>
            </w:pPr>
          </w:p>
        </w:tc>
        <w:tc>
          <w:tcPr>
            <w:tcW w:w="2250" w:type="dxa"/>
            <w:noWrap w:val="0"/>
            <w:vAlign w:val="center"/>
          </w:tcPr>
          <w:p w14:paraId="6C8FCE8C">
            <w:pPr>
              <w:widowControl/>
              <w:jc w:val="center"/>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lang w:eastAsia="zh-CN"/>
              </w:rPr>
              <w:t>微信群宣传</w:t>
            </w:r>
          </w:p>
        </w:tc>
        <w:tc>
          <w:tcPr>
            <w:tcW w:w="3491" w:type="dxa"/>
            <w:noWrap w:val="0"/>
            <w:vAlign w:val="center"/>
          </w:tcPr>
          <w:p w14:paraId="53CD7AA3">
            <w:pPr>
              <w:widowControl/>
              <w:jc w:val="center"/>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lang w:eastAsia="zh-CN"/>
              </w:rPr>
              <w:t>充分利用社区基层各类微信群或老年人协会渠道的各类微信群进行宣传</w:t>
            </w:r>
            <w:r>
              <w:rPr>
                <w:rFonts w:hint="eastAsia" w:ascii="宋体" w:hAnsi="宋体" w:cs="宋体"/>
                <w:b w:val="0"/>
                <w:color w:val="000000"/>
                <w:kern w:val="0"/>
                <w:sz w:val="21"/>
                <w:szCs w:val="21"/>
                <w:highlight w:val="none"/>
                <w:lang w:eastAsia="zh-CN"/>
              </w:rPr>
              <w:t>；</w:t>
            </w:r>
          </w:p>
        </w:tc>
        <w:tc>
          <w:tcPr>
            <w:tcW w:w="2621" w:type="dxa"/>
            <w:noWrap w:val="0"/>
            <w:vAlign w:val="center"/>
          </w:tcPr>
          <w:p w14:paraId="0CD18D63">
            <w:pPr>
              <w:widowControl/>
              <w:jc w:val="center"/>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lang w:eastAsia="zh-CN"/>
              </w:rPr>
              <w:t>微信群宣传不少于</w:t>
            </w:r>
            <w:r>
              <w:rPr>
                <w:rFonts w:hint="eastAsia" w:ascii="宋体" w:hAnsi="宋体" w:eastAsia="宋体" w:cs="宋体"/>
                <w:b w:val="0"/>
                <w:color w:val="000000"/>
                <w:kern w:val="0"/>
                <w:sz w:val="21"/>
                <w:szCs w:val="21"/>
                <w:highlight w:val="none"/>
                <w:lang w:val="en-US" w:eastAsia="zh-CN"/>
              </w:rPr>
              <w:t>4次/年</w:t>
            </w:r>
            <w:r>
              <w:rPr>
                <w:rFonts w:hint="eastAsia" w:ascii="宋体" w:hAnsi="宋体" w:cs="宋体"/>
                <w:b w:val="0"/>
                <w:color w:val="000000"/>
                <w:kern w:val="0"/>
                <w:sz w:val="21"/>
                <w:szCs w:val="21"/>
                <w:highlight w:val="none"/>
                <w:lang w:val="en-US" w:eastAsia="zh-CN"/>
              </w:rPr>
              <w:t>；</w:t>
            </w:r>
          </w:p>
        </w:tc>
      </w:tr>
      <w:tr w14:paraId="4EC7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75F4F698">
            <w:pPr>
              <w:widowControl/>
              <w:numPr>
                <w:ilvl w:val="0"/>
                <w:numId w:val="11"/>
              </w:numPr>
              <w:ind w:left="425" w:hanging="425"/>
              <w:jc w:val="center"/>
              <w:rPr>
                <w:rFonts w:hint="eastAsia" w:ascii="宋体" w:hAnsi="宋体" w:eastAsia="宋体" w:cs="宋体"/>
                <w:kern w:val="0"/>
                <w:sz w:val="21"/>
                <w:szCs w:val="21"/>
                <w:highlight w:val="none"/>
                <w:lang w:val="en-US" w:eastAsia="zh-CN"/>
              </w:rPr>
            </w:pPr>
          </w:p>
        </w:tc>
        <w:tc>
          <w:tcPr>
            <w:tcW w:w="2250" w:type="dxa"/>
            <w:noWrap w:val="0"/>
            <w:vAlign w:val="center"/>
          </w:tcPr>
          <w:p w14:paraId="2482BB2C">
            <w:pPr>
              <w:widowControl/>
              <w:jc w:val="center"/>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lang w:eastAsia="zh-CN"/>
              </w:rPr>
              <w:t>老年活动场所</w:t>
            </w:r>
            <w:r>
              <w:rPr>
                <w:rFonts w:hint="eastAsia" w:ascii="宋体" w:hAnsi="宋体" w:eastAsia="宋体" w:cs="宋体"/>
                <w:b w:val="0"/>
                <w:color w:val="000000"/>
                <w:kern w:val="0"/>
                <w:sz w:val="21"/>
                <w:szCs w:val="21"/>
                <w:highlight w:val="none"/>
                <w:lang w:val="en-US" w:eastAsia="zh-CN"/>
              </w:rPr>
              <w:t>/小区宣传</w:t>
            </w:r>
          </w:p>
        </w:tc>
        <w:tc>
          <w:tcPr>
            <w:tcW w:w="3491" w:type="dxa"/>
            <w:noWrap w:val="0"/>
            <w:vAlign w:val="center"/>
          </w:tcPr>
          <w:p w14:paraId="1D1CBDB7">
            <w:pPr>
              <w:widowControl/>
              <w:jc w:val="center"/>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lang w:val="en-US" w:eastAsia="zh-CN"/>
              </w:rPr>
              <w:t>在老年人经常出入的场所（如养老机构、老年活动场所、长者食堂等）或在小区开展宣传，包括张贴海报、投放广告、投放印制有宣传内容的该类场所所需的实用性小物件等</w:t>
            </w:r>
            <w:r>
              <w:rPr>
                <w:rFonts w:hint="eastAsia" w:ascii="宋体" w:hAnsi="宋体" w:cs="宋体"/>
                <w:b w:val="0"/>
                <w:color w:val="000000"/>
                <w:kern w:val="0"/>
                <w:sz w:val="21"/>
                <w:szCs w:val="21"/>
                <w:highlight w:val="none"/>
                <w:lang w:val="en-US" w:eastAsia="zh-CN"/>
              </w:rPr>
              <w:t>；</w:t>
            </w:r>
          </w:p>
        </w:tc>
        <w:tc>
          <w:tcPr>
            <w:tcW w:w="2621" w:type="dxa"/>
            <w:noWrap w:val="0"/>
            <w:vAlign w:val="center"/>
          </w:tcPr>
          <w:p w14:paraId="34321877">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b w:val="0"/>
                <w:color w:val="000000"/>
                <w:kern w:val="0"/>
                <w:sz w:val="21"/>
                <w:szCs w:val="21"/>
                <w:highlight w:val="none"/>
              </w:rPr>
              <w:t>根据项目需要确定，活动频次与有关单位协商确定</w:t>
            </w:r>
            <w:r>
              <w:rPr>
                <w:rFonts w:hint="eastAsia" w:ascii="宋体" w:hAnsi="宋体" w:cs="宋体"/>
                <w:b w:val="0"/>
                <w:color w:val="000000"/>
                <w:kern w:val="0"/>
                <w:sz w:val="21"/>
                <w:szCs w:val="21"/>
                <w:highlight w:val="none"/>
                <w:lang w:eastAsia="zh-CN"/>
              </w:rPr>
              <w:t>；</w:t>
            </w:r>
          </w:p>
        </w:tc>
      </w:tr>
      <w:tr w14:paraId="7DB4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61A35763">
            <w:pPr>
              <w:widowControl/>
              <w:numPr>
                <w:ilvl w:val="0"/>
                <w:numId w:val="11"/>
              </w:numPr>
              <w:ind w:left="425" w:hanging="425"/>
              <w:jc w:val="center"/>
              <w:rPr>
                <w:rFonts w:hint="eastAsia" w:ascii="宋体" w:hAnsi="宋体" w:eastAsia="宋体" w:cs="宋体"/>
                <w:kern w:val="0"/>
                <w:sz w:val="21"/>
                <w:szCs w:val="21"/>
                <w:highlight w:val="none"/>
                <w:lang w:val="en-US" w:eastAsia="zh-CN"/>
              </w:rPr>
            </w:pPr>
          </w:p>
        </w:tc>
        <w:tc>
          <w:tcPr>
            <w:tcW w:w="2250" w:type="dxa"/>
            <w:noWrap w:val="0"/>
            <w:vAlign w:val="center"/>
          </w:tcPr>
          <w:p w14:paraId="70C55024">
            <w:pPr>
              <w:widowControl/>
              <w:jc w:val="center"/>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rPr>
              <w:t>与其他老年活动</w:t>
            </w:r>
            <w:r>
              <w:rPr>
                <w:rFonts w:hint="eastAsia" w:ascii="宋体" w:hAnsi="宋体" w:eastAsia="宋体" w:cs="宋体"/>
                <w:b w:val="0"/>
                <w:color w:val="000000"/>
                <w:kern w:val="0"/>
                <w:sz w:val="21"/>
                <w:szCs w:val="21"/>
                <w:highlight w:val="none"/>
                <w:lang w:eastAsia="zh-CN"/>
              </w:rPr>
              <w:t>联动宣传</w:t>
            </w:r>
          </w:p>
        </w:tc>
        <w:tc>
          <w:tcPr>
            <w:tcW w:w="3491" w:type="dxa"/>
            <w:noWrap w:val="0"/>
            <w:vAlign w:val="center"/>
          </w:tcPr>
          <w:p w14:paraId="5F1722AA">
            <w:pPr>
              <w:widowControl/>
              <w:jc w:val="both"/>
              <w:rPr>
                <w:rFonts w:hint="eastAsia" w:ascii="宋体" w:hAnsi="宋体" w:cs="宋体"/>
                <w:color w:val="000000"/>
                <w:kern w:val="0"/>
                <w:sz w:val="21"/>
                <w:szCs w:val="21"/>
                <w:highlight w:val="none"/>
              </w:rPr>
            </w:pPr>
            <w:r>
              <w:rPr>
                <w:rFonts w:hint="eastAsia" w:ascii="宋体" w:hAnsi="宋体" w:eastAsia="宋体" w:cs="宋体"/>
                <w:b w:val="0"/>
                <w:color w:val="000000"/>
                <w:kern w:val="0"/>
                <w:sz w:val="21"/>
                <w:szCs w:val="21"/>
                <w:highlight w:val="none"/>
                <w:lang w:val="en-US" w:eastAsia="zh-CN"/>
              </w:rPr>
              <w:t>充分与采购人沟通或利用老协渠道，与其他老年活动联动宣传（如敬老月、智慧助老、重阳节活动等）；</w:t>
            </w:r>
          </w:p>
        </w:tc>
        <w:tc>
          <w:tcPr>
            <w:tcW w:w="2621" w:type="dxa"/>
            <w:noWrap w:val="0"/>
            <w:vAlign w:val="center"/>
          </w:tcPr>
          <w:p w14:paraId="2C0FEA5A">
            <w:pPr>
              <w:widowControl/>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b w:val="0"/>
                <w:color w:val="000000"/>
                <w:kern w:val="0"/>
                <w:sz w:val="21"/>
                <w:szCs w:val="21"/>
                <w:highlight w:val="none"/>
              </w:rPr>
              <w:t>根据项目需要确定，活动频次与有关单位协商确定</w:t>
            </w:r>
            <w:r>
              <w:rPr>
                <w:rFonts w:hint="eastAsia" w:ascii="宋体" w:hAnsi="宋体" w:cs="宋体"/>
                <w:b w:val="0"/>
                <w:color w:val="000000"/>
                <w:kern w:val="0"/>
                <w:sz w:val="21"/>
                <w:szCs w:val="21"/>
                <w:highlight w:val="none"/>
                <w:lang w:eastAsia="zh-CN"/>
              </w:rPr>
              <w:t>；</w:t>
            </w:r>
          </w:p>
        </w:tc>
      </w:tr>
      <w:tr w14:paraId="53D7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1ACE5C17">
            <w:pPr>
              <w:widowControl/>
              <w:numPr>
                <w:ilvl w:val="0"/>
                <w:numId w:val="11"/>
              </w:numPr>
              <w:ind w:left="425" w:hanging="425"/>
              <w:jc w:val="center"/>
              <w:rPr>
                <w:rFonts w:hint="eastAsia" w:ascii="宋体" w:hAnsi="宋体" w:eastAsia="宋体" w:cs="宋体"/>
                <w:kern w:val="0"/>
                <w:sz w:val="21"/>
                <w:szCs w:val="21"/>
                <w:highlight w:val="none"/>
                <w:lang w:eastAsia="zh-CN"/>
              </w:rPr>
            </w:pPr>
          </w:p>
        </w:tc>
        <w:tc>
          <w:tcPr>
            <w:tcW w:w="2250" w:type="dxa"/>
            <w:noWrap w:val="0"/>
            <w:vAlign w:val="center"/>
          </w:tcPr>
          <w:p w14:paraId="2D006F79">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公众号发文宣传</w:t>
            </w:r>
          </w:p>
        </w:tc>
        <w:tc>
          <w:tcPr>
            <w:tcW w:w="3491" w:type="dxa"/>
            <w:noWrap w:val="0"/>
            <w:vAlign w:val="center"/>
          </w:tcPr>
          <w:p w14:paraId="00FD33E1">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在各官方公众号平台上发文，宣传保险方案及经典案例</w:t>
            </w:r>
            <w:r>
              <w:rPr>
                <w:rFonts w:hint="eastAsia" w:ascii="宋体" w:hAnsi="宋体" w:cs="宋体"/>
                <w:kern w:val="0"/>
                <w:sz w:val="21"/>
                <w:szCs w:val="21"/>
                <w:highlight w:val="none"/>
                <w:lang w:eastAsia="zh-CN"/>
              </w:rPr>
              <w:t>；</w:t>
            </w:r>
          </w:p>
        </w:tc>
        <w:tc>
          <w:tcPr>
            <w:tcW w:w="2621" w:type="dxa"/>
            <w:noWrap w:val="0"/>
            <w:vAlign w:val="center"/>
          </w:tcPr>
          <w:p w14:paraId="6AE512AE">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不少于4次/每年，包括保险方案介绍、经典理赔案例宣传、系列活动报道</w:t>
            </w:r>
            <w:r>
              <w:rPr>
                <w:rFonts w:hint="eastAsia" w:ascii="宋体" w:hAnsi="宋体" w:cs="宋体"/>
                <w:kern w:val="0"/>
                <w:sz w:val="21"/>
                <w:szCs w:val="21"/>
                <w:highlight w:val="none"/>
                <w:lang w:eastAsia="zh-CN"/>
              </w:rPr>
              <w:t>；</w:t>
            </w:r>
          </w:p>
        </w:tc>
      </w:tr>
      <w:tr w14:paraId="7C02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0C0D58B6">
            <w:pPr>
              <w:widowControl/>
              <w:numPr>
                <w:ilvl w:val="0"/>
                <w:numId w:val="11"/>
              </w:numPr>
              <w:ind w:left="425" w:hanging="425"/>
              <w:jc w:val="center"/>
              <w:rPr>
                <w:rFonts w:hint="eastAsia" w:ascii="宋体" w:hAnsi="宋体" w:eastAsia="宋体" w:cs="宋体"/>
                <w:kern w:val="0"/>
                <w:sz w:val="21"/>
                <w:szCs w:val="21"/>
                <w:highlight w:val="none"/>
                <w:lang w:eastAsia="zh-CN"/>
              </w:rPr>
            </w:pPr>
          </w:p>
        </w:tc>
        <w:tc>
          <w:tcPr>
            <w:tcW w:w="2250" w:type="dxa"/>
            <w:noWrap w:val="0"/>
            <w:vAlign w:val="center"/>
          </w:tcPr>
          <w:p w14:paraId="53537443">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公交、地铁广告宣传</w:t>
            </w:r>
          </w:p>
        </w:tc>
        <w:tc>
          <w:tcPr>
            <w:tcW w:w="3491" w:type="dxa"/>
            <w:noWrap w:val="0"/>
            <w:vAlign w:val="center"/>
          </w:tcPr>
          <w:p w14:paraId="41072247">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承保机构联系公交、地铁平台，在地铁灯箱、拉手、候车亭、公交电视等渠道投放宣传视频/海报</w:t>
            </w:r>
            <w:r>
              <w:rPr>
                <w:rFonts w:hint="eastAsia" w:ascii="宋体" w:hAnsi="宋体" w:cs="宋体"/>
                <w:kern w:val="0"/>
                <w:sz w:val="21"/>
                <w:szCs w:val="21"/>
                <w:highlight w:val="none"/>
                <w:lang w:eastAsia="zh-CN"/>
              </w:rPr>
              <w:t>；</w:t>
            </w:r>
          </w:p>
        </w:tc>
        <w:tc>
          <w:tcPr>
            <w:tcW w:w="2621" w:type="dxa"/>
            <w:noWrap w:val="0"/>
            <w:vAlign w:val="center"/>
          </w:tcPr>
          <w:p w14:paraId="1CAC3617">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根据项目需要确定，每年投放时间累计不得少于1个月</w:t>
            </w:r>
            <w:r>
              <w:rPr>
                <w:rFonts w:hint="eastAsia" w:ascii="宋体" w:hAnsi="宋体" w:cs="宋体"/>
                <w:kern w:val="0"/>
                <w:sz w:val="21"/>
                <w:szCs w:val="21"/>
                <w:highlight w:val="none"/>
                <w:lang w:eastAsia="zh-CN"/>
              </w:rPr>
              <w:t>；</w:t>
            </w:r>
          </w:p>
        </w:tc>
      </w:tr>
      <w:tr w14:paraId="444C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443CFB4C">
            <w:pPr>
              <w:widowControl/>
              <w:numPr>
                <w:ilvl w:val="0"/>
                <w:numId w:val="11"/>
              </w:numPr>
              <w:ind w:left="425" w:hanging="425"/>
              <w:jc w:val="center"/>
              <w:rPr>
                <w:rFonts w:hint="eastAsia" w:ascii="宋体" w:hAnsi="宋体" w:eastAsia="宋体" w:cs="宋体"/>
                <w:kern w:val="0"/>
                <w:sz w:val="21"/>
                <w:szCs w:val="21"/>
                <w:highlight w:val="none"/>
                <w:lang w:eastAsia="zh-CN"/>
              </w:rPr>
            </w:pPr>
          </w:p>
        </w:tc>
        <w:tc>
          <w:tcPr>
            <w:tcW w:w="2250" w:type="dxa"/>
            <w:noWrap w:val="0"/>
            <w:vAlign w:val="center"/>
          </w:tcPr>
          <w:p w14:paraId="2787784F">
            <w:pPr>
              <w:widowControl/>
              <w:jc w:val="center"/>
              <w:rPr>
                <w:rFonts w:ascii="宋体" w:hAnsi="宋体" w:cs="宋体"/>
                <w:kern w:val="0"/>
                <w:sz w:val="21"/>
                <w:szCs w:val="21"/>
                <w:highlight w:val="none"/>
              </w:rPr>
            </w:pPr>
            <w:r>
              <w:rPr>
                <w:rFonts w:hint="eastAsia" w:ascii="宋体" w:hAnsi="宋体" w:cs="宋体"/>
                <w:kern w:val="0"/>
                <w:sz w:val="21"/>
                <w:szCs w:val="21"/>
                <w:highlight w:val="none"/>
              </w:rPr>
              <w:t>小区电梯/门禁广告宣传</w:t>
            </w:r>
          </w:p>
        </w:tc>
        <w:tc>
          <w:tcPr>
            <w:tcW w:w="3491" w:type="dxa"/>
            <w:noWrap w:val="0"/>
            <w:vAlign w:val="center"/>
          </w:tcPr>
          <w:p w14:paraId="6D02FD39">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承保机构联系小区电梯/门禁等渠道投放宣传视频/海报</w:t>
            </w:r>
            <w:r>
              <w:rPr>
                <w:rFonts w:hint="eastAsia" w:ascii="宋体" w:hAnsi="宋体" w:cs="宋体"/>
                <w:kern w:val="0"/>
                <w:sz w:val="21"/>
                <w:szCs w:val="21"/>
                <w:highlight w:val="none"/>
                <w:lang w:eastAsia="zh-CN"/>
              </w:rPr>
              <w:t>；</w:t>
            </w:r>
          </w:p>
        </w:tc>
        <w:tc>
          <w:tcPr>
            <w:tcW w:w="2621" w:type="dxa"/>
            <w:noWrap w:val="0"/>
            <w:vAlign w:val="center"/>
          </w:tcPr>
          <w:p w14:paraId="0A02B7E1">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根据项目需要确定，尽量覆盖</w:t>
            </w:r>
            <w:r>
              <w:rPr>
                <w:rFonts w:hint="eastAsia" w:ascii="宋体" w:hAnsi="宋体" w:cs="宋体"/>
                <w:kern w:val="0"/>
                <w:sz w:val="21"/>
                <w:szCs w:val="21"/>
                <w:highlight w:val="none"/>
                <w:lang w:eastAsia="zh-CN"/>
              </w:rPr>
              <w:t>盐田</w:t>
            </w:r>
            <w:r>
              <w:rPr>
                <w:rFonts w:hint="eastAsia" w:ascii="宋体" w:hAnsi="宋体" w:cs="宋体"/>
                <w:kern w:val="0"/>
                <w:sz w:val="21"/>
                <w:szCs w:val="21"/>
                <w:highlight w:val="none"/>
              </w:rPr>
              <w:t>区小区</w:t>
            </w:r>
            <w:r>
              <w:rPr>
                <w:rFonts w:hint="eastAsia" w:ascii="宋体" w:hAnsi="宋体" w:cs="宋体"/>
                <w:kern w:val="0"/>
                <w:sz w:val="21"/>
                <w:szCs w:val="21"/>
                <w:highlight w:val="none"/>
                <w:lang w:eastAsia="zh-CN"/>
              </w:rPr>
              <w:t>；</w:t>
            </w:r>
          </w:p>
        </w:tc>
      </w:tr>
      <w:tr w14:paraId="7A07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709154AA">
            <w:pPr>
              <w:widowControl/>
              <w:numPr>
                <w:ilvl w:val="0"/>
                <w:numId w:val="11"/>
              </w:numPr>
              <w:ind w:left="425" w:hanging="425"/>
              <w:jc w:val="center"/>
              <w:rPr>
                <w:rFonts w:hint="eastAsia" w:ascii="宋体" w:hAnsi="宋体" w:eastAsia="宋体" w:cs="宋体"/>
                <w:kern w:val="0"/>
                <w:sz w:val="21"/>
                <w:szCs w:val="21"/>
                <w:highlight w:val="none"/>
                <w:lang w:eastAsia="zh-CN"/>
              </w:rPr>
            </w:pPr>
          </w:p>
        </w:tc>
        <w:tc>
          <w:tcPr>
            <w:tcW w:w="2250" w:type="dxa"/>
            <w:noWrap w:val="0"/>
            <w:vAlign w:val="center"/>
          </w:tcPr>
          <w:p w14:paraId="690F3704">
            <w:pPr>
              <w:widowControl/>
              <w:jc w:val="center"/>
              <w:rPr>
                <w:rFonts w:ascii="宋体" w:hAnsi="宋体" w:cs="宋体"/>
                <w:kern w:val="0"/>
                <w:sz w:val="21"/>
                <w:szCs w:val="21"/>
                <w:highlight w:val="none"/>
              </w:rPr>
            </w:pPr>
            <w:r>
              <w:rPr>
                <w:rFonts w:hint="eastAsia" w:ascii="宋体" w:hAnsi="宋体" w:cs="宋体"/>
                <w:kern w:val="0"/>
                <w:sz w:val="21"/>
                <w:szCs w:val="21"/>
                <w:highlight w:val="none"/>
              </w:rPr>
              <w:t>海报、折页、易拉宝等广告物料的设计及印制</w:t>
            </w:r>
          </w:p>
        </w:tc>
        <w:tc>
          <w:tcPr>
            <w:tcW w:w="3491" w:type="dxa"/>
            <w:noWrap w:val="0"/>
            <w:vAlign w:val="center"/>
          </w:tcPr>
          <w:p w14:paraId="37D1BA67">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承保机构联系广告商，设计及本项目的宣传素材，并根据甲方需要印制及派发</w:t>
            </w:r>
            <w:r>
              <w:rPr>
                <w:rFonts w:hint="eastAsia" w:ascii="宋体" w:hAnsi="宋体" w:cs="宋体"/>
                <w:sz w:val="21"/>
                <w:szCs w:val="21"/>
                <w:highlight w:val="none"/>
                <w:lang w:eastAsia="zh-CN"/>
              </w:rPr>
              <w:t>；</w:t>
            </w:r>
          </w:p>
        </w:tc>
        <w:tc>
          <w:tcPr>
            <w:tcW w:w="2621" w:type="dxa"/>
            <w:noWrap w:val="0"/>
            <w:vAlign w:val="center"/>
          </w:tcPr>
          <w:p w14:paraId="2A2F15DE">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根据项目需要确定每年设计制作材料不少于1套，印刷数量根据实际情况确定</w:t>
            </w:r>
            <w:r>
              <w:rPr>
                <w:rFonts w:hint="eastAsia" w:ascii="宋体" w:hAnsi="宋体" w:cs="宋体"/>
                <w:kern w:val="0"/>
                <w:sz w:val="21"/>
                <w:szCs w:val="21"/>
                <w:highlight w:val="none"/>
                <w:lang w:eastAsia="zh-CN"/>
              </w:rPr>
              <w:t>；</w:t>
            </w:r>
          </w:p>
        </w:tc>
      </w:tr>
      <w:tr w14:paraId="262A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431314C1">
            <w:pPr>
              <w:widowControl/>
              <w:numPr>
                <w:ilvl w:val="0"/>
                <w:numId w:val="11"/>
              </w:numPr>
              <w:ind w:left="425" w:hanging="425"/>
              <w:jc w:val="center"/>
              <w:rPr>
                <w:rFonts w:ascii="宋体" w:hAnsi="宋体" w:cs="宋体"/>
                <w:kern w:val="0"/>
                <w:sz w:val="21"/>
                <w:szCs w:val="21"/>
                <w:highlight w:val="none"/>
              </w:rPr>
            </w:pPr>
          </w:p>
        </w:tc>
        <w:tc>
          <w:tcPr>
            <w:tcW w:w="2250" w:type="dxa"/>
            <w:noWrap w:val="0"/>
            <w:vAlign w:val="center"/>
          </w:tcPr>
          <w:p w14:paraId="33CA64CE">
            <w:pPr>
              <w:widowControl/>
              <w:jc w:val="center"/>
              <w:rPr>
                <w:rFonts w:ascii="宋体" w:hAnsi="宋体" w:cs="宋体"/>
                <w:kern w:val="0"/>
                <w:sz w:val="21"/>
                <w:szCs w:val="21"/>
                <w:highlight w:val="none"/>
              </w:rPr>
            </w:pPr>
            <w:r>
              <w:rPr>
                <w:rFonts w:hint="eastAsia" w:ascii="宋体" w:hAnsi="宋体" w:cs="宋体"/>
                <w:kern w:val="0"/>
                <w:sz w:val="21"/>
                <w:szCs w:val="21"/>
                <w:highlight w:val="none"/>
              </w:rPr>
              <w:t>短视频制作</w:t>
            </w:r>
          </w:p>
        </w:tc>
        <w:tc>
          <w:tcPr>
            <w:tcW w:w="3491" w:type="dxa"/>
            <w:noWrap w:val="0"/>
            <w:vAlign w:val="center"/>
          </w:tcPr>
          <w:p w14:paraId="46411618">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承保机构联系广告商制作项目宣传短视频，作为素材结合各类宣传形式投放</w:t>
            </w:r>
            <w:r>
              <w:rPr>
                <w:rFonts w:hint="eastAsia" w:ascii="宋体" w:hAnsi="宋体" w:cs="宋体"/>
                <w:sz w:val="21"/>
                <w:szCs w:val="21"/>
                <w:highlight w:val="none"/>
                <w:lang w:eastAsia="zh-CN"/>
              </w:rPr>
              <w:t>；</w:t>
            </w:r>
          </w:p>
        </w:tc>
        <w:tc>
          <w:tcPr>
            <w:tcW w:w="2621" w:type="dxa"/>
            <w:noWrap w:val="0"/>
            <w:vAlign w:val="center"/>
          </w:tcPr>
          <w:p w14:paraId="51CDF2E7">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根据项目需要确定，每年制作视频不少于1个</w:t>
            </w:r>
            <w:r>
              <w:rPr>
                <w:rFonts w:hint="eastAsia" w:ascii="宋体" w:hAnsi="宋体" w:cs="宋体"/>
                <w:kern w:val="0"/>
                <w:sz w:val="21"/>
                <w:szCs w:val="21"/>
                <w:highlight w:val="none"/>
                <w:lang w:eastAsia="zh-CN"/>
              </w:rPr>
              <w:t>；</w:t>
            </w:r>
          </w:p>
        </w:tc>
      </w:tr>
      <w:tr w14:paraId="5E62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noWrap w:val="0"/>
            <w:vAlign w:val="center"/>
          </w:tcPr>
          <w:p w14:paraId="0179AE0D">
            <w:pPr>
              <w:widowControl/>
              <w:numPr>
                <w:ilvl w:val="0"/>
                <w:numId w:val="11"/>
              </w:numPr>
              <w:ind w:left="425" w:hanging="425"/>
              <w:jc w:val="center"/>
              <w:rPr>
                <w:rFonts w:ascii="宋体" w:hAnsi="宋体" w:cs="宋体"/>
                <w:kern w:val="0"/>
                <w:sz w:val="21"/>
                <w:szCs w:val="21"/>
                <w:highlight w:val="none"/>
              </w:rPr>
            </w:pPr>
          </w:p>
        </w:tc>
        <w:tc>
          <w:tcPr>
            <w:tcW w:w="2250" w:type="dxa"/>
            <w:noWrap w:val="0"/>
            <w:vAlign w:val="center"/>
          </w:tcPr>
          <w:p w14:paraId="4AA639A9">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其他宣传方式</w:t>
            </w:r>
          </w:p>
        </w:tc>
        <w:tc>
          <w:tcPr>
            <w:tcW w:w="3491" w:type="dxa"/>
            <w:noWrap w:val="0"/>
            <w:vAlign w:val="center"/>
          </w:tcPr>
          <w:p w14:paraId="5B285310">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采购人要求开展的其他宣传服务方式；</w:t>
            </w:r>
          </w:p>
        </w:tc>
        <w:tc>
          <w:tcPr>
            <w:tcW w:w="2621" w:type="dxa"/>
            <w:noWrap w:val="0"/>
            <w:vAlign w:val="center"/>
          </w:tcPr>
          <w:p w14:paraId="2BB9341C">
            <w:pPr>
              <w:widowControl/>
              <w:jc w:val="center"/>
              <w:rPr>
                <w:rFonts w:hint="eastAsia" w:ascii="宋体" w:hAnsi="宋体" w:cs="宋体"/>
                <w:kern w:val="0"/>
                <w:sz w:val="21"/>
                <w:szCs w:val="21"/>
                <w:highlight w:val="none"/>
              </w:rPr>
            </w:pPr>
            <w:r>
              <w:rPr>
                <w:rFonts w:hint="eastAsia" w:ascii="宋体" w:hAnsi="宋体" w:eastAsia="宋体" w:cs="宋体"/>
                <w:b w:val="0"/>
                <w:color w:val="000000"/>
                <w:kern w:val="0"/>
                <w:sz w:val="21"/>
                <w:szCs w:val="21"/>
                <w:highlight w:val="none"/>
              </w:rPr>
              <w:t>根据项目需要确定，活动频次与有关单位协商确定。</w:t>
            </w:r>
          </w:p>
        </w:tc>
      </w:tr>
    </w:tbl>
    <w:p w14:paraId="46FC2F8C">
      <w:pPr>
        <w:numPr>
          <w:ilvl w:val="0"/>
          <w:numId w:val="12"/>
        </w:num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承保机构根据采购人</w:t>
      </w:r>
      <w:r>
        <w:rPr>
          <w:rFonts w:hint="eastAsia" w:ascii="宋体" w:hAnsi="宋体" w:eastAsia="宋体" w:cs="宋体"/>
          <w:b w:val="0"/>
          <w:bCs w:val="0"/>
          <w:color w:val="000000"/>
          <w:sz w:val="21"/>
          <w:szCs w:val="21"/>
          <w:highlight w:val="none"/>
        </w:rPr>
        <w:t>的实际需求不定期组织对甲方辖区各街道办及被保险人进行保险知识及风险防范培训，每年度不少于3次。</w:t>
      </w:r>
    </w:p>
    <w:p w14:paraId="021F81A7">
      <w:pPr>
        <w:pStyle w:val="5"/>
        <w:spacing w:before="120" w:beforeLines="50" w:after="120" w:afterLines="50"/>
        <w:rPr>
          <w:szCs w:val="24"/>
          <w:highlight w:val="none"/>
        </w:rPr>
      </w:pPr>
      <w:r>
        <w:rPr>
          <w:rFonts w:hint="eastAsia"/>
          <w:szCs w:val="24"/>
          <w:highlight w:val="none"/>
        </w:rPr>
        <w:t>六、其他要求</w:t>
      </w:r>
    </w:p>
    <w:p w14:paraId="38FE860D">
      <w:pPr>
        <w:ind w:firstLine="420" w:firstLineChars="200"/>
        <w:rPr>
          <w:rFonts w:ascii="宋体" w:hAnsi="宋体"/>
          <w:highlight w:val="none"/>
        </w:rPr>
      </w:pPr>
      <w:r>
        <w:rPr>
          <w:rFonts w:hint="eastAsia" w:ascii="宋体" w:hAnsi="宋体"/>
          <w:highlight w:val="none"/>
        </w:rPr>
        <w:t>1.中标方应按合同要求按时、按质、按量推进项目工作。</w:t>
      </w:r>
    </w:p>
    <w:p w14:paraId="10E09AB7">
      <w:pPr>
        <w:ind w:firstLine="420" w:firstLineChars="200"/>
        <w:rPr>
          <w:rFonts w:hint="eastAsia" w:ascii="宋体" w:hAnsi="宋体"/>
          <w:highlight w:val="none"/>
        </w:rPr>
      </w:pPr>
      <w:r>
        <w:rPr>
          <w:rFonts w:hint="eastAsia" w:ascii="宋体" w:hAnsi="宋体"/>
          <w:highlight w:val="none"/>
        </w:rPr>
        <w:t>2.中标方应按要求接受采购方的日常检查和满意度调查测评，以及参加本项目每年考核评估工作。</w:t>
      </w:r>
    </w:p>
    <w:p w14:paraId="4B550116">
      <w:pPr>
        <w:ind w:firstLine="420" w:firstLineChars="200"/>
        <w:rPr>
          <w:rFonts w:ascii="宋体" w:hAnsi="宋体"/>
          <w:color w:val="FF0000"/>
          <w:highlight w:val="none"/>
        </w:rPr>
      </w:pPr>
      <w:r>
        <w:rPr>
          <w:rFonts w:hint="eastAsia"/>
          <w:color w:val="FF0000"/>
          <w:szCs w:val="21"/>
          <w:highlight w:val="none"/>
        </w:rPr>
        <w:t>★</w:t>
      </w:r>
      <w:r>
        <w:rPr>
          <w:rFonts w:hint="eastAsia" w:ascii="宋体" w:hAnsi="宋体"/>
          <w:color w:val="FF0000"/>
          <w:highlight w:val="none"/>
        </w:rPr>
        <w:t>3.各投标供应商不得与其他投标供应商的法定代表人、主要经营负责人、投标授权代表人、项目负责人、主要技术人员为同一人、同一单位或者在同一单位缴纳社会保险。</w:t>
      </w:r>
      <w:r>
        <w:rPr>
          <w:rFonts w:hint="eastAsia" w:ascii="宋体" w:hAnsi="宋体"/>
          <w:b/>
          <w:bCs/>
          <w:color w:val="FF0000"/>
          <w:highlight w:val="none"/>
        </w:rPr>
        <w:t>（需提供法定代表人（或单位负责人或主要经营负责人）、投标授权代表人、投标文件编制人员等近一个月的社保缴纳证明）</w:t>
      </w:r>
      <w:r>
        <w:rPr>
          <w:rFonts w:hint="eastAsia" w:ascii="宋体" w:hAnsi="宋体"/>
          <w:color w:val="FF0000"/>
          <w:highlight w:val="none"/>
        </w:rPr>
        <w:t>。</w:t>
      </w:r>
    </w:p>
    <w:p w14:paraId="7EFEEEFF">
      <w:pPr>
        <w:pStyle w:val="5"/>
      </w:pPr>
      <w:r>
        <w:rPr>
          <w:rFonts w:hint="eastAsia"/>
          <w:lang w:val="en-US" w:eastAsia="zh-CN"/>
        </w:rPr>
        <w:t>七</w:t>
      </w:r>
      <w:r>
        <w:rPr>
          <w:rFonts w:hint="eastAsia"/>
        </w:rPr>
        <w:t>、商务要求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5E7F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2E1DEA1B">
            <w:pPr>
              <w:jc w:val="center"/>
              <w:rPr>
                <w:rFonts w:ascii="宋体" w:hAnsi="宋体"/>
                <w:b/>
                <w:bCs/>
                <w:szCs w:val="21"/>
                <w:highlight w:val="none"/>
              </w:rPr>
            </w:pPr>
            <w:bookmarkStart w:id="34" w:name="OLE_LINK68"/>
            <w:r>
              <w:rPr>
                <w:rFonts w:hint="eastAsia" w:ascii="宋体" w:hAnsi="宋体"/>
                <w:b/>
                <w:bCs/>
                <w:szCs w:val="21"/>
                <w:highlight w:val="none"/>
              </w:rPr>
              <w:t>序号</w:t>
            </w:r>
          </w:p>
        </w:tc>
        <w:tc>
          <w:tcPr>
            <w:tcW w:w="993" w:type="dxa"/>
            <w:vAlign w:val="center"/>
          </w:tcPr>
          <w:p w14:paraId="5193A395">
            <w:pPr>
              <w:jc w:val="center"/>
              <w:rPr>
                <w:rFonts w:ascii="宋体" w:hAnsi="宋体"/>
                <w:b/>
                <w:bCs/>
                <w:szCs w:val="21"/>
                <w:highlight w:val="none"/>
              </w:rPr>
            </w:pPr>
            <w:r>
              <w:rPr>
                <w:rFonts w:hint="eastAsia" w:ascii="宋体" w:hAnsi="宋体"/>
                <w:b/>
                <w:bCs/>
                <w:szCs w:val="21"/>
                <w:highlight w:val="none"/>
              </w:rPr>
              <w:t>商务需求项</w:t>
            </w:r>
          </w:p>
        </w:tc>
        <w:tc>
          <w:tcPr>
            <w:tcW w:w="6609" w:type="dxa"/>
            <w:vAlign w:val="center"/>
          </w:tcPr>
          <w:p w14:paraId="532DCFFD">
            <w:pPr>
              <w:jc w:val="center"/>
              <w:rPr>
                <w:rFonts w:ascii="宋体" w:hAnsi="宋体"/>
                <w:b/>
                <w:bCs/>
                <w:szCs w:val="21"/>
                <w:highlight w:val="none"/>
              </w:rPr>
            </w:pPr>
            <w:r>
              <w:rPr>
                <w:rFonts w:hint="eastAsia" w:ascii="宋体" w:hAnsi="宋体"/>
                <w:b/>
                <w:bCs/>
                <w:szCs w:val="21"/>
                <w:highlight w:val="none"/>
              </w:rPr>
              <w:t>招标商务要求</w:t>
            </w:r>
          </w:p>
        </w:tc>
      </w:tr>
      <w:tr w14:paraId="2A9E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5" w:type="dxa"/>
            <w:vMerge w:val="restart"/>
            <w:vAlign w:val="center"/>
          </w:tcPr>
          <w:p w14:paraId="66283242">
            <w:pPr>
              <w:rPr>
                <w:rFonts w:ascii="宋体" w:hAnsi="宋体"/>
                <w:b/>
                <w:bCs/>
                <w:szCs w:val="21"/>
                <w:highlight w:val="none"/>
              </w:rPr>
            </w:pPr>
            <w:r>
              <w:rPr>
                <w:rFonts w:hint="eastAsia" w:ascii="宋体" w:hAnsi="宋体"/>
                <w:b/>
                <w:bCs/>
                <w:szCs w:val="21"/>
                <w:highlight w:val="none"/>
              </w:rPr>
              <w:t>1</w:t>
            </w:r>
          </w:p>
          <w:p w14:paraId="14A5CD2F">
            <w:pPr>
              <w:rPr>
                <w:rFonts w:ascii="宋体" w:hAnsi="宋体"/>
                <w:b/>
                <w:bCs/>
                <w:szCs w:val="21"/>
                <w:highlight w:val="none"/>
              </w:rPr>
            </w:pPr>
          </w:p>
        </w:tc>
        <w:tc>
          <w:tcPr>
            <w:tcW w:w="993" w:type="dxa"/>
            <w:vMerge w:val="restart"/>
            <w:vAlign w:val="center"/>
          </w:tcPr>
          <w:p w14:paraId="6B686D15">
            <w:pPr>
              <w:rPr>
                <w:rFonts w:ascii="宋体" w:hAnsi="宋体"/>
                <w:b/>
                <w:bCs/>
                <w:szCs w:val="21"/>
                <w:highlight w:val="none"/>
              </w:rPr>
            </w:pPr>
            <w:r>
              <w:rPr>
                <w:rFonts w:hint="eastAsia" w:ascii="宋体" w:hAnsi="宋体"/>
                <w:b/>
                <w:sz w:val="20"/>
                <w:szCs w:val="20"/>
                <w:highlight w:val="none"/>
              </w:rPr>
              <w:t>必备条款</w:t>
            </w:r>
          </w:p>
        </w:tc>
        <w:tc>
          <w:tcPr>
            <w:tcW w:w="6609" w:type="dxa"/>
            <w:vAlign w:val="center"/>
          </w:tcPr>
          <w:p w14:paraId="0AA752AD">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1.1服务期要求：</w:t>
            </w:r>
          </w:p>
          <w:p w14:paraId="33B6A1CD">
            <w:pPr>
              <w:rPr>
                <w:rFonts w:ascii="宋体" w:hAnsi="宋体"/>
                <w:bCs/>
                <w:color w:val="000000" w:themeColor="text1"/>
                <w:szCs w:val="21"/>
                <w:highlight w:val="none"/>
                <w14:textFill>
                  <w14:solidFill>
                    <w14:schemeClr w14:val="tx1"/>
                  </w14:solidFill>
                </w14:textFill>
              </w:rPr>
            </w:pPr>
            <w:r>
              <w:rPr>
                <w:rFonts w:hint="eastAsia" w:ascii="宋体" w:hAnsi="宋体"/>
                <w:color w:val="FF0000"/>
                <w:highlight w:val="none"/>
              </w:rPr>
              <w:t>★本项目服务期限为自合同签订</w:t>
            </w:r>
            <w:r>
              <w:rPr>
                <w:rFonts w:hint="eastAsia" w:ascii="宋体" w:hAnsi="宋体"/>
                <w:color w:val="FF0000"/>
                <w:highlight w:val="none"/>
                <w:lang w:val="en-US" w:eastAsia="zh-CN"/>
              </w:rPr>
              <w:t>之日起一年</w:t>
            </w:r>
            <w:r>
              <w:rPr>
                <w:rFonts w:hint="eastAsia" w:ascii="宋体" w:hAnsi="宋体"/>
                <w:color w:val="FF0000"/>
                <w:highlight w:val="none"/>
              </w:rPr>
              <w:t>。本项目不是长期服务项目。</w:t>
            </w:r>
          </w:p>
        </w:tc>
      </w:tr>
      <w:tr w14:paraId="57CE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168A39BC">
            <w:pPr>
              <w:rPr>
                <w:rFonts w:ascii="宋体" w:hAnsi="宋体"/>
                <w:b/>
                <w:bCs/>
                <w:szCs w:val="21"/>
                <w:highlight w:val="none"/>
              </w:rPr>
            </w:pPr>
          </w:p>
        </w:tc>
        <w:tc>
          <w:tcPr>
            <w:tcW w:w="993" w:type="dxa"/>
            <w:vMerge w:val="continue"/>
            <w:vAlign w:val="center"/>
          </w:tcPr>
          <w:p w14:paraId="3325D3A7">
            <w:pPr>
              <w:rPr>
                <w:rFonts w:ascii="宋体" w:hAnsi="宋体"/>
                <w:b/>
                <w:bCs/>
                <w:szCs w:val="21"/>
                <w:highlight w:val="none"/>
              </w:rPr>
            </w:pPr>
          </w:p>
        </w:tc>
        <w:tc>
          <w:tcPr>
            <w:tcW w:w="6609" w:type="dxa"/>
            <w:vAlign w:val="center"/>
          </w:tcPr>
          <w:p w14:paraId="735ADFA6">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1.2服务地点：</w:t>
            </w:r>
            <w:r>
              <w:rPr>
                <w:rFonts w:hint="eastAsia" w:ascii="宋体" w:hAnsi="宋体"/>
                <w:color w:val="000000" w:themeColor="text1"/>
                <w:highlight w:val="none"/>
                <w14:textFill>
                  <w14:solidFill>
                    <w14:schemeClr w14:val="tx1"/>
                  </w14:solidFill>
                </w14:textFill>
              </w:rPr>
              <w:t>盐田区</w:t>
            </w:r>
          </w:p>
        </w:tc>
      </w:tr>
      <w:tr w14:paraId="733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77EA5288">
            <w:pPr>
              <w:rPr>
                <w:rFonts w:ascii="宋体" w:hAnsi="宋体"/>
                <w:b/>
                <w:bCs/>
                <w:szCs w:val="21"/>
                <w:highlight w:val="none"/>
              </w:rPr>
            </w:pPr>
            <w:bookmarkStart w:id="35" w:name="_Hlk107481613"/>
          </w:p>
        </w:tc>
        <w:tc>
          <w:tcPr>
            <w:tcW w:w="993" w:type="dxa"/>
            <w:vMerge w:val="continue"/>
            <w:vAlign w:val="center"/>
          </w:tcPr>
          <w:p w14:paraId="463674B4">
            <w:pPr>
              <w:rPr>
                <w:rFonts w:ascii="宋体" w:hAnsi="宋体"/>
                <w:b/>
                <w:bCs/>
                <w:szCs w:val="21"/>
                <w:highlight w:val="none"/>
              </w:rPr>
            </w:pPr>
          </w:p>
        </w:tc>
        <w:tc>
          <w:tcPr>
            <w:tcW w:w="6609" w:type="dxa"/>
            <w:vAlign w:val="center"/>
          </w:tcPr>
          <w:p w14:paraId="26875A13">
            <w:pPr>
              <w:rPr>
                <w:rFonts w:asciiTheme="minorEastAsia" w:hAnsiTheme="minorEastAsia" w:eastAsiaTheme="minorEastAsia"/>
                <w:b/>
                <w:color w:val="FF0000"/>
                <w:highlight w:val="none"/>
              </w:rPr>
            </w:pPr>
            <w:r>
              <w:rPr>
                <w:rFonts w:hint="eastAsia" w:ascii="宋体" w:hAnsi="宋体"/>
                <w:color w:val="FF0000"/>
                <w:highlight w:val="none"/>
              </w:rPr>
              <w:t>★</w:t>
            </w:r>
            <w:r>
              <w:rPr>
                <w:rFonts w:hint="eastAsia" w:asciiTheme="minorEastAsia" w:hAnsiTheme="minorEastAsia" w:eastAsiaTheme="minorEastAsia"/>
                <w:b/>
                <w:color w:val="FF0000"/>
                <w:highlight w:val="none"/>
              </w:rPr>
              <w:t>1.3付款期限和方式：</w:t>
            </w:r>
          </w:p>
          <w:p w14:paraId="428FF6F6">
            <w:pPr>
              <w:rPr>
                <w:rFonts w:hint="eastAsia" w:ascii="宋体" w:hAnsi="宋体" w:eastAsia="宋体"/>
                <w:bCs/>
                <w:color w:val="000000" w:themeColor="text1"/>
                <w:szCs w:val="21"/>
                <w:highlight w:val="none"/>
                <w:lang w:eastAsia="zh-CN"/>
                <w14:textFill>
                  <w14:solidFill>
                    <w14:schemeClr w14:val="tx1"/>
                  </w14:solidFill>
                </w14:textFill>
              </w:rPr>
            </w:pPr>
            <w:r>
              <w:rPr>
                <w:rFonts w:hint="eastAsia"/>
                <w:color w:val="FF0000"/>
                <w:highlight w:val="none"/>
                <w:lang w:eastAsia="zh-CN"/>
              </w:rPr>
              <w:t>在符合深圳市财政委相关规定的情况下，采购合同签订后三十天内向甲方一次性直接向乙方支付保费。如因政府财政拨款、内部审批等正当事由导致延迟支付的，支付期限相应顺延，不视为甲方违约。</w:t>
            </w:r>
          </w:p>
        </w:tc>
      </w:tr>
      <w:tr w14:paraId="13D0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75" w:type="dxa"/>
            <w:vMerge w:val="continue"/>
            <w:vAlign w:val="center"/>
          </w:tcPr>
          <w:p w14:paraId="5338BF5F">
            <w:pPr>
              <w:rPr>
                <w:rFonts w:ascii="宋体" w:hAnsi="宋体"/>
                <w:b/>
                <w:bCs/>
                <w:szCs w:val="21"/>
                <w:highlight w:val="none"/>
              </w:rPr>
            </w:pPr>
          </w:p>
        </w:tc>
        <w:tc>
          <w:tcPr>
            <w:tcW w:w="993" w:type="dxa"/>
            <w:vMerge w:val="continue"/>
            <w:vAlign w:val="center"/>
          </w:tcPr>
          <w:p w14:paraId="6414468B">
            <w:pPr>
              <w:rPr>
                <w:rFonts w:ascii="宋体" w:hAnsi="宋体"/>
                <w:b/>
                <w:bCs/>
                <w:szCs w:val="21"/>
                <w:highlight w:val="none"/>
              </w:rPr>
            </w:pPr>
          </w:p>
        </w:tc>
        <w:tc>
          <w:tcPr>
            <w:tcW w:w="6609" w:type="dxa"/>
            <w:vAlign w:val="center"/>
          </w:tcPr>
          <w:p w14:paraId="3C630B12">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1.4</w:t>
            </w:r>
            <w:r>
              <w:rPr>
                <w:rFonts w:hint="eastAsia" w:asciiTheme="minorEastAsia" w:hAnsiTheme="minorEastAsia" w:eastAsiaTheme="minorEastAsia"/>
                <w:b/>
                <w:color w:val="000000" w:themeColor="text1"/>
                <w:highlight w:val="none"/>
                <w14:textFill>
                  <w14:solidFill>
                    <w14:schemeClr w14:val="tx1"/>
                  </w14:solidFill>
                </w14:textFill>
              </w:rPr>
              <w:t>验收条件：</w:t>
            </w:r>
          </w:p>
          <w:p w14:paraId="6DD89D1A">
            <w:pPr>
              <w:tabs>
                <w:tab w:val="left" w:pos="1260"/>
              </w:tabs>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成交供应商已按照合同规定完成了全部服务要求。</w:t>
            </w:r>
          </w:p>
          <w:p w14:paraId="2F0EABBD">
            <w:pPr>
              <w:tabs>
                <w:tab w:val="left" w:pos="1260"/>
              </w:tabs>
              <w:rPr>
                <w:rFonts w:hint="default"/>
                <w:highlight w:val="none"/>
                <w:lang w:val="en-US" w:eastAsia="zh-CN"/>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合同期内无风险事件、逾期未报案件，保费清算、档案交接完整。</w:t>
            </w:r>
          </w:p>
        </w:tc>
      </w:tr>
      <w:tr w14:paraId="21C6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403678CB">
            <w:pPr>
              <w:rPr>
                <w:rFonts w:ascii="宋体" w:hAnsi="宋体"/>
                <w:b/>
                <w:bCs/>
                <w:szCs w:val="21"/>
                <w:highlight w:val="none"/>
              </w:rPr>
            </w:pPr>
          </w:p>
        </w:tc>
        <w:tc>
          <w:tcPr>
            <w:tcW w:w="993" w:type="dxa"/>
            <w:vMerge w:val="continue"/>
            <w:vAlign w:val="center"/>
          </w:tcPr>
          <w:p w14:paraId="59A9C377">
            <w:pPr>
              <w:rPr>
                <w:rFonts w:ascii="宋体" w:hAnsi="宋体"/>
                <w:b/>
                <w:bCs/>
                <w:szCs w:val="21"/>
                <w:highlight w:val="none"/>
              </w:rPr>
            </w:pPr>
          </w:p>
        </w:tc>
        <w:tc>
          <w:tcPr>
            <w:tcW w:w="6609" w:type="dxa"/>
            <w:vAlign w:val="center"/>
          </w:tcPr>
          <w:p w14:paraId="6B906633">
            <w:pPr>
              <w:rPr>
                <w:rFonts w:ascii="宋体" w:hAnsi="宋体"/>
                <w:highlight w:val="none"/>
              </w:rPr>
            </w:pPr>
            <w:bookmarkStart w:id="36" w:name="OLE_LINK53"/>
            <w:r>
              <w:rPr>
                <w:rFonts w:hint="eastAsia" w:ascii="宋体" w:hAnsi="宋体"/>
                <w:b/>
                <w:bCs/>
                <w:szCs w:val="21"/>
                <w:highlight w:val="none"/>
              </w:rPr>
              <w:t>1.5</w:t>
            </w:r>
            <w:r>
              <w:rPr>
                <w:rFonts w:hint="eastAsia" w:asciiTheme="minorEastAsia" w:hAnsiTheme="minorEastAsia" w:eastAsiaTheme="minorEastAsia"/>
                <w:b/>
                <w:highlight w:val="none"/>
              </w:rPr>
              <w:t>违约责任：</w:t>
            </w:r>
          </w:p>
          <w:bookmarkEnd w:id="36"/>
          <w:p w14:paraId="40D5AC58">
            <w:pPr>
              <w:rPr>
                <w:rFonts w:asciiTheme="minorEastAsia" w:hAnsiTheme="minorEastAsia" w:eastAsiaTheme="minorEastAsia"/>
                <w:b/>
                <w:highlight w:val="none"/>
              </w:rPr>
            </w:pPr>
            <w:r>
              <w:rPr>
                <w:rFonts w:hint="eastAsia" w:ascii="宋体" w:hAnsi="宋体"/>
                <w:highlight w:val="none"/>
              </w:rPr>
              <w:t>中标人若未按本合同约定履行义务，或如因中标人原因造成服务达不到采购人管理目标或直接造成采购人经济损失的，采购人有权按照</w:t>
            </w:r>
            <w:bookmarkStart w:id="37" w:name="OLE_LINK56"/>
            <w:bookmarkStart w:id="38" w:name="OLE_LINK57"/>
            <w:r>
              <w:rPr>
                <w:rFonts w:hint="eastAsia" w:ascii="宋体" w:hAnsi="宋体"/>
                <w:highlight w:val="none"/>
              </w:rPr>
              <w:t>本合同</w:t>
            </w:r>
            <w:bookmarkEnd w:id="37"/>
            <w:bookmarkEnd w:id="38"/>
            <w:r>
              <w:rPr>
                <w:rFonts w:hint="eastAsia" w:ascii="宋体" w:hAnsi="宋体"/>
                <w:highlight w:val="none"/>
              </w:rPr>
              <w:t>约定要求中标人按照合同总额</w:t>
            </w:r>
            <w:r>
              <w:rPr>
                <w:rFonts w:hint="eastAsia" w:ascii="宋体" w:hAnsi="宋体"/>
                <w:highlight w:val="none"/>
                <w:lang w:val="en-US" w:eastAsia="zh-CN"/>
              </w:rPr>
              <w:t>1</w:t>
            </w:r>
            <w:r>
              <w:rPr>
                <w:rFonts w:hint="eastAsia" w:ascii="宋体" w:hAnsi="宋体"/>
                <w:highlight w:val="none"/>
                <w:u w:val="single"/>
              </w:rPr>
              <w:t>0%</w:t>
            </w:r>
            <w:r>
              <w:rPr>
                <w:rFonts w:hint="eastAsia" w:ascii="宋体" w:hAnsi="宋体"/>
                <w:highlight w:val="none"/>
              </w:rPr>
              <w:t>支付违约金。同时，采购人有权要求中标人限期整改，在限期时间内没有整改，采购人有权解除合同。如造成经济损失，采购人有权向中标人索赔。</w:t>
            </w:r>
          </w:p>
        </w:tc>
      </w:tr>
      <w:tr w14:paraId="0D6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587348BE">
            <w:pPr>
              <w:rPr>
                <w:rFonts w:ascii="宋体" w:hAnsi="宋体"/>
                <w:b/>
                <w:bCs/>
                <w:szCs w:val="21"/>
                <w:highlight w:val="none"/>
              </w:rPr>
            </w:pPr>
          </w:p>
        </w:tc>
        <w:tc>
          <w:tcPr>
            <w:tcW w:w="993" w:type="dxa"/>
            <w:vMerge w:val="continue"/>
            <w:vAlign w:val="center"/>
          </w:tcPr>
          <w:p w14:paraId="05ACB715">
            <w:pPr>
              <w:rPr>
                <w:rFonts w:ascii="宋体" w:hAnsi="宋体"/>
                <w:b/>
                <w:bCs/>
                <w:szCs w:val="21"/>
                <w:highlight w:val="none"/>
              </w:rPr>
            </w:pPr>
          </w:p>
        </w:tc>
        <w:tc>
          <w:tcPr>
            <w:tcW w:w="6609" w:type="dxa"/>
            <w:vAlign w:val="center"/>
          </w:tcPr>
          <w:p w14:paraId="4B3BDCBC">
            <w:pPr>
              <w:rPr>
                <w:rFonts w:asciiTheme="minorEastAsia" w:hAnsiTheme="minorEastAsia" w:eastAsiaTheme="minorEastAsia"/>
                <w:b/>
                <w:highlight w:val="none"/>
              </w:rPr>
            </w:pPr>
            <w:bookmarkStart w:id="39" w:name="OLE_LINK54"/>
            <w:r>
              <w:rPr>
                <w:rFonts w:hint="eastAsia" w:ascii="宋体" w:hAnsi="宋体"/>
                <w:bCs/>
                <w:szCs w:val="21"/>
                <w:highlight w:val="none"/>
              </w:rPr>
              <w:t>1.6</w:t>
            </w:r>
            <w:r>
              <w:rPr>
                <w:rFonts w:hint="eastAsia" w:asciiTheme="minorEastAsia" w:hAnsiTheme="minorEastAsia" w:eastAsiaTheme="minorEastAsia"/>
                <w:b/>
                <w:highlight w:val="none"/>
              </w:rPr>
              <w:t>争议解决方法：</w:t>
            </w:r>
          </w:p>
          <w:bookmarkEnd w:id="39"/>
          <w:p w14:paraId="10349B63">
            <w:pPr>
              <w:rPr>
                <w:rFonts w:asciiTheme="minorEastAsia" w:hAnsiTheme="minorEastAsia" w:eastAsiaTheme="minorEastAsia"/>
                <w:b/>
                <w:highlight w:val="none"/>
              </w:rPr>
            </w:pPr>
            <w:r>
              <w:rPr>
                <w:rFonts w:hint="eastAsia" w:ascii="宋体" w:hAnsi="宋体"/>
                <w:highlight w:val="none"/>
              </w:rPr>
              <w:t>如在服务履行过程中发生争议，双方本着友好合作原则协商解决，如不能通过协商解决争议时，双方同意在盐田区人民法院诉讼解决。</w:t>
            </w:r>
          </w:p>
        </w:tc>
      </w:tr>
      <w:bookmarkEnd w:id="34"/>
      <w:bookmarkEnd w:id="35"/>
    </w:tbl>
    <w:p w14:paraId="6D233AB3">
      <w:pPr>
        <w:ind w:firstLine="420" w:firstLineChars="200"/>
        <w:rPr>
          <w:rFonts w:asciiTheme="minorEastAsia" w:hAnsiTheme="minorEastAsia" w:eastAsiaTheme="minorEastAsia"/>
        </w:rPr>
      </w:pPr>
    </w:p>
    <w:p w14:paraId="6A9C222C">
      <w:pPr>
        <w:ind w:firstLine="420" w:firstLineChars="200"/>
        <w:rPr>
          <w:rFonts w:asciiTheme="minorEastAsia" w:hAnsiTheme="minorEastAsia" w:eastAsiaTheme="minorEastAsia"/>
        </w:rPr>
      </w:pPr>
    </w:p>
    <w:p w14:paraId="6B650152"/>
    <w:p w14:paraId="5AD1CFAE">
      <w:pPr>
        <w:widowControl/>
        <w:jc w:val="left"/>
        <w:rPr>
          <w:rFonts w:ascii="宋体" w:hAnsi="宋体"/>
          <w:b/>
          <w:bCs/>
          <w:kern w:val="0"/>
          <w:sz w:val="24"/>
        </w:rPr>
      </w:pPr>
      <w:r>
        <w:br w:type="page"/>
      </w:r>
    </w:p>
    <w:p w14:paraId="4F1EFA04">
      <w:pPr>
        <w:pStyle w:val="5"/>
        <w:spacing w:before="120" w:beforeLines="50" w:after="120" w:afterLines="50"/>
        <w:rPr>
          <w:szCs w:val="24"/>
        </w:rPr>
      </w:pPr>
      <w:r>
        <w:rPr>
          <w:rFonts w:hint="eastAsia"/>
          <w:szCs w:val="24"/>
          <w:lang w:val="en-US" w:eastAsia="zh-CN"/>
        </w:rPr>
        <w:t>八</w:t>
      </w:r>
      <w:r>
        <w:rPr>
          <w:rFonts w:hint="eastAsia"/>
          <w:szCs w:val="24"/>
        </w:rPr>
        <w:t>、其他重要条款</w:t>
      </w:r>
    </w:p>
    <w:p w14:paraId="1BFABE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D125D5">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B5EE89C">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64B018D">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708267C1">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749BE755">
      <w:pPr>
        <w:ind w:firstLine="420" w:firstLineChars="200"/>
        <w:rPr>
          <w:bCs/>
          <w:szCs w:val="21"/>
        </w:rPr>
      </w:pPr>
      <w:r>
        <w:rPr>
          <w:rFonts w:hint="eastAsia"/>
          <w:bCs/>
          <w:szCs w:val="21"/>
        </w:rPr>
        <w:t>6、供应商提供报价合理性、澄清、说明、补正或者错误的修正的方式，包括但不限于现场提交（地址：</w:t>
      </w:r>
      <w:r>
        <w:rPr>
          <w:rFonts w:hint="eastAsia"/>
          <w:bCs/>
          <w:szCs w:val="21"/>
          <w:lang w:eastAsia="zh-CN"/>
        </w:rPr>
        <w:t>深圳市盐田区海景二路1025号壹海国际中心9楼901</w:t>
      </w:r>
      <w:r>
        <w:rPr>
          <w:rFonts w:hint="eastAsia"/>
          <w:bCs/>
          <w:szCs w:val="21"/>
        </w:rPr>
        <w:t>）、电邮提交（邮箱：</w:t>
      </w:r>
      <w:r>
        <w:rPr>
          <w:rFonts w:hint="eastAsia"/>
          <w:bCs/>
          <w:szCs w:val="21"/>
          <w:lang w:val="en-US" w:eastAsia="zh-CN"/>
        </w:rPr>
        <w:t>yantianfgs</w:t>
      </w:r>
      <w:r>
        <w:rPr>
          <w:rFonts w:hint="eastAsia"/>
          <w:bCs/>
          <w:szCs w:val="21"/>
        </w:rPr>
        <w:t>@szexgrp.com）等便捷方式。</w:t>
      </w:r>
    </w:p>
    <w:p w14:paraId="3EB2207B">
      <w:pPr>
        <w:pStyle w:val="7"/>
        <w:spacing w:before="60" w:beforeLines="25" w:after="60" w:afterLines="25"/>
        <w:ind w:firstLine="392" w:firstLineChars="187"/>
        <w:rPr>
          <w:rFonts w:ascii="宋体" w:hAnsi="宋体"/>
          <w:szCs w:val="21"/>
        </w:rPr>
      </w:pPr>
    </w:p>
    <w:p w14:paraId="48B4FA52">
      <w:r>
        <w:rPr>
          <w:rFonts w:hint="eastAsia"/>
        </w:rPr>
        <w:br w:type="page"/>
      </w:r>
    </w:p>
    <w:p w14:paraId="089C7CCF">
      <w:pPr>
        <w:pStyle w:val="5"/>
        <w:rPr>
          <w:kern w:val="2"/>
        </w:rPr>
      </w:pPr>
      <w:r>
        <w:rPr>
          <w:rFonts w:hint="eastAsia"/>
          <w:kern w:val="2"/>
        </w:rPr>
        <w:t>第四章 投标文件组成要求及格式</w:t>
      </w:r>
    </w:p>
    <w:p w14:paraId="4773FBD6">
      <w:pPr>
        <w:rPr>
          <w:rStyle w:val="55"/>
          <w:sz w:val="24"/>
        </w:rPr>
      </w:pPr>
      <w:r>
        <w:rPr>
          <w:rStyle w:val="55"/>
          <w:rFonts w:hint="eastAsia"/>
          <w:sz w:val="24"/>
        </w:rPr>
        <w:t>特别提醒：</w:t>
      </w:r>
    </w:p>
    <w:p w14:paraId="6C1EBB7A">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ABF1A7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11121C30">
      <w:pPr>
        <w:widowControl/>
        <w:jc w:val="left"/>
        <w:rPr>
          <w:rFonts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14:paraId="713DAC86">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4909668A">
      <w:pPr>
        <w:ind w:firstLine="480" w:firstLineChars="200"/>
        <w:rPr>
          <w:rFonts w:ascii="仿宋_GB2312" w:eastAsia="仿宋_GB2312"/>
          <w:sz w:val="24"/>
        </w:rPr>
      </w:pPr>
    </w:p>
    <w:p w14:paraId="3493E2F2">
      <w:pPr>
        <w:ind w:firstLine="482" w:firstLineChars="200"/>
        <w:rPr>
          <w:rFonts w:ascii="宋体" w:hAnsi="宋体"/>
          <w:b/>
          <w:sz w:val="24"/>
        </w:rPr>
      </w:pPr>
    </w:p>
    <w:p w14:paraId="2645D179">
      <w:pPr>
        <w:widowControl/>
        <w:jc w:val="left"/>
        <w:rPr>
          <w:rFonts w:ascii="宋体" w:hAnsi="宋体"/>
          <w:sz w:val="24"/>
        </w:rPr>
      </w:pPr>
      <w:r>
        <w:rPr>
          <w:rFonts w:ascii="宋体" w:hAnsi="宋体"/>
          <w:sz w:val="24"/>
        </w:rPr>
        <w:br w:type="page"/>
      </w:r>
    </w:p>
    <w:p w14:paraId="3E01A728">
      <w:pPr>
        <w:rPr>
          <w:rFonts w:ascii="宋体" w:hAnsi="宋体"/>
          <w:sz w:val="24"/>
        </w:rPr>
      </w:pPr>
      <w:r>
        <w:rPr>
          <w:rFonts w:hint="eastAsia" w:ascii="宋体" w:hAnsi="宋体"/>
          <w:sz w:val="24"/>
        </w:rPr>
        <w:t>投标文件组成：</w:t>
      </w:r>
    </w:p>
    <w:p w14:paraId="7FCB94D3">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365F99CD">
      <w:pPr>
        <w:ind w:left="718" w:leftChars="342" w:firstLine="1417" w:firstLineChars="675"/>
        <w:rPr>
          <w:szCs w:val="21"/>
        </w:rPr>
      </w:pPr>
      <w:r>
        <w:rPr>
          <w:rFonts w:hint="eastAsia"/>
          <w:szCs w:val="21"/>
        </w:rPr>
        <w:t>（1）</w:t>
      </w:r>
      <w:bookmarkStart w:id="40" w:name="_Hlk72070784"/>
      <w:r>
        <w:rPr>
          <w:rFonts w:hint="eastAsia"/>
          <w:szCs w:val="21"/>
        </w:rPr>
        <w:t>投标函</w:t>
      </w:r>
      <w:bookmarkEnd w:id="40"/>
    </w:p>
    <w:p w14:paraId="591AF79F">
      <w:pPr>
        <w:ind w:left="718" w:leftChars="342" w:firstLine="1417" w:firstLineChars="675"/>
        <w:rPr>
          <w:szCs w:val="21"/>
        </w:rPr>
      </w:pPr>
      <w:r>
        <w:rPr>
          <w:rFonts w:hint="eastAsia"/>
          <w:szCs w:val="21"/>
        </w:rPr>
        <w:t>（2）</w:t>
      </w:r>
      <w:bookmarkStart w:id="41" w:name="_Hlk72062521"/>
      <w:r>
        <w:rPr>
          <w:rFonts w:hint="eastAsia"/>
          <w:szCs w:val="21"/>
        </w:rPr>
        <w:t>政府采购投标及履约承诺函</w:t>
      </w:r>
      <w:bookmarkEnd w:id="41"/>
    </w:p>
    <w:p w14:paraId="773222EB">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98ADAB6">
      <w:pPr>
        <w:ind w:left="718" w:leftChars="342" w:firstLine="1417" w:firstLineChars="675"/>
        <w:rPr>
          <w:rFonts w:hint="eastAsia"/>
          <w:szCs w:val="21"/>
        </w:rPr>
      </w:pPr>
      <w:bookmarkStart w:id="42" w:name="_Hlk72257201"/>
      <w:r>
        <w:rPr>
          <w:rFonts w:hint="eastAsia"/>
          <w:szCs w:val="21"/>
        </w:rPr>
        <w:t>（</w:t>
      </w:r>
      <w:r>
        <w:rPr>
          <w:szCs w:val="21"/>
        </w:rPr>
        <w:t>4</w:t>
      </w:r>
      <w:r>
        <w:rPr>
          <w:rFonts w:hint="eastAsia"/>
          <w:szCs w:val="21"/>
        </w:rPr>
        <w:t>）项目详细报价</w:t>
      </w:r>
      <w:bookmarkEnd w:id="42"/>
    </w:p>
    <w:p w14:paraId="03C59C60">
      <w:pPr>
        <w:ind w:left="718" w:leftChars="342" w:firstLine="1417" w:firstLineChars="675"/>
        <w:rPr>
          <w:rFonts w:hint="eastAsia" w:eastAsia="宋体"/>
          <w:szCs w:val="21"/>
          <w:lang w:val="en-US"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同类项目业绩</w:t>
      </w:r>
      <w:r>
        <w:rPr>
          <w:rFonts w:hint="eastAsia"/>
          <w:szCs w:val="21"/>
          <w:lang w:eastAsia="zh-CN"/>
        </w:rPr>
        <w:t>（</w:t>
      </w:r>
      <w:r>
        <w:rPr>
          <w:rFonts w:hint="eastAsia"/>
          <w:szCs w:val="21"/>
          <w:lang w:val="en-US" w:eastAsia="zh-CN"/>
        </w:rPr>
        <w:t>格式自拟</w:t>
      </w:r>
      <w:r>
        <w:rPr>
          <w:rFonts w:hint="eastAsia"/>
          <w:szCs w:val="21"/>
          <w:lang w:eastAsia="zh-CN"/>
        </w:rPr>
        <w:t>）</w:t>
      </w:r>
    </w:p>
    <w:p w14:paraId="3EC87095">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客户评价情况</w:t>
      </w:r>
      <w:r>
        <w:rPr>
          <w:rFonts w:hint="eastAsia"/>
          <w:szCs w:val="21"/>
          <w:lang w:eastAsia="zh-CN"/>
        </w:rPr>
        <w:t>（</w:t>
      </w:r>
      <w:r>
        <w:rPr>
          <w:rFonts w:hint="eastAsia"/>
          <w:szCs w:val="21"/>
          <w:lang w:val="en-US" w:eastAsia="zh-CN"/>
        </w:rPr>
        <w:t>格式自拟</w:t>
      </w:r>
      <w:r>
        <w:rPr>
          <w:rFonts w:hint="eastAsia"/>
          <w:szCs w:val="21"/>
          <w:lang w:eastAsia="zh-CN"/>
        </w:rPr>
        <w:t>）</w:t>
      </w:r>
    </w:p>
    <w:p w14:paraId="0625E892">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本地化服务能力</w:t>
      </w:r>
      <w:r>
        <w:rPr>
          <w:rFonts w:hint="eastAsia"/>
          <w:szCs w:val="21"/>
          <w:lang w:eastAsia="zh-CN"/>
        </w:rPr>
        <w:t>（</w:t>
      </w:r>
      <w:r>
        <w:rPr>
          <w:rFonts w:hint="eastAsia"/>
          <w:szCs w:val="21"/>
          <w:lang w:val="en-US" w:eastAsia="zh-CN"/>
        </w:rPr>
        <w:t>格式自拟</w:t>
      </w:r>
      <w:r>
        <w:rPr>
          <w:rFonts w:hint="eastAsia"/>
          <w:szCs w:val="21"/>
          <w:lang w:eastAsia="zh-CN"/>
        </w:rPr>
        <w:t>）</w:t>
      </w:r>
    </w:p>
    <w:p w14:paraId="05F425E6">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114D6CA1">
      <w:pPr>
        <w:ind w:firstLine="2100" w:firstLineChars="1000"/>
        <w:rPr>
          <w:rFonts w:hint="eastAsia"/>
          <w:szCs w:val="21"/>
        </w:rPr>
      </w:pPr>
      <w:r>
        <w:rPr>
          <w:rFonts w:hint="eastAsia"/>
          <w:szCs w:val="21"/>
        </w:rPr>
        <w:t>（1）供应商基本情况表</w:t>
      </w:r>
    </w:p>
    <w:p w14:paraId="6F4BE2E7">
      <w:pPr>
        <w:ind w:firstLine="2100" w:firstLineChars="1000"/>
        <w:rPr>
          <w:szCs w:val="21"/>
        </w:rPr>
      </w:pPr>
      <w:r>
        <w:rPr>
          <w:rFonts w:hint="eastAsia"/>
          <w:szCs w:val="21"/>
        </w:rPr>
        <w:t>（2）法定代表人（负责人）证明书</w:t>
      </w:r>
    </w:p>
    <w:p w14:paraId="71C55050">
      <w:pPr>
        <w:ind w:left="718" w:leftChars="342" w:firstLine="1417" w:firstLineChars="675"/>
        <w:rPr>
          <w:szCs w:val="21"/>
        </w:rPr>
      </w:pPr>
      <w:r>
        <w:rPr>
          <w:rFonts w:hint="eastAsia"/>
          <w:szCs w:val="21"/>
        </w:rPr>
        <w:t>（3）投标文件签署授权委托书</w:t>
      </w:r>
    </w:p>
    <w:p w14:paraId="00FAEAA3">
      <w:pPr>
        <w:ind w:left="718" w:leftChars="342" w:firstLine="1417" w:firstLineChars="675"/>
        <w:rPr>
          <w:szCs w:val="21"/>
        </w:rPr>
      </w:pPr>
      <w:r>
        <w:rPr>
          <w:rFonts w:hint="eastAsia"/>
          <w:szCs w:val="21"/>
        </w:rPr>
        <w:t>（4）</w:t>
      </w:r>
      <w:r>
        <w:rPr>
          <w:szCs w:val="21"/>
        </w:rPr>
        <w:t>实质性条款响应情况表</w:t>
      </w:r>
    </w:p>
    <w:p w14:paraId="37422DAC">
      <w:pPr>
        <w:ind w:left="718" w:leftChars="342" w:firstLine="1417" w:firstLineChars="675"/>
        <w:rPr>
          <w:rFonts w:hint="eastAsia"/>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其他理赔增值服务方案</w:t>
      </w:r>
      <w:r>
        <w:rPr>
          <w:rFonts w:hint="eastAsia"/>
          <w:szCs w:val="21"/>
          <w:lang w:eastAsia="zh-CN"/>
        </w:rPr>
        <w:t>（</w:t>
      </w:r>
      <w:r>
        <w:rPr>
          <w:rFonts w:hint="eastAsia"/>
          <w:szCs w:val="21"/>
          <w:lang w:val="en-US" w:eastAsia="zh-CN"/>
        </w:rPr>
        <w:t>格式自拟</w:t>
      </w:r>
      <w:r>
        <w:rPr>
          <w:rFonts w:hint="eastAsia"/>
          <w:szCs w:val="21"/>
          <w:lang w:eastAsia="zh-CN"/>
        </w:rPr>
        <w:t>）</w:t>
      </w:r>
    </w:p>
    <w:p w14:paraId="18CC5C09">
      <w:pPr>
        <w:ind w:left="718" w:leftChars="342" w:firstLine="1417" w:firstLineChars="675"/>
        <w:rPr>
          <w:rFonts w:hint="eastAsia"/>
          <w:szCs w:val="21"/>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宣传培训服务方案</w:t>
      </w:r>
      <w:r>
        <w:rPr>
          <w:rFonts w:hint="eastAsia"/>
          <w:szCs w:val="21"/>
          <w:lang w:eastAsia="zh-CN"/>
        </w:rPr>
        <w:t>（</w:t>
      </w:r>
      <w:r>
        <w:rPr>
          <w:rFonts w:hint="eastAsia"/>
          <w:szCs w:val="21"/>
          <w:lang w:val="en-US" w:eastAsia="zh-CN"/>
        </w:rPr>
        <w:t>格式自拟</w:t>
      </w:r>
      <w:r>
        <w:rPr>
          <w:rFonts w:hint="eastAsia"/>
          <w:szCs w:val="21"/>
          <w:lang w:eastAsia="zh-CN"/>
        </w:rPr>
        <w:t>）</w:t>
      </w:r>
    </w:p>
    <w:p w14:paraId="079C2EF6">
      <w:pPr>
        <w:ind w:left="718" w:leftChars="342" w:firstLine="1417" w:firstLineChars="675"/>
        <w:rPr>
          <w:rFonts w:hint="eastAsia"/>
          <w:szCs w:val="21"/>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rPr>
        <w:t>承诺结案率</w:t>
      </w:r>
      <w:r>
        <w:rPr>
          <w:rFonts w:hint="eastAsia"/>
          <w:szCs w:val="21"/>
          <w:lang w:eastAsia="zh-CN"/>
        </w:rPr>
        <w:t>（</w:t>
      </w:r>
      <w:r>
        <w:rPr>
          <w:rFonts w:hint="eastAsia"/>
          <w:szCs w:val="21"/>
          <w:lang w:val="en-US" w:eastAsia="zh-CN"/>
        </w:rPr>
        <w:t>格式自拟</w:t>
      </w:r>
      <w:r>
        <w:rPr>
          <w:rFonts w:hint="eastAsia"/>
          <w:szCs w:val="21"/>
          <w:lang w:eastAsia="zh-CN"/>
        </w:rPr>
        <w:t>）</w:t>
      </w:r>
    </w:p>
    <w:p w14:paraId="370C4DFE">
      <w:pPr>
        <w:ind w:left="718" w:leftChars="342" w:firstLine="1417" w:firstLineChars="675"/>
        <w:rPr>
          <w:rFonts w:hint="eastAsia"/>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rPr>
        <w:t>慰问率</w:t>
      </w:r>
      <w:r>
        <w:rPr>
          <w:rFonts w:hint="eastAsia"/>
          <w:szCs w:val="21"/>
          <w:lang w:eastAsia="zh-CN"/>
        </w:rPr>
        <w:t>（</w:t>
      </w:r>
      <w:r>
        <w:rPr>
          <w:rFonts w:hint="eastAsia"/>
          <w:szCs w:val="21"/>
          <w:lang w:val="en-US" w:eastAsia="zh-CN"/>
        </w:rPr>
        <w:t>格式自拟</w:t>
      </w:r>
      <w:r>
        <w:rPr>
          <w:rFonts w:hint="eastAsia"/>
          <w:szCs w:val="21"/>
          <w:lang w:eastAsia="zh-CN"/>
        </w:rPr>
        <w:t>）</w:t>
      </w:r>
    </w:p>
    <w:p w14:paraId="22FE67E0">
      <w:pPr>
        <w:ind w:left="718" w:leftChars="342" w:firstLine="1417" w:firstLineChars="675"/>
        <w:rPr>
          <w:rFonts w:hint="eastAsia"/>
          <w:szCs w:val="21"/>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szCs w:val="21"/>
        </w:rPr>
        <w:t>合议赔付方案</w:t>
      </w:r>
      <w:r>
        <w:rPr>
          <w:rFonts w:hint="eastAsia"/>
          <w:szCs w:val="21"/>
          <w:lang w:eastAsia="zh-CN"/>
        </w:rPr>
        <w:t>（</w:t>
      </w:r>
      <w:r>
        <w:rPr>
          <w:rFonts w:hint="eastAsia"/>
          <w:szCs w:val="21"/>
          <w:lang w:val="en-US" w:eastAsia="zh-CN"/>
        </w:rPr>
        <w:t>格式自拟</w:t>
      </w:r>
      <w:r>
        <w:rPr>
          <w:rFonts w:hint="eastAsia"/>
          <w:szCs w:val="21"/>
          <w:lang w:eastAsia="zh-CN"/>
        </w:rPr>
        <w:t>）</w:t>
      </w:r>
    </w:p>
    <w:p w14:paraId="177A27F4">
      <w:pPr>
        <w:ind w:left="718" w:leftChars="342" w:firstLine="1417" w:firstLineChars="675"/>
        <w:rPr>
          <w:rFonts w:hint="eastAsia"/>
          <w:szCs w:val="21"/>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拟安排的项目负责人情况（仅限一人）</w:t>
      </w:r>
      <w:r>
        <w:rPr>
          <w:rFonts w:hint="eastAsia"/>
          <w:szCs w:val="21"/>
          <w:lang w:eastAsia="zh-CN"/>
        </w:rPr>
        <w:t>（</w:t>
      </w:r>
      <w:r>
        <w:rPr>
          <w:rFonts w:hint="eastAsia"/>
          <w:szCs w:val="21"/>
          <w:lang w:val="en-US" w:eastAsia="zh-CN"/>
        </w:rPr>
        <w:t>格式自拟</w:t>
      </w:r>
      <w:r>
        <w:rPr>
          <w:rFonts w:hint="eastAsia"/>
          <w:szCs w:val="21"/>
          <w:lang w:eastAsia="zh-CN"/>
        </w:rPr>
        <w:t>）</w:t>
      </w:r>
    </w:p>
    <w:p w14:paraId="50AFB1D0">
      <w:pPr>
        <w:ind w:left="718" w:leftChars="342" w:firstLine="1417" w:firstLineChars="675"/>
        <w:rPr>
          <w:rFonts w:hint="eastAsia"/>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服务团队情况</w:t>
      </w:r>
      <w:r>
        <w:rPr>
          <w:rFonts w:hint="eastAsia"/>
          <w:szCs w:val="21"/>
          <w:lang w:eastAsia="zh-CN"/>
        </w:rPr>
        <w:t>（</w:t>
      </w:r>
      <w:r>
        <w:rPr>
          <w:rFonts w:hint="eastAsia"/>
          <w:szCs w:val="21"/>
          <w:lang w:val="en-US" w:eastAsia="zh-CN"/>
        </w:rPr>
        <w:t>格式自拟</w:t>
      </w:r>
      <w:r>
        <w:rPr>
          <w:rFonts w:hint="eastAsia"/>
          <w:szCs w:val="21"/>
          <w:lang w:eastAsia="zh-CN"/>
        </w:rPr>
        <w:t>）</w:t>
      </w:r>
    </w:p>
    <w:p w14:paraId="2C09FE4B">
      <w:pPr>
        <w:ind w:left="718" w:leftChars="342" w:firstLine="1417" w:firstLineChars="675"/>
        <w:rPr>
          <w:rFonts w:hint="eastAsia"/>
          <w:szCs w:val="21"/>
        </w:rPr>
      </w:pPr>
      <w:r>
        <w:rPr>
          <w:rFonts w:hint="eastAsia"/>
          <w:szCs w:val="21"/>
          <w:lang w:eastAsia="zh-CN"/>
        </w:rPr>
        <w:t>（</w:t>
      </w:r>
      <w:r>
        <w:rPr>
          <w:rFonts w:hint="eastAsia"/>
          <w:szCs w:val="21"/>
          <w:lang w:val="en-US" w:eastAsia="zh-CN"/>
        </w:rPr>
        <w:t>12</w:t>
      </w:r>
      <w:r>
        <w:rPr>
          <w:rFonts w:hint="eastAsia"/>
          <w:szCs w:val="21"/>
          <w:lang w:eastAsia="zh-CN"/>
        </w:rPr>
        <w:t>）</w:t>
      </w:r>
      <w:r>
        <w:rPr>
          <w:rFonts w:hint="eastAsia"/>
          <w:szCs w:val="21"/>
        </w:rPr>
        <w:t>偿付能力充足率</w:t>
      </w:r>
      <w:r>
        <w:rPr>
          <w:rFonts w:hint="eastAsia"/>
          <w:szCs w:val="21"/>
          <w:lang w:eastAsia="zh-CN"/>
        </w:rPr>
        <w:t>（</w:t>
      </w:r>
      <w:r>
        <w:rPr>
          <w:rFonts w:hint="eastAsia"/>
          <w:szCs w:val="21"/>
          <w:lang w:val="en-US" w:eastAsia="zh-CN"/>
        </w:rPr>
        <w:t>格式自拟</w:t>
      </w:r>
      <w:r>
        <w:rPr>
          <w:rFonts w:hint="eastAsia"/>
          <w:szCs w:val="21"/>
          <w:lang w:eastAsia="zh-CN"/>
        </w:rPr>
        <w:t>）</w:t>
      </w:r>
    </w:p>
    <w:p w14:paraId="5EF544EB">
      <w:pPr>
        <w:ind w:left="718" w:leftChars="342" w:firstLine="1417" w:firstLineChars="675"/>
        <w:rPr>
          <w:szCs w:val="21"/>
        </w:rPr>
      </w:pPr>
      <w:r>
        <w:rPr>
          <w:rFonts w:hint="eastAsia"/>
          <w:szCs w:val="21"/>
          <w:lang w:eastAsia="zh-CN"/>
        </w:rPr>
        <w:t>（</w:t>
      </w:r>
      <w:r>
        <w:rPr>
          <w:rFonts w:hint="eastAsia"/>
          <w:szCs w:val="21"/>
          <w:lang w:val="en-US" w:eastAsia="zh-CN"/>
        </w:rPr>
        <w:t>13</w:t>
      </w:r>
      <w:r>
        <w:rPr>
          <w:rFonts w:hint="eastAsia"/>
          <w:szCs w:val="21"/>
          <w:lang w:eastAsia="zh-CN"/>
        </w:rPr>
        <w:t>）</w:t>
      </w:r>
      <w:r>
        <w:rPr>
          <w:rFonts w:hint="eastAsia"/>
          <w:szCs w:val="21"/>
        </w:rPr>
        <w:t>风险综合评级</w:t>
      </w:r>
      <w:r>
        <w:rPr>
          <w:rFonts w:hint="eastAsia"/>
          <w:szCs w:val="21"/>
          <w:lang w:eastAsia="zh-CN"/>
        </w:rPr>
        <w:t>（</w:t>
      </w:r>
      <w:r>
        <w:rPr>
          <w:rFonts w:hint="eastAsia"/>
          <w:szCs w:val="21"/>
          <w:lang w:val="en-US" w:eastAsia="zh-CN"/>
        </w:rPr>
        <w:t>格式自拟</w:t>
      </w:r>
      <w:r>
        <w:rPr>
          <w:rFonts w:hint="eastAsia"/>
          <w:szCs w:val="21"/>
          <w:lang w:eastAsia="zh-CN"/>
        </w:rPr>
        <w:t>）</w:t>
      </w:r>
    </w:p>
    <w:p w14:paraId="764A8818">
      <w:pPr>
        <w:ind w:left="718" w:leftChars="342" w:firstLine="1417" w:firstLineChars="675"/>
        <w:rPr>
          <w:szCs w:val="21"/>
        </w:rPr>
      </w:pPr>
      <w:r>
        <w:rPr>
          <w:rFonts w:hint="eastAsia"/>
          <w:szCs w:val="21"/>
        </w:rPr>
        <w:t>（</w:t>
      </w:r>
      <w:r>
        <w:rPr>
          <w:rFonts w:hint="eastAsia"/>
          <w:szCs w:val="21"/>
          <w:lang w:val="en-US" w:eastAsia="zh-CN"/>
        </w:rPr>
        <w:t>14</w:t>
      </w:r>
      <w:r>
        <w:rPr>
          <w:rFonts w:hint="eastAsia"/>
          <w:szCs w:val="21"/>
        </w:rPr>
        <w:t>）投标人认为需要加以说明的其他内容</w:t>
      </w:r>
    </w:p>
    <w:p w14:paraId="6CDF47D7">
      <w:pPr>
        <w:pStyle w:val="8"/>
      </w:pPr>
    </w:p>
    <w:p w14:paraId="1DCAD94F">
      <w:pPr>
        <w:pStyle w:val="7"/>
        <w:ind w:left="210" w:leftChars="100" w:firstLine="781" w:firstLineChars="372"/>
        <w:rPr>
          <w:rFonts w:ascii="宋体" w:hAnsi="宋体"/>
          <w:szCs w:val="21"/>
        </w:rPr>
      </w:pPr>
    </w:p>
    <w:p w14:paraId="2D3E49CC">
      <w:pPr>
        <w:rPr>
          <w:rFonts w:ascii="仿宋_GB2312" w:eastAsia="仿宋_GB2312"/>
          <w:sz w:val="24"/>
        </w:rPr>
      </w:pPr>
    </w:p>
    <w:p w14:paraId="547A2939">
      <w:pPr>
        <w:ind w:firstLine="426" w:firstLineChars="202"/>
        <w:rPr>
          <w:rFonts w:ascii="宋体" w:hAnsi="宋体"/>
          <w:b/>
          <w:szCs w:val="21"/>
        </w:rPr>
      </w:pPr>
      <w:r>
        <w:rPr>
          <w:rFonts w:hint="eastAsia" w:ascii="宋体" w:hAnsi="宋体"/>
          <w:b/>
          <w:szCs w:val="21"/>
        </w:rPr>
        <w:t>备注：</w:t>
      </w:r>
    </w:p>
    <w:p w14:paraId="58313D0B">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9547ECD">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19C51B2D">
      <w:pPr>
        <w:rPr>
          <w:rFonts w:ascii="仿宋_GB2312" w:eastAsia="仿宋_GB2312"/>
          <w:sz w:val="24"/>
        </w:rPr>
      </w:pPr>
    </w:p>
    <w:p w14:paraId="3BB5B496">
      <w:pPr>
        <w:rPr>
          <w:rFonts w:ascii="宋体" w:hAnsi="宋体"/>
          <w:b/>
          <w:szCs w:val="21"/>
        </w:rPr>
      </w:pPr>
    </w:p>
    <w:p w14:paraId="6F8EE443">
      <w:pPr>
        <w:rPr>
          <w:rFonts w:ascii="宋体" w:hAnsi="宋体"/>
          <w:b/>
          <w:szCs w:val="21"/>
        </w:rPr>
      </w:pPr>
    </w:p>
    <w:p w14:paraId="45A59B85">
      <w:pPr>
        <w:jc w:val="left"/>
        <w:rPr>
          <w:rFonts w:ascii="宋体" w:hAnsi="宋体"/>
          <w:b/>
          <w:color w:val="FF0000"/>
          <w:sz w:val="36"/>
          <w:szCs w:val="36"/>
        </w:rPr>
      </w:pPr>
      <w:r>
        <w:rPr>
          <w:rFonts w:hint="eastAsia" w:ascii="宋体" w:hAnsi="宋体"/>
          <w:b/>
          <w:color w:val="FF0000"/>
          <w:sz w:val="36"/>
          <w:szCs w:val="36"/>
        </w:rPr>
        <w:br w:type="page"/>
      </w:r>
    </w:p>
    <w:p w14:paraId="43A55043">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5D357D60">
      <w:pPr>
        <w:pStyle w:val="3"/>
        <w:jc w:val="center"/>
        <w:rPr>
          <w:rFonts w:ascii="黑体" w:eastAsia="黑体"/>
          <w:b w:val="0"/>
          <w:kern w:val="0"/>
          <w:sz w:val="24"/>
        </w:rPr>
      </w:pPr>
      <w:r>
        <w:rPr>
          <w:rFonts w:hint="eastAsia" w:ascii="黑体" w:eastAsia="黑体"/>
          <w:b w:val="0"/>
          <w:kern w:val="0"/>
          <w:sz w:val="24"/>
        </w:rPr>
        <w:t>一、投标函</w:t>
      </w:r>
    </w:p>
    <w:p w14:paraId="1CFFEB61">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7490CBF9">
      <w:pPr>
        <w:ind w:firstLine="420" w:firstLineChars="200"/>
        <w:rPr>
          <w:rFonts w:ascii="宋体" w:hAnsi="宋体"/>
          <w:szCs w:val="21"/>
        </w:rPr>
      </w:pPr>
      <w:bookmarkStart w:id="43" w:name="_Hlk73818812"/>
      <w:r>
        <w:rPr>
          <w:rFonts w:hint="eastAsia"/>
          <w:szCs w:val="21"/>
        </w:rPr>
        <w:t>1、根据已收到贵单位的</w:t>
      </w:r>
      <w:r>
        <w:rPr>
          <w:rFonts w:hint="eastAsia"/>
          <w:color w:val="FF0000"/>
          <w:szCs w:val="21"/>
        </w:rPr>
        <w:t>项目编号为</w:t>
      </w:r>
      <w:r>
        <w:rPr>
          <w:rFonts w:hint="eastAsia"/>
          <w:color w:val="FF0000"/>
          <w:szCs w:val="21"/>
          <w:u w:val="single"/>
          <w:lang w:eastAsia="zh-CN"/>
        </w:rPr>
        <w:t>YTZXCG-2025-00031</w:t>
      </w:r>
      <w:r>
        <w:rPr>
          <w:rFonts w:hint="eastAsia"/>
          <w:color w:val="FF0000"/>
          <w:szCs w:val="21"/>
        </w:rPr>
        <w:t>的</w:t>
      </w:r>
      <w:r>
        <w:rPr>
          <w:rFonts w:hint="eastAsia"/>
          <w:color w:val="FF0000"/>
          <w:szCs w:val="21"/>
          <w:u w:val="single"/>
        </w:rPr>
        <w:t>2025年盐田区60周岁以上户籍老人意外伤害和意外医疗保险购买工作项目</w:t>
      </w:r>
      <w:r>
        <w:rPr>
          <w:rFonts w:hint="eastAsia"/>
          <w:szCs w:val="21"/>
        </w:rPr>
        <w:t>的招标文件，遵照《深圳经济特区政府采购条例》和《深圳网上政府采购管理暂行办法》等有关规定，我单位经研究上述招标文件的专用条款及通用条款后，</w:t>
      </w:r>
      <w:bookmarkStart w:id="44" w:name="_Hlk72263588"/>
      <w:r>
        <w:rPr>
          <w:rFonts w:hint="eastAsia"/>
          <w:szCs w:val="21"/>
        </w:rPr>
        <w:t>愿意按照招标文件要求承包上述项目并修补其任何缺陷。</w:t>
      </w:r>
      <w:bookmarkEnd w:id="44"/>
    </w:p>
    <w:p w14:paraId="11A1D9C2">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51F3100">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4236635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F779F6B">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5964E06">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3"/>
    </w:p>
    <w:p w14:paraId="10DBBC65">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4C599BA">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075DFB08">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07A689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3C4C14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2555619">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ADA4827">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467ECC28">
      <w:pPr>
        <w:ind w:left="420" w:leftChars="200"/>
        <w:rPr>
          <w:sz w:val="24"/>
        </w:rPr>
      </w:pPr>
      <w:r>
        <w:rPr>
          <w:rFonts w:hint="eastAsia"/>
          <w:sz w:val="24"/>
        </w:rPr>
        <w:t xml:space="preserve">           </w:t>
      </w:r>
    </w:p>
    <w:p w14:paraId="254CE932">
      <w:pPr>
        <w:rPr>
          <w:rFonts w:ascii="黑体" w:hAnsi="宋体" w:eastAsia="黑体"/>
        </w:rPr>
      </w:pPr>
    </w:p>
    <w:p w14:paraId="5157244E">
      <w:pPr>
        <w:rPr>
          <w:rFonts w:ascii="宋体" w:hAnsi="宋体"/>
          <w:szCs w:val="21"/>
        </w:rPr>
      </w:pPr>
    </w:p>
    <w:p w14:paraId="69C3828F">
      <w:pPr>
        <w:widowControl/>
        <w:jc w:val="left"/>
        <w:rPr>
          <w:rFonts w:ascii="黑体" w:hAnsi="宋体" w:eastAsia="黑体"/>
          <w:bCs/>
          <w:kern w:val="0"/>
          <w:sz w:val="24"/>
          <w:szCs w:val="32"/>
        </w:rPr>
      </w:pPr>
      <w:r>
        <w:rPr>
          <w:rFonts w:ascii="黑体" w:eastAsia="黑体"/>
          <w:b/>
          <w:kern w:val="0"/>
          <w:sz w:val="24"/>
        </w:rPr>
        <w:br w:type="page"/>
      </w:r>
    </w:p>
    <w:p w14:paraId="03AAD2E6">
      <w:pPr>
        <w:pStyle w:val="3"/>
        <w:jc w:val="center"/>
        <w:rPr>
          <w:rFonts w:ascii="黑体" w:eastAsia="黑体"/>
          <w:b w:val="0"/>
          <w:kern w:val="0"/>
          <w:sz w:val="24"/>
        </w:rPr>
      </w:pPr>
      <w:r>
        <w:rPr>
          <w:rFonts w:hint="eastAsia" w:ascii="黑体" w:eastAsia="黑体"/>
          <w:b w:val="0"/>
          <w:kern w:val="0"/>
          <w:sz w:val="24"/>
        </w:rPr>
        <w:t>二、政府采购投标及履约承诺函</w:t>
      </w:r>
    </w:p>
    <w:p w14:paraId="327C952E">
      <w:pPr>
        <w:rPr>
          <w:rFonts w:ascii="宋体" w:hAnsi="宋体"/>
          <w:sz w:val="24"/>
        </w:rPr>
      </w:pPr>
    </w:p>
    <w:p w14:paraId="562A4C3F">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76C2C613">
      <w:pPr>
        <w:ind w:right="-815" w:firstLine="420" w:firstLineChars="200"/>
        <w:rPr>
          <w:rFonts w:ascii="宋体" w:hAnsi="宋体"/>
          <w:szCs w:val="21"/>
        </w:rPr>
      </w:pPr>
      <w:r>
        <w:rPr>
          <w:rFonts w:hint="eastAsia" w:ascii="宋体" w:hAnsi="宋体"/>
          <w:szCs w:val="21"/>
        </w:rPr>
        <w:t>我单位承诺：</w:t>
      </w:r>
    </w:p>
    <w:p w14:paraId="1231140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582E8722">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51416348">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0ED80CB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F4419E3">
      <w:pPr>
        <w:ind w:firstLine="420" w:firstLineChars="200"/>
      </w:pPr>
      <w:r>
        <w:rPr>
          <w:rFonts w:hint="eastAsia"/>
          <w:color w:val="FF0000"/>
        </w:rPr>
        <w:t>5.我单位不存在《深圳市财政局政府采购供应商信用信息管理办法》（深财规〔2023〕3号）列明的严重违法失信行为。</w:t>
      </w:r>
    </w:p>
    <w:p w14:paraId="63B5B2B0">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B70BABD">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2933DCE">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E22FD76">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5D5FFC">
      <w:pPr>
        <w:ind w:firstLine="420" w:firstLineChars="200"/>
        <w:rPr>
          <w:rFonts w:ascii="宋体" w:hAnsi="宋体"/>
          <w:szCs w:val="21"/>
        </w:rPr>
      </w:pPr>
      <w:r>
        <w:rPr>
          <w:rFonts w:hint="eastAsia" w:ascii="宋体" w:hAnsi="宋体"/>
          <w:szCs w:val="21"/>
        </w:rPr>
        <w:t>9.我单位承诺中标后项目不转包，未经采购人同意不进行分包。</w:t>
      </w:r>
    </w:p>
    <w:p w14:paraId="05890E04">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2CFAEF6">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33F1020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78A8AE6">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07F78EA">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494201F">
      <w:pPr>
        <w:pStyle w:val="8"/>
        <w:ind w:firstLine="482" w:firstLineChars="200"/>
        <w:rPr>
          <w:rFonts w:ascii="宋体" w:hAnsi="宋体"/>
        </w:rPr>
      </w:pPr>
    </w:p>
    <w:p w14:paraId="72B35433">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7BA0237">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2B9330C7">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C6EF1EE">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112C9E39">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A1AE6A2">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7C2A29D0">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4D7F7971">
      <w:pPr>
        <w:spacing w:before="120" w:beforeLines="50"/>
        <w:ind w:firstLine="422" w:firstLineChars="200"/>
        <w:rPr>
          <w:bCs/>
        </w:rPr>
      </w:pPr>
      <w:r>
        <w:rPr>
          <w:rFonts w:hint="eastAsia"/>
          <w:b/>
          <w:bCs/>
          <w:color w:val="FF0000"/>
        </w:rPr>
        <w:t>1、资格证明材料：</w:t>
      </w:r>
      <w:r>
        <w:rPr>
          <w:bCs/>
        </w:rPr>
        <w:t xml:space="preserve"> </w:t>
      </w:r>
    </w:p>
    <w:p w14:paraId="70E69171">
      <w:pPr>
        <w:rPr>
          <w:b/>
          <w:sz w:val="24"/>
        </w:rPr>
      </w:pPr>
    </w:p>
    <w:p w14:paraId="7959FF0A">
      <w:pPr>
        <w:ind w:firstLine="482" w:firstLineChars="200"/>
        <w:rPr>
          <w:b/>
          <w:sz w:val="24"/>
        </w:rPr>
      </w:pPr>
    </w:p>
    <w:p w14:paraId="4D891B5E">
      <w:pPr>
        <w:ind w:firstLine="482" w:firstLineChars="200"/>
        <w:rPr>
          <w:b/>
          <w:sz w:val="24"/>
        </w:rPr>
      </w:pPr>
    </w:p>
    <w:p w14:paraId="4D3DACAC">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8023421">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2DDC4699">
      <w:pPr>
        <w:ind w:firstLine="420" w:firstLineChars="200"/>
        <w:rPr>
          <w:rFonts w:ascii="黑体" w:hAnsi="黑体" w:eastAsia="黑体"/>
          <w:color w:val="FF0000"/>
          <w:highlight w:val="yellow"/>
        </w:rPr>
      </w:pPr>
    </w:p>
    <w:p w14:paraId="1B0905CF">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0E3931B7">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04C07587">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0042986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3509AD8">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0026F129">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D01270A">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6689F056">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610B4971">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B3CAAC9">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22F3CF91">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5224F523">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2B1EB905">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40183D3">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48DEA074">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CA744E">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181B832">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86F8460">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0B42EF7F">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7113E59C">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0237938D">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5F53721C">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4FD0BA3F">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75B27266">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24D44D00">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34B91E34">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049F1AFF">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1739B3F2">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3E1C2D2">
      <w:pPr>
        <w:ind w:firstLine="420" w:firstLineChars="200"/>
        <w:rPr>
          <w:rFonts w:ascii="黑体" w:hAnsi="黑体" w:eastAsia="黑体"/>
          <w:color w:val="FF0000"/>
        </w:rPr>
      </w:pPr>
    </w:p>
    <w:p w14:paraId="2A72E9F8"/>
    <w:p w14:paraId="581A719A"/>
    <w:p w14:paraId="718B1A65">
      <w:pPr>
        <w:spacing w:line="320" w:lineRule="exact"/>
        <w:jc w:val="center"/>
        <w:rPr>
          <w:b/>
        </w:rPr>
      </w:pPr>
      <w:r>
        <w:rPr>
          <w:rFonts w:hint="eastAsia"/>
          <w:b/>
        </w:rPr>
        <w:t>1、</w:t>
      </w:r>
      <w:r>
        <w:rPr>
          <w:b/>
        </w:rPr>
        <w:t>中小企业声明函（</w:t>
      </w:r>
      <w:r>
        <w:rPr>
          <w:rFonts w:hint="eastAsia"/>
          <w:b/>
        </w:rPr>
        <w:t>服务</w:t>
      </w:r>
      <w:r>
        <w:rPr>
          <w:b/>
        </w:rPr>
        <w:t>）</w:t>
      </w:r>
    </w:p>
    <w:p w14:paraId="55F5E803">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bCs/>
          <w:u w:val="single"/>
        </w:rPr>
        <w:t>深圳市盐田区民政局</w:t>
      </w:r>
      <w:r>
        <w:rPr>
          <w:rFonts w:hint="eastAsia"/>
        </w:rPr>
        <w:t>的</w:t>
      </w:r>
      <w:r>
        <w:rPr>
          <w:rFonts w:hint="eastAsia"/>
          <w:b/>
          <w:bCs/>
          <w:u w:val="single"/>
        </w:rPr>
        <w:t>2025年盐田区60周岁以上户籍老人意外伤害和意外医疗保险购买工作项目</w:t>
      </w:r>
      <w:r>
        <w:rPr>
          <w:rFonts w:hint="eastAsia"/>
        </w:rPr>
        <w:t>采购活动，服务全部由符合政策要求的中小企业承接。相关企业（含联合体中的中小企业、签订分包意向协议的中小企业）的具体情况如下：</w:t>
      </w:r>
    </w:p>
    <w:p w14:paraId="404AC024">
      <w:pPr>
        <w:spacing w:line="320" w:lineRule="exact"/>
        <w:ind w:firstLine="420" w:firstLineChars="200"/>
      </w:pPr>
      <w:r>
        <w:rPr>
          <w:rFonts w:hint="eastAsia"/>
        </w:rPr>
        <w:t>1.</w:t>
      </w:r>
      <w:r>
        <w:rPr>
          <w:rFonts w:hint="eastAsia"/>
          <w:b/>
          <w:u w:val="single"/>
        </w:rPr>
        <w:t xml:space="preserve">    （标的名称）    </w:t>
      </w:r>
      <w:r>
        <w:rPr>
          <w:rFonts w:hint="eastAsia"/>
        </w:rPr>
        <w:t xml:space="preserve"> ，属于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0F1D96DA">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AE7CDD1">
      <w:pPr>
        <w:spacing w:line="320" w:lineRule="exact"/>
        <w:ind w:firstLine="420" w:firstLineChars="200"/>
      </w:pPr>
      <w:r>
        <w:rPr>
          <w:rFonts w:hint="eastAsia"/>
        </w:rPr>
        <w:t>……</w:t>
      </w:r>
    </w:p>
    <w:p w14:paraId="1BF3F2CF">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4770E37B">
      <w:pPr>
        <w:spacing w:line="320" w:lineRule="exact"/>
        <w:ind w:firstLine="420" w:firstLineChars="200"/>
      </w:pPr>
      <w:r>
        <w:rPr>
          <w:rFonts w:hint="eastAsia"/>
        </w:rPr>
        <w:t>本企业对上述声明内容的真实性负责。如有虚假，将依法承担相应责任。</w:t>
      </w:r>
    </w:p>
    <w:p w14:paraId="63FB1821">
      <w:pPr>
        <w:spacing w:line="320" w:lineRule="exact"/>
        <w:ind w:firstLine="420" w:firstLineChars="200"/>
      </w:pPr>
      <w:bookmarkStart w:id="45"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5"/>
    </w:p>
    <w:p w14:paraId="4A7C165C">
      <w:pPr>
        <w:spacing w:line="320" w:lineRule="exact"/>
      </w:pPr>
    </w:p>
    <w:p w14:paraId="790BCE48">
      <w:pPr>
        <w:spacing w:line="320" w:lineRule="exact"/>
        <w:jc w:val="center"/>
        <w:rPr>
          <w:b/>
        </w:rPr>
      </w:pPr>
      <w:r>
        <w:rPr>
          <w:rFonts w:hint="eastAsia"/>
          <w:b/>
        </w:rPr>
        <w:t>2、残疾人福利性单位声明函（服务类）</w:t>
      </w:r>
    </w:p>
    <w:p w14:paraId="33EBAD25">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bCs/>
          <w:u w:val="single"/>
        </w:rPr>
        <w:t>深圳市盐田区民政局</w:t>
      </w:r>
      <w:r>
        <w:rPr>
          <w:rFonts w:hint="eastAsia"/>
        </w:rPr>
        <w:t>的</w:t>
      </w:r>
      <w:r>
        <w:rPr>
          <w:rFonts w:hint="eastAsia"/>
          <w:b/>
          <w:bCs/>
          <w:u w:val="single"/>
        </w:rPr>
        <w:t>2025年盐田区60周岁以上户籍老人意外伤害和意外医疗保险购买工作项目</w:t>
      </w:r>
      <w:r>
        <w:rPr>
          <w:rFonts w:hint="eastAsia"/>
        </w:rPr>
        <w:t>采购活动由本单位提供服务。</w:t>
      </w:r>
    </w:p>
    <w:p w14:paraId="0BF498D6">
      <w:pPr>
        <w:spacing w:line="320" w:lineRule="exact"/>
        <w:ind w:firstLine="420" w:firstLineChars="200"/>
      </w:pPr>
      <w:r>
        <w:rPr>
          <w:rFonts w:hint="eastAsia"/>
        </w:rPr>
        <w:t>本单位对上述声明的真实性负责。如有虚假，将依法承担相应责任。</w:t>
      </w:r>
    </w:p>
    <w:p w14:paraId="23235206">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2F171A00">
      <w:pPr>
        <w:spacing w:line="320" w:lineRule="exact"/>
      </w:pPr>
    </w:p>
    <w:p w14:paraId="4F1199BE">
      <w:pPr>
        <w:spacing w:line="320" w:lineRule="exact"/>
        <w:jc w:val="center"/>
        <w:rPr>
          <w:b/>
        </w:rPr>
      </w:pPr>
      <w:r>
        <w:rPr>
          <w:rFonts w:hint="eastAsia"/>
          <w:b/>
        </w:rPr>
        <w:t>3、监狱企业声明函</w:t>
      </w:r>
    </w:p>
    <w:p w14:paraId="3DEA1AA3">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08C83076">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rFonts w:hint="eastAsia"/>
          <w:b/>
          <w:bCs/>
          <w:u w:val="single"/>
        </w:rPr>
        <w:t>深圳市盐田区民政局</w:t>
      </w:r>
      <w:r>
        <w:rPr>
          <w:rFonts w:hint="eastAsia"/>
        </w:rPr>
        <w:t>的</w:t>
      </w:r>
      <w:r>
        <w:rPr>
          <w:rFonts w:hint="eastAsia"/>
          <w:b/>
          <w:bCs/>
          <w:u w:val="single"/>
        </w:rPr>
        <w:t>2025年盐田区60周岁以上户籍老人意外伤害和意外医疗保险购买工作项目</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7F041A62">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6A4DD492">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0A22AFAF">
      <w:pPr>
        <w:spacing w:line="320" w:lineRule="exact"/>
        <w:ind w:firstLine="420" w:firstLineChars="200"/>
      </w:pPr>
      <w:r>
        <w:t xml:space="preserve">…… </w:t>
      </w:r>
    </w:p>
    <w:p w14:paraId="608AD8CE">
      <w:pPr>
        <w:spacing w:line="320" w:lineRule="exact"/>
        <w:ind w:firstLine="420" w:firstLineChars="200"/>
      </w:pPr>
      <w:r>
        <w:t>本</w:t>
      </w:r>
      <w:r>
        <w:rPr>
          <w:rFonts w:hint="eastAsia"/>
        </w:rPr>
        <w:t>投标人</w:t>
      </w:r>
      <w:r>
        <w:t>对上述声明内容的真实性负责。如有虚假，将依法承担相应责任。</w:t>
      </w:r>
    </w:p>
    <w:p w14:paraId="3882747A">
      <w:pPr>
        <w:spacing w:line="320" w:lineRule="exact"/>
        <w:ind w:firstLine="420" w:firstLineChars="200"/>
      </w:pPr>
      <w:r>
        <w:rPr>
          <w:rFonts w:hint="eastAsia"/>
        </w:rPr>
        <w:t>附：省级以上监狱管理局、戒毒管理局（含新疆生产建设兵团）出具的监狱企业证明文件。</w:t>
      </w:r>
    </w:p>
    <w:p w14:paraId="2E48DF50">
      <w:pPr>
        <w:widowControl/>
        <w:jc w:val="left"/>
        <w:rPr>
          <w:rFonts w:ascii="黑体" w:hAnsi="宋体" w:eastAsia="黑体"/>
          <w:bCs/>
          <w:sz w:val="24"/>
        </w:rPr>
      </w:pPr>
      <w:r>
        <w:rPr>
          <w:rFonts w:ascii="黑体" w:eastAsia="黑体"/>
          <w:b/>
          <w:sz w:val="24"/>
        </w:rPr>
        <w:br w:type="page"/>
      </w:r>
    </w:p>
    <w:p w14:paraId="1E44AA4E">
      <w:pPr>
        <w:pStyle w:val="3"/>
        <w:jc w:val="center"/>
        <w:rPr>
          <w:rFonts w:ascii="黑体" w:eastAsia="黑体"/>
          <w:b w:val="0"/>
          <w:sz w:val="24"/>
          <w:szCs w:val="24"/>
        </w:rPr>
      </w:pPr>
      <w:r>
        <w:rPr>
          <w:rFonts w:hint="eastAsia" w:ascii="黑体" w:eastAsia="黑体"/>
          <w:b w:val="0"/>
          <w:sz w:val="24"/>
          <w:szCs w:val="24"/>
        </w:rPr>
        <w:t>四、项目详细报价</w:t>
      </w:r>
    </w:p>
    <w:p w14:paraId="16300359">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40976DA5">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B7B41B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113CB2BC">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67FFBC95">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02D4171C">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1AD5CA1">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CF1A3C3">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4AD4D9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3AF7F5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2D2E26E">
            <w:pPr>
              <w:widowControl/>
              <w:jc w:val="left"/>
              <w:rPr>
                <w:rFonts w:ascii="宋体" w:hAnsi="宋体" w:cs="宋体"/>
                <w:kern w:val="0"/>
                <w:sz w:val="20"/>
                <w:szCs w:val="20"/>
              </w:rPr>
            </w:pPr>
          </w:p>
        </w:tc>
      </w:tr>
      <w:tr w14:paraId="3D2BFBD8">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5D0B035A">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2464898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1B5C92E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4AE98F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1F40AFA">
            <w:pPr>
              <w:widowControl/>
              <w:jc w:val="left"/>
              <w:rPr>
                <w:rFonts w:ascii="宋体" w:hAnsi="宋体" w:cs="宋体"/>
                <w:kern w:val="0"/>
                <w:sz w:val="20"/>
                <w:szCs w:val="20"/>
              </w:rPr>
            </w:pPr>
            <w:r>
              <w:rPr>
                <w:rFonts w:hint="eastAsia" w:ascii="宋体" w:hAnsi="宋体" w:cs="宋体"/>
                <w:kern w:val="0"/>
                <w:sz w:val="20"/>
                <w:szCs w:val="20"/>
              </w:rPr>
              <w:t>　</w:t>
            </w:r>
          </w:p>
        </w:tc>
      </w:tr>
      <w:tr w14:paraId="5DF3B6A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21C0F5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BA183A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6CAA08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3B0169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E1AD934">
            <w:pPr>
              <w:jc w:val="left"/>
              <w:rPr>
                <w:rFonts w:ascii="宋体" w:hAnsi="宋体" w:cs="宋体"/>
                <w:kern w:val="0"/>
                <w:sz w:val="20"/>
                <w:szCs w:val="20"/>
              </w:rPr>
            </w:pPr>
          </w:p>
        </w:tc>
      </w:tr>
      <w:tr w14:paraId="5F6F1D2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A5FA53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D555CD5">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294E24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BC60E9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1428B85">
            <w:pPr>
              <w:jc w:val="left"/>
              <w:rPr>
                <w:rFonts w:ascii="宋体" w:hAnsi="宋体" w:cs="宋体"/>
                <w:kern w:val="0"/>
                <w:sz w:val="20"/>
                <w:szCs w:val="20"/>
              </w:rPr>
            </w:pPr>
          </w:p>
        </w:tc>
      </w:tr>
      <w:tr w14:paraId="7BD8B782">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FAA9CED">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E70CF8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08CDBA4">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93AA82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9F3556">
            <w:pPr>
              <w:jc w:val="left"/>
              <w:rPr>
                <w:rFonts w:ascii="宋体" w:hAnsi="宋体" w:cs="宋体"/>
                <w:kern w:val="0"/>
                <w:sz w:val="20"/>
                <w:szCs w:val="20"/>
              </w:rPr>
            </w:pPr>
          </w:p>
        </w:tc>
      </w:tr>
      <w:tr w14:paraId="6DD7645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41C7EE5">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AC2987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DD2C0E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B09B2F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F23289B">
            <w:pPr>
              <w:jc w:val="left"/>
              <w:rPr>
                <w:rFonts w:ascii="宋体" w:hAnsi="宋体" w:cs="宋体"/>
                <w:kern w:val="0"/>
                <w:sz w:val="20"/>
                <w:szCs w:val="20"/>
              </w:rPr>
            </w:pPr>
          </w:p>
        </w:tc>
      </w:tr>
      <w:tr w14:paraId="7598202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46022F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1A0EB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1911AD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78BFB2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56A9A394">
            <w:pPr>
              <w:widowControl/>
              <w:jc w:val="left"/>
              <w:rPr>
                <w:rFonts w:ascii="宋体" w:hAnsi="宋体" w:cs="宋体"/>
                <w:kern w:val="0"/>
                <w:sz w:val="20"/>
                <w:szCs w:val="20"/>
              </w:rPr>
            </w:pPr>
          </w:p>
        </w:tc>
      </w:tr>
      <w:tr w14:paraId="744B7012">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36D9B2D">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6BBBBC3">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23579A2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1221F97">
            <w:pPr>
              <w:widowControl/>
              <w:jc w:val="left"/>
              <w:rPr>
                <w:rFonts w:ascii="宋体" w:hAnsi="宋体" w:cs="宋体"/>
                <w:kern w:val="0"/>
                <w:sz w:val="20"/>
                <w:szCs w:val="20"/>
              </w:rPr>
            </w:pPr>
            <w:r>
              <w:rPr>
                <w:rFonts w:hint="eastAsia" w:ascii="宋体" w:hAnsi="宋体" w:cs="宋体"/>
                <w:kern w:val="0"/>
                <w:sz w:val="20"/>
                <w:szCs w:val="20"/>
              </w:rPr>
              <w:t>　</w:t>
            </w:r>
          </w:p>
        </w:tc>
      </w:tr>
      <w:tr w14:paraId="4B631D28">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3C6F9917">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2414AC0D">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B1EC965">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B1401A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2C17BB2">
            <w:pPr>
              <w:widowControl/>
              <w:jc w:val="left"/>
              <w:rPr>
                <w:rFonts w:ascii="宋体" w:hAnsi="宋体" w:cs="宋体"/>
                <w:kern w:val="0"/>
                <w:sz w:val="20"/>
                <w:szCs w:val="20"/>
              </w:rPr>
            </w:pPr>
          </w:p>
        </w:tc>
      </w:tr>
      <w:tr w14:paraId="2F1C46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5FC91C1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75C761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6BBDDE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3BB9433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17AF609">
            <w:pPr>
              <w:widowControl/>
              <w:jc w:val="left"/>
              <w:rPr>
                <w:rFonts w:ascii="宋体" w:hAnsi="宋体" w:cs="宋体"/>
                <w:kern w:val="0"/>
                <w:sz w:val="20"/>
                <w:szCs w:val="20"/>
              </w:rPr>
            </w:pPr>
          </w:p>
        </w:tc>
      </w:tr>
      <w:tr w14:paraId="7929C19A">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50A4C8C">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A7362B3">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2F6B93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956CCDD">
            <w:pPr>
              <w:widowControl/>
              <w:jc w:val="left"/>
              <w:rPr>
                <w:rFonts w:ascii="宋体" w:hAnsi="宋体" w:cs="宋体"/>
                <w:kern w:val="0"/>
                <w:sz w:val="20"/>
                <w:szCs w:val="20"/>
              </w:rPr>
            </w:pPr>
            <w:r>
              <w:rPr>
                <w:rFonts w:hint="eastAsia" w:ascii="宋体" w:hAnsi="宋体" w:cs="宋体"/>
                <w:kern w:val="0"/>
                <w:sz w:val="20"/>
                <w:szCs w:val="20"/>
              </w:rPr>
              <w:t>　</w:t>
            </w:r>
          </w:p>
        </w:tc>
      </w:tr>
      <w:tr w14:paraId="12BF09DE">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7F345E6">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46A43A9">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3998BA39">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1A2C01">
            <w:pPr>
              <w:widowControl/>
              <w:jc w:val="left"/>
              <w:rPr>
                <w:rFonts w:ascii="宋体" w:hAnsi="宋体" w:cs="宋体"/>
                <w:kern w:val="0"/>
                <w:sz w:val="20"/>
                <w:szCs w:val="20"/>
              </w:rPr>
            </w:pPr>
            <w:r>
              <w:rPr>
                <w:rFonts w:hint="eastAsia" w:ascii="宋体" w:hAnsi="宋体" w:cs="宋体"/>
                <w:kern w:val="0"/>
                <w:sz w:val="20"/>
                <w:szCs w:val="20"/>
              </w:rPr>
              <w:t>　</w:t>
            </w:r>
          </w:p>
        </w:tc>
      </w:tr>
      <w:tr w14:paraId="4A9CAC96">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D313A0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32D73ED">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F462410">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319CACCB">
            <w:pPr>
              <w:widowControl/>
              <w:jc w:val="left"/>
              <w:rPr>
                <w:rFonts w:ascii="宋体" w:hAnsi="宋体" w:cs="宋体"/>
                <w:kern w:val="0"/>
                <w:sz w:val="20"/>
                <w:szCs w:val="20"/>
              </w:rPr>
            </w:pPr>
          </w:p>
        </w:tc>
      </w:tr>
      <w:tr w14:paraId="53CFC7B7">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07F5AF0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518D25">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5B7250BC">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D9B4F77">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86844B0">
      <w:pPr>
        <w:ind w:firstLine="420" w:firstLineChars="200"/>
        <w:rPr>
          <w:rFonts w:ascii="宋体" w:hAnsi="宋体"/>
        </w:rPr>
      </w:pPr>
      <w:r>
        <w:rPr>
          <w:rFonts w:hint="eastAsia" w:ascii="宋体" w:hAnsi="宋体"/>
        </w:rPr>
        <w:t>注：1、所有价格应按“招标文件”中规定的货币单位填写；</w:t>
      </w:r>
    </w:p>
    <w:p w14:paraId="2201AA49">
      <w:pPr>
        <w:numPr>
          <w:ilvl w:val="0"/>
          <w:numId w:val="13"/>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1902FEE2">
      <w:pPr>
        <w:rPr>
          <w:rFonts w:hAnsi="宋体"/>
          <w:b/>
          <w:bCs/>
          <w:color w:val="FF0000"/>
          <w:sz w:val="24"/>
        </w:rPr>
      </w:pPr>
    </w:p>
    <w:p w14:paraId="11BD7077">
      <w:pPr>
        <w:pStyle w:val="8"/>
      </w:pPr>
    </w:p>
    <w:p w14:paraId="50E91186">
      <w:pPr>
        <w:tabs>
          <w:tab w:val="left" w:pos="720"/>
        </w:tabs>
        <w:jc w:val="center"/>
        <w:rPr>
          <w:b/>
          <w:sz w:val="24"/>
        </w:rPr>
      </w:pPr>
      <w:r>
        <w:rPr>
          <w:rFonts w:hint="eastAsia"/>
          <w:b/>
          <w:sz w:val="24"/>
        </w:rPr>
        <w:t>（二）</w:t>
      </w:r>
      <w:bookmarkStart w:id="46" w:name="_Hlk72073235"/>
      <w:r>
        <w:rPr>
          <w:rFonts w:hint="eastAsia"/>
          <w:b/>
          <w:sz w:val="24"/>
        </w:rPr>
        <w:t>投标人认为需要涉及的其他内容报价清单</w:t>
      </w:r>
      <w:bookmarkEnd w:id="46"/>
    </w:p>
    <w:p w14:paraId="7DCA7A59">
      <w:pPr>
        <w:rPr>
          <w:b/>
          <w:bCs/>
        </w:rPr>
      </w:pPr>
    </w:p>
    <w:p w14:paraId="170A0195"/>
    <w:p w14:paraId="6BEE4183">
      <w:pPr>
        <w:pStyle w:val="3"/>
        <w:jc w:val="center"/>
        <w:rPr>
          <w:rFonts w:hint="eastAsia" w:ascii="黑体" w:eastAsia="黑体" w:cs="Times New Roman"/>
          <w:b w:val="0"/>
          <w:sz w:val="24"/>
          <w:szCs w:val="24"/>
          <w:lang w:val="en-US" w:eastAsia="zh-CN"/>
        </w:rPr>
      </w:pPr>
      <w:r>
        <w:rPr>
          <w:rFonts w:hint="eastAsia" w:ascii="黑体" w:eastAsia="黑体" w:cs="Times New Roman"/>
          <w:b w:val="0"/>
          <w:sz w:val="24"/>
          <w:szCs w:val="24"/>
          <w:lang w:val="en-US" w:eastAsia="zh-CN"/>
        </w:rPr>
        <w:t>五、</w:t>
      </w:r>
      <w:r>
        <w:rPr>
          <w:rFonts w:hint="eastAsia" w:ascii="黑体" w:eastAsia="黑体" w:cs="Times New Roman"/>
          <w:b w:val="0"/>
          <w:sz w:val="24"/>
          <w:szCs w:val="24"/>
        </w:rPr>
        <w:t>同类项目业绩</w:t>
      </w:r>
      <w:r>
        <w:rPr>
          <w:rFonts w:hint="eastAsia" w:ascii="黑体" w:eastAsia="黑体" w:cs="Times New Roman"/>
          <w:b w:val="0"/>
          <w:sz w:val="24"/>
          <w:szCs w:val="24"/>
          <w:lang w:eastAsia="zh-CN"/>
        </w:rPr>
        <w:t>（</w:t>
      </w:r>
      <w:r>
        <w:rPr>
          <w:rFonts w:hint="eastAsia" w:ascii="黑体" w:eastAsia="黑体" w:cs="Times New Roman"/>
          <w:b w:val="0"/>
          <w:sz w:val="24"/>
          <w:szCs w:val="24"/>
          <w:lang w:val="en-US" w:eastAsia="zh-CN"/>
        </w:rPr>
        <w:t>格式自拟</w:t>
      </w:r>
      <w:r>
        <w:rPr>
          <w:rFonts w:hint="eastAsia" w:ascii="黑体" w:eastAsia="黑体" w:cs="Times New Roman"/>
          <w:b w:val="0"/>
          <w:sz w:val="24"/>
          <w:szCs w:val="24"/>
          <w:lang w:eastAsia="zh-CN"/>
        </w:rPr>
        <w:t>）</w:t>
      </w:r>
    </w:p>
    <w:p w14:paraId="672B6F67">
      <w:pPr>
        <w:pStyle w:val="3"/>
        <w:jc w:val="center"/>
        <w:rPr>
          <w:rFonts w:hint="eastAsia" w:ascii="黑体" w:eastAsia="黑体" w:cs="Times New Roman"/>
          <w:b w:val="0"/>
          <w:sz w:val="24"/>
          <w:szCs w:val="24"/>
          <w:lang w:eastAsia="zh-CN"/>
        </w:rPr>
      </w:pPr>
    </w:p>
    <w:p w14:paraId="039BB9D9">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六、</w:t>
      </w:r>
      <w:r>
        <w:rPr>
          <w:rFonts w:hint="eastAsia" w:ascii="黑体" w:eastAsia="黑体" w:cs="Times New Roman"/>
          <w:b w:val="0"/>
          <w:sz w:val="24"/>
          <w:szCs w:val="24"/>
        </w:rPr>
        <w:t>客户评价情况</w:t>
      </w:r>
      <w:r>
        <w:rPr>
          <w:rFonts w:hint="eastAsia" w:ascii="黑体" w:eastAsia="黑体" w:cs="Times New Roman"/>
          <w:b w:val="0"/>
          <w:sz w:val="24"/>
          <w:szCs w:val="24"/>
          <w:lang w:eastAsia="zh-CN"/>
        </w:rPr>
        <w:t>（</w:t>
      </w:r>
      <w:r>
        <w:rPr>
          <w:rFonts w:hint="eastAsia" w:ascii="黑体" w:eastAsia="黑体" w:cs="Times New Roman"/>
          <w:b w:val="0"/>
          <w:sz w:val="24"/>
          <w:szCs w:val="24"/>
          <w:lang w:val="en-US" w:eastAsia="zh-CN"/>
        </w:rPr>
        <w:t>格式自拟</w:t>
      </w:r>
      <w:r>
        <w:rPr>
          <w:rFonts w:hint="eastAsia" w:ascii="黑体" w:eastAsia="黑体" w:cs="Times New Roman"/>
          <w:b w:val="0"/>
          <w:sz w:val="24"/>
          <w:szCs w:val="24"/>
          <w:lang w:eastAsia="zh-CN"/>
        </w:rPr>
        <w:t>）</w:t>
      </w:r>
    </w:p>
    <w:p w14:paraId="3DDCC4E8">
      <w:pPr>
        <w:pStyle w:val="3"/>
        <w:jc w:val="center"/>
        <w:rPr>
          <w:rFonts w:hint="eastAsia" w:ascii="黑体" w:eastAsia="黑体" w:cs="Times New Roman"/>
          <w:b w:val="0"/>
          <w:sz w:val="24"/>
          <w:szCs w:val="24"/>
          <w:lang w:eastAsia="zh-CN"/>
        </w:rPr>
      </w:pPr>
    </w:p>
    <w:p w14:paraId="02986FA9">
      <w:pPr>
        <w:pStyle w:val="3"/>
        <w:jc w:val="center"/>
        <w:rPr>
          <w:rFonts w:hint="eastAsia" w:ascii="黑体" w:eastAsia="黑体" w:cs="Times New Roman"/>
          <w:b w:val="0"/>
          <w:sz w:val="24"/>
          <w:szCs w:val="24"/>
        </w:rPr>
      </w:pPr>
      <w:r>
        <w:rPr>
          <w:rFonts w:hint="eastAsia" w:ascii="黑体" w:eastAsia="黑体" w:cs="Times New Roman"/>
          <w:b w:val="0"/>
          <w:sz w:val="24"/>
          <w:szCs w:val="24"/>
          <w:lang w:val="en-US" w:eastAsia="zh-CN"/>
        </w:rPr>
        <w:t>七、</w:t>
      </w:r>
      <w:r>
        <w:rPr>
          <w:rFonts w:hint="eastAsia" w:ascii="黑体" w:eastAsia="黑体" w:cs="Times New Roman"/>
          <w:b w:val="0"/>
          <w:sz w:val="24"/>
          <w:szCs w:val="24"/>
        </w:rPr>
        <w:t>本地化服务能力</w:t>
      </w:r>
      <w:r>
        <w:rPr>
          <w:rFonts w:hint="eastAsia" w:ascii="黑体" w:eastAsia="黑体" w:cs="Times New Roman"/>
          <w:b w:val="0"/>
          <w:sz w:val="24"/>
          <w:szCs w:val="24"/>
          <w:lang w:eastAsia="zh-CN"/>
        </w:rPr>
        <w:t>（</w:t>
      </w:r>
      <w:r>
        <w:rPr>
          <w:rFonts w:hint="eastAsia" w:ascii="黑体" w:eastAsia="黑体" w:cs="Times New Roman"/>
          <w:b w:val="0"/>
          <w:sz w:val="24"/>
          <w:szCs w:val="24"/>
          <w:lang w:val="en-US" w:eastAsia="zh-CN"/>
        </w:rPr>
        <w:t>格式自拟</w:t>
      </w:r>
      <w:r>
        <w:rPr>
          <w:rFonts w:hint="eastAsia" w:ascii="黑体" w:eastAsia="黑体" w:cs="Times New Roman"/>
          <w:b w:val="0"/>
          <w:sz w:val="24"/>
          <w:szCs w:val="24"/>
          <w:lang w:eastAsia="zh-CN"/>
        </w:rPr>
        <w:t>）</w:t>
      </w:r>
    </w:p>
    <w:p w14:paraId="3D59753A"/>
    <w:p w14:paraId="0212A360"/>
    <w:p w14:paraId="677FFB1C">
      <w:pPr>
        <w:ind w:firstLine="1446" w:firstLineChars="600"/>
        <w:rPr>
          <w:b/>
          <w:color w:val="FF0000"/>
          <w:sz w:val="24"/>
        </w:rPr>
      </w:pPr>
      <w:r>
        <w:rPr>
          <w:rFonts w:hint="eastAsia"/>
          <w:b/>
          <w:color w:val="FF0000"/>
          <w:sz w:val="24"/>
        </w:rPr>
        <w:t>（信息公开部分的内容到此为止！以下为信息不公开部分。）</w:t>
      </w:r>
    </w:p>
    <w:p w14:paraId="73E038D7">
      <w:pPr>
        <w:jc w:val="center"/>
        <w:rPr>
          <w:b/>
          <w:sz w:val="32"/>
          <w:szCs w:val="32"/>
        </w:rPr>
      </w:pPr>
    </w:p>
    <w:p w14:paraId="2058062D">
      <w:pPr>
        <w:jc w:val="center"/>
        <w:rPr>
          <w:b/>
          <w:sz w:val="32"/>
          <w:szCs w:val="32"/>
        </w:rPr>
      </w:pPr>
    </w:p>
    <w:p w14:paraId="7D4E67F0">
      <w:pPr>
        <w:jc w:val="center"/>
        <w:rPr>
          <w:b/>
          <w:sz w:val="32"/>
          <w:szCs w:val="32"/>
        </w:rPr>
      </w:pPr>
    </w:p>
    <w:p w14:paraId="26A8D3C7">
      <w:pPr>
        <w:jc w:val="center"/>
        <w:rPr>
          <w:b/>
          <w:sz w:val="32"/>
          <w:szCs w:val="32"/>
        </w:rPr>
      </w:pPr>
    </w:p>
    <w:p w14:paraId="69A0DE22">
      <w:pPr>
        <w:jc w:val="center"/>
        <w:rPr>
          <w:b/>
          <w:sz w:val="32"/>
          <w:szCs w:val="32"/>
        </w:rPr>
      </w:pPr>
    </w:p>
    <w:p w14:paraId="65079EB8">
      <w:pPr>
        <w:jc w:val="center"/>
        <w:rPr>
          <w:b/>
          <w:sz w:val="32"/>
          <w:szCs w:val="32"/>
        </w:rPr>
      </w:pPr>
    </w:p>
    <w:p w14:paraId="2B8C154E">
      <w:pPr>
        <w:widowControl/>
        <w:jc w:val="left"/>
        <w:rPr>
          <w:rFonts w:ascii="宋体" w:hAnsi="宋体"/>
          <w:b/>
          <w:color w:val="FF0000"/>
          <w:sz w:val="28"/>
          <w:szCs w:val="28"/>
        </w:rPr>
      </w:pPr>
      <w:r>
        <w:rPr>
          <w:rFonts w:ascii="宋体" w:hAnsi="宋体"/>
          <w:b/>
          <w:color w:val="FF0000"/>
          <w:sz w:val="28"/>
          <w:szCs w:val="28"/>
        </w:rPr>
        <w:br w:type="page"/>
      </w:r>
    </w:p>
    <w:p w14:paraId="59990522">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3BC0A730">
      <w:pPr>
        <w:pStyle w:val="3"/>
        <w:numPr>
          <w:ilvl w:val="0"/>
          <w:numId w:val="14"/>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3A1A5FBA">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3A7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23132276">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7A012FB4">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EB3C05D">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1C0182F6">
            <w:pPr>
              <w:jc w:val="center"/>
              <w:rPr>
                <w:rFonts w:hint="eastAsia" w:ascii="宋体" w:hAnsi="宋体" w:eastAsia="宋体"/>
                <w:szCs w:val="21"/>
                <w:lang w:eastAsia="zh-CN"/>
              </w:rPr>
            </w:pPr>
            <w:r>
              <w:rPr>
                <w:rFonts w:hint="eastAsia" w:ascii="宋体" w:hAnsi="宋体"/>
                <w:szCs w:val="21"/>
              </w:rPr>
              <w:t>2025年盐田区60周岁以上户籍老人意外伤害和意外医疗保险购买工作项目</w:t>
            </w:r>
            <w:r>
              <w:rPr>
                <w:rFonts w:hint="eastAsia" w:ascii="宋体" w:hAnsi="宋体"/>
                <w:szCs w:val="21"/>
                <w:lang w:eastAsia="zh-CN"/>
              </w:rPr>
              <w:t>YTZXCG-2025-00031</w:t>
            </w:r>
          </w:p>
        </w:tc>
      </w:tr>
      <w:tr w14:paraId="0E54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62519ED8">
            <w:pPr>
              <w:ind w:firstLine="1932"/>
              <w:jc w:val="center"/>
              <w:rPr>
                <w:rFonts w:ascii="宋体" w:hAnsi="宋体"/>
                <w:szCs w:val="21"/>
              </w:rPr>
            </w:pPr>
            <w:r>
              <w:rPr>
                <w:rFonts w:hint="eastAsia" w:ascii="宋体" w:hAnsi="宋体"/>
                <w:b/>
                <w:bCs/>
              </w:rPr>
              <w:t>投标（响应）供应商相关人员情况</w:t>
            </w:r>
          </w:p>
        </w:tc>
      </w:tr>
      <w:tr w14:paraId="0988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2840B2E0">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4BB7291D">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3905A3CF">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5ECA809B">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1192107C">
            <w:pPr>
              <w:snapToGrid w:val="0"/>
              <w:jc w:val="center"/>
              <w:rPr>
                <w:rFonts w:ascii="宋体" w:hAnsi="宋体"/>
                <w:szCs w:val="21"/>
              </w:rPr>
            </w:pPr>
            <w:r>
              <w:rPr>
                <w:rFonts w:hint="eastAsia" w:ascii="宋体" w:hAnsi="宋体"/>
              </w:rPr>
              <w:t>劳动合同</w:t>
            </w:r>
          </w:p>
          <w:p w14:paraId="70937D70">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690278F1">
            <w:pPr>
              <w:snapToGrid w:val="0"/>
              <w:jc w:val="center"/>
              <w:rPr>
                <w:rFonts w:ascii="宋体" w:hAnsi="宋体"/>
                <w:szCs w:val="21"/>
              </w:rPr>
            </w:pPr>
            <w:r>
              <w:rPr>
                <w:rFonts w:hint="eastAsia" w:ascii="宋体" w:hAnsi="宋体"/>
              </w:rPr>
              <w:t>缴纳社会</w:t>
            </w:r>
          </w:p>
          <w:p w14:paraId="0ADAECBD">
            <w:pPr>
              <w:snapToGrid w:val="0"/>
              <w:jc w:val="center"/>
              <w:rPr>
                <w:rFonts w:ascii="宋体" w:hAnsi="宋体"/>
                <w:szCs w:val="21"/>
              </w:rPr>
            </w:pPr>
            <w:r>
              <w:rPr>
                <w:rFonts w:hint="eastAsia" w:ascii="宋体" w:hAnsi="宋体"/>
              </w:rPr>
              <w:t>保险单位</w:t>
            </w:r>
          </w:p>
        </w:tc>
      </w:tr>
      <w:tr w14:paraId="2C3D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319D349F">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7E649988">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67C69B3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7D01F0D8">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18A46A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CF017E8">
            <w:pPr>
              <w:jc w:val="center"/>
              <w:rPr>
                <w:rFonts w:ascii="宋体" w:hAnsi="宋体"/>
                <w:szCs w:val="21"/>
              </w:rPr>
            </w:pPr>
          </w:p>
        </w:tc>
      </w:tr>
      <w:tr w14:paraId="2C50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692E2B6E">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6FFE5E3">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134AEDC7">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613A5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6CF6A8E">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9972B85">
            <w:pPr>
              <w:jc w:val="center"/>
              <w:rPr>
                <w:rFonts w:ascii="宋体" w:hAnsi="宋体"/>
                <w:szCs w:val="21"/>
              </w:rPr>
            </w:pPr>
          </w:p>
        </w:tc>
      </w:tr>
      <w:tr w14:paraId="565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2D709EC">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7734DDEE">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1B3C5A7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4FA023D">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9A46F03">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CB719EF">
            <w:pPr>
              <w:jc w:val="center"/>
              <w:rPr>
                <w:rFonts w:ascii="宋体" w:hAnsi="宋体"/>
                <w:szCs w:val="21"/>
              </w:rPr>
            </w:pPr>
          </w:p>
        </w:tc>
      </w:tr>
      <w:tr w14:paraId="6D2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09343A50">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5B196011">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7FFDF98D">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2E91E5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ADE4535">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77321A6E">
            <w:pPr>
              <w:jc w:val="center"/>
              <w:rPr>
                <w:rFonts w:ascii="宋体" w:hAnsi="宋体"/>
                <w:szCs w:val="21"/>
              </w:rPr>
            </w:pPr>
          </w:p>
        </w:tc>
      </w:tr>
      <w:tr w14:paraId="3B4B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964D8B2">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3468E781">
            <w:pPr>
              <w:pStyle w:val="38"/>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4FA06EA3">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367762B">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CC89CF9">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1A191C0A">
            <w:pPr>
              <w:jc w:val="center"/>
              <w:rPr>
                <w:rFonts w:ascii="宋体" w:hAnsi="宋体"/>
                <w:szCs w:val="21"/>
              </w:rPr>
            </w:pPr>
          </w:p>
        </w:tc>
      </w:tr>
      <w:tr w14:paraId="490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5D38AB69">
            <w:pPr>
              <w:ind w:firstLine="1932"/>
              <w:jc w:val="left"/>
              <w:rPr>
                <w:rFonts w:ascii="宋体" w:hAnsi="宋体"/>
                <w:szCs w:val="21"/>
              </w:rPr>
            </w:pPr>
            <w:r>
              <w:rPr>
                <w:rFonts w:hint="eastAsia" w:ascii="宋体" w:hAnsi="宋体"/>
                <w:b/>
                <w:bCs/>
              </w:rPr>
              <w:t>说明：同一职务有多人担任（如主要技术人员），应分行填写。</w:t>
            </w:r>
          </w:p>
        </w:tc>
      </w:tr>
      <w:tr w14:paraId="70E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16DE4BCB">
            <w:pPr>
              <w:ind w:firstLine="1932"/>
              <w:jc w:val="center"/>
              <w:rPr>
                <w:rFonts w:ascii="宋体" w:hAnsi="宋体"/>
                <w:b/>
                <w:bCs/>
                <w:szCs w:val="21"/>
              </w:rPr>
            </w:pPr>
            <w:r>
              <w:rPr>
                <w:rFonts w:hint="eastAsia" w:ascii="宋体" w:hAnsi="宋体"/>
                <w:b/>
                <w:bCs/>
              </w:rPr>
              <w:t>投标（响应）供应商关联关系情况</w:t>
            </w:r>
          </w:p>
        </w:tc>
      </w:tr>
      <w:tr w14:paraId="5186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5C585BD7">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1E59B8E9">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2CCA82C1">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1801B4AF">
            <w:pPr>
              <w:jc w:val="center"/>
              <w:rPr>
                <w:rFonts w:ascii="宋体" w:hAnsi="宋体"/>
                <w:szCs w:val="21"/>
              </w:rPr>
            </w:pPr>
            <w:r>
              <w:rPr>
                <w:rFonts w:hint="eastAsia" w:ascii="宋体" w:hAnsi="宋体"/>
              </w:rPr>
              <w:t>备注</w:t>
            </w:r>
          </w:p>
        </w:tc>
      </w:tr>
      <w:tr w14:paraId="4BE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5ABC16F8">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409A9BC0">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7EA49DFC">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686290E9">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6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500A5CF8">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45308C8B">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41D84E84">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392AC8D5">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1EA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73978534">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3E69ED45"/>
    <w:p w14:paraId="36564EDB">
      <w:pPr>
        <w:pStyle w:val="3"/>
        <w:jc w:val="center"/>
        <w:rPr>
          <w:rFonts w:ascii="黑体" w:eastAsia="黑体"/>
          <w:b w:val="0"/>
          <w:sz w:val="24"/>
        </w:rPr>
      </w:pPr>
      <w:r>
        <w:rPr>
          <w:rFonts w:hint="eastAsia" w:ascii="黑体" w:eastAsia="黑体"/>
          <w:b w:val="0"/>
          <w:sz w:val="24"/>
        </w:rPr>
        <w:t>二、</w:t>
      </w:r>
      <w:bookmarkStart w:id="47" w:name="_Hlk72092499"/>
      <w:r>
        <w:rPr>
          <w:rFonts w:hint="eastAsia" w:ascii="黑体" w:eastAsia="黑体"/>
          <w:b w:val="0"/>
          <w:sz w:val="24"/>
        </w:rPr>
        <w:t>法定代表人（负责人）证明书</w:t>
      </w:r>
      <w:bookmarkEnd w:id="47"/>
    </w:p>
    <w:p w14:paraId="1EDDFCE5">
      <w:pPr>
        <w:rPr>
          <w:sz w:val="24"/>
        </w:rPr>
      </w:pPr>
    </w:p>
    <w:p w14:paraId="6A480151">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A29AB89">
      <w:pPr>
        <w:spacing w:line="360" w:lineRule="auto"/>
        <w:ind w:firstLine="420" w:firstLineChars="200"/>
        <w:rPr>
          <w:szCs w:val="21"/>
        </w:rPr>
      </w:pPr>
      <w:r>
        <w:rPr>
          <w:rFonts w:hint="eastAsia"/>
          <w:szCs w:val="21"/>
        </w:rPr>
        <w:t>特此证明。</w:t>
      </w:r>
    </w:p>
    <w:p w14:paraId="48BB6E7D">
      <w:pPr>
        <w:spacing w:line="360" w:lineRule="auto"/>
        <w:ind w:firstLine="420" w:firstLineChars="200"/>
        <w:rPr>
          <w:szCs w:val="21"/>
        </w:rPr>
      </w:pPr>
      <w:r>
        <w:rPr>
          <w:rFonts w:hint="eastAsia"/>
          <w:szCs w:val="21"/>
        </w:rPr>
        <w:t>说明：1、法定代表人为投标人（企业事业单位、国家机关、社会团体）的主要行政负责人。</w:t>
      </w:r>
    </w:p>
    <w:p w14:paraId="38C0E829">
      <w:pPr>
        <w:numPr>
          <w:ilvl w:val="0"/>
          <w:numId w:val="15"/>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8F4D65E">
      <w:pPr>
        <w:numPr>
          <w:ilvl w:val="0"/>
          <w:numId w:val="15"/>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12EA3BF0">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823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814E662">
            <w:pPr>
              <w:jc w:val="center"/>
            </w:pPr>
            <w:r>
              <w:rPr>
                <w:rFonts w:hint="eastAsia"/>
              </w:rPr>
              <w:t>证件扫描件正面</w:t>
            </w:r>
          </w:p>
          <w:p w14:paraId="1B57E85F">
            <w:pPr>
              <w:pStyle w:val="8"/>
              <w:jc w:val="center"/>
            </w:pPr>
          </w:p>
          <w:p w14:paraId="52C7EE4F">
            <w:pPr>
              <w:pStyle w:val="36"/>
              <w:jc w:val="center"/>
            </w:pPr>
          </w:p>
        </w:tc>
        <w:tc>
          <w:tcPr>
            <w:tcW w:w="4265" w:type="dxa"/>
          </w:tcPr>
          <w:p w14:paraId="11D291E7">
            <w:pPr>
              <w:jc w:val="center"/>
            </w:pPr>
            <w:r>
              <w:rPr>
                <w:rFonts w:hint="eastAsia"/>
              </w:rPr>
              <w:t>证件扫描件反面</w:t>
            </w:r>
          </w:p>
          <w:p w14:paraId="5A8C3A3B">
            <w:pPr>
              <w:pStyle w:val="8"/>
              <w:jc w:val="center"/>
            </w:pPr>
          </w:p>
          <w:p w14:paraId="31D29816">
            <w:pPr>
              <w:pStyle w:val="36"/>
              <w:jc w:val="center"/>
            </w:pPr>
          </w:p>
        </w:tc>
      </w:tr>
    </w:tbl>
    <w:p w14:paraId="4911FFD9">
      <w:pPr>
        <w:rPr>
          <w:rFonts w:ascii="宋体" w:hAnsi="宋体"/>
          <w:b/>
          <w:bCs/>
          <w:color w:val="FF0000"/>
        </w:rPr>
      </w:pPr>
    </w:p>
    <w:p w14:paraId="39D055D3">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AFF8C0B">
      <w:pPr>
        <w:rPr>
          <w:sz w:val="24"/>
        </w:rPr>
      </w:pPr>
    </w:p>
    <w:p w14:paraId="4AA7851B">
      <w:pPr>
        <w:widowControl/>
        <w:jc w:val="left"/>
        <w:rPr>
          <w:rFonts w:ascii="黑体" w:hAnsi="宋体" w:eastAsia="黑体"/>
          <w:bCs/>
          <w:sz w:val="24"/>
          <w:szCs w:val="32"/>
        </w:rPr>
      </w:pPr>
      <w:r>
        <w:rPr>
          <w:rFonts w:ascii="黑体" w:eastAsia="黑体"/>
          <w:b/>
          <w:sz w:val="24"/>
        </w:rPr>
        <w:br w:type="page"/>
      </w:r>
    </w:p>
    <w:p w14:paraId="7B89F083">
      <w:pPr>
        <w:pStyle w:val="3"/>
        <w:spacing w:before="120" w:after="120"/>
        <w:jc w:val="center"/>
        <w:rPr>
          <w:rFonts w:ascii="黑体" w:eastAsia="黑体"/>
          <w:b w:val="0"/>
          <w:sz w:val="24"/>
        </w:rPr>
      </w:pPr>
      <w:r>
        <w:rPr>
          <w:rFonts w:hint="eastAsia" w:ascii="黑体" w:eastAsia="黑体"/>
          <w:b w:val="0"/>
          <w:sz w:val="24"/>
        </w:rPr>
        <w:t>三、投标文件签署授权委托书</w:t>
      </w:r>
    </w:p>
    <w:p w14:paraId="1187213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F5FEC4A">
      <w:pPr>
        <w:spacing w:line="360" w:lineRule="auto"/>
        <w:ind w:firstLine="420" w:firstLineChars="200"/>
        <w:rPr>
          <w:szCs w:val="21"/>
        </w:rPr>
      </w:pPr>
      <w:r>
        <w:rPr>
          <w:rFonts w:hint="eastAsia"/>
          <w:szCs w:val="21"/>
        </w:rPr>
        <w:t>代理人无转委托权，特此委托。</w:t>
      </w:r>
    </w:p>
    <w:p w14:paraId="5ECE2289">
      <w:pPr>
        <w:spacing w:line="360" w:lineRule="auto"/>
        <w:ind w:firstLine="420" w:firstLineChars="200"/>
        <w:rPr>
          <w:szCs w:val="21"/>
        </w:rPr>
      </w:pPr>
    </w:p>
    <w:p w14:paraId="322B93C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B62264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BDDC131">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689708C">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BADE40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5E8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1F440684">
            <w:pPr>
              <w:jc w:val="center"/>
            </w:pPr>
            <w:r>
              <w:rPr>
                <w:rFonts w:hint="eastAsia"/>
              </w:rPr>
              <w:t>证件扫描件正面</w:t>
            </w:r>
          </w:p>
          <w:p w14:paraId="37CB9417">
            <w:pPr>
              <w:pStyle w:val="8"/>
              <w:jc w:val="center"/>
            </w:pPr>
          </w:p>
          <w:p w14:paraId="7E7807E9">
            <w:pPr>
              <w:pStyle w:val="36"/>
              <w:jc w:val="center"/>
            </w:pPr>
          </w:p>
        </w:tc>
        <w:tc>
          <w:tcPr>
            <w:tcW w:w="4265" w:type="dxa"/>
          </w:tcPr>
          <w:p w14:paraId="1DD8442E">
            <w:pPr>
              <w:jc w:val="center"/>
            </w:pPr>
            <w:r>
              <w:rPr>
                <w:rFonts w:hint="eastAsia"/>
              </w:rPr>
              <w:t>证件扫描件反面</w:t>
            </w:r>
          </w:p>
          <w:p w14:paraId="17441668">
            <w:pPr>
              <w:pStyle w:val="8"/>
              <w:jc w:val="center"/>
            </w:pPr>
          </w:p>
          <w:p w14:paraId="424A6A5A">
            <w:pPr>
              <w:pStyle w:val="36"/>
              <w:jc w:val="center"/>
            </w:pPr>
          </w:p>
        </w:tc>
      </w:tr>
    </w:tbl>
    <w:p w14:paraId="4A63D24A"/>
    <w:p w14:paraId="61A61D54">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845FB54"/>
    <w:p w14:paraId="11403AB3">
      <w:pPr>
        <w:widowControl/>
        <w:jc w:val="left"/>
        <w:rPr>
          <w:rFonts w:ascii="黑体" w:hAnsi="宋体" w:eastAsia="黑体"/>
          <w:bCs/>
          <w:kern w:val="0"/>
          <w:sz w:val="24"/>
        </w:rPr>
      </w:pPr>
      <w:r>
        <w:rPr>
          <w:rFonts w:ascii="黑体" w:eastAsia="黑体"/>
          <w:b/>
          <w:kern w:val="0"/>
          <w:sz w:val="24"/>
        </w:rPr>
        <w:br w:type="page"/>
      </w:r>
    </w:p>
    <w:p w14:paraId="2C0D3639">
      <w:pPr>
        <w:pStyle w:val="3"/>
        <w:jc w:val="center"/>
        <w:rPr>
          <w:rFonts w:ascii="黑体" w:eastAsia="黑体"/>
          <w:b w:val="0"/>
          <w:kern w:val="0"/>
          <w:sz w:val="24"/>
          <w:szCs w:val="24"/>
        </w:rPr>
      </w:pPr>
      <w:r>
        <w:rPr>
          <w:rFonts w:hint="eastAsia" w:ascii="黑体" w:eastAsia="黑体"/>
          <w:b w:val="0"/>
          <w:kern w:val="0"/>
          <w:sz w:val="24"/>
          <w:szCs w:val="24"/>
        </w:rPr>
        <w:t>四、</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4669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6553F9D">
            <w:pPr>
              <w:adjustRightInd w:val="0"/>
              <w:snapToGrid w:val="0"/>
              <w:spacing w:line="360" w:lineRule="auto"/>
              <w:jc w:val="center"/>
              <w:rPr>
                <w:rFonts w:ascii="宋体" w:hAnsi="宋体"/>
                <w:kern w:val="0"/>
                <w:szCs w:val="21"/>
              </w:rPr>
            </w:pPr>
            <w:bookmarkStart w:id="49" w:name="_Hlk72092651"/>
            <w:r>
              <w:rPr>
                <w:rFonts w:hint="eastAsia" w:ascii="宋体" w:hAnsi="宋体"/>
                <w:kern w:val="0"/>
                <w:szCs w:val="21"/>
              </w:rPr>
              <w:t>序号</w:t>
            </w:r>
          </w:p>
        </w:tc>
        <w:tc>
          <w:tcPr>
            <w:tcW w:w="3774" w:type="dxa"/>
            <w:vAlign w:val="center"/>
          </w:tcPr>
          <w:p w14:paraId="7EC15C9C">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66CB4A3">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29978323">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13E1E798">
            <w:pPr>
              <w:adjustRightInd w:val="0"/>
              <w:snapToGrid w:val="0"/>
              <w:spacing w:line="360" w:lineRule="auto"/>
              <w:jc w:val="center"/>
              <w:rPr>
                <w:rFonts w:ascii="宋体" w:hAnsi="宋体"/>
                <w:kern w:val="0"/>
                <w:szCs w:val="21"/>
              </w:rPr>
            </w:pPr>
            <w:r>
              <w:rPr>
                <w:rFonts w:hint="eastAsia"/>
              </w:rPr>
              <w:t>说明</w:t>
            </w:r>
          </w:p>
        </w:tc>
      </w:tr>
      <w:bookmarkEnd w:id="49"/>
      <w:tr w14:paraId="3DF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9642C54">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vAlign w:val="top"/>
          </w:tcPr>
          <w:p w14:paraId="544C57F5">
            <w:pPr>
              <w:rPr>
                <w:rFonts w:hAnsi="宋体"/>
                <w:kern w:val="0"/>
                <w:szCs w:val="21"/>
              </w:rPr>
            </w:pPr>
            <w:r>
              <w:rPr>
                <w:rFonts w:hint="eastAsia"/>
                <w:color w:val="FF0000"/>
                <w:szCs w:val="21"/>
                <w:highlight w:val="none"/>
              </w:rPr>
              <w:t>★</w:t>
            </w:r>
            <w:r>
              <w:rPr>
                <w:rFonts w:hint="eastAsia"/>
                <w:color w:val="FF0000"/>
                <w:highlight w:val="none"/>
              </w:rPr>
              <w:t>完全满足本项目服务期限的要求。</w:t>
            </w:r>
          </w:p>
        </w:tc>
        <w:tc>
          <w:tcPr>
            <w:tcW w:w="1530" w:type="dxa"/>
          </w:tcPr>
          <w:p w14:paraId="09E2FA3A">
            <w:pPr>
              <w:adjustRightInd w:val="0"/>
              <w:snapToGrid w:val="0"/>
              <w:spacing w:line="360" w:lineRule="auto"/>
              <w:rPr>
                <w:rFonts w:ascii="宋体" w:hAnsi="宋体"/>
                <w:kern w:val="0"/>
                <w:szCs w:val="21"/>
              </w:rPr>
            </w:pPr>
          </w:p>
        </w:tc>
        <w:tc>
          <w:tcPr>
            <w:tcW w:w="1275" w:type="dxa"/>
          </w:tcPr>
          <w:p w14:paraId="2308B7D4">
            <w:pPr>
              <w:adjustRightInd w:val="0"/>
              <w:snapToGrid w:val="0"/>
              <w:spacing w:line="360" w:lineRule="auto"/>
              <w:rPr>
                <w:rFonts w:ascii="宋体" w:hAnsi="宋体"/>
                <w:kern w:val="0"/>
                <w:szCs w:val="21"/>
              </w:rPr>
            </w:pPr>
          </w:p>
        </w:tc>
        <w:tc>
          <w:tcPr>
            <w:tcW w:w="933" w:type="dxa"/>
          </w:tcPr>
          <w:p w14:paraId="15B40B9F">
            <w:pPr>
              <w:adjustRightInd w:val="0"/>
              <w:snapToGrid w:val="0"/>
              <w:spacing w:line="360" w:lineRule="auto"/>
              <w:rPr>
                <w:rFonts w:ascii="宋体" w:hAnsi="宋体"/>
                <w:kern w:val="0"/>
                <w:szCs w:val="21"/>
              </w:rPr>
            </w:pPr>
          </w:p>
        </w:tc>
      </w:tr>
      <w:tr w14:paraId="40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2D5A673">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top"/>
          </w:tcPr>
          <w:p w14:paraId="1BF528D8">
            <w:pPr>
              <w:jc w:val="left"/>
              <w:rPr>
                <w:rFonts w:hAnsi="宋体"/>
                <w:kern w:val="0"/>
                <w:szCs w:val="21"/>
              </w:rPr>
            </w:pPr>
            <w:r>
              <w:rPr>
                <w:rFonts w:hint="eastAsia"/>
                <w:color w:val="FF0000"/>
                <w:szCs w:val="21"/>
                <w:highlight w:val="none"/>
              </w:rPr>
              <w:t>★</w:t>
            </w:r>
            <w:r>
              <w:rPr>
                <w:rFonts w:hint="eastAsia" w:ascii="宋体" w:hAnsi="宋体"/>
                <w:color w:val="FF0000"/>
                <w:highlight w:val="none"/>
              </w:rPr>
              <w:t>完全满足本项目★标记条款的要求。</w:t>
            </w:r>
          </w:p>
        </w:tc>
        <w:tc>
          <w:tcPr>
            <w:tcW w:w="1530" w:type="dxa"/>
          </w:tcPr>
          <w:p w14:paraId="5C8EB0EF">
            <w:pPr>
              <w:adjustRightInd w:val="0"/>
              <w:snapToGrid w:val="0"/>
              <w:spacing w:line="360" w:lineRule="auto"/>
              <w:rPr>
                <w:rFonts w:ascii="宋体" w:hAnsi="宋体"/>
                <w:kern w:val="0"/>
                <w:szCs w:val="21"/>
              </w:rPr>
            </w:pPr>
          </w:p>
        </w:tc>
        <w:tc>
          <w:tcPr>
            <w:tcW w:w="1275" w:type="dxa"/>
          </w:tcPr>
          <w:p w14:paraId="7CFE4F22">
            <w:pPr>
              <w:adjustRightInd w:val="0"/>
              <w:snapToGrid w:val="0"/>
              <w:spacing w:line="360" w:lineRule="auto"/>
              <w:rPr>
                <w:rFonts w:ascii="宋体" w:hAnsi="宋体"/>
                <w:kern w:val="0"/>
                <w:szCs w:val="21"/>
              </w:rPr>
            </w:pPr>
          </w:p>
        </w:tc>
        <w:tc>
          <w:tcPr>
            <w:tcW w:w="933" w:type="dxa"/>
          </w:tcPr>
          <w:p w14:paraId="6872BBA3">
            <w:pPr>
              <w:adjustRightInd w:val="0"/>
              <w:snapToGrid w:val="0"/>
              <w:spacing w:line="360" w:lineRule="auto"/>
              <w:rPr>
                <w:rFonts w:ascii="宋体" w:hAnsi="宋体"/>
                <w:kern w:val="0"/>
                <w:szCs w:val="21"/>
              </w:rPr>
            </w:pPr>
          </w:p>
        </w:tc>
      </w:tr>
      <w:tr w14:paraId="2153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2EDF07C">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top"/>
          </w:tcPr>
          <w:p w14:paraId="34E286E0">
            <w:pPr>
              <w:jc w:val="left"/>
              <w:rPr>
                <w:rFonts w:ascii="宋体" w:hAnsi="宋体"/>
                <w:kern w:val="0"/>
                <w:szCs w:val="21"/>
              </w:rPr>
            </w:pPr>
            <w:r>
              <w:rPr>
                <w:rFonts w:hint="eastAsia" w:ascii="宋体" w:hAnsi="宋体" w:eastAsia="宋体"/>
                <w:color w:val="FF0000"/>
                <w:highlight w:val="yellow"/>
              </w:rPr>
              <w:t>★各投标供应商不得与其他投标供应商的法定代表人、主要经营负责人、投标授权代表人、项目负责人、主要技术人员为同一人、同一单位或者在同一单位缴纳社会保险。</w:t>
            </w:r>
            <w:r>
              <w:rPr>
                <w:rFonts w:hint="eastAsia" w:ascii="宋体" w:hAnsi="宋体" w:eastAsia="宋体"/>
                <w:b/>
                <w:bCs/>
                <w:color w:val="FF0000"/>
                <w:highlight w:val="yellow"/>
              </w:rPr>
              <w:t>（需提供法定代表人</w:t>
            </w:r>
            <w:r>
              <w:rPr>
                <w:rFonts w:hint="eastAsia" w:ascii="宋体" w:hAnsi="宋体" w:eastAsia="宋体"/>
                <w:b/>
                <w:bCs/>
                <w:color w:val="FF0000"/>
                <w:highlight w:val="yellow"/>
                <w:lang w:eastAsia="zh-CN"/>
              </w:rPr>
              <w:t>（</w:t>
            </w:r>
            <w:r>
              <w:rPr>
                <w:rFonts w:hint="eastAsia" w:ascii="宋体" w:hAnsi="宋体" w:eastAsia="宋体"/>
                <w:b/>
                <w:bCs/>
                <w:color w:val="FF0000"/>
                <w:highlight w:val="yellow"/>
                <w:lang w:val="en-US" w:eastAsia="zh-CN"/>
              </w:rPr>
              <w:t>或</w:t>
            </w:r>
            <w:r>
              <w:rPr>
                <w:rFonts w:hint="eastAsia" w:ascii="宋体" w:hAnsi="宋体" w:eastAsia="宋体"/>
                <w:b/>
                <w:bCs/>
                <w:color w:val="FF0000"/>
                <w:highlight w:val="yellow"/>
              </w:rPr>
              <w:t>单位负责人</w:t>
            </w:r>
            <w:r>
              <w:rPr>
                <w:rFonts w:hint="eastAsia" w:ascii="宋体" w:hAnsi="宋体" w:eastAsia="宋体"/>
                <w:b/>
                <w:bCs/>
                <w:color w:val="FF0000"/>
                <w:highlight w:val="yellow"/>
                <w:lang w:val="en-US" w:eastAsia="zh-CN"/>
              </w:rPr>
              <w:t>或</w:t>
            </w:r>
            <w:r>
              <w:rPr>
                <w:rFonts w:hint="eastAsia" w:ascii="宋体" w:hAnsi="宋体" w:eastAsia="宋体"/>
                <w:b/>
                <w:bCs/>
                <w:color w:val="FF0000"/>
                <w:highlight w:val="yellow"/>
              </w:rPr>
              <w:t>主要经营负责人</w:t>
            </w:r>
            <w:r>
              <w:rPr>
                <w:rFonts w:hint="eastAsia" w:ascii="宋体" w:hAnsi="宋体" w:eastAsia="宋体"/>
                <w:b/>
                <w:bCs/>
                <w:color w:val="FF0000"/>
                <w:highlight w:val="yellow"/>
                <w:lang w:eastAsia="zh-CN"/>
              </w:rPr>
              <w:t>）</w:t>
            </w:r>
            <w:r>
              <w:rPr>
                <w:rFonts w:hint="eastAsia" w:ascii="宋体" w:hAnsi="宋体" w:eastAsia="宋体"/>
                <w:b/>
                <w:bCs/>
                <w:color w:val="FF0000"/>
                <w:highlight w:val="yellow"/>
              </w:rPr>
              <w:t>、投标授权代表人</w:t>
            </w:r>
            <w:r>
              <w:rPr>
                <w:rFonts w:hint="eastAsia" w:ascii="宋体" w:hAnsi="宋体" w:eastAsia="宋体"/>
                <w:b/>
                <w:bCs/>
                <w:color w:val="FF0000"/>
                <w:highlight w:val="yellow"/>
                <w:lang w:eastAsia="zh-CN"/>
              </w:rPr>
              <w:t>、投标文件编制人员</w:t>
            </w:r>
            <w:r>
              <w:rPr>
                <w:rFonts w:hint="eastAsia" w:ascii="宋体" w:hAnsi="宋体" w:eastAsia="宋体"/>
                <w:b/>
                <w:bCs/>
                <w:color w:val="FF0000"/>
                <w:highlight w:val="yellow"/>
              </w:rPr>
              <w:t>等近一个月的社保缴纳证明）</w:t>
            </w:r>
          </w:p>
        </w:tc>
        <w:tc>
          <w:tcPr>
            <w:tcW w:w="1530" w:type="dxa"/>
          </w:tcPr>
          <w:p w14:paraId="2C421A57">
            <w:pPr>
              <w:adjustRightInd w:val="0"/>
              <w:snapToGrid w:val="0"/>
              <w:spacing w:line="360" w:lineRule="auto"/>
              <w:rPr>
                <w:rFonts w:ascii="宋体" w:hAnsi="宋体"/>
                <w:kern w:val="0"/>
                <w:szCs w:val="21"/>
              </w:rPr>
            </w:pPr>
            <w:bookmarkStart w:id="101" w:name="_GoBack"/>
            <w:bookmarkEnd w:id="101"/>
          </w:p>
        </w:tc>
        <w:tc>
          <w:tcPr>
            <w:tcW w:w="1275" w:type="dxa"/>
          </w:tcPr>
          <w:p w14:paraId="443F41C0">
            <w:pPr>
              <w:adjustRightInd w:val="0"/>
              <w:snapToGrid w:val="0"/>
              <w:spacing w:line="360" w:lineRule="auto"/>
              <w:rPr>
                <w:rFonts w:ascii="宋体" w:hAnsi="宋体"/>
                <w:kern w:val="0"/>
                <w:szCs w:val="21"/>
              </w:rPr>
            </w:pPr>
          </w:p>
        </w:tc>
        <w:tc>
          <w:tcPr>
            <w:tcW w:w="933" w:type="dxa"/>
          </w:tcPr>
          <w:p w14:paraId="5B0381D5">
            <w:pPr>
              <w:adjustRightInd w:val="0"/>
              <w:snapToGrid w:val="0"/>
              <w:spacing w:line="360" w:lineRule="auto"/>
              <w:rPr>
                <w:rFonts w:ascii="宋体" w:hAnsi="宋体"/>
                <w:kern w:val="0"/>
                <w:szCs w:val="21"/>
              </w:rPr>
            </w:pPr>
          </w:p>
        </w:tc>
      </w:tr>
    </w:tbl>
    <w:p w14:paraId="1A04C63E">
      <w:pPr>
        <w:ind w:firstLine="482" w:firstLineChars="200"/>
        <w:rPr>
          <w:b/>
          <w:sz w:val="24"/>
          <w:szCs w:val="22"/>
        </w:rPr>
      </w:pPr>
      <w:r>
        <w:rPr>
          <w:rFonts w:hint="eastAsia"/>
          <w:b/>
          <w:sz w:val="24"/>
          <w:szCs w:val="22"/>
        </w:rPr>
        <w:t>注：1.上表所列各项均为不可负偏离条款。</w:t>
      </w:r>
    </w:p>
    <w:p w14:paraId="194A267D">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C85768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B52176F">
      <w:pPr>
        <w:ind w:firstLine="482" w:firstLineChars="200"/>
        <w:rPr>
          <w:b/>
          <w:sz w:val="24"/>
        </w:rPr>
      </w:pPr>
      <w:r>
        <w:rPr>
          <w:b/>
          <w:sz w:val="24"/>
        </w:rPr>
        <w:t>4.</w:t>
      </w:r>
      <w:r>
        <w:rPr>
          <w:rFonts w:hint="eastAsia"/>
          <w:b/>
          <w:sz w:val="24"/>
        </w:rPr>
        <w:t>评审委员会有权对投标响应情况作出判断（作出评审结论）。</w:t>
      </w:r>
    </w:p>
    <w:p w14:paraId="7FE49079">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84CC678">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52568B3C">
      <w:pPr>
        <w:ind w:firstLine="420" w:firstLineChars="200"/>
      </w:pPr>
    </w:p>
    <w:p w14:paraId="4300F895">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五、</w:t>
      </w:r>
      <w:r>
        <w:rPr>
          <w:rFonts w:hint="eastAsia" w:ascii="黑体" w:eastAsia="黑体" w:cs="Times New Roman"/>
          <w:b w:val="0"/>
          <w:kern w:val="0"/>
          <w:sz w:val="24"/>
          <w:szCs w:val="24"/>
        </w:rPr>
        <w:t>其他理赔增值服务方案</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4970C903">
      <w:pPr>
        <w:pStyle w:val="3"/>
        <w:jc w:val="center"/>
        <w:rPr>
          <w:rFonts w:hint="eastAsia" w:ascii="黑体" w:eastAsia="黑体" w:cs="Times New Roman"/>
          <w:b w:val="0"/>
          <w:kern w:val="0"/>
          <w:sz w:val="24"/>
          <w:szCs w:val="24"/>
          <w:lang w:eastAsia="zh-CN"/>
        </w:rPr>
      </w:pPr>
    </w:p>
    <w:p w14:paraId="3BEBB0B8">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六、</w:t>
      </w:r>
      <w:r>
        <w:rPr>
          <w:rFonts w:hint="eastAsia" w:ascii="黑体" w:eastAsia="黑体" w:cs="Times New Roman"/>
          <w:b w:val="0"/>
          <w:kern w:val="0"/>
          <w:sz w:val="24"/>
          <w:szCs w:val="24"/>
        </w:rPr>
        <w:t>宣传培训服务方案</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3D54FAF8">
      <w:pPr>
        <w:pStyle w:val="3"/>
        <w:jc w:val="center"/>
        <w:rPr>
          <w:rFonts w:hint="eastAsia" w:ascii="黑体" w:eastAsia="黑体" w:cs="Times New Roman"/>
          <w:b w:val="0"/>
          <w:kern w:val="0"/>
          <w:sz w:val="24"/>
          <w:szCs w:val="24"/>
          <w:lang w:eastAsia="zh-CN"/>
        </w:rPr>
      </w:pPr>
    </w:p>
    <w:p w14:paraId="36A8E986">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七、</w:t>
      </w:r>
      <w:r>
        <w:rPr>
          <w:rFonts w:hint="eastAsia" w:ascii="黑体" w:eastAsia="黑体" w:cs="Times New Roman"/>
          <w:b w:val="0"/>
          <w:kern w:val="0"/>
          <w:sz w:val="24"/>
          <w:szCs w:val="24"/>
        </w:rPr>
        <w:t>承诺结案率</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2481388B">
      <w:pPr>
        <w:pStyle w:val="3"/>
        <w:jc w:val="center"/>
        <w:rPr>
          <w:rFonts w:hint="eastAsia" w:ascii="黑体" w:eastAsia="黑体" w:cs="Times New Roman"/>
          <w:b w:val="0"/>
          <w:kern w:val="0"/>
          <w:sz w:val="24"/>
          <w:szCs w:val="24"/>
          <w:lang w:eastAsia="zh-CN"/>
        </w:rPr>
      </w:pPr>
    </w:p>
    <w:p w14:paraId="116C8C4F">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八、</w:t>
      </w:r>
      <w:r>
        <w:rPr>
          <w:rFonts w:hint="eastAsia" w:ascii="黑体" w:eastAsia="黑体" w:cs="Times New Roman"/>
          <w:b w:val="0"/>
          <w:kern w:val="0"/>
          <w:sz w:val="24"/>
          <w:szCs w:val="24"/>
        </w:rPr>
        <w:t>慰问率</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0D19A55F">
      <w:pPr>
        <w:pStyle w:val="3"/>
        <w:jc w:val="center"/>
        <w:rPr>
          <w:rFonts w:hint="eastAsia" w:ascii="黑体" w:eastAsia="黑体" w:cs="Times New Roman"/>
          <w:b w:val="0"/>
          <w:kern w:val="0"/>
          <w:sz w:val="24"/>
          <w:szCs w:val="24"/>
          <w:lang w:eastAsia="zh-CN"/>
        </w:rPr>
      </w:pPr>
    </w:p>
    <w:p w14:paraId="53042C0E">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九、</w:t>
      </w:r>
      <w:r>
        <w:rPr>
          <w:rFonts w:hint="eastAsia" w:ascii="黑体" w:eastAsia="黑体" w:cs="Times New Roman"/>
          <w:b w:val="0"/>
          <w:kern w:val="0"/>
          <w:sz w:val="24"/>
          <w:szCs w:val="24"/>
        </w:rPr>
        <w:t>合议赔付方案</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0866F46C">
      <w:pPr>
        <w:pStyle w:val="3"/>
        <w:jc w:val="center"/>
        <w:rPr>
          <w:rFonts w:hint="eastAsia" w:ascii="黑体" w:eastAsia="黑体" w:cs="Times New Roman"/>
          <w:b w:val="0"/>
          <w:kern w:val="0"/>
          <w:sz w:val="24"/>
          <w:szCs w:val="24"/>
          <w:lang w:eastAsia="zh-CN"/>
        </w:rPr>
      </w:pPr>
    </w:p>
    <w:p w14:paraId="5BBF4257">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十、</w:t>
      </w:r>
      <w:r>
        <w:rPr>
          <w:rFonts w:hint="eastAsia" w:ascii="黑体" w:eastAsia="黑体" w:cs="Times New Roman"/>
          <w:b w:val="0"/>
          <w:kern w:val="0"/>
          <w:sz w:val="24"/>
          <w:szCs w:val="24"/>
        </w:rPr>
        <w:t>拟安排的项目负责人情况（仅限一人）</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3672C114">
      <w:pPr>
        <w:pStyle w:val="3"/>
        <w:jc w:val="center"/>
        <w:rPr>
          <w:rFonts w:hint="eastAsia" w:ascii="黑体" w:eastAsia="黑体" w:cs="Times New Roman"/>
          <w:b w:val="0"/>
          <w:kern w:val="0"/>
          <w:sz w:val="24"/>
          <w:szCs w:val="24"/>
          <w:lang w:eastAsia="zh-CN"/>
        </w:rPr>
      </w:pPr>
    </w:p>
    <w:p w14:paraId="71FE440C">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十一、</w:t>
      </w:r>
      <w:r>
        <w:rPr>
          <w:rFonts w:hint="eastAsia" w:ascii="黑体" w:eastAsia="黑体" w:cs="Times New Roman"/>
          <w:b w:val="0"/>
          <w:kern w:val="0"/>
          <w:sz w:val="24"/>
          <w:szCs w:val="24"/>
        </w:rPr>
        <w:t>服务团队情况</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25F452A5">
      <w:pPr>
        <w:pStyle w:val="3"/>
        <w:jc w:val="center"/>
        <w:rPr>
          <w:rFonts w:hint="eastAsia" w:ascii="黑体" w:eastAsia="黑体" w:cs="Times New Roman"/>
          <w:b w:val="0"/>
          <w:kern w:val="0"/>
          <w:sz w:val="24"/>
          <w:szCs w:val="24"/>
          <w:lang w:eastAsia="zh-CN"/>
        </w:rPr>
      </w:pPr>
    </w:p>
    <w:p w14:paraId="4F8E134A">
      <w:pPr>
        <w:pStyle w:val="3"/>
        <w:jc w:val="center"/>
        <w:rPr>
          <w:rFonts w:hint="eastAsia" w:ascii="黑体" w:eastAsia="黑体" w:cs="Times New Roman"/>
          <w:b w:val="0"/>
          <w:kern w:val="0"/>
          <w:sz w:val="24"/>
          <w:szCs w:val="24"/>
        </w:rPr>
      </w:pPr>
      <w:r>
        <w:rPr>
          <w:rFonts w:hint="eastAsia" w:ascii="黑体" w:eastAsia="黑体" w:cs="Times New Roman"/>
          <w:b w:val="0"/>
          <w:kern w:val="0"/>
          <w:sz w:val="24"/>
          <w:szCs w:val="24"/>
          <w:lang w:val="en-US" w:eastAsia="zh-CN"/>
        </w:rPr>
        <w:t>十二、</w:t>
      </w:r>
      <w:r>
        <w:rPr>
          <w:rFonts w:hint="eastAsia" w:ascii="黑体" w:eastAsia="黑体" w:cs="Times New Roman"/>
          <w:b w:val="0"/>
          <w:kern w:val="0"/>
          <w:sz w:val="24"/>
          <w:szCs w:val="24"/>
        </w:rPr>
        <w:t>偿付能力充足率</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49B7B414">
      <w:pPr>
        <w:pStyle w:val="3"/>
        <w:jc w:val="center"/>
        <w:rPr>
          <w:rFonts w:hint="eastAsia" w:ascii="黑体" w:eastAsia="黑体" w:cs="Times New Roman"/>
          <w:b w:val="0"/>
          <w:kern w:val="0"/>
          <w:sz w:val="24"/>
          <w:szCs w:val="24"/>
          <w:lang w:eastAsia="zh-CN"/>
        </w:rPr>
      </w:pPr>
    </w:p>
    <w:p w14:paraId="7983DDDF">
      <w:pPr>
        <w:pStyle w:val="3"/>
        <w:jc w:val="center"/>
        <w:rPr>
          <w:szCs w:val="21"/>
        </w:rPr>
      </w:pPr>
      <w:r>
        <w:rPr>
          <w:rFonts w:hint="eastAsia" w:ascii="黑体" w:eastAsia="黑体" w:cs="Times New Roman"/>
          <w:b w:val="0"/>
          <w:kern w:val="0"/>
          <w:sz w:val="24"/>
          <w:szCs w:val="24"/>
          <w:lang w:val="en-US" w:eastAsia="zh-CN"/>
        </w:rPr>
        <w:t>十三、</w:t>
      </w:r>
      <w:r>
        <w:rPr>
          <w:rFonts w:hint="eastAsia" w:ascii="黑体" w:eastAsia="黑体" w:cs="Times New Roman"/>
          <w:b w:val="0"/>
          <w:kern w:val="0"/>
          <w:sz w:val="24"/>
          <w:szCs w:val="24"/>
        </w:rPr>
        <w:t>风险综合评级</w:t>
      </w:r>
      <w:r>
        <w:rPr>
          <w:rFonts w:hint="eastAsia" w:ascii="黑体" w:eastAsia="黑体" w:cs="Times New Roman"/>
          <w:b w:val="0"/>
          <w:kern w:val="0"/>
          <w:sz w:val="24"/>
          <w:szCs w:val="24"/>
          <w:lang w:eastAsia="zh-CN"/>
        </w:rPr>
        <w:t>（</w:t>
      </w:r>
      <w:r>
        <w:rPr>
          <w:rFonts w:hint="eastAsia" w:ascii="黑体" w:eastAsia="黑体" w:cs="Times New Roman"/>
          <w:b w:val="0"/>
          <w:kern w:val="0"/>
          <w:sz w:val="24"/>
          <w:szCs w:val="24"/>
          <w:lang w:val="en-US" w:eastAsia="zh-CN"/>
        </w:rPr>
        <w:t>格式自拟</w:t>
      </w:r>
      <w:r>
        <w:rPr>
          <w:rFonts w:hint="eastAsia" w:ascii="黑体" w:eastAsia="黑体" w:cs="Times New Roman"/>
          <w:b w:val="0"/>
          <w:kern w:val="0"/>
          <w:sz w:val="24"/>
          <w:szCs w:val="24"/>
          <w:lang w:eastAsia="zh-CN"/>
        </w:rPr>
        <w:t>）</w:t>
      </w:r>
    </w:p>
    <w:p w14:paraId="1C53CB00">
      <w:pPr>
        <w:widowControl/>
        <w:jc w:val="left"/>
        <w:rPr>
          <w:rFonts w:ascii="黑体" w:hAnsi="宋体" w:eastAsia="黑体"/>
          <w:sz w:val="24"/>
          <w:szCs w:val="20"/>
        </w:rPr>
      </w:pPr>
      <w:r>
        <w:rPr>
          <w:rFonts w:ascii="黑体" w:eastAsia="黑体"/>
          <w:b/>
          <w:bCs/>
          <w:sz w:val="24"/>
          <w:szCs w:val="20"/>
        </w:rPr>
        <w:br w:type="page"/>
      </w:r>
    </w:p>
    <w:p w14:paraId="32AD002F">
      <w:pPr>
        <w:pStyle w:val="3"/>
        <w:jc w:val="center"/>
        <w:rPr>
          <w:rFonts w:ascii="黑体" w:eastAsia="黑体"/>
          <w:b w:val="0"/>
          <w:bCs w:val="0"/>
          <w:sz w:val="24"/>
          <w:szCs w:val="20"/>
        </w:rPr>
      </w:pPr>
      <w:r>
        <w:rPr>
          <w:rFonts w:hint="eastAsia" w:ascii="黑体" w:eastAsia="黑体"/>
          <w:b w:val="0"/>
          <w:bCs w:val="0"/>
          <w:sz w:val="24"/>
          <w:szCs w:val="20"/>
          <w:lang w:val="en-US" w:eastAsia="zh-CN"/>
        </w:rPr>
        <w:t>十四</w:t>
      </w:r>
      <w:r>
        <w:rPr>
          <w:rFonts w:hint="eastAsia" w:ascii="黑体" w:eastAsia="黑体"/>
          <w:b w:val="0"/>
          <w:bCs w:val="0"/>
          <w:sz w:val="24"/>
          <w:szCs w:val="20"/>
        </w:rPr>
        <w:t>、</w:t>
      </w:r>
      <w:bookmarkStart w:id="50" w:name="_Hlk72062872"/>
      <w:r>
        <w:rPr>
          <w:rFonts w:hint="eastAsia" w:ascii="黑体" w:eastAsia="黑体"/>
          <w:b w:val="0"/>
          <w:bCs w:val="0"/>
          <w:sz w:val="24"/>
          <w:szCs w:val="20"/>
        </w:rPr>
        <w:t>投标人认为需要加以说明的其他内容</w:t>
      </w:r>
      <w:bookmarkEnd w:id="50"/>
    </w:p>
    <w:p w14:paraId="7D22FE7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FB739C0">
      <w:pPr>
        <w:widowControl/>
        <w:jc w:val="center"/>
        <w:rPr>
          <w:rFonts w:ascii="黑体" w:hAnsi="宋体" w:eastAsia="黑体"/>
          <w:kern w:val="0"/>
          <w:sz w:val="24"/>
          <w:szCs w:val="20"/>
        </w:rPr>
      </w:pPr>
    </w:p>
    <w:p w14:paraId="65F5F006">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DE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7D43552E">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35DF2EC2">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3E26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Borders>
              <w:top w:val="single" w:color="auto" w:sz="4" w:space="0"/>
              <w:left w:val="single" w:color="auto" w:sz="4" w:space="0"/>
              <w:bottom w:val="single" w:color="auto" w:sz="4" w:space="0"/>
              <w:right w:val="single" w:color="auto" w:sz="4" w:space="0"/>
            </w:tcBorders>
          </w:tcPr>
          <w:p w14:paraId="6D56E28B">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18D27916">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696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49B3CF24">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364BCC6B">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2DDF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ACECB95">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52AE5FEC">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485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3B4A0386">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79659B04">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31FE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6BBCC8C4">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6C12E810">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304A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DA43F4F">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01CCB715">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5F1768EE">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4A879D48">
      <w:pPr>
        <w:spacing w:line="380" w:lineRule="exact"/>
        <w:ind w:firstLine="420" w:firstLineChars="200"/>
      </w:pPr>
      <w:r>
        <w:rPr>
          <w:rFonts w:hint="eastAsia" w:ascii="宋体" w:hAnsi="宋体"/>
        </w:rPr>
        <w:t>（一）通过转让或者租借等方式从其他单位获取资格或者资质证书投标的。</w:t>
      </w:r>
    </w:p>
    <w:p w14:paraId="0F151D72">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4C44DE37">
      <w:pPr>
        <w:spacing w:line="380" w:lineRule="exact"/>
        <w:ind w:firstLine="420" w:firstLineChars="200"/>
      </w:pPr>
      <w:r>
        <w:rPr>
          <w:rFonts w:hint="eastAsia" w:ascii="宋体" w:hAnsi="宋体"/>
        </w:rPr>
        <w:t>（三）项目负责人或者主要技术人员不是本单位人员的。</w:t>
      </w:r>
    </w:p>
    <w:p w14:paraId="55FBF848">
      <w:pPr>
        <w:spacing w:line="380" w:lineRule="exact"/>
        <w:ind w:firstLine="420" w:firstLineChars="200"/>
      </w:pPr>
      <w:r>
        <w:rPr>
          <w:rFonts w:hint="eastAsia" w:ascii="宋体" w:hAnsi="宋体"/>
        </w:rPr>
        <w:t>（四）投标保证金不是从投标供应商基本账户转出的。</w:t>
      </w:r>
    </w:p>
    <w:p w14:paraId="148422F8">
      <w:pPr>
        <w:spacing w:line="380" w:lineRule="exact"/>
        <w:ind w:firstLine="420" w:firstLineChars="200"/>
      </w:pPr>
      <w:r>
        <w:rPr>
          <w:rFonts w:hint="eastAsia" w:ascii="宋体" w:hAnsi="宋体"/>
        </w:rPr>
        <w:t>（五）其他隐瞒真实情况、提供虚假资料的行为。</w:t>
      </w:r>
    </w:p>
    <w:p w14:paraId="04FACE29">
      <w:pPr>
        <w:spacing w:line="380" w:lineRule="exact"/>
        <w:ind w:firstLine="422" w:firstLineChars="200"/>
        <w:rPr>
          <w:b/>
        </w:rPr>
      </w:pPr>
      <w:r>
        <w:rPr>
          <w:rFonts w:hint="eastAsia" w:ascii="宋体" w:hAnsi="宋体"/>
          <w:b/>
        </w:rPr>
        <w:t>二、我单位已充分知悉“与其他采购参加人串通投标”的法定情形，包括但不限于：</w:t>
      </w:r>
    </w:p>
    <w:p w14:paraId="1AF5FEAF">
      <w:pPr>
        <w:spacing w:line="380" w:lineRule="exact"/>
        <w:ind w:firstLine="420" w:firstLineChars="200"/>
      </w:pPr>
      <w:r>
        <w:rPr>
          <w:rFonts w:hint="eastAsia" w:ascii="宋体" w:hAnsi="宋体"/>
        </w:rPr>
        <w:t>（一）投标供应商之间相互约定给予未中标的供应商利益补偿。</w:t>
      </w:r>
    </w:p>
    <w:p w14:paraId="7449FDD0">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195083D6">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474C5B1F">
      <w:pPr>
        <w:spacing w:line="340" w:lineRule="exact"/>
        <w:ind w:firstLine="420" w:firstLineChars="200"/>
      </w:pPr>
      <w:r>
        <w:rPr>
          <w:rFonts w:hint="eastAsia" w:ascii="宋体" w:hAnsi="宋体"/>
        </w:rPr>
        <w:t>（四）不同投标供应商的投标文件或部分投标文件相互混装。</w:t>
      </w:r>
    </w:p>
    <w:p w14:paraId="7F1E3CB0">
      <w:pPr>
        <w:spacing w:line="340" w:lineRule="exact"/>
        <w:ind w:firstLine="420" w:firstLineChars="200"/>
      </w:pPr>
      <w:r>
        <w:rPr>
          <w:rFonts w:hint="eastAsia" w:ascii="宋体" w:hAnsi="宋体"/>
        </w:rPr>
        <w:t>（五）不同投标供应商的投标文件内容存在非正常一致。</w:t>
      </w:r>
    </w:p>
    <w:p w14:paraId="059ED508">
      <w:pPr>
        <w:spacing w:line="340" w:lineRule="exact"/>
        <w:ind w:firstLine="420" w:firstLineChars="200"/>
      </w:pPr>
      <w:r>
        <w:rPr>
          <w:rFonts w:hint="eastAsia" w:ascii="宋体" w:hAnsi="宋体"/>
        </w:rPr>
        <w:t>（六）由同一单位工作人员为两家以上（含两家）供应商进行同一项投标活动的。</w:t>
      </w:r>
    </w:p>
    <w:p w14:paraId="49851314">
      <w:pPr>
        <w:spacing w:line="340" w:lineRule="exact"/>
        <w:ind w:firstLine="420" w:firstLineChars="200"/>
      </w:pPr>
      <w:r>
        <w:rPr>
          <w:rFonts w:hint="eastAsia" w:ascii="宋体" w:hAnsi="宋体"/>
        </w:rPr>
        <w:t>（七）不同投标人的投标报价呈规律性差异。</w:t>
      </w:r>
    </w:p>
    <w:p w14:paraId="5AF757D0">
      <w:pPr>
        <w:spacing w:line="340" w:lineRule="exact"/>
        <w:ind w:firstLine="420" w:firstLineChars="200"/>
      </w:pPr>
      <w:r>
        <w:rPr>
          <w:rFonts w:hint="eastAsia" w:ascii="宋体" w:hAnsi="宋体"/>
        </w:rPr>
        <w:t>（八）不同投标人的投标保证金从同一单位或者个人的账户转出。</w:t>
      </w:r>
    </w:p>
    <w:p w14:paraId="5B2F5336">
      <w:pPr>
        <w:spacing w:line="340" w:lineRule="exact"/>
        <w:ind w:firstLine="420" w:firstLineChars="200"/>
      </w:pPr>
      <w:r>
        <w:rPr>
          <w:rFonts w:hint="eastAsia" w:ascii="宋体" w:hAnsi="宋体"/>
        </w:rPr>
        <w:t>（九）主管部门依照法律、法规认定的其他情形。</w:t>
      </w:r>
    </w:p>
    <w:p w14:paraId="575C8269">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7EF24041">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62BD451D">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59C6DF53">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6FDD16B9">
      <w:pPr>
        <w:spacing w:line="340" w:lineRule="exact"/>
        <w:ind w:firstLine="422" w:firstLineChars="200"/>
        <w:rPr>
          <w:b/>
        </w:rPr>
      </w:pPr>
      <w:r>
        <w:rPr>
          <w:rFonts w:hint="eastAsia" w:ascii="宋体" w:hAnsi="宋体"/>
          <w:b/>
        </w:rPr>
        <w:t>四、我单位已充分知悉政府采购违法、违规行为的法律后果。</w:t>
      </w:r>
    </w:p>
    <w:p w14:paraId="261115AE">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17F3E83">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0"/>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2CF4C8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68DC4055">
            <w:pPr>
              <w:autoSpaceDE w:val="0"/>
              <w:autoSpaceDN w:val="0"/>
              <w:spacing w:line="340" w:lineRule="exact"/>
              <w:ind w:firstLine="1866"/>
              <w:rPr>
                <w:rFonts w:ascii="宋体" w:hAnsi="宋体" w:eastAsiaTheme="minorEastAsia"/>
                <w:spacing w:val="-4"/>
                <w:kern w:val="0"/>
                <w:szCs w:val="21"/>
              </w:rPr>
            </w:pPr>
          </w:p>
        </w:tc>
      </w:tr>
      <w:tr w14:paraId="4C1AE5A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01296CA4">
            <w:pPr>
              <w:autoSpaceDE w:val="0"/>
              <w:autoSpaceDN w:val="0"/>
              <w:spacing w:line="340" w:lineRule="exact"/>
              <w:ind w:firstLine="1866"/>
              <w:rPr>
                <w:rFonts w:ascii="宋体" w:hAnsi="宋体" w:eastAsiaTheme="minorEastAsia"/>
                <w:spacing w:val="-4"/>
                <w:kern w:val="0"/>
                <w:szCs w:val="21"/>
              </w:rPr>
            </w:pPr>
          </w:p>
        </w:tc>
      </w:tr>
      <w:tr w14:paraId="5AE631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6BBF7D58">
            <w:pPr>
              <w:autoSpaceDE w:val="0"/>
              <w:autoSpaceDN w:val="0"/>
              <w:spacing w:line="340" w:lineRule="exact"/>
              <w:ind w:firstLine="1866"/>
              <w:rPr>
                <w:rFonts w:ascii="宋体" w:hAnsi="宋体" w:eastAsiaTheme="minorEastAsia"/>
                <w:spacing w:val="-4"/>
                <w:kern w:val="0"/>
                <w:szCs w:val="21"/>
              </w:rPr>
            </w:pPr>
          </w:p>
        </w:tc>
      </w:tr>
      <w:tr w14:paraId="53FCB8C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32E5491D">
            <w:pPr>
              <w:autoSpaceDE w:val="0"/>
              <w:autoSpaceDN w:val="0"/>
              <w:spacing w:line="340" w:lineRule="exact"/>
              <w:ind w:firstLine="1866"/>
              <w:rPr>
                <w:rFonts w:ascii="宋体" w:hAnsi="宋体" w:eastAsiaTheme="minorEastAsia"/>
                <w:spacing w:val="-4"/>
                <w:kern w:val="0"/>
                <w:szCs w:val="21"/>
              </w:rPr>
            </w:pPr>
          </w:p>
        </w:tc>
      </w:tr>
    </w:tbl>
    <w:p w14:paraId="01904C86">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1A5B52E3">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3E26DBE1">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22B8C15B">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79B984F0">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0718A8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7B2844E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578D007A">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19AFDA93">
      <w:pPr>
        <w:widowControl/>
        <w:autoSpaceDE w:val="0"/>
        <w:autoSpaceDN w:val="0"/>
        <w:spacing w:line="400" w:lineRule="exact"/>
        <w:ind w:right="1414" w:firstLine="480" w:firstLineChars="200"/>
        <w:jc w:val="right"/>
        <w:rPr>
          <w:rFonts w:eastAsiaTheme="minorEastAsia"/>
          <w:kern w:val="0"/>
          <w:sz w:val="24"/>
        </w:rPr>
      </w:pPr>
    </w:p>
    <w:p w14:paraId="02781463">
      <w:pPr>
        <w:widowControl/>
        <w:jc w:val="left"/>
        <w:rPr>
          <w:rFonts w:ascii="黑体" w:eastAsia="黑体"/>
          <w:sz w:val="24"/>
          <w:szCs w:val="20"/>
        </w:rPr>
      </w:pPr>
      <w:r>
        <w:rPr>
          <w:rFonts w:ascii="黑体" w:eastAsia="黑体"/>
          <w:sz w:val="24"/>
          <w:szCs w:val="20"/>
        </w:rPr>
        <w:br w:type="page"/>
      </w:r>
    </w:p>
    <w:p w14:paraId="0BA72879">
      <w:pPr>
        <w:jc w:val="center"/>
        <w:rPr>
          <w:rFonts w:ascii="黑体" w:eastAsia="黑体"/>
          <w:sz w:val="24"/>
          <w:szCs w:val="20"/>
        </w:rPr>
      </w:pPr>
      <w:r>
        <w:rPr>
          <w:rFonts w:hint="eastAsia" w:ascii="黑体" w:eastAsia="黑体"/>
          <w:sz w:val="24"/>
          <w:szCs w:val="20"/>
        </w:rPr>
        <w:t>（二）订单融资情况</w:t>
      </w:r>
    </w:p>
    <w:p w14:paraId="7122A16F">
      <w:pPr>
        <w:ind w:firstLine="422" w:firstLineChars="200"/>
        <w:rPr>
          <w:rFonts w:ascii="宋体" w:hAnsi="宋体" w:cs="宋体"/>
          <w:b/>
          <w:bCs/>
        </w:rPr>
      </w:pPr>
      <w:r>
        <w:rPr>
          <w:rFonts w:hint="eastAsia" w:ascii="宋体" w:hAnsi="宋体" w:cs="宋体"/>
          <w:b/>
          <w:bCs/>
        </w:rPr>
        <w:t>1、关于政府采购订单融资政策</w:t>
      </w:r>
    </w:p>
    <w:p w14:paraId="7AD81024">
      <w:pPr>
        <w:pStyle w:val="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D4CE43B">
      <w:pPr>
        <w:ind w:firstLine="422" w:firstLineChars="200"/>
        <w:rPr>
          <w:rFonts w:ascii="宋体" w:hAnsi="宋体" w:cs="宋体"/>
          <w:b/>
          <w:bCs/>
        </w:rPr>
      </w:pPr>
      <w:r>
        <w:rPr>
          <w:rFonts w:hint="eastAsia" w:ascii="宋体" w:hAnsi="宋体" w:cs="宋体"/>
          <w:b/>
          <w:bCs/>
        </w:rPr>
        <w:t>2、供应商账户信息</w:t>
      </w:r>
    </w:p>
    <w:p w14:paraId="615D58C9">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AA42722">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4BC28B6A">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E393526">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2ABDCEFE">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253A1471">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47986855">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6013F2AB">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2E88402D">
      <w:pPr>
        <w:widowControl/>
        <w:autoSpaceDE w:val="0"/>
        <w:autoSpaceDN w:val="0"/>
        <w:spacing w:line="400" w:lineRule="exact"/>
        <w:ind w:right="1414" w:firstLine="480" w:firstLineChars="200"/>
        <w:jc w:val="right"/>
        <w:rPr>
          <w:rFonts w:eastAsiaTheme="minorEastAsia"/>
          <w:kern w:val="0"/>
          <w:sz w:val="24"/>
        </w:rPr>
      </w:pPr>
    </w:p>
    <w:p w14:paraId="00BB8A4B">
      <w:pPr>
        <w:widowControl/>
        <w:autoSpaceDE w:val="0"/>
        <w:autoSpaceDN w:val="0"/>
        <w:spacing w:line="400" w:lineRule="exact"/>
        <w:ind w:right="1414" w:firstLine="480" w:firstLineChars="200"/>
        <w:jc w:val="right"/>
        <w:rPr>
          <w:rFonts w:eastAsiaTheme="minorEastAsia"/>
          <w:kern w:val="0"/>
          <w:sz w:val="24"/>
        </w:rPr>
      </w:pPr>
    </w:p>
    <w:p w14:paraId="14711975">
      <w:pPr>
        <w:widowControl/>
        <w:autoSpaceDE w:val="0"/>
        <w:autoSpaceDN w:val="0"/>
        <w:spacing w:line="400" w:lineRule="exact"/>
        <w:ind w:right="1414" w:firstLine="480" w:firstLineChars="200"/>
        <w:jc w:val="right"/>
        <w:rPr>
          <w:rFonts w:eastAsiaTheme="minorEastAsia"/>
          <w:kern w:val="0"/>
          <w:sz w:val="24"/>
        </w:rPr>
      </w:pPr>
    </w:p>
    <w:p w14:paraId="28C0FB76">
      <w:pPr>
        <w:widowControl/>
        <w:autoSpaceDE w:val="0"/>
        <w:autoSpaceDN w:val="0"/>
        <w:spacing w:line="400" w:lineRule="exact"/>
        <w:ind w:right="1414" w:firstLine="480" w:firstLineChars="200"/>
        <w:jc w:val="right"/>
        <w:rPr>
          <w:rFonts w:eastAsiaTheme="minorEastAsia"/>
          <w:kern w:val="0"/>
          <w:sz w:val="24"/>
        </w:rPr>
      </w:pPr>
    </w:p>
    <w:p w14:paraId="0A215C31">
      <w:pPr>
        <w:ind w:firstLine="720" w:firstLineChars="300"/>
        <w:rPr>
          <w:sz w:val="24"/>
        </w:rPr>
      </w:pPr>
    </w:p>
    <w:p w14:paraId="74937AC6">
      <w:pPr>
        <w:widowControl/>
        <w:spacing w:line="360" w:lineRule="auto"/>
        <w:jc w:val="left"/>
        <w:rPr>
          <w:rFonts w:eastAsiaTheme="minorEastAsia"/>
          <w:b/>
          <w:bCs/>
          <w:kern w:val="0"/>
          <w:sz w:val="24"/>
        </w:rPr>
      </w:pPr>
    </w:p>
    <w:p w14:paraId="097C385F">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5C59CB68">
      <w:pPr>
        <w:pStyle w:val="8"/>
        <w:sectPr>
          <w:pgSz w:w="11907" w:h="16840"/>
          <w:pgMar w:top="1440" w:right="1797" w:bottom="1440" w:left="1797" w:header="851" w:footer="992" w:gutter="0"/>
          <w:cols w:space="425" w:num="1"/>
          <w:titlePg/>
          <w:docGrid w:linePitch="462" w:charSpace="0"/>
        </w:sectPr>
      </w:pPr>
    </w:p>
    <w:p w14:paraId="4225C933">
      <w:pPr>
        <w:pStyle w:val="8"/>
      </w:pPr>
    </w:p>
    <w:p w14:paraId="110C499C">
      <w:pPr>
        <w:pStyle w:val="5"/>
      </w:pPr>
      <w:r>
        <w:rPr>
          <w:rFonts w:hint="eastAsia"/>
        </w:rPr>
        <w:t>第五章  合同条款及格式</w:t>
      </w:r>
    </w:p>
    <w:p w14:paraId="3FBE2305">
      <w:pPr>
        <w:ind w:firstLine="411" w:firstLineChars="196"/>
      </w:pPr>
    </w:p>
    <w:p w14:paraId="31982FC2">
      <w:pPr>
        <w:jc w:val="center"/>
        <w:rPr>
          <w:b/>
        </w:rPr>
      </w:pPr>
      <w:r>
        <w:rPr>
          <w:rFonts w:hint="eastAsia"/>
          <w:b/>
        </w:rPr>
        <w:t>（仅供参考，具体以项目需求及采购结果为准）</w:t>
      </w:r>
    </w:p>
    <w:p w14:paraId="0C644820">
      <w:pPr>
        <w:rPr>
          <w:rFonts w:ascii="宋体" w:hAnsi="宋体"/>
          <w:b/>
          <w:bCs/>
          <w:szCs w:val="21"/>
        </w:rPr>
      </w:pPr>
      <w:r>
        <w:rPr>
          <w:rFonts w:hint="eastAsia" w:ascii="宋体" w:hAnsi="宋体"/>
          <w:b/>
          <w:bCs/>
          <w:szCs w:val="21"/>
        </w:rPr>
        <w:t>甲方：</w:t>
      </w:r>
    </w:p>
    <w:p w14:paraId="19D8FDCC">
      <w:pPr>
        <w:rPr>
          <w:rFonts w:ascii="宋体" w:hAnsi="宋体"/>
          <w:szCs w:val="21"/>
        </w:rPr>
      </w:pPr>
      <w:r>
        <w:rPr>
          <w:rFonts w:hint="eastAsia" w:ascii="宋体" w:hAnsi="宋体"/>
          <w:szCs w:val="21"/>
        </w:rPr>
        <w:t>地址：</w:t>
      </w:r>
    </w:p>
    <w:p w14:paraId="2BD61CBE">
      <w:pPr>
        <w:rPr>
          <w:rFonts w:ascii="宋体" w:hAnsi="宋体"/>
          <w:szCs w:val="21"/>
        </w:rPr>
      </w:pPr>
      <w:r>
        <w:rPr>
          <w:rFonts w:hint="eastAsia" w:ascii="宋体" w:hAnsi="宋体"/>
          <w:szCs w:val="21"/>
        </w:rPr>
        <w:t>联系人：</w:t>
      </w:r>
      <w:r>
        <w:rPr>
          <w:rFonts w:ascii="宋体" w:hAnsi="宋体"/>
          <w:szCs w:val="21"/>
        </w:rPr>
        <w:t xml:space="preserve">                          </w:t>
      </w:r>
    </w:p>
    <w:p w14:paraId="4F599852">
      <w:pPr>
        <w:rPr>
          <w:rFonts w:ascii="宋体" w:hAnsi="宋体"/>
          <w:b/>
          <w:bCs/>
          <w:szCs w:val="21"/>
        </w:rPr>
      </w:pPr>
      <w:r>
        <w:rPr>
          <w:rFonts w:hint="eastAsia" w:ascii="宋体" w:hAnsi="宋体"/>
          <w:szCs w:val="21"/>
        </w:rPr>
        <w:t>联系电话：</w:t>
      </w:r>
    </w:p>
    <w:p w14:paraId="5CD78B14">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7C7727A8">
      <w:pPr>
        <w:rPr>
          <w:rFonts w:ascii="宋体" w:hAnsi="宋体"/>
          <w:b/>
          <w:bCs/>
          <w:szCs w:val="21"/>
        </w:rPr>
      </w:pPr>
      <w:r>
        <w:rPr>
          <w:rFonts w:hint="eastAsia" w:ascii="宋体" w:hAnsi="宋体"/>
          <w:b/>
          <w:bCs/>
          <w:szCs w:val="21"/>
        </w:rPr>
        <w:t>乙方：</w:t>
      </w:r>
    </w:p>
    <w:p w14:paraId="03B52E1E">
      <w:pPr>
        <w:rPr>
          <w:rFonts w:ascii="宋体" w:hAnsi="宋体"/>
          <w:szCs w:val="21"/>
        </w:rPr>
      </w:pPr>
      <w:r>
        <w:rPr>
          <w:rFonts w:hint="eastAsia" w:ascii="宋体" w:hAnsi="宋体"/>
          <w:szCs w:val="21"/>
        </w:rPr>
        <w:t>地址：</w:t>
      </w:r>
    </w:p>
    <w:p w14:paraId="1C4837B5">
      <w:pPr>
        <w:rPr>
          <w:rFonts w:ascii="宋体" w:hAnsi="宋体"/>
          <w:szCs w:val="21"/>
        </w:rPr>
      </w:pPr>
      <w:r>
        <w:rPr>
          <w:rFonts w:hint="eastAsia" w:ascii="宋体" w:hAnsi="宋体"/>
          <w:szCs w:val="21"/>
        </w:rPr>
        <w:t>联系人：</w:t>
      </w:r>
      <w:r>
        <w:rPr>
          <w:rFonts w:ascii="宋体" w:hAnsi="宋体"/>
          <w:szCs w:val="21"/>
        </w:rPr>
        <w:t xml:space="preserve">                          </w:t>
      </w:r>
    </w:p>
    <w:p w14:paraId="6827B6CA">
      <w:pPr>
        <w:rPr>
          <w:rFonts w:ascii="宋体" w:hAnsi="宋体"/>
          <w:b/>
          <w:bCs/>
          <w:szCs w:val="21"/>
        </w:rPr>
      </w:pPr>
      <w:r>
        <w:rPr>
          <w:rFonts w:hint="eastAsia" w:ascii="宋体" w:hAnsi="宋体"/>
          <w:szCs w:val="21"/>
        </w:rPr>
        <w:t>联系电话：</w:t>
      </w:r>
    </w:p>
    <w:p w14:paraId="42211A04">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0C82BFE1">
      <w:pPr>
        <w:rPr>
          <w:rFonts w:ascii="宋体" w:hAnsi="宋体"/>
          <w:szCs w:val="21"/>
        </w:rPr>
      </w:pPr>
    </w:p>
    <w:p w14:paraId="3DF8CC8C">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09EBB6D">
      <w:pPr>
        <w:ind w:firstLine="422" w:firstLineChars="200"/>
        <w:rPr>
          <w:rFonts w:ascii="宋体" w:hAnsi="宋体"/>
          <w:b/>
          <w:bCs/>
          <w:szCs w:val="21"/>
        </w:rPr>
      </w:pPr>
      <w:r>
        <w:rPr>
          <w:rFonts w:hint="eastAsia" w:ascii="宋体" w:hAnsi="宋体"/>
          <w:b/>
          <w:bCs/>
          <w:szCs w:val="21"/>
        </w:rPr>
        <w:t>第一条　项目概况</w:t>
      </w:r>
    </w:p>
    <w:p w14:paraId="7094A633">
      <w:pPr>
        <w:ind w:firstLine="420" w:firstLineChars="200"/>
        <w:rPr>
          <w:rFonts w:ascii="宋体" w:hAnsi="宋体"/>
          <w:szCs w:val="21"/>
        </w:rPr>
      </w:pPr>
      <w:r>
        <w:rPr>
          <w:rFonts w:hint="eastAsia" w:ascii="宋体" w:hAnsi="宋体"/>
          <w:szCs w:val="21"/>
        </w:rPr>
        <w:t xml:space="preserve">项目名称： </w:t>
      </w:r>
    </w:p>
    <w:p w14:paraId="14817CAE">
      <w:pPr>
        <w:ind w:firstLine="420" w:firstLineChars="200"/>
        <w:rPr>
          <w:rFonts w:ascii="宋体" w:hAnsi="宋体"/>
          <w:szCs w:val="21"/>
        </w:rPr>
      </w:pPr>
      <w:r>
        <w:rPr>
          <w:rFonts w:hint="eastAsia" w:ascii="宋体" w:hAnsi="宋体"/>
          <w:szCs w:val="21"/>
        </w:rPr>
        <w:t xml:space="preserve">项目内容： </w:t>
      </w:r>
    </w:p>
    <w:p w14:paraId="0DB7ABEC">
      <w:pPr>
        <w:ind w:firstLine="420" w:firstLineChars="200"/>
        <w:rPr>
          <w:rFonts w:ascii="宋体" w:hAnsi="宋体"/>
          <w:szCs w:val="21"/>
        </w:rPr>
      </w:pPr>
      <w:r>
        <w:rPr>
          <w:rFonts w:hint="eastAsia" w:ascii="宋体" w:hAnsi="宋体"/>
          <w:szCs w:val="21"/>
        </w:rPr>
        <w:t xml:space="preserve">服务时间： </w:t>
      </w:r>
    </w:p>
    <w:p w14:paraId="517FCCF1">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0237BAC">
      <w:pPr>
        <w:pStyle w:val="7"/>
        <w:rPr>
          <w:rFonts w:ascii="宋体" w:hAnsi="宋体"/>
          <w:szCs w:val="21"/>
        </w:rPr>
      </w:pPr>
      <w:r>
        <w:rPr>
          <w:rFonts w:hint="eastAsia" w:ascii="宋体" w:hAnsi="宋体"/>
          <w:szCs w:val="21"/>
        </w:rPr>
        <w:t>支付方式：分期支付。</w:t>
      </w:r>
    </w:p>
    <w:p w14:paraId="72A476E3">
      <w:pPr>
        <w:ind w:firstLine="422" w:firstLineChars="200"/>
        <w:rPr>
          <w:rFonts w:ascii="宋体" w:hAnsi="宋体"/>
          <w:b/>
          <w:bCs/>
          <w:szCs w:val="21"/>
        </w:rPr>
      </w:pPr>
      <w:r>
        <w:rPr>
          <w:rFonts w:hint="eastAsia" w:ascii="宋体" w:hAnsi="宋体"/>
          <w:b/>
          <w:bCs/>
          <w:szCs w:val="21"/>
        </w:rPr>
        <w:t>第二条  服务范围</w:t>
      </w:r>
    </w:p>
    <w:p w14:paraId="5C65DCD4">
      <w:pPr>
        <w:ind w:firstLine="420" w:firstLineChars="200"/>
        <w:rPr>
          <w:rFonts w:ascii="宋体" w:hAnsi="宋体"/>
          <w:szCs w:val="21"/>
        </w:rPr>
      </w:pPr>
      <w:r>
        <w:rPr>
          <w:rFonts w:hint="eastAsia" w:ascii="宋体" w:hAnsi="宋体"/>
          <w:szCs w:val="21"/>
        </w:rPr>
        <w:t xml:space="preserve">1、  </w:t>
      </w:r>
    </w:p>
    <w:p w14:paraId="3551FD13">
      <w:pPr>
        <w:ind w:firstLine="420" w:firstLineChars="200"/>
        <w:rPr>
          <w:rFonts w:ascii="宋体" w:hAnsi="宋体"/>
          <w:szCs w:val="21"/>
        </w:rPr>
      </w:pPr>
      <w:r>
        <w:rPr>
          <w:rFonts w:hint="eastAsia" w:ascii="宋体" w:hAnsi="宋体"/>
          <w:szCs w:val="21"/>
        </w:rPr>
        <w:t xml:space="preserve">2、  </w:t>
      </w:r>
    </w:p>
    <w:p w14:paraId="4623A802">
      <w:pPr>
        <w:ind w:firstLine="420" w:firstLineChars="200"/>
        <w:rPr>
          <w:rFonts w:ascii="宋体" w:hAnsi="宋体"/>
          <w:szCs w:val="21"/>
        </w:rPr>
      </w:pPr>
      <w:r>
        <w:rPr>
          <w:rFonts w:hint="eastAsia" w:ascii="宋体" w:hAnsi="宋体"/>
          <w:szCs w:val="21"/>
        </w:rPr>
        <w:t xml:space="preserve">3、  </w:t>
      </w:r>
    </w:p>
    <w:p w14:paraId="580E650F">
      <w:pPr>
        <w:ind w:firstLine="420" w:firstLineChars="200"/>
        <w:rPr>
          <w:rFonts w:ascii="宋体" w:hAnsi="宋体"/>
          <w:szCs w:val="21"/>
        </w:rPr>
      </w:pPr>
      <w:r>
        <w:rPr>
          <w:rFonts w:hint="eastAsia" w:ascii="宋体" w:hAnsi="宋体"/>
          <w:szCs w:val="21"/>
        </w:rPr>
        <w:t>4、 其他合同未明示的相关工作。</w:t>
      </w:r>
    </w:p>
    <w:p w14:paraId="57E14F48">
      <w:pPr>
        <w:ind w:firstLine="422" w:firstLineChars="200"/>
        <w:rPr>
          <w:rFonts w:ascii="宋体" w:hAnsi="宋体"/>
          <w:b/>
          <w:bCs/>
          <w:szCs w:val="21"/>
        </w:rPr>
      </w:pPr>
      <w:r>
        <w:rPr>
          <w:rFonts w:hint="eastAsia" w:ascii="宋体" w:hAnsi="宋体"/>
          <w:b/>
          <w:bCs/>
          <w:szCs w:val="21"/>
        </w:rPr>
        <w:t>第三条  时间要求及阶段成果</w:t>
      </w:r>
    </w:p>
    <w:p w14:paraId="7E73771F">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D13650B">
      <w:pPr>
        <w:ind w:firstLine="420" w:firstLineChars="200"/>
        <w:rPr>
          <w:rFonts w:ascii="宋体" w:hAnsi="宋体"/>
          <w:szCs w:val="21"/>
        </w:rPr>
      </w:pPr>
      <w:r>
        <w:rPr>
          <w:rFonts w:hint="eastAsia" w:ascii="宋体" w:hAnsi="宋体"/>
          <w:szCs w:val="21"/>
        </w:rPr>
        <w:t xml:space="preserve">2、 </w:t>
      </w:r>
    </w:p>
    <w:p w14:paraId="3EA96740">
      <w:pPr>
        <w:ind w:firstLine="420" w:firstLineChars="200"/>
        <w:rPr>
          <w:rFonts w:ascii="宋体" w:hAnsi="宋体"/>
          <w:szCs w:val="21"/>
        </w:rPr>
      </w:pPr>
      <w:r>
        <w:rPr>
          <w:rFonts w:hint="eastAsia" w:ascii="宋体" w:hAnsi="宋体"/>
          <w:szCs w:val="21"/>
        </w:rPr>
        <w:t>3、</w:t>
      </w:r>
    </w:p>
    <w:p w14:paraId="04950803">
      <w:pPr>
        <w:ind w:firstLine="420" w:firstLineChars="200"/>
        <w:rPr>
          <w:rFonts w:ascii="宋体" w:hAnsi="宋体"/>
          <w:szCs w:val="21"/>
        </w:rPr>
      </w:pPr>
      <w:r>
        <w:rPr>
          <w:rFonts w:hint="eastAsia" w:ascii="宋体" w:hAnsi="宋体"/>
          <w:szCs w:val="21"/>
        </w:rPr>
        <w:t>4、</w:t>
      </w:r>
    </w:p>
    <w:p w14:paraId="24386529">
      <w:pPr>
        <w:ind w:firstLine="422" w:firstLineChars="200"/>
        <w:rPr>
          <w:rFonts w:ascii="宋体" w:hAnsi="宋体"/>
          <w:b/>
          <w:bCs/>
          <w:szCs w:val="21"/>
        </w:rPr>
      </w:pPr>
      <w:r>
        <w:rPr>
          <w:rFonts w:hint="eastAsia" w:ascii="宋体" w:hAnsi="宋体"/>
          <w:b/>
          <w:bCs/>
          <w:szCs w:val="21"/>
        </w:rPr>
        <w:t>第四条  服务资料归属</w:t>
      </w:r>
    </w:p>
    <w:p w14:paraId="4ED33825">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825A889">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14F23A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3E0678B">
      <w:pPr>
        <w:ind w:firstLine="422" w:firstLineChars="200"/>
        <w:rPr>
          <w:rFonts w:ascii="宋体" w:hAnsi="宋体"/>
          <w:b/>
          <w:bCs/>
          <w:szCs w:val="21"/>
        </w:rPr>
      </w:pPr>
      <w:r>
        <w:rPr>
          <w:rFonts w:hint="eastAsia" w:ascii="宋体" w:hAnsi="宋体"/>
          <w:b/>
          <w:bCs/>
          <w:szCs w:val="21"/>
        </w:rPr>
        <w:t>第五条  甲方的义务</w:t>
      </w:r>
    </w:p>
    <w:p w14:paraId="7D58D967">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390BBC81">
      <w:pPr>
        <w:ind w:firstLine="420" w:firstLineChars="200"/>
        <w:rPr>
          <w:rFonts w:ascii="宋体" w:hAnsi="宋体"/>
          <w:szCs w:val="21"/>
        </w:rPr>
      </w:pPr>
      <w:r>
        <w:rPr>
          <w:rFonts w:hint="eastAsia" w:ascii="宋体" w:hAnsi="宋体"/>
          <w:szCs w:val="21"/>
        </w:rPr>
        <w:t>2、向乙方提供与本项目服务工作有关的资料。</w:t>
      </w:r>
    </w:p>
    <w:p w14:paraId="426AE7D1">
      <w:pPr>
        <w:ind w:firstLine="420" w:firstLineChars="200"/>
        <w:rPr>
          <w:rFonts w:ascii="宋体" w:hAnsi="宋体"/>
          <w:szCs w:val="21"/>
        </w:rPr>
      </w:pPr>
      <w:r>
        <w:rPr>
          <w:rFonts w:hint="eastAsia" w:ascii="宋体" w:hAnsi="宋体"/>
          <w:szCs w:val="21"/>
        </w:rPr>
        <w:t>3、负责组织有关专家对项目试验成果评估报告的评审。</w:t>
      </w:r>
    </w:p>
    <w:p w14:paraId="5F35DC09">
      <w:pPr>
        <w:ind w:firstLine="422" w:firstLineChars="200"/>
        <w:rPr>
          <w:rFonts w:ascii="宋体" w:hAnsi="宋体"/>
          <w:b/>
          <w:bCs/>
          <w:szCs w:val="21"/>
        </w:rPr>
      </w:pPr>
      <w:r>
        <w:rPr>
          <w:rFonts w:hint="eastAsia" w:ascii="宋体" w:hAnsi="宋体"/>
          <w:b/>
          <w:bCs/>
          <w:szCs w:val="21"/>
        </w:rPr>
        <w:t>第六条　乙方的义务</w:t>
      </w:r>
    </w:p>
    <w:p w14:paraId="5B726A9B">
      <w:pPr>
        <w:ind w:firstLine="420" w:firstLineChars="200"/>
        <w:rPr>
          <w:rFonts w:ascii="宋体" w:hAnsi="宋体"/>
          <w:szCs w:val="21"/>
        </w:rPr>
      </w:pPr>
      <w:r>
        <w:rPr>
          <w:rFonts w:hint="eastAsia" w:ascii="宋体" w:hAnsi="宋体"/>
          <w:szCs w:val="21"/>
        </w:rPr>
        <w:t>１、应按照招标文件、投标文件要求按期完成本项目服务工作。</w:t>
      </w:r>
    </w:p>
    <w:p w14:paraId="61354510">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0CF1391B">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73FF312B">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5C49D77">
      <w:pPr>
        <w:ind w:firstLine="422" w:firstLineChars="200"/>
        <w:rPr>
          <w:rFonts w:ascii="宋体" w:hAnsi="宋体"/>
          <w:b/>
          <w:bCs/>
          <w:szCs w:val="21"/>
        </w:rPr>
      </w:pPr>
      <w:r>
        <w:rPr>
          <w:rFonts w:hint="eastAsia" w:ascii="宋体" w:hAnsi="宋体"/>
          <w:b/>
          <w:bCs/>
          <w:szCs w:val="21"/>
        </w:rPr>
        <w:t>第七条  甲方的权利</w:t>
      </w:r>
    </w:p>
    <w:p w14:paraId="4725FFB8">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5170ED5">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419E055">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33A94218">
      <w:pPr>
        <w:ind w:firstLine="422" w:firstLineChars="200"/>
        <w:rPr>
          <w:rFonts w:ascii="宋体" w:hAnsi="宋体"/>
          <w:b/>
          <w:bCs/>
          <w:szCs w:val="21"/>
        </w:rPr>
      </w:pPr>
      <w:r>
        <w:rPr>
          <w:rFonts w:hint="eastAsia" w:ascii="宋体" w:hAnsi="宋体"/>
          <w:b/>
          <w:bCs/>
          <w:szCs w:val="21"/>
        </w:rPr>
        <w:t>第八条  乙方的权利</w:t>
      </w:r>
    </w:p>
    <w:p w14:paraId="3EF818C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9E2A4EF">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40433F8">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7C6815A7">
      <w:pPr>
        <w:ind w:firstLine="422" w:firstLineChars="200"/>
        <w:rPr>
          <w:rFonts w:ascii="宋体" w:hAnsi="宋体"/>
          <w:b/>
          <w:bCs/>
          <w:szCs w:val="21"/>
        </w:rPr>
      </w:pPr>
      <w:r>
        <w:rPr>
          <w:rFonts w:hint="eastAsia" w:ascii="宋体" w:hAnsi="宋体"/>
          <w:b/>
          <w:bCs/>
          <w:szCs w:val="21"/>
        </w:rPr>
        <w:t>第九条  甲方的责任</w:t>
      </w:r>
    </w:p>
    <w:p w14:paraId="72AAA9E9">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18A94AD4">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5B5FCE53">
      <w:pPr>
        <w:ind w:firstLine="422" w:firstLineChars="200"/>
        <w:rPr>
          <w:rFonts w:ascii="宋体" w:hAnsi="宋体"/>
          <w:b/>
          <w:bCs/>
          <w:szCs w:val="21"/>
        </w:rPr>
      </w:pPr>
      <w:r>
        <w:rPr>
          <w:rFonts w:hint="eastAsia" w:ascii="宋体" w:hAnsi="宋体"/>
          <w:b/>
          <w:bCs/>
          <w:szCs w:val="21"/>
        </w:rPr>
        <w:t>第十条  乙方的责任</w:t>
      </w:r>
    </w:p>
    <w:p w14:paraId="54B7ED2D">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0F52DDAF">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68986E1">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443007D">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D485F95">
      <w:pPr>
        <w:ind w:firstLine="422" w:firstLineChars="200"/>
        <w:rPr>
          <w:rFonts w:ascii="宋体" w:hAnsi="宋体"/>
          <w:b/>
          <w:bCs/>
          <w:szCs w:val="21"/>
        </w:rPr>
      </w:pPr>
      <w:r>
        <w:rPr>
          <w:rFonts w:hint="eastAsia" w:ascii="宋体" w:hAnsi="宋体"/>
          <w:b/>
          <w:bCs/>
          <w:szCs w:val="21"/>
        </w:rPr>
        <w:t>第十一条  人员要求</w:t>
      </w:r>
    </w:p>
    <w:p w14:paraId="4CEE7D81">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C4D880C">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0DD9B86A">
      <w:pPr>
        <w:ind w:firstLine="420" w:firstLineChars="200"/>
        <w:rPr>
          <w:rFonts w:ascii="宋体" w:hAnsi="宋体"/>
          <w:szCs w:val="21"/>
        </w:rPr>
      </w:pPr>
      <w:r>
        <w:rPr>
          <w:rFonts w:hint="eastAsia" w:ascii="宋体" w:hAnsi="宋体"/>
          <w:szCs w:val="21"/>
        </w:rPr>
        <w:t>3、必须以直属试验人员参与本项目服务，不得使用挂靠队伍。</w:t>
      </w:r>
    </w:p>
    <w:p w14:paraId="60D2B6BC">
      <w:pPr>
        <w:ind w:firstLine="422" w:firstLineChars="200"/>
        <w:rPr>
          <w:rFonts w:ascii="宋体" w:hAnsi="宋体"/>
          <w:b/>
          <w:bCs/>
          <w:szCs w:val="21"/>
        </w:rPr>
      </w:pPr>
      <w:r>
        <w:rPr>
          <w:rFonts w:hint="eastAsia" w:ascii="宋体" w:hAnsi="宋体"/>
          <w:b/>
          <w:bCs/>
          <w:szCs w:val="21"/>
        </w:rPr>
        <w:t>第十二条  乙方服务工具要求</w:t>
      </w:r>
    </w:p>
    <w:p w14:paraId="38A4B1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49F2B6AE">
      <w:pPr>
        <w:ind w:firstLine="420" w:firstLineChars="200"/>
        <w:rPr>
          <w:rFonts w:ascii="宋体" w:hAnsi="宋体"/>
          <w:szCs w:val="21"/>
        </w:rPr>
      </w:pPr>
      <w:r>
        <w:rPr>
          <w:rFonts w:hint="eastAsia" w:ascii="宋体" w:hAnsi="宋体"/>
          <w:szCs w:val="21"/>
        </w:rPr>
        <w:t>2、乙方在提供服务过程中应自备车辆。</w:t>
      </w:r>
    </w:p>
    <w:p w14:paraId="37AC2FB8">
      <w:pPr>
        <w:ind w:firstLine="422" w:firstLineChars="200"/>
        <w:rPr>
          <w:rFonts w:ascii="宋体" w:hAnsi="宋体"/>
          <w:b/>
          <w:bCs/>
          <w:szCs w:val="21"/>
        </w:rPr>
      </w:pPr>
      <w:r>
        <w:rPr>
          <w:rFonts w:hint="eastAsia" w:ascii="宋体" w:hAnsi="宋体"/>
          <w:b/>
          <w:bCs/>
          <w:szCs w:val="21"/>
        </w:rPr>
        <w:t>第十三条  保密要求</w:t>
      </w:r>
    </w:p>
    <w:p w14:paraId="49B32D3D">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C5068F4">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7A36F703">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0495009B">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21C6345">
      <w:pPr>
        <w:ind w:firstLine="422" w:firstLineChars="200"/>
        <w:rPr>
          <w:rFonts w:ascii="宋体" w:hAnsi="宋体"/>
          <w:b/>
          <w:bCs/>
          <w:szCs w:val="21"/>
        </w:rPr>
      </w:pPr>
      <w:r>
        <w:rPr>
          <w:rFonts w:hint="eastAsia" w:ascii="宋体" w:hAnsi="宋体"/>
          <w:b/>
          <w:bCs/>
          <w:szCs w:val="21"/>
        </w:rPr>
        <w:t xml:space="preserve">第十四条  验收     </w:t>
      </w:r>
    </w:p>
    <w:p w14:paraId="3EBE82CB">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7FBDBD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6F075CF">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EB9FC7F">
      <w:pPr>
        <w:ind w:firstLine="422" w:firstLineChars="200"/>
        <w:rPr>
          <w:rFonts w:ascii="宋体" w:hAnsi="宋体"/>
          <w:b/>
          <w:bCs/>
          <w:szCs w:val="21"/>
        </w:rPr>
      </w:pPr>
      <w:r>
        <w:rPr>
          <w:rFonts w:hint="eastAsia" w:ascii="宋体" w:hAnsi="宋体"/>
          <w:b/>
          <w:bCs/>
          <w:szCs w:val="21"/>
        </w:rPr>
        <w:t>第十五条  付款方式</w:t>
      </w:r>
    </w:p>
    <w:p w14:paraId="1EF417E5">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2775618">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65F158FF">
      <w:pPr>
        <w:ind w:firstLine="420" w:firstLineChars="200"/>
        <w:rPr>
          <w:rFonts w:ascii="宋体" w:hAnsi="宋体"/>
          <w:szCs w:val="21"/>
        </w:rPr>
      </w:pPr>
      <w:r>
        <w:rPr>
          <w:rFonts w:hint="eastAsia" w:ascii="宋体" w:hAnsi="宋体"/>
          <w:szCs w:val="21"/>
        </w:rPr>
        <w:t>3、报告通过专家评审后，甲方向乙方支付合同总价%的款项。</w:t>
      </w:r>
    </w:p>
    <w:p w14:paraId="597FFF13">
      <w:pPr>
        <w:ind w:firstLine="422" w:firstLineChars="200"/>
        <w:rPr>
          <w:rFonts w:ascii="宋体" w:hAnsi="宋体"/>
          <w:b/>
          <w:bCs/>
          <w:szCs w:val="21"/>
        </w:rPr>
      </w:pPr>
      <w:r>
        <w:rPr>
          <w:rFonts w:hint="eastAsia" w:ascii="宋体" w:hAnsi="宋体"/>
          <w:b/>
          <w:bCs/>
          <w:szCs w:val="21"/>
        </w:rPr>
        <w:t>第十六条  争议解决办法</w:t>
      </w:r>
    </w:p>
    <w:p w14:paraId="3DAAB01F">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63C9664">
      <w:pPr>
        <w:ind w:firstLine="422" w:firstLineChars="200"/>
        <w:rPr>
          <w:rFonts w:ascii="宋体" w:hAnsi="宋体"/>
          <w:b/>
          <w:bCs/>
          <w:szCs w:val="21"/>
        </w:rPr>
      </w:pPr>
      <w:r>
        <w:rPr>
          <w:rFonts w:hint="eastAsia" w:ascii="宋体" w:hAnsi="宋体"/>
          <w:b/>
          <w:bCs/>
          <w:szCs w:val="21"/>
        </w:rPr>
        <w:t>第十七条  风险责任</w:t>
      </w:r>
    </w:p>
    <w:p w14:paraId="37AFB75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5EA5E1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20A8BE0E">
      <w:pPr>
        <w:ind w:firstLine="422" w:firstLineChars="200"/>
        <w:rPr>
          <w:rFonts w:ascii="宋体" w:hAnsi="宋体"/>
          <w:b/>
          <w:bCs/>
          <w:szCs w:val="21"/>
        </w:rPr>
      </w:pPr>
      <w:r>
        <w:rPr>
          <w:rFonts w:hint="eastAsia" w:ascii="宋体" w:hAnsi="宋体"/>
          <w:b/>
          <w:bCs/>
          <w:szCs w:val="21"/>
        </w:rPr>
        <w:t>第十八条  违约责任</w:t>
      </w:r>
    </w:p>
    <w:p w14:paraId="7A6E7C6E">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00981E01">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5E6C989E">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7556064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4109C2">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4714A333">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135899B5">
      <w:pPr>
        <w:ind w:firstLine="422" w:firstLineChars="200"/>
        <w:rPr>
          <w:rFonts w:ascii="宋体" w:hAnsi="宋体"/>
          <w:b/>
          <w:bCs/>
          <w:szCs w:val="21"/>
        </w:rPr>
      </w:pPr>
      <w:r>
        <w:rPr>
          <w:rFonts w:hint="eastAsia" w:ascii="宋体" w:hAnsi="宋体"/>
          <w:b/>
          <w:bCs/>
          <w:szCs w:val="21"/>
        </w:rPr>
        <w:t>第十九条  其他</w:t>
      </w:r>
    </w:p>
    <w:p w14:paraId="2C0D5CC4">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1B83C1F2">
      <w:pPr>
        <w:ind w:firstLine="420" w:firstLineChars="200"/>
        <w:rPr>
          <w:rFonts w:ascii="宋体" w:hAnsi="宋体"/>
          <w:szCs w:val="21"/>
        </w:rPr>
      </w:pPr>
      <w:r>
        <w:rPr>
          <w:rFonts w:hint="eastAsia" w:ascii="宋体" w:hAnsi="宋体"/>
          <w:szCs w:val="21"/>
        </w:rPr>
        <w:t>（1）政府采购合同协议书及其变更、补充协议</w:t>
      </w:r>
    </w:p>
    <w:p w14:paraId="37A0FB7B">
      <w:pPr>
        <w:ind w:firstLine="420" w:firstLineChars="200"/>
        <w:rPr>
          <w:rFonts w:ascii="宋体" w:hAnsi="宋体"/>
          <w:szCs w:val="21"/>
        </w:rPr>
      </w:pPr>
      <w:r>
        <w:rPr>
          <w:rFonts w:hint="eastAsia" w:ascii="宋体" w:hAnsi="宋体"/>
          <w:szCs w:val="21"/>
        </w:rPr>
        <w:t>（2）政府采购合同专用条款</w:t>
      </w:r>
    </w:p>
    <w:p w14:paraId="5DA9C58D">
      <w:pPr>
        <w:ind w:firstLine="420" w:firstLineChars="200"/>
        <w:rPr>
          <w:rFonts w:ascii="宋体" w:hAnsi="宋体"/>
          <w:szCs w:val="21"/>
        </w:rPr>
      </w:pPr>
      <w:r>
        <w:rPr>
          <w:rFonts w:hint="eastAsia" w:ascii="宋体" w:hAnsi="宋体"/>
          <w:szCs w:val="21"/>
        </w:rPr>
        <w:t>（3）政府采购合同通用条款</w:t>
      </w:r>
    </w:p>
    <w:p w14:paraId="2B688F7A">
      <w:pPr>
        <w:ind w:firstLine="420" w:firstLineChars="200"/>
        <w:rPr>
          <w:rFonts w:ascii="宋体" w:hAnsi="宋体"/>
          <w:szCs w:val="21"/>
        </w:rPr>
      </w:pPr>
      <w:r>
        <w:rPr>
          <w:rFonts w:hint="eastAsia" w:ascii="宋体" w:hAnsi="宋体"/>
          <w:szCs w:val="21"/>
        </w:rPr>
        <w:t>（4）中标（成交）通知书</w:t>
      </w:r>
    </w:p>
    <w:p w14:paraId="2848027B">
      <w:pPr>
        <w:ind w:firstLine="420" w:firstLineChars="200"/>
        <w:rPr>
          <w:rFonts w:ascii="宋体" w:hAnsi="宋体"/>
          <w:szCs w:val="21"/>
        </w:rPr>
      </w:pPr>
      <w:r>
        <w:rPr>
          <w:rFonts w:hint="eastAsia" w:ascii="宋体" w:hAnsi="宋体"/>
          <w:szCs w:val="21"/>
        </w:rPr>
        <w:t>（5）投标（响应）文件</w:t>
      </w:r>
    </w:p>
    <w:p w14:paraId="1B30DA11">
      <w:pPr>
        <w:ind w:firstLine="420" w:firstLineChars="200"/>
        <w:rPr>
          <w:rFonts w:ascii="宋体" w:hAnsi="宋体"/>
          <w:szCs w:val="21"/>
        </w:rPr>
      </w:pPr>
      <w:r>
        <w:rPr>
          <w:rFonts w:hint="eastAsia" w:ascii="宋体" w:hAnsi="宋体"/>
          <w:szCs w:val="21"/>
        </w:rPr>
        <w:t>（6）采购文件</w:t>
      </w:r>
    </w:p>
    <w:p w14:paraId="63F40856">
      <w:pPr>
        <w:ind w:firstLine="420" w:firstLineChars="200"/>
        <w:rPr>
          <w:rFonts w:ascii="宋体" w:hAnsi="宋体"/>
          <w:szCs w:val="21"/>
        </w:rPr>
      </w:pPr>
      <w:r>
        <w:rPr>
          <w:rFonts w:hint="eastAsia" w:ascii="宋体" w:hAnsi="宋体"/>
          <w:szCs w:val="21"/>
        </w:rPr>
        <w:t>（7）有关技术文件，图纸</w:t>
      </w:r>
    </w:p>
    <w:p w14:paraId="7564F9E7">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50E0687E">
      <w:pPr>
        <w:ind w:firstLine="420" w:firstLineChars="200"/>
        <w:rPr>
          <w:rFonts w:ascii="宋体" w:hAnsi="宋体"/>
          <w:szCs w:val="21"/>
        </w:rPr>
      </w:pPr>
      <w:r>
        <w:rPr>
          <w:rFonts w:hint="eastAsia" w:ascii="宋体" w:hAnsi="宋体"/>
          <w:szCs w:val="21"/>
        </w:rPr>
        <w:t>2、下列文件均为本合同的组成部分：</w:t>
      </w:r>
    </w:p>
    <w:p w14:paraId="33530F9F">
      <w:pPr>
        <w:ind w:firstLine="420" w:firstLineChars="200"/>
        <w:rPr>
          <w:rFonts w:ascii="宋体" w:hAnsi="宋体"/>
          <w:szCs w:val="21"/>
        </w:rPr>
      </w:pPr>
      <w:r>
        <w:rPr>
          <w:rFonts w:hint="eastAsia" w:ascii="宋体" w:hAnsi="宋体"/>
          <w:szCs w:val="21"/>
        </w:rPr>
        <w:t>（1）号招标文件、答疑及补充通知；</w:t>
      </w:r>
    </w:p>
    <w:p w14:paraId="0DA1F325">
      <w:pPr>
        <w:ind w:firstLine="420" w:firstLineChars="200"/>
        <w:rPr>
          <w:rFonts w:ascii="宋体" w:hAnsi="宋体"/>
          <w:szCs w:val="21"/>
        </w:rPr>
      </w:pPr>
      <w:r>
        <w:rPr>
          <w:rFonts w:hint="eastAsia" w:ascii="宋体" w:hAnsi="宋体"/>
          <w:szCs w:val="21"/>
        </w:rPr>
        <w:t>（2）投标文件；</w:t>
      </w:r>
    </w:p>
    <w:p w14:paraId="1166E2C9">
      <w:pPr>
        <w:ind w:firstLine="420" w:firstLineChars="200"/>
        <w:rPr>
          <w:rFonts w:ascii="宋体" w:hAnsi="宋体"/>
          <w:szCs w:val="21"/>
        </w:rPr>
      </w:pPr>
      <w:r>
        <w:rPr>
          <w:rFonts w:hint="eastAsia" w:ascii="宋体" w:hAnsi="宋体"/>
          <w:szCs w:val="21"/>
        </w:rPr>
        <w:t>（3）本合同执行中共同签署的补充与修正文件。</w:t>
      </w:r>
    </w:p>
    <w:p w14:paraId="6003F42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298FA04">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1ADF2D2A">
      <w:pPr>
        <w:ind w:firstLine="420" w:firstLineChars="200"/>
        <w:rPr>
          <w:rFonts w:ascii="宋体" w:hAnsi="宋体"/>
          <w:szCs w:val="21"/>
        </w:rPr>
      </w:pPr>
    </w:p>
    <w:p w14:paraId="7288F889">
      <w:pPr>
        <w:ind w:firstLine="420" w:firstLineChars="200"/>
        <w:rPr>
          <w:rFonts w:ascii="宋体" w:hAnsi="宋体"/>
          <w:szCs w:val="21"/>
        </w:rPr>
      </w:pPr>
    </w:p>
    <w:p w14:paraId="254667FC">
      <w:pPr>
        <w:spacing w:line="360" w:lineRule="auto"/>
        <w:ind w:firstLine="560"/>
        <w:jc w:val="left"/>
        <w:rPr>
          <w:rFonts w:ascii="宋体" w:hAnsi="宋体"/>
          <w:szCs w:val="21"/>
        </w:rPr>
      </w:pPr>
      <w:r>
        <w:rPr>
          <w:rFonts w:hint="eastAsia" w:ascii="宋体" w:hAnsi="宋体"/>
          <w:szCs w:val="21"/>
        </w:rPr>
        <w:t>甲方（采购人）：   （盖章）       乙方（供应商）：    （盖章）</w:t>
      </w:r>
    </w:p>
    <w:p w14:paraId="0E5E1A83">
      <w:pPr>
        <w:spacing w:line="360" w:lineRule="auto"/>
        <w:ind w:firstLine="560"/>
        <w:jc w:val="left"/>
        <w:rPr>
          <w:rFonts w:ascii="宋体" w:hAnsi="宋体"/>
          <w:szCs w:val="21"/>
        </w:rPr>
      </w:pPr>
      <w:r>
        <w:rPr>
          <w:rFonts w:hint="eastAsia" w:ascii="宋体" w:hAnsi="宋体"/>
          <w:szCs w:val="21"/>
        </w:rPr>
        <w:t xml:space="preserve">法定代表人：                     法定代表人： </w:t>
      </w:r>
    </w:p>
    <w:p w14:paraId="0B6583C3">
      <w:pPr>
        <w:spacing w:line="360" w:lineRule="auto"/>
        <w:ind w:firstLine="560"/>
        <w:jc w:val="left"/>
        <w:rPr>
          <w:rFonts w:ascii="宋体" w:hAnsi="宋体"/>
          <w:szCs w:val="21"/>
        </w:rPr>
      </w:pPr>
      <w:r>
        <w:rPr>
          <w:rFonts w:hint="eastAsia" w:ascii="宋体" w:hAnsi="宋体"/>
          <w:szCs w:val="21"/>
        </w:rPr>
        <w:t>委托代理人：                     委托代理人：</w:t>
      </w:r>
    </w:p>
    <w:p w14:paraId="540C1776">
      <w:pPr>
        <w:ind w:firstLine="420" w:firstLineChars="200"/>
        <w:rPr>
          <w:rFonts w:ascii="宋体" w:hAnsi="宋体"/>
          <w:szCs w:val="21"/>
        </w:rPr>
      </w:pPr>
      <w:r>
        <w:rPr>
          <w:rFonts w:hint="eastAsia" w:ascii="宋体" w:hAnsi="宋体"/>
          <w:szCs w:val="21"/>
        </w:rPr>
        <w:t>日期：   年     月    日         日期：   年     月    日</w:t>
      </w:r>
    </w:p>
    <w:p w14:paraId="530E0F8A">
      <w:pPr>
        <w:ind w:firstLine="420" w:firstLineChars="200"/>
        <w:rPr>
          <w:rFonts w:ascii="宋体" w:hAnsi="宋体"/>
          <w:szCs w:val="21"/>
        </w:rPr>
      </w:pPr>
    </w:p>
    <w:p w14:paraId="02A27640">
      <w:pPr>
        <w:ind w:firstLine="420" w:firstLineChars="200"/>
        <w:rPr>
          <w:rFonts w:ascii="宋体" w:hAnsi="宋体"/>
          <w:szCs w:val="21"/>
        </w:rPr>
      </w:pPr>
    </w:p>
    <w:p w14:paraId="49747BF6">
      <w:pPr>
        <w:ind w:firstLine="420" w:firstLineChars="200"/>
        <w:rPr>
          <w:rFonts w:ascii="宋体" w:hAnsi="宋体"/>
          <w:szCs w:val="21"/>
        </w:rPr>
      </w:pPr>
    </w:p>
    <w:p w14:paraId="0D1D27AB">
      <w:pPr>
        <w:ind w:firstLine="420" w:firstLineChars="200"/>
        <w:rPr>
          <w:rFonts w:ascii="宋体" w:hAnsi="宋体"/>
          <w:szCs w:val="21"/>
        </w:rPr>
      </w:pPr>
    </w:p>
    <w:p w14:paraId="27864777">
      <w:pPr>
        <w:ind w:firstLine="420" w:firstLineChars="200"/>
        <w:rPr>
          <w:rFonts w:ascii="宋体" w:hAnsi="宋体"/>
          <w:szCs w:val="21"/>
        </w:rPr>
      </w:pPr>
    </w:p>
    <w:p w14:paraId="0F73A1DC">
      <w:pPr>
        <w:widowControl/>
        <w:jc w:val="left"/>
        <w:rPr>
          <w:rFonts w:ascii="宋体" w:hAnsi="宋体"/>
          <w:szCs w:val="21"/>
        </w:rPr>
      </w:pPr>
      <w:r>
        <w:rPr>
          <w:rFonts w:ascii="宋体" w:hAnsi="宋体"/>
          <w:szCs w:val="21"/>
        </w:rPr>
        <w:br w:type="page"/>
      </w:r>
    </w:p>
    <w:p w14:paraId="33E0609D">
      <w:pPr>
        <w:pStyle w:val="5"/>
        <w:spacing w:before="120" w:beforeLines="50" w:after="120" w:afterLines="50"/>
        <w:ind w:left="562"/>
        <w:rPr>
          <w:sz w:val="28"/>
          <w:szCs w:val="28"/>
        </w:rPr>
      </w:pPr>
      <w:r>
        <w:rPr>
          <w:rFonts w:hint="eastAsia"/>
          <w:sz w:val="28"/>
          <w:szCs w:val="28"/>
        </w:rPr>
        <w:t>第二册  通用条款（</w:t>
      </w:r>
      <w:r>
        <w:rPr>
          <w:rFonts w:hint="eastAsia"/>
          <w:sz w:val="28"/>
          <w:szCs w:val="28"/>
          <w:lang w:eastAsia="zh-CN"/>
        </w:rPr>
        <w:t>公开招标（公开征集）</w:t>
      </w:r>
      <w:r>
        <w:rPr>
          <w:rFonts w:hint="eastAsia"/>
          <w:sz w:val="28"/>
          <w:szCs w:val="28"/>
        </w:rPr>
        <w:t>）</w:t>
      </w:r>
    </w:p>
    <w:p w14:paraId="25E965FF">
      <w:pPr>
        <w:pStyle w:val="5"/>
        <w:numPr>
          <w:ilvl w:val="0"/>
          <w:numId w:val="16"/>
        </w:numPr>
        <w:spacing w:before="120" w:beforeLines="50" w:after="120" w:afterLines="50"/>
        <w:ind w:left="562" w:hanging="562"/>
        <w:rPr>
          <w:sz w:val="28"/>
          <w:szCs w:val="28"/>
        </w:rPr>
      </w:pPr>
      <w:bookmarkStart w:id="51" w:name="_Hlk72399513"/>
      <w:r>
        <w:rPr>
          <w:rFonts w:hint="eastAsia"/>
          <w:sz w:val="28"/>
          <w:szCs w:val="28"/>
        </w:rPr>
        <w:t>总则</w:t>
      </w:r>
    </w:p>
    <w:bookmarkEnd w:id="51"/>
    <w:p w14:paraId="60909758">
      <w:pPr>
        <w:rPr>
          <w:rFonts w:ascii="黑体" w:hAnsi="宋体" w:eastAsia="黑体"/>
          <w:sz w:val="24"/>
        </w:rPr>
      </w:pPr>
      <w:r>
        <w:rPr>
          <w:rFonts w:hint="eastAsia" w:ascii="黑体" w:hAnsi="宋体" w:eastAsia="黑体"/>
          <w:sz w:val="24"/>
        </w:rPr>
        <w:t>1. 通用条款说明</w:t>
      </w:r>
    </w:p>
    <w:p w14:paraId="56F52619">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2" w:name="_Hlk72399729"/>
      <w:r>
        <w:rPr>
          <w:rFonts w:hint="eastAsia" w:ascii="宋体" w:hAnsi="宋体"/>
          <w:szCs w:val="21"/>
        </w:rPr>
        <w:t>如有需要，政府集中采购机构可以对通用条款的内容进行补充。</w:t>
      </w:r>
      <w:bookmarkEnd w:id="52"/>
    </w:p>
    <w:p w14:paraId="5A81D08B">
      <w:pPr>
        <w:ind w:firstLine="411" w:firstLineChars="196"/>
        <w:rPr>
          <w:rFonts w:ascii="宋体" w:hAnsi="宋体"/>
          <w:szCs w:val="21"/>
        </w:rPr>
      </w:pPr>
      <w:r>
        <w:rPr>
          <w:rFonts w:hint="eastAsia" w:ascii="宋体" w:hAnsi="宋体"/>
          <w:szCs w:val="21"/>
        </w:rPr>
        <w:t>1.2招标文件分为第一册“专用条款”和第二册“通用条款”。</w:t>
      </w:r>
    </w:p>
    <w:p w14:paraId="2955601B">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38A6334A">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6760F743">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43DA5E5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78FA78E3">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410021BB">
      <w:pPr>
        <w:rPr>
          <w:rFonts w:ascii="黑体" w:hAnsi="宋体" w:eastAsia="黑体"/>
          <w:sz w:val="24"/>
        </w:rPr>
      </w:pPr>
      <w:r>
        <w:rPr>
          <w:rFonts w:hint="eastAsia" w:ascii="黑体" w:hAnsi="宋体" w:eastAsia="黑体"/>
          <w:sz w:val="24"/>
        </w:rPr>
        <w:t>3．定义</w:t>
      </w:r>
    </w:p>
    <w:p w14:paraId="07386C56">
      <w:pPr>
        <w:ind w:firstLine="420" w:firstLineChars="200"/>
        <w:rPr>
          <w:rFonts w:ascii="宋体" w:hAnsi="宋体"/>
          <w:szCs w:val="21"/>
        </w:rPr>
      </w:pPr>
      <w:r>
        <w:rPr>
          <w:rFonts w:ascii="宋体" w:hAnsi="宋体"/>
          <w:szCs w:val="21"/>
        </w:rPr>
        <w:t>招标文件中下列术语应解释为：</w:t>
      </w:r>
    </w:p>
    <w:p w14:paraId="76FC7E0D">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53A9AE08">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459A984">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49705D6F">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1F17E903">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7F5EE78">
      <w:pPr>
        <w:ind w:firstLine="411" w:firstLineChars="196"/>
        <w:rPr>
          <w:rFonts w:ascii="宋体" w:hAnsi="宋体"/>
          <w:szCs w:val="21"/>
        </w:rPr>
      </w:pPr>
      <w:r>
        <w:rPr>
          <w:rFonts w:hint="eastAsia" w:ascii="宋体" w:hAnsi="宋体"/>
          <w:szCs w:val="21"/>
        </w:rPr>
        <w:t>3.6“合同”指由本次招标所产生的合同或合约文件；</w:t>
      </w:r>
    </w:p>
    <w:p w14:paraId="70AA6BCD">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w:t>
      </w:r>
      <w:r>
        <w:rPr>
          <w:rFonts w:hint="eastAsia" w:ascii="宋体" w:hAnsi="宋体"/>
          <w:b/>
          <w:bCs/>
          <w:color w:val="auto"/>
          <w:szCs w:val="21"/>
          <w:lang w:val="en-US" w:eastAsia="zh-CN"/>
        </w:rPr>
        <w:t>盐田</w:t>
      </w:r>
      <w:r>
        <w:rPr>
          <w:rFonts w:hint="eastAsia" w:ascii="宋体" w:hAnsi="宋体"/>
          <w:b/>
          <w:bCs/>
          <w:color w:val="auto"/>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3160C510">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14:paraId="38D9AAEB">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04D246B1">
      <w:pPr>
        <w:rPr>
          <w:rFonts w:ascii="黑体" w:hAnsi="宋体" w:eastAsia="黑体"/>
          <w:sz w:val="24"/>
        </w:rPr>
      </w:pPr>
      <w:r>
        <w:rPr>
          <w:rFonts w:hint="eastAsia" w:ascii="黑体" w:hAnsi="宋体" w:eastAsia="黑体"/>
          <w:sz w:val="24"/>
        </w:rPr>
        <w:t>4. 政府采购供应商责任</w:t>
      </w:r>
    </w:p>
    <w:p w14:paraId="4F770406">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9425A15">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3794921A">
      <w:pPr>
        <w:rPr>
          <w:rFonts w:ascii="黑体" w:hAnsi="宋体" w:eastAsia="黑体"/>
          <w:sz w:val="24"/>
        </w:rPr>
      </w:pPr>
      <w:r>
        <w:rPr>
          <w:rFonts w:hint="eastAsia" w:ascii="黑体" w:hAnsi="宋体" w:eastAsia="黑体"/>
          <w:sz w:val="24"/>
        </w:rPr>
        <w:t>5．投标人参加政府采购的条件</w:t>
      </w:r>
    </w:p>
    <w:p w14:paraId="6E93EB59">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6E71237E">
      <w:pPr>
        <w:ind w:firstLine="411" w:firstLineChars="196"/>
        <w:rPr>
          <w:rFonts w:ascii="宋体" w:hAnsi="宋体"/>
          <w:szCs w:val="21"/>
        </w:rPr>
      </w:pPr>
      <w:r>
        <w:rPr>
          <w:rFonts w:hint="eastAsia" w:ascii="宋体" w:hAnsi="宋体"/>
          <w:szCs w:val="21"/>
        </w:rPr>
        <w:t>5.2投标人资格要求</w:t>
      </w:r>
    </w:p>
    <w:p w14:paraId="7C815E7F">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149B0A8C">
      <w:pPr>
        <w:ind w:firstLine="411" w:firstLineChars="196"/>
        <w:rPr>
          <w:rFonts w:ascii="宋体" w:hAnsi="宋体"/>
          <w:szCs w:val="21"/>
        </w:rPr>
      </w:pPr>
      <w:r>
        <w:rPr>
          <w:rFonts w:hint="eastAsia" w:ascii="宋体" w:hAnsi="宋体"/>
          <w:szCs w:val="21"/>
        </w:rPr>
        <w:t>5.3联合体投标</w:t>
      </w:r>
    </w:p>
    <w:p w14:paraId="1ED77D0D">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12A065D0">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A187B47">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12AD8CFB">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1AA3BA5">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6BEC036A">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0CF5A5F4">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B07A805">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7577EED4">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3CC48CB0">
      <w:pPr>
        <w:ind w:firstLine="411" w:firstLineChars="196"/>
        <w:rPr>
          <w:rFonts w:ascii="宋体" w:hAnsi="宋体"/>
        </w:rPr>
      </w:pPr>
      <w:r>
        <w:rPr>
          <w:rFonts w:hint="eastAsia" w:ascii="宋体" w:hAnsi="宋体"/>
        </w:rPr>
        <w:t>（2）在投标截止前，投标联合体各方均应注册成政府集中采购机构供应商；</w:t>
      </w:r>
    </w:p>
    <w:p w14:paraId="4D46D729">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0506CE45">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6EBA02E">
      <w:pPr>
        <w:ind w:firstLine="411" w:firstLineChars="196"/>
        <w:rPr>
          <w:rFonts w:ascii="宋体" w:hAnsi="宋体"/>
        </w:rPr>
      </w:pPr>
      <w:r>
        <w:rPr>
          <w:rFonts w:hint="eastAsia" w:ascii="宋体" w:hAnsi="宋体"/>
        </w:rPr>
        <w:t>（5）投标人的投标文件及中标后签署的合同协议对联合体各方均具法律约束力；</w:t>
      </w:r>
    </w:p>
    <w:p w14:paraId="7BC3E253">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4FD90C4A">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49F362F2">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2AC24D88">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5DD8886D">
      <w:pPr>
        <w:rPr>
          <w:rFonts w:ascii="黑体" w:hAnsi="宋体" w:eastAsia="黑体"/>
          <w:sz w:val="24"/>
        </w:rPr>
      </w:pPr>
      <w:r>
        <w:rPr>
          <w:rFonts w:hint="eastAsia" w:ascii="黑体" w:hAnsi="宋体" w:eastAsia="黑体"/>
          <w:sz w:val="24"/>
        </w:rPr>
        <w:t>6．政策导向</w:t>
      </w:r>
    </w:p>
    <w:p w14:paraId="34A30D10">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70482C5E">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48C7750">
      <w:pPr>
        <w:ind w:firstLine="405"/>
        <w:rPr>
          <w:rFonts w:hint="default" w:eastAsia="宋体"/>
          <w:lang w:val="en-US" w:eastAsia="zh-CN"/>
        </w:rPr>
      </w:pPr>
      <w:r>
        <w:rPr>
          <w:rFonts w:hint="eastAsia" w:ascii="宋体" w:hAnsi="宋体"/>
          <w:lang w:val="en-US" w:eastAsia="zh-CN"/>
        </w:rPr>
        <w:t>6.3  本项目支持投标人性别平等的相关政策。</w:t>
      </w:r>
    </w:p>
    <w:p w14:paraId="6E5FBF4A">
      <w:pPr>
        <w:rPr>
          <w:rFonts w:ascii="黑体" w:hAnsi="宋体" w:eastAsia="黑体"/>
          <w:sz w:val="24"/>
        </w:rPr>
      </w:pPr>
      <w:r>
        <w:rPr>
          <w:rFonts w:hint="eastAsia" w:ascii="黑体" w:hAnsi="宋体" w:eastAsia="黑体"/>
          <w:sz w:val="24"/>
        </w:rPr>
        <w:t>7. 本项目若涉及采购货物，则合格的货物及相应服务应满足以下要求：</w:t>
      </w:r>
    </w:p>
    <w:p w14:paraId="44BF7B79">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ECF5B34">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37AE42D">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7EDFB21">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3"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14:paraId="259737DA">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95F69E1">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66B5F4AE">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13A9B1DE">
      <w:pPr>
        <w:rPr>
          <w:rFonts w:ascii="黑体" w:hAnsi="宋体" w:eastAsia="黑体"/>
          <w:sz w:val="24"/>
        </w:rPr>
      </w:pPr>
      <w:r>
        <w:rPr>
          <w:rFonts w:hint="eastAsia" w:ascii="黑体" w:hAnsi="宋体" w:eastAsia="黑体"/>
          <w:sz w:val="24"/>
        </w:rPr>
        <w:t>8．投标费用</w:t>
      </w:r>
    </w:p>
    <w:p w14:paraId="00F8CE6A">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6441DDAD">
      <w:pPr>
        <w:rPr>
          <w:rFonts w:ascii="黑体" w:hAnsi="宋体" w:eastAsia="黑体"/>
          <w:sz w:val="24"/>
        </w:rPr>
      </w:pPr>
      <w:r>
        <w:rPr>
          <w:rFonts w:hint="eastAsia" w:ascii="黑体" w:hAnsi="宋体" w:eastAsia="黑体"/>
          <w:sz w:val="24"/>
        </w:rPr>
        <w:t>9．踏勘现场</w:t>
      </w:r>
    </w:p>
    <w:p w14:paraId="04A58F15">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B360A8B">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D5B854A">
      <w:pPr>
        <w:ind w:firstLine="411" w:firstLineChars="196"/>
        <w:rPr>
          <w:rFonts w:ascii="宋体" w:hAnsi="宋体"/>
        </w:rPr>
      </w:pPr>
      <w:r>
        <w:rPr>
          <w:rFonts w:hint="eastAsia" w:ascii="宋体" w:hAnsi="宋体"/>
        </w:rPr>
        <w:t>9.3采购人应当通过政府集中采购机构向投标人提供有关现场的书面资料和数据。</w:t>
      </w:r>
    </w:p>
    <w:p w14:paraId="5E2093C4">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052BAD0D">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0E5966DD">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681BA9C">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8DA2DFC">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3B4F43F">
      <w:pPr>
        <w:ind w:firstLine="411" w:firstLineChars="196"/>
        <w:rPr>
          <w:rFonts w:ascii="宋体" w:hAnsi="宋体"/>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p w14:paraId="3E885B23">
      <w:pPr>
        <w:pStyle w:val="5"/>
        <w:numPr>
          <w:ilvl w:val="0"/>
          <w:numId w:val="16"/>
        </w:numPr>
        <w:spacing w:before="120" w:beforeLines="50" w:after="120" w:afterLines="50"/>
        <w:ind w:left="562" w:hanging="562"/>
        <w:rPr>
          <w:sz w:val="28"/>
          <w:szCs w:val="28"/>
        </w:rPr>
      </w:pPr>
      <w:r>
        <w:rPr>
          <w:rFonts w:hint="eastAsia"/>
          <w:sz w:val="28"/>
          <w:szCs w:val="28"/>
        </w:rPr>
        <w:t>招标文件</w:t>
      </w:r>
    </w:p>
    <w:p w14:paraId="18C98002">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4" w:name="_Hlk72399819"/>
      <w:r>
        <w:rPr>
          <w:rFonts w:hint="eastAsia" w:ascii="黑体" w:hAnsi="宋体" w:eastAsia="黑体"/>
          <w:sz w:val="24"/>
        </w:rPr>
        <w:t>招标文件的编制与组成</w:t>
      </w:r>
    </w:p>
    <w:p w14:paraId="65A7AE2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9CC7C3D">
      <w:pPr>
        <w:ind w:firstLine="411" w:firstLineChars="196"/>
        <w:rPr>
          <w:rFonts w:ascii="宋体" w:hAnsi="宋体"/>
          <w:szCs w:val="21"/>
        </w:rPr>
      </w:pPr>
      <w:r>
        <w:rPr>
          <w:rFonts w:hint="eastAsia" w:ascii="宋体" w:hAnsi="宋体"/>
          <w:szCs w:val="21"/>
        </w:rPr>
        <w:t>招标文件包括下列内容：</w:t>
      </w:r>
    </w:p>
    <w:p w14:paraId="571E0DB5">
      <w:pPr>
        <w:ind w:left="420" w:leftChars="200" w:firstLine="413" w:firstLineChars="196"/>
        <w:rPr>
          <w:rFonts w:ascii="宋体" w:hAnsi="宋体"/>
          <w:b/>
          <w:szCs w:val="21"/>
        </w:rPr>
      </w:pPr>
      <w:r>
        <w:rPr>
          <w:rFonts w:hint="eastAsia" w:ascii="宋体" w:hAnsi="宋体"/>
          <w:b/>
          <w:szCs w:val="21"/>
        </w:rPr>
        <w:t>第一册  专用条款</w:t>
      </w:r>
    </w:p>
    <w:p w14:paraId="1B06ECDF">
      <w:pPr>
        <w:ind w:left="1079" w:leftChars="514"/>
        <w:rPr>
          <w:rFonts w:ascii="宋体" w:hAnsi="宋体"/>
          <w:b/>
          <w:szCs w:val="21"/>
        </w:rPr>
      </w:pPr>
      <w:r>
        <w:rPr>
          <w:rFonts w:hint="eastAsia" w:ascii="宋体" w:hAnsi="宋体"/>
          <w:b/>
          <w:szCs w:val="21"/>
        </w:rPr>
        <w:t>关键信息</w:t>
      </w:r>
    </w:p>
    <w:p w14:paraId="04215288">
      <w:pPr>
        <w:ind w:left="630" w:leftChars="300" w:firstLine="411" w:firstLineChars="196"/>
        <w:rPr>
          <w:rFonts w:ascii="宋体" w:hAnsi="宋体"/>
          <w:szCs w:val="21"/>
        </w:rPr>
      </w:pPr>
      <w:r>
        <w:rPr>
          <w:rFonts w:hint="eastAsia" w:ascii="宋体" w:hAnsi="宋体"/>
          <w:szCs w:val="21"/>
        </w:rPr>
        <w:t>第一章  招标公告</w:t>
      </w:r>
    </w:p>
    <w:p w14:paraId="3BFF9FA5">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66973AED">
      <w:pPr>
        <w:ind w:left="630" w:leftChars="300" w:firstLine="411" w:firstLineChars="196"/>
        <w:rPr>
          <w:rFonts w:ascii="宋体" w:hAnsi="宋体"/>
          <w:szCs w:val="21"/>
        </w:rPr>
      </w:pPr>
      <w:r>
        <w:rPr>
          <w:rFonts w:hint="eastAsia" w:ascii="宋体" w:hAnsi="宋体"/>
          <w:szCs w:val="21"/>
        </w:rPr>
        <w:t>第三章  用户需求书</w:t>
      </w:r>
    </w:p>
    <w:p w14:paraId="5DC51143">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62E7C17D">
      <w:pPr>
        <w:ind w:left="630" w:leftChars="300" w:firstLine="411" w:firstLineChars="196"/>
        <w:rPr>
          <w:rFonts w:ascii="宋体" w:hAnsi="宋体"/>
          <w:szCs w:val="21"/>
        </w:rPr>
      </w:pPr>
      <w:r>
        <w:rPr>
          <w:rFonts w:hint="eastAsia" w:ascii="宋体" w:hAnsi="宋体"/>
          <w:szCs w:val="21"/>
        </w:rPr>
        <w:t>第五章  合同条款及格式</w:t>
      </w:r>
    </w:p>
    <w:p w14:paraId="0688F5F0">
      <w:pPr>
        <w:ind w:left="420" w:leftChars="200" w:firstLine="413" w:firstLineChars="196"/>
        <w:rPr>
          <w:rFonts w:ascii="宋体" w:hAnsi="宋体"/>
          <w:b/>
          <w:szCs w:val="21"/>
        </w:rPr>
      </w:pPr>
      <w:r>
        <w:rPr>
          <w:rFonts w:hint="eastAsia" w:ascii="宋体" w:hAnsi="宋体"/>
          <w:b/>
          <w:szCs w:val="21"/>
        </w:rPr>
        <w:t>第二册  通用条款</w:t>
      </w:r>
    </w:p>
    <w:p w14:paraId="6F4D6810">
      <w:pPr>
        <w:ind w:left="630" w:leftChars="300" w:firstLine="411" w:firstLineChars="196"/>
        <w:rPr>
          <w:rFonts w:ascii="宋体" w:hAnsi="宋体"/>
          <w:szCs w:val="21"/>
        </w:rPr>
      </w:pPr>
      <w:r>
        <w:rPr>
          <w:rFonts w:hint="eastAsia" w:ascii="宋体" w:hAnsi="宋体"/>
          <w:szCs w:val="21"/>
        </w:rPr>
        <w:t>第一章  总则</w:t>
      </w:r>
    </w:p>
    <w:p w14:paraId="5258BE88">
      <w:pPr>
        <w:ind w:left="630" w:leftChars="300" w:firstLine="411" w:firstLineChars="196"/>
        <w:rPr>
          <w:rFonts w:ascii="宋体" w:hAnsi="宋体"/>
          <w:szCs w:val="21"/>
        </w:rPr>
      </w:pPr>
      <w:r>
        <w:rPr>
          <w:rFonts w:hint="eastAsia" w:ascii="宋体" w:hAnsi="宋体"/>
          <w:szCs w:val="21"/>
        </w:rPr>
        <w:t>第二章  招标文件</w:t>
      </w:r>
    </w:p>
    <w:p w14:paraId="4245CEBA">
      <w:pPr>
        <w:ind w:left="630" w:leftChars="300" w:firstLine="411" w:firstLineChars="196"/>
        <w:rPr>
          <w:rFonts w:ascii="宋体" w:hAnsi="宋体"/>
          <w:szCs w:val="21"/>
        </w:rPr>
      </w:pPr>
      <w:r>
        <w:rPr>
          <w:rFonts w:hint="eastAsia" w:ascii="宋体" w:hAnsi="宋体"/>
          <w:szCs w:val="21"/>
        </w:rPr>
        <w:t>第三章  投标文件的编制</w:t>
      </w:r>
    </w:p>
    <w:p w14:paraId="21792AC2">
      <w:pPr>
        <w:ind w:left="630" w:leftChars="300" w:firstLine="411" w:firstLineChars="196"/>
        <w:rPr>
          <w:rFonts w:ascii="宋体" w:hAnsi="宋体"/>
          <w:szCs w:val="21"/>
        </w:rPr>
      </w:pPr>
      <w:r>
        <w:rPr>
          <w:rFonts w:hint="eastAsia" w:ascii="宋体" w:hAnsi="宋体"/>
          <w:szCs w:val="21"/>
        </w:rPr>
        <w:t>第四章  投标文件的递交</w:t>
      </w:r>
    </w:p>
    <w:p w14:paraId="3A3866CA">
      <w:pPr>
        <w:ind w:left="630" w:leftChars="300" w:firstLine="411" w:firstLineChars="196"/>
        <w:rPr>
          <w:rFonts w:ascii="宋体" w:hAnsi="宋体"/>
          <w:szCs w:val="21"/>
        </w:rPr>
      </w:pPr>
      <w:r>
        <w:rPr>
          <w:rFonts w:hint="eastAsia" w:ascii="宋体" w:hAnsi="宋体"/>
          <w:szCs w:val="21"/>
        </w:rPr>
        <w:t>第五章  开标</w:t>
      </w:r>
    </w:p>
    <w:p w14:paraId="013BF7A6">
      <w:pPr>
        <w:ind w:left="630" w:leftChars="300" w:firstLine="411" w:firstLineChars="196"/>
        <w:rPr>
          <w:rFonts w:ascii="宋体" w:hAnsi="宋体"/>
          <w:szCs w:val="21"/>
        </w:rPr>
      </w:pPr>
      <w:r>
        <w:rPr>
          <w:rFonts w:hint="eastAsia" w:ascii="宋体" w:hAnsi="宋体"/>
          <w:szCs w:val="21"/>
        </w:rPr>
        <w:t>第六章  评审要求</w:t>
      </w:r>
    </w:p>
    <w:p w14:paraId="202CF142">
      <w:pPr>
        <w:ind w:left="630" w:leftChars="300" w:firstLine="411" w:firstLineChars="196"/>
        <w:rPr>
          <w:rFonts w:ascii="宋体" w:hAnsi="宋体"/>
          <w:szCs w:val="21"/>
        </w:rPr>
      </w:pPr>
      <w:r>
        <w:rPr>
          <w:rFonts w:hint="eastAsia" w:ascii="宋体" w:hAnsi="宋体"/>
          <w:szCs w:val="21"/>
        </w:rPr>
        <w:t>第七章  评审程序及评审方法</w:t>
      </w:r>
    </w:p>
    <w:p w14:paraId="167A3782">
      <w:pPr>
        <w:ind w:left="630" w:leftChars="300" w:firstLine="411" w:firstLineChars="196"/>
        <w:rPr>
          <w:rFonts w:ascii="宋体" w:hAnsi="宋体"/>
          <w:szCs w:val="21"/>
        </w:rPr>
      </w:pPr>
      <w:r>
        <w:rPr>
          <w:rFonts w:hint="eastAsia" w:ascii="宋体" w:hAnsi="宋体"/>
          <w:szCs w:val="21"/>
        </w:rPr>
        <w:t>第八章  定标及公示</w:t>
      </w:r>
    </w:p>
    <w:p w14:paraId="43FE47F3">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0AB963B3">
      <w:pPr>
        <w:ind w:left="630" w:leftChars="300" w:firstLine="411" w:firstLineChars="196"/>
        <w:rPr>
          <w:rFonts w:ascii="宋体" w:hAnsi="宋体"/>
          <w:szCs w:val="21"/>
        </w:rPr>
      </w:pPr>
      <w:r>
        <w:rPr>
          <w:rFonts w:hint="eastAsia" w:ascii="宋体" w:hAnsi="宋体"/>
          <w:szCs w:val="21"/>
        </w:rPr>
        <w:t>第十章  合同的授予与备案</w:t>
      </w:r>
    </w:p>
    <w:p w14:paraId="13E8990B">
      <w:pPr>
        <w:ind w:left="630" w:leftChars="300" w:firstLine="411" w:firstLineChars="196"/>
        <w:rPr>
          <w:rFonts w:ascii="宋体" w:hAnsi="宋体"/>
          <w:szCs w:val="21"/>
        </w:rPr>
      </w:pPr>
      <w:r>
        <w:rPr>
          <w:rFonts w:hint="eastAsia" w:ascii="宋体" w:hAnsi="宋体"/>
          <w:szCs w:val="21"/>
        </w:rPr>
        <w:t>第十一章  质疑处理</w:t>
      </w:r>
    </w:p>
    <w:p w14:paraId="3C9F01E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37B4A7A">
      <w:pPr>
        <w:ind w:firstLine="411" w:firstLineChars="196"/>
        <w:rPr>
          <w:rFonts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7ACB8D0E">
      <w:pPr>
        <w:ind w:firstLine="413" w:firstLineChars="196"/>
        <w:rPr>
          <w:rFonts w:ascii="宋体" w:hAnsi="宋体"/>
          <w:b/>
          <w:color w:val="FF0000"/>
          <w:szCs w:val="21"/>
        </w:rPr>
      </w:pPr>
      <w:r>
        <w:rPr>
          <w:rFonts w:hint="eastAsia" w:ascii="宋体" w:hAnsi="宋体"/>
          <w:b/>
          <w:color w:val="FF0000"/>
          <w:szCs w:val="21"/>
        </w:rPr>
        <w:t>11.4招标文件所称“原件备查”，是指在项目产生质疑、投诉等阶段，主管部门、采购人、代理机构、评审委员会等可以要求供应商提供原件进行核查。</w:t>
      </w:r>
    </w:p>
    <w:p w14:paraId="6AB4963E">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F0BDFE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C13D66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FF9D21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50323DA">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0A9FDDD7">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24D75716">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E92B92A">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DF0601B">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7CAC178">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4"/>
    </w:p>
    <w:p w14:paraId="05493ED6">
      <w:pPr>
        <w:rPr>
          <w:rFonts w:ascii="宋体" w:hAnsi="宋体"/>
          <w:szCs w:val="21"/>
        </w:rPr>
      </w:pPr>
    </w:p>
    <w:p w14:paraId="500F854F">
      <w:pPr>
        <w:pStyle w:val="5"/>
        <w:numPr>
          <w:ilvl w:val="0"/>
          <w:numId w:val="16"/>
        </w:numPr>
        <w:spacing w:before="120" w:beforeLines="50" w:after="120" w:afterLines="50"/>
        <w:ind w:left="562" w:hanging="562"/>
        <w:rPr>
          <w:sz w:val="28"/>
          <w:szCs w:val="28"/>
        </w:rPr>
      </w:pPr>
      <w:r>
        <w:rPr>
          <w:rFonts w:hint="eastAsia"/>
          <w:sz w:val="28"/>
          <w:szCs w:val="28"/>
        </w:rPr>
        <w:t>投标文件的编制</w:t>
      </w:r>
    </w:p>
    <w:p w14:paraId="714CF180">
      <w:pPr>
        <w:rPr>
          <w:rFonts w:ascii="黑体" w:hAnsi="宋体" w:eastAsia="黑体"/>
          <w:sz w:val="24"/>
        </w:rPr>
      </w:pPr>
      <w:r>
        <w:rPr>
          <w:rFonts w:hint="eastAsia" w:ascii="黑体" w:hAnsi="宋体" w:eastAsia="黑体"/>
          <w:sz w:val="24"/>
        </w:rPr>
        <w:t>14．</w:t>
      </w:r>
      <w:bookmarkStart w:id="55" w:name="_Hlk72400236"/>
      <w:r>
        <w:rPr>
          <w:rFonts w:hint="eastAsia" w:ascii="黑体" w:hAnsi="宋体" w:eastAsia="黑体"/>
          <w:sz w:val="24"/>
        </w:rPr>
        <w:t>投标文件的语言及度量单位</w:t>
      </w:r>
    </w:p>
    <w:p w14:paraId="0652A29C">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79B12DE">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14:paraId="4E858C25">
      <w:pPr>
        <w:rPr>
          <w:rFonts w:ascii="黑体" w:hAnsi="宋体" w:eastAsia="黑体"/>
          <w:sz w:val="24"/>
        </w:rPr>
      </w:pPr>
      <w:r>
        <w:rPr>
          <w:rFonts w:hint="eastAsia" w:ascii="黑体" w:hAnsi="宋体" w:eastAsia="黑体"/>
          <w:sz w:val="24"/>
        </w:rPr>
        <w:t>15．</w:t>
      </w:r>
      <w:bookmarkStart w:id="56" w:name="_Hlk72401567"/>
      <w:r>
        <w:rPr>
          <w:rFonts w:hint="eastAsia" w:ascii="黑体" w:hAnsi="宋体" w:eastAsia="黑体"/>
          <w:sz w:val="24"/>
        </w:rPr>
        <w:t>投标文件的组成</w:t>
      </w:r>
    </w:p>
    <w:p w14:paraId="2660AC28">
      <w:pPr>
        <w:ind w:firstLine="411" w:firstLineChars="196"/>
        <w:rPr>
          <w:rFonts w:ascii="宋体" w:hAnsi="宋体"/>
          <w:szCs w:val="21"/>
        </w:rPr>
      </w:pPr>
      <w:r>
        <w:rPr>
          <w:rFonts w:hint="eastAsia" w:ascii="宋体" w:hAnsi="宋体"/>
          <w:szCs w:val="21"/>
        </w:rPr>
        <w:t>具体内容在招标文件专用条款中进行规定。</w:t>
      </w:r>
    </w:p>
    <w:p w14:paraId="7814465B">
      <w:pPr>
        <w:rPr>
          <w:rFonts w:ascii="黑体" w:hAnsi="宋体" w:eastAsia="黑体"/>
          <w:sz w:val="24"/>
        </w:rPr>
      </w:pPr>
      <w:r>
        <w:rPr>
          <w:rFonts w:ascii="黑体" w:hAnsi="宋体" w:eastAsia="黑体"/>
          <w:sz w:val="24"/>
        </w:rPr>
        <w:t>16．投标文件格式</w:t>
      </w:r>
    </w:p>
    <w:p w14:paraId="7EACC8E5">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38EF7D19">
      <w:pPr>
        <w:rPr>
          <w:rFonts w:ascii="黑体" w:hAnsi="宋体" w:eastAsia="黑体"/>
          <w:sz w:val="24"/>
        </w:rPr>
      </w:pPr>
      <w:r>
        <w:rPr>
          <w:rFonts w:hint="eastAsia" w:ascii="黑体" w:hAnsi="宋体" w:eastAsia="黑体"/>
          <w:sz w:val="24"/>
        </w:rPr>
        <w:t>17．投标货币</w:t>
      </w:r>
    </w:p>
    <w:p w14:paraId="19485840">
      <w:pPr>
        <w:ind w:firstLine="411" w:firstLineChars="196"/>
        <w:rPr>
          <w:rFonts w:ascii="宋体" w:hAnsi="宋体"/>
          <w:szCs w:val="21"/>
        </w:rPr>
      </w:pPr>
      <w:r>
        <w:rPr>
          <w:rFonts w:hint="eastAsia" w:ascii="宋体" w:hAnsi="宋体"/>
          <w:szCs w:val="21"/>
        </w:rPr>
        <w:t>本项目的投标报价应以人民币计。</w:t>
      </w:r>
    </w:p>
    <w:bookmarkEnd w:id="56"/>
    <w:p w14:paraId="3B32BA69">
      <w:pPr>
        <w:rPr>
          <w:rFonts w:ascii="黑体" w:hAnsi="宋体" w:eastAsia="黑体"/>
          <w:sz w:val="24"/>
        </w:rPr>
      </w:pPr>
      <w:r>
        <w:rPr>
          <w:rFonts w:hint="eastAsia" w:ascii="黑体" w:hAnsi="宋体" w:eastAsia="黑体"/>
          <w:sz w:val="24"/>
        </w:rPr>
        <w:t>18．</w:t>
      </w:r>
      <w:bookmarkStart w:id="57" w:name="_Hlk72401735"/>
      <w:r>
        <w:rPr>
          <w:rFonts w:hint="eastAsia" w:ascii="黑体" w:hAnsi="宋体" w:eastAsia="黑体"/>
          <w:sz w:val="24"/>
        </w:rPr>
        <w:t>证明投标文件投标技术方案的合格性和符合招标文件规定的文件要求</w:t>
      </w:r>
    </w:p>
    <w:p w14:paraId="06DC03A4">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5E05EC91">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A2A5EF4">
      <w:pPr>
        <w:ind w:firstLine="411" w:firstLineChars="196"/>
        <w:rPr>
          <w:rFonts w:ascii="宋体" w:hAnsi="宋体"/>
          <w:szCs w:val="21"/>
        </w:rPr>
      </w:pPr>
      <w:r>
        <w:rPr>
          <w:rFonts w:hint="eastAsia" w:ascii="宋体" w:hAnsi="宋体"/>
          <w:szCs w:val="21"/>
        </w:rPr>
        <w:t>18.2.1主要技术指标和性能的详细说明。</w:t>
      </w:r>
    </w:p>
    <w:p w14:paraId="3270FBE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50915026">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F93008">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78C644B">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E7F5969">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40D15F8">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F57471B">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14:paraId="210C86BA">
      <w:pPr>
        <w:rPr>
          <w:rFonts w:ascii="黑体" w:hAnsi="宋体" w:eastAsia="黑体"/>
          <w:sz w:val="24"/>
        </w:rPr>
      </w:pPr>
      <w:r>
        <w:rPr>
          <w:rFonts w:hint="eastAsia" w:ascii="黑体" w:hAnsi="宋体" w:eastAsia="黑体"/>
          <w:sz w:val="24"/>
        </w:rPr>
        <w:t>19．</w:t>
      </w:r>
      <w:bookmarkStart w:id="58" w:name="_Hlk72402034"/>
      <w:r>
        <w:rPr>
          <w:rFonts w:hint="eastAsia" w:ascii="黑体" w:hAnsi="宋体" w:eastAsia="黑体"/>
          <w:sz w:val="24"/>
        </w:rPr>
        <w:t>投标文件其他证明文件的要求</w:t>
      </w:r>
    </w:p>
    <w:p w14:paraId="3354F677">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w:t>
      </w:r>
      <w:bookmarkStart w:id="59"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9"/>
    <w:p w14:paraId="60E8BAC5">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BF345E">
      <w:pPr>
        <w:rPr>
          <w:rFonts w:ascii="黑体" w:hAnsi="宋体" w:eastAsia="黑体"/>
          <w:sz w:val="24"/>
        </w:rPr>
      </w:pPr>
      <w:r>
        <w:rPr>
          <w:rFonts w:hint="eastAsia" w:ascii="黑体" w:hAnsi="宋体" w:eastAsia="黑体"/>
          <w:sz w:val="24"/>
        </w:rPr>
        <w:t>20．投标有效期</w:t>
      </w:r>
    </w:p>
    <w:bookmarkEnd w:id="58"/>
    <w:p w14:paraId="719682DD">
      <w:pPr>
        <w:ind w:firstLine="411" w:firstLineChars="196"/>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E549D66">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611C5B8">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0"/>
    <w:p w14:paraId="520A9468">
      <w:pPr>
        <w:rPr>
          <w:rFonts w:ascii="黑体" w:hAnsi="宋体" w:eastAsia="黑体"/>
          <w:sz w:val="24"/>
        </w:rPr>
      </w:pPr>
      <w:r>
        <w:rPr>
          <w:rFonts w:hint="eastAsia" w:ascii="黑体" w:hAnsi="宋体" w:eastAsia="黑体"/>
          <w:sz w:val="24"/>
        </w:rPr>
        <w:t>21．</w:t>
      </w:r>
      <w:bookmarkStart w:id="61" w:name="_Hlk72402325"/>
      <w:r>
        <w:rPr>
          <w:rFonts w:hint="eastAsia" w:ascii="黑体" w:hAnsi="宋体" w:eastAsia="黑体"/>
          <w:sz w:val="24"/>
        </w:rPr>
        <w:t xml:space="preserve">关于投标保证金 </w:t>
      </w:r>
    </w:p>
    <w:p w14:paraId="7DE553ED">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7535FFD5">
      <w:pPr>
        <w:rPr>
          <w:rFonts w:ascii="黑体" w:hAnsi="宋体" w:eastAsia="黑体"/>
          <w:sz w:val="24"/>
        </w:rPr>
      </w:pPr>
      <w:r>
        <w:rPr>
          <w:rFonts w:hint="eastAsia" w:ascii="黑体" w:hAnsi="宋体" w:eastAsia="黑体"/>
          <w:sz w:val="24"/>
        </w:rPr>
        <w:t>22．投标人的替代方案</w:t>
      </w:r>
    </w:p>
    <w:p w14:paraId="26504C93">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A3957A6">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1"/>
    <w:p w14:paraId="26DF1FCF">
      <w:pPr>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25CDC19">
      <w:pPr>
        <w:ind w:firstLine="411" w:firstLineChars="196"/>
        <w:rPr>
          <w:rFonts w:ascii="宋体" w:hAnsi="宋体"/>
        </w:rPr>
      </w:pPr>
      <w:r>
        <w:rPr>
          <w:rFonts w:hint="eastAsia" w:ascii="宋体" w:hAnsi="宋体"/>
        </w:rPr>
        <w:t>23.1投标人应准备所投项目的电子投标文件一份。</w:t>
      </w:r>
    </w:p>
    <w:p w14:paraId="0D77EFFC">
      <w:pPr>
        <w:ind w:firstLine="411" w:firstLineChars="196"/>
        <w:rPr>
          <w:rFonts w:ascii="宋体" w:hAnsi="宋体"/>
        </w:rPr>
      </w:pPr>
      <w:r>
        <w:rPr>
          <w:rFonts w:hint="eastAsia" w:ascii="宋体" w:hAnsi="宋体"/>
        </w:rPr>
        <w:t>23.2投标人在使用《投标书编制软件》编制投标书时须注意：</w:t>
      </w:r>
    </w:p>
    <w:p w14:paraId="7535FBA1">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10BB999D">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1F5079EB">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08C081FC">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2DDC1D0">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36B27E73">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28824E03">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365FA5E">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59691F7D">
      <w:pPr>
        <w:ind w:firstLine="411" w:firstLineChars="196"/>
        <w:rPr>
          <w:rFonts w:ascii="宋体" w:hAnsi="宋体"/>
        </w:rPr>
      </w:pPr>
      <w:r>
        <w:rPr>
          <w:rFonts w:hint="eastAsia" w:ascii="宋体" w:hAnsi="宋体"/>
        </w:rPr>
        <w:t>23.3电报、电话、传真形式的投标概不接受。</w:t>
      </w:r>
    </w:p>
    <w:p w14:paraId="0C93FDFD">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2C2EAC92">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37136DBD">
      <w:pPr>
        <w:ind w:firstLine="411" w:firstLineChars="196"/>
        <w:rPr>
          <w:rFonts w:ascii="宋体" w:hAnsi="宋体"/>
          <w:szCs w:val="21"/>
        </w:rPr>
      </w:pPr>
    </w:p>
    <w:p w14:paraId="31152DE6">
      <w:pPr>
        <w:pStyle w:val="5"/>
        <w:numPr>
          <w:ilvl w:val="0"/>
          <w:numId w:val="16"/>
        </w:numPr>
        <w:spacing w:before="120" w:beforeLines="50" w:after="120" w:afterLines="50"/>
        <w:ind w:left="562" w:hanging="562"/>
        <w:rPr>
          <w:sz w:val="28"/>
          <w:szCs w:val="28"/>
        </w:rPr>
      </w:pPr>
      <w:r>
        <w:rPr>
          <w:rFonts w:hint="eastAsia"/>
          <w:sz w:val="28"/>
          <w:szCs w:val="28"/>
        </w:rPr>
        <w:t>投标文件的递交</w:t>
      </w:r>
    </w:p>
    <w:p w14:paraId="5CA4AAEE">
      <w:pPr>
        <w:rPr>
          <w:rFonts w:ascii="黑体" w:hAnsi="宋体" w:eastAsia="黑体"/>
          <w:sz w:val="24"/>
        </w:rPr>
      </w:pPr>
      <w:bookmarkStart w:id="62" w:name="_Hlk72405459"/>
      <w:r>
        <w:rPr>
          <w:rFonts w:hint="eastAsia" w:ascii="黑体" w:hAnsi="宋体" w:eastAsia="黑体"/>
          <w:sz w:val="24"/>
        </w:rPr>
        <w:t>24．投标文件的保密</w:t>
      </w:r>
    </w:p>
    <w:p w14:paraId="140112FD">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14:paraId="46B0329F">
      <w:pPr>
        <w:ind w:firstLine="411" w:firstLineChars="196"/>
        <w:rPr>
          <w:rFonts w:hint="eastAsia" w:ascii="宋体" w:hAnsi="宋体" w:eastAsia="宋体" w:cs="Times New Roman"/>
        </w:rPr>
      </w:pPr>
      <w:r>
        <w:rPr>
          <w:rFonts w:hint="eastAsia" w:ascii="宋体" w:hAnsi="宋体" w:eastAsia="宋体" w:cs="Times New Roman"/>
        </w:rPr>
        <w:t>24.2若采购项目出现延期情况：如果供下载的招标文件有更新，投标人必须重新下载招标文件、重新制作投标文件、重新加密投标文件、重新上传投标文件。</w:t>
      </w:r>
    </w:p>
    <w:p w14:paraId="34B80B9E">
      <w:pPr>
        <w:rPr>
          <w:rFonts w:ascii="黑体" w:hAnsi="宋体" w:eastAsia="黑体"/>
          <w:sz w:val="24"/>
        </w:rPr>
      </w:pPr>
      <w:r>
        <w:rPr>
          <w:rFonts w:hint="eastAsia" w:ascii="黑体" w:hAnsi="宋体" w:eastAsia="黑体"/>
          <w:sz w:val="24"/>
        </w:rPr>
        <w:t>25．上传投标文件及投标截止日期</w:t>
      </w:r>
    </w:p>
    <w:p w14:paraId="48BDC46A">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盐田</w:t>
      </w:r>
      <w:r>
        <w:rPr>
          <w:rFonts w:hint="eastAsia" w:ascii="宋体" w:hAnsi="宋体"/>
          <w:b/>
          <w:bCs/>
          <w:szCs w:val="21"/>
        </w:rPr>
        <w:t>分公司）</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7A34A709">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B94FF61">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31CCDD33">
      <w:pPr>
        <w:ind w:firstLine="411" w:firstLineChars="196"/>
        <w:rPr>
          <w:rFonts w:ascii="宋体" w:hAnsi="宋体"/>
        </w:rPr>
      </w:pPr>
    </w:p>
    <w:bookmarkEnd w:id="62"/>
    <w:p w14:paraId="588236DA">
      <w:pPr>
        <w:rPr>
          <w:rFonts w:ascii="黑体" w:hAnsi="宋体" w:eastAsia="黑体"/>
          <w:sz w:val="24"/>
        </w:rPr>
      </w:pPr>
      <w:r>
        <w:rPr>
          <w:rFonts w:hint="eastAsia" w:ascii="黑体" w:hAnsi="宋体" w:eastAsia="黑体"/>
          <w:sz w:val="24"/>
        </w:rPr>
        <w:t>26. 样品、现场演示、方案讲解</w:t>
      </w:r>
    </w:p>
    <w:p w14:paraId="7044014D">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69ECF4AC">
      <w:pPr>
        <w:rPr>
          <w:rFonts w:ascii="黑体" w:hAnsi="宋体" w:eastAsia="黑体"/>
          <w:sz w:val="24"/>
        </w:rPr>
      </w:pPr>
      <w:bookmarkStart w:id="63"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446C2DE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387F9E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4C4C6818">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1BA3C7F5">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3"/>
    <w:p w14:paraId="02820043">
      <w:pPr>
        <w:pStyle w:val="5"/>
        <w:numPr>
          <w:ilvl w:val="0"/>
          <w:numId w:val="16"/>
        </w:numPr>
        <w:spacing w:before="120" w:beforeLines="50" w:after="120" w:afterLines="50"/>
        <w:ind w:left="562" w:hanging="562"/>
        <w:rPr>
          <w:sz w:val="28"/>
          <w:szCs w:val="28"/>
        </w:rPr>
      </w:pPr>
      <w:r>
        <w:rPr>
          <w:rFonts w:hint="eastAsia"/>
          <w:sz w:val="28"/>
          <w:szCs w:val="28"/>
        </w:rPr>
        <w:t>开标</w:t>
      </w:r>
    </w:p>
    <w:p w14:paraId="5D8CCAB1">
      <w:pPr>
        <w:rPr>
          <w:rFonts w:ascii="黑体" w:hAnsi="宋体" w:eastAsia="黑体"/>
          <w:sz w:val="24"/>
        </w:rPr>
      </w:pPr>
      <w:r>
        <w:rPr>
          <w:rFonts w:hint="eastAsia" w:ascii="黑体" w:hAnsi="宋体" w:eastAsia="黑体"/>
          <w:sz w:val="24"/>
        </w:rPr>
        <w:t>28．开标</w:t>
      </w:r>
    </w:p>
    <w:p w14:paraId="325C4149">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215C6DE6">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8B2E01E">
      <w:pPr>
        <w:ind w:firstLine="315" w:firstLineChars="150"/>
        <w:rPr>
          <w:rFonts w:ascii="宋体" w:hAnsi="宋体"/>
          <w:szCs w:val="21"/>
        </w:rPr>
      </w:pPr>
    </w:p>
    <w:p w14:paraId="242924E1">
      <w:pPr>
        <w:pStyle w:val="5"/>
        <w:numPr>
          <w:ilvl w:val="0"/>
          <w:numId w:val="16"/>
        </w:numPr>
        <w:spacing w:before="120" w:beforeLines="50" w:after="120" w:afterLines="50"/>
        <w:ind w:left="562" w:hanging="562"/>
        <w:rPr>
          <w:sz w:val="28"/>
          <w:szCs w:val="28"/>
        </w:rPr>
      </w:pPr>
      <w:r>
        <w:rPr>
          <w:rFonts w:hint="eastAsia"/>
          <w:sz w:val="28"/>
          <w:szCs w:val="28"/>
        </w:rPr>
        <w:t>评审要求</w:t>
      </w:r>
    </w:p>
    <w:p w14:paraId="3F1959C5">
      <w:pPr>
        <w:rPr>
          <w:rFonts w:ascii="黑体" w:hAnsi="宋体" w:eastAsia="黑体"/>
          <w:sz w:val="24"/>
        </w:rPr>
      </w:pPr>
      <w:r>
        <w:rPr>
          <w:rFonts w:hint="eastAsia" w:ascii="黑体" w:hAnsi="宋体" w:eastAsia="黑体"/>
          <w:sz w:val="24"/>
        </w:rPr>
        <w:t>29．评审委员会组成</w:t>
      </w:r>
    </w:p>
    <w:p w14:paraId="74FEB9D3">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0C3631CF">
      <w:pPr>
        <w:ind w:firstLine="411" w:firstLineChars="196"/>
        <w:rPr>
          <w:rFonts w:ascii="宋体" w:hAnsi="宋体"/>
        </w:rPr>
      </w:pPr>
      <w:bookmarkStart w:id="64"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375BC906">
      <w:pPr>
        <w:ind w:firstLine="411" w:firstLineChars="196"/>
        <w:rPr>
          <w:rFonts w:ascii="宋体" w:hAnsi="宋体"/>
        </w:rPr>
      </w:pPr>
      <w:r>
        <w:rPr>
          <w:rFonts w:hint="eastAsia" w:ascii="宋体" w:hAnsi="宋体"/>
        </w:rPr>
        <w:t>29.2评审定标应当遵循公平、公正、科学、择优的原则。</w:t>
      </w:r>
    </w:p>
    <w:p w14:paraId="5617175C">
      <w:pPr>
        <w:ind w:firstLine="411" w:firstLineChars="196"/>
        <w:rPr>
          <w:rFonts w:ascii="宋体" w:hAnsi="宋体"/>
        </w:rPr>
      </w:pPr>
      <w:r>
        <w:rPr>
          <w:rFonts w:hint="eastAsia" w:ascii="宋体" w:hAnsi="宋体"/>
        </w:rPr>
        <w:t>29.3评审活动依法进行，任何单位和个人不得非法干预评标过程和结果。</w:t>
      </w:r>
    </w:p>
    <w:p w14:paraId="5F6234B7">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60E02DBB">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E39B219">
      <w:pPr>
        <w:rPr>
          <w:rFonts w:ascii="黑体" w:hAnsi="宋体" w:eastAsia="黑体"/>
          <w:sz w:val="24"/>
        </w:rPr>
      </w:pPr>
      <w:r>
        <w:rPr>
          <w:rFonts w:hint="eastAsia" w:ascii="黑体" w:hAnsi="宋体" w:eastAsia="黑体"/>
          <w:sz w:val="24"/>
        </w:rPr>
        <w:t>30．向评审委员会提供的资料</w:t>
      </w:r>
    </w:p>
    <w:p w14:paraId="319D2491">
      <w:pPr>
        <w:ind w:firstLine="411" w:firstLineChars="196"/>
        <w:rPr>
          <w:rFonts w:ascii="宋体" w:hAnsi="宋体"/>
        </w:rPr>
      </w:pPr>
      <w:r>
        <w:rPr>
          <w:rFonts w:hint="eastAsia" w:ascii="宋体" w:hAnsi="宋体"/>
        </w:rPr>
        <w:t>30.1公开发布的招标文件，包括图纸、服务清单、答疑文件等；</w:t>
      </w:r>
    </w:p>
    <w:p w14:paraId="46AD97B5">
      <w:pPr>
        <w:ind w:firstLine="411" w:firstLineChars="196"/>
        <w:rPr>
          <w:rFonts w:ascii="宋体" w:hAnsi="宋体"/>
        </w:rPr>
      </w:pPr>
      <w:r>
        <w:rPr>
          <w:rFonts w:hint="eastAsia" w:ascii="宋体" w:hAnsi="宋体"/>
        </w:rPr>
        <w:t>30.2其他评标必须的资料。</w:t>
      </w:r>
    </w:p>
    <w:p w14:paraId="3EA0DC92">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EF1AD20">
      <w:pPr>
        <w:ind w:firstLine="411" w:firstLineChars="196"/>
        <w:rPr>
          <w:rFonts w:ascii="宋体" w:hAnsi="宋体"/>
        </w:rPr>
      </w:pPr>
      <w:r>
        <w:rPr>
          <w:rFonts w:hint="eastAsia" w:ascii="宋体" w:hAnsi="宋体"/>
        </w:rPr>
        <w:t>（1）招标的目的；</w:t>
      </w:r>
    </w:p>
    <w:p w14:paraId="4F95706E">
      <w:pPr>
        <w:ind w:firstLine="411" w:firstLineChars="196"/>
        <w:rPr>
          <w:rFonts w:ascii="宋体" w:hAnsi="宋体"/>
        </w:rPr>
      </w:pPr>
      <w:r>
        <w:rPr>
          <w:rFonts w:hint="eastAsia" w:ascii="宋体" w:hAnsi="宋体"/>
        </w:rPr>
        <w:t>（2）招标项目需求的范围和性质；</w:t>
      </w:r>
    </w:p>
    <w:p w14:paraId="74604D63">
      <w:pPr>
        <w:ind w:firstLine="411" w:firstLineChars="196"/>
        <w:rPr>
          <w:rFonts w:ascii="宋体" w:hAnsi="宋体"/>
        </w:rPr>
      </w:pPr>
      <w:r>
        <w:rPr>
          <w:rFonts w:hint="eastAsia" w:ascii="宋体" w:hAnsi="宋体"/>
        </w:rPr>
        <w:t>（3）招标文件规定的投标人的资格、财政预算限额、商务条款；</w:t>
      </w:r>
    </w:p>
    <w:p w14:paraId="45295DEA">
      <w:pPr>
        <w:ind w:firstLine="411" w:firstLineChars="196"/>
        <w:rPr>
          <w:rFonts w:ascii="宋体" w:hAnsi="宋体"/>
        </w:rPr>
      </w:pPr>
      <w:r>
        <w:rPr>
          <w:rFonts w:hint="eastAsia" w:ascii="宋体" w:hAnsi="宋体"/>
        </w:rPr>
        <w:t>（4）招标文件规定的评标程序、评标方法和评标因素；</w:t>
      </w:r>
    </w:p>
    <w:p w14:paraId="32C4F09E">
      <w:pPr>
        <w:ind w:firstLine="411" w:firstLineChars="196"/>
        <w:rPr>
          <w:rFonts w:ascii="宋体" w:hAnsi="宋体"/>
        </w:rPr>
      </w:pPr>
      <w:r>
        <w:rPr>
          <w:rFonts w:hint="eastAsia" w:ascii="宋体" w:hAnsi="宋体"/>
        </w:rPr>
        <w:t>（5）招标文件所列示的资格性审查表及符合性审查表。</w:t>
      </w:r>
    </w:p>
    <w:p w14:paraId="62533FD7">
      <w:pPr>
        <w:rPr>
          <w:rFonts w:ascii="黑体" w:hAnsi="宋体" w:eastAsia="黑体"/>
          <w:sz w:val="24"/>
        </w:rPr>
      </w:pPr>
      <w:r>
        <w:rPr>
          <w:rFonts w:hint="eastAsia" w:ascii="黑体" w:hAnsi="宋体" w:eastAsia="黑体"/>
          <w:sz w:val="24"/>
        </w:rPr>
        <w:t>31．独立评审</w:t>
      </w:r>
    </w:p>
    <w:p w14:paraId="3027E473">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5880E413">
      <w:pPr>
        <w:ind w:firstLine="411" w:firstLineChars="196"/>
        <w:rPr>
          <w:rFonts w:ascii="宋体" w:hAnsi="宋体"/>
          <w:bCs/>
          <w:szCs w:val="21"/>
        </w:rPr>
      </w:pPr>
    </w:p>
    <w:p w14:paraId="34FB3839">
      <w:pPr>
        <w:pStyle w:val="5"/>
        <w:numPr>
          <w:ilvl w:val="0"/>
          <w:numId w:val="16"/>
        </w:numPr>
        <w:spacing w:before="120" w:beforeLines="50" w:after="120" w:afterLines="50"/>
        <w:ind w:left="562" w:hanging="562"/>
        <w:rPr>
          <w:sz w:val="28"/>
          <w:szCs w:val="28"/>
        </w:rPr>
      </w:pPr>
      <w:r>
        <w:rPr>
          <w:rFonts w:hint="eastAsia"/>
          <w:sz w:val="28"/>
          <w:szCs w:val="28"/>
        </w:rPr>
        <w:t>评审程序及评审方法</w:t>
      </w:r>
    </w:p>
    <w:p w14:paraId="203CBE2D">
      <w:pPr>
        <w:rPr>
          <w:rFonts w:ascii="黑体" w:hAnsi="宋体" w:eastAsia="黑体"/>
          <w:sz w:val="24"/>
        </w:rPr>
      </w:pPr>
      <w:r>
        <w:rPr>
          <w:rFonts w:hint="eastAsia" w:ascii="黑体" w:hAnsi="宋体" w:eastAsia="黑体"/>
          <w:sz w:val="24"/>
        </w:rPr>
        <w:t>32．投标文件初审</w:t>
      </w:r>
    </w:p>
    <w:p w14:paraId="30466326">
      <w:pPr>
        <w:ind w:firstLine="411" w:firstLineChars="196"/>
        <w:rPr>
          <w:rFonts w:ascii="宋体" w:hAnsi="宋体"/>
        </w:rPr>
      </w:pPr>
      <w:r>
        <w:rPr>
          <w:rFonts w:hint="eastAsia" w:ascii="宋体" w:hAnsi="宋体"/>
        </w:rPr>
        <w:t>32.1投标文件初审包括资格性审查和符合性审查。</w:t>
      </w:r>
    </w:p>
    <w:p w14:paraId="47FC8601">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0C452815">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0DB29AEF">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21EA9C75">
      <w:pPr>
        <w:ind w:firstLine="411" w:firstLineChars="196"/>
        <w:rPr>
          <w:rFonts w:ascii="宋体" w:hAnsi="宋体"/>
          <w:bCs/>
        </w:rPr>
      </w:pPr>
      <w:r>
        <w:rPr>
          <w:rFonts w:hint="eastAsia" w:ascii="宋体" w:hAnsi="宋体"/>
          <w:bCs/>
        </w:rPr>
        <w:t>32.3 投标文件初审中关于供应商家数的计算:</w:t>
      </w:r>
    </w:p>
    <w:p w14:paraId="78671E6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EFB3B5">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12DFC44B">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22EECA41">
      <w:pPr>
        <w:ind w:firstLine="411" w:firstLineChars="196"/>
        <w:rPr>
          <w:rFonts w:ascii="宋体" w:hAnsi="宋体"/>
        </w:rPr>
      </w:pPr>
      <w:r>
        <w:rPr>
          <w:rFonts w:hint="eastAsia" w:ascii="宋体" w:hAnsi="宋体"/>
        </w:rPr>
        <w:t>32.4投标人投标文件作无效处理的情形，具体包括但不限于以下：</w:t>
      </w:r>
    </w:p>
    <w:p w14:paraId="29B98EC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1B174E13">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22CCCE7">
      <w:pPr>
        <w:ind w:firstLine="411" w:firstLineChars="196"/>
        <w:rPr>
          <w:rFonts w:ascii="宋体" w:hAnsi="宋体"/>
        </w:rPr>
      </w:pPr>
      <w:r>
        <w:rPr>
          <w:rFonts w:hint="eastAsia" w:ascii="宋体" w:hAnsi="宋体"/>
        </w:rPr>
        <w:t>32.4.3不同投标人的投标文件载明的项目管理成员或者联系人员为同一人；</w:t>
      </w:r>
    </w:p>
    <w:p w14:paraId="68B33281">
      <w:pPr>
        <w:ind w:firstLine="411" w:firstLineChars="196"/>
        <w:rPr>
          <w:rFonts w:ascii="宋体" w:hAnsi="宋体"/>
        </w:rPr>
      </w:pPr>
      <w:r>
        <w:rPr>
          <w:rFonts w:hint="eastAsia" w:ascii="宋体" w:hAnsi="宋体"/>
        </w:rPr>
        <w:t>32.4.4不同投标人的投标文件异常一致或者投标报价呈规律性差异；</w:t>
      </w:r>
    </w:p>
    <w:p w14:paraId="5A2B99E0">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264F72FC">
      <w:pPr>
        <w:ind w:firstLine="411" w:firstLineChars="196"/>
        <w:rPr>
          <w:rFonts w:ascii="宋体" w:hAnsi="宋体"/>
        </w:rPr>
      </w:pPr>
      <w:r>
        <w:rPr>
          <w:rFonts w:hint="eastAsia" w:ascii="宋体" w:hAnsi="宋体"/>
        </w:rPr>
        <w:t>32.4.6投标供应商之间相互约定给予未中标的供应商利益补偿；</w:t>
      </w:r>
    </w:p>
    <w:p w14:paraId="1FB4FE37">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228C7D8A">
      <w:pPr>
        <w:ind w:firstLine="411" w:firstLineChars="196"/>
        <w:rPr>
          <w:rFonts w:ascii="宋体" w:hAnsi="宋体"/>
        </w:rPr>
      </w:pPr>
      <w:r>
        <w:rPr>
          <w:rFonts w:hint="eastAsia" w:ascii="宋体" w:hAnsi="宋体"/>
        </w:rPr>
        <w:t>32.4.8不同投标供应商的投标文件内容存在非正常一致；</w:t>
      </w:r>
    </w:p>
    <w:p w14:paraId="7BB30CBE">
      <w:pPr>
        <w:ind w:firstLine="411" w:firstLineChars="196"/>
        <w:rPr>
          <w:rFonts w:ascii="宋体" w:hAnsi="宋体"/>
        </w:rPr>
      </w:pPr>
      <w:r>
        <w:rPr>
          <w:rFonts w:hint="eastAsia" w:ascii="宋体" w:hAnsi="宋体"/>
        </w:rPr>
        <w:t>32.4.9在同一单位工作人员为两家以上（含两家）供应商进行同一项投标活动；</w:t>
      </w:r>
    </w:p>
    <w:p w14:paraId="0A1B05C3">
      <w:pPr>
        <w:ind w:firstLine="411" w:firstLineChars="196"/>
        <w:rPr>
          <w:rFonts w:ascii="宋体" w:hAnsi="宋体"/>
        </w:rPr>
      </w:pPr>
      <w:r>
        <w:rPr>
          <w:rFonts w:hint="eastAsia" w:ascii="宋体" w:hAnsi="宋体"/>
        </w:rPr>
        <w:t>32.4.10主管部门依照法律、法规认定的其他情形。</w:t>
      </w:r>
    </w:p>
    <w:p w14:paraId="640987FB">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C371A29">
      <w:pPr>
        <w:rPr>
          <w:rFonts w:ascii="黑体" w:hAnsi="宋体" w:eastAsia="黑体"/>
          <w:sz w:val="24"/>
        </w:rPr>
      </w:pPr>
      <w:r>
        <w:rPr>
          <w:rFonts w:hint="eastAsia" w:ascii="黑体" w:hAnsi="宋体" w:eastAsia="黑体"/>
          <w:sz w:val="24"/>
        </w:rPr>
        <w:t>33．澄清有关问题</w:t>
      </w:r>
    </w:p>
    <w:p w14:paraId="39A9E95E">
      <w:pPr>
        <w:ind w:firstLine="411" w:firstLineChars="196"/>
        <w:rPr>
          <w:rFonts w:ascii="宋体" w:hAnsi="宋体"/>
        </w:rPr>
      </w:pPr>
      <w:bookmarkStart w:id="65"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5"/>
    </w:p>
    <w:p w14:paraId="35955BE4">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5722D5F">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594108A5">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718D49C">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EA0D722">
      <w:pPr>
        <w:rPr>
          <w:rFonts w:ascii="黑体" w:hAnsi="宋体" w:eastAsia="黑体"/>
          <w:sz w:val="24"/>
        </w:rPr>
      </w:pPr>
      <w:bookmarkStart w:id="66" w:name="_Toc73517673"/>
      <w:bookmarkStart w:id="67" w:name="_Toc73521669"/>
      <w:bookmarkStart w:id="68" w:name="_Toc100052400"/>
      <w:bookmarkStart w:id="69" w:name="_Toc73521581"/>
      <w:bookmarkStart w:id="70" w:name="_Toc73518151"/>
      <w:r>
        <w:rPr>
          <w:rFonts w:hint="eastAsia" w:ascii="黑体" w:hAnsi="宋体" w:eastAsia="黑体"/>
          <w:sz w:val="24"/>
        </w:rPr>
        <w:t>34．错误的修正</w:t>
      </w:r>
      <w:bookmarkEnd w:id="66"/>
      <w:bookmarkEnd w:id="67"/>
      <w:bookmarkEnd w:id="68"/>
      <w:bookmarkEnd w:id="69"/>
      <w:bookmarkEnd w:id="70"/>
    </w:p>
    <w:p w14:paraId="2A5FCC2E">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5E3FFE5D">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7EA5059E">
      <w:pPr>
        <w:ind w:firstLine="411" w:firstLineChars="196"/>
        <w:rPr>
          <w:rFonts w:ascii="宋体" w:hAnsi="宋体"/>
          <w:szCs w:val="21"/>
        </w:rPr>
      </w:pPr>
      <w:r>
        <w:rPr>
          <w:rFonts w:hint="eastAsia" w:ascii="宋体" w:hAnsi="宋体"/>
          <w:szCs w:val="21"/>
        </w:rPr>
        <w:t>34.2大写金额和小写金额不一致的，以大写金额为准；</w:t>
      </w:r>
    </w:p>
    <w:p w14:paraId="485E021D">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3BCBB6FE">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192485B7">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B533049">
      <w:pPr>
        <w:rPr>
          <w:rFonts w:ascii="黑体" w:hAnsi="宋体" w:eastAsia="黑体"/>
          <w:sz w:val="24"/>
        </w:rPr>
      </w:pPr>
      <w:r>
        <w:rPr>
          <w:rFonts w:hint="eastAsia" w:ascii="黑体" w:hAnsi="宋体" w:eastAsia="黑体"/>
          <w:sz w:val="24"/>
        </w:rPr>
        <w:t>35．投标文件的比较与评价</w:t>
      </w:r>
    </w:p>
    <w:p w14:paraId="49EABE38">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BDB8993">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18063679">
      <w:pPr>
        <w:rPr>
          <w:rFonts w:ascii="黑体" w:hAnsi="宋体" w:eastAsia="黑体"/>
          <w:sz w:val="24"/>
        </w:rPr>
      </w:pPr>
      <w:r>
        <w:rPr>
          <w:rFonts w:hint="eastAsia" w:ascii="黑体" w:hAnsi="宋体" w:eastAsia="黑体"/>
          <w:sz w:val="24"/>
        </w:rPr>
        <w:t>36. 实地考察</w:t>
      </w:r>
    </w:p>
    <w:p w14:paraId="7E392B31">
      <w:pPr>
        <w:ind w:firstLine="411" w:firstLineChars="196"/>
        <w:rPr>
          <w:rFonts w:ascii="宋体" w:hAnsi="宋体"/>
          <w:color w:val="FF0000"/>
          <w:szCs w:val="21"/>
        </w:rPr>
      </w:pPr>
      <w:r>
        <w:rPr>
          <w:rFonts w:hint="eastAsia" w:ascii="宋体" w:hAnsi="宋体"/>
          <w:color w:val="FF0000"/>
          <w:szCs w:val="21"/>
        </w:rPr>
        <w:t>36.1在评审期间，评审委员会根据招标文件规定（详见“一、对通用条款的补充内容”），有权对本项目的投标人开展实地考察，投标人需时刻做好接收实地考察的准备。</w:t>
      </w:r>
    </w:p>
    <w:p w14:paraId="0E42E562">
      <w:pPr>
        <w:rPr>
          <w:rFonts w:ascii="黑体" w:hAnsi="宋体" w:eastAsia="黑体"/>
          <w:sz w:val="24"/>
        </w:rPr>
      </w:pPr>
      <w:r>
        <w:rPr>
          <w:rFonts w:hint="eastAsia" w:ascii="黑体" w:hAnsi="宋体" w:eastAsia="黑体"/>
          <w:sz w:val="24"/>
        </w:rPr>
        <w:t>37．评审方法</w:t>
      </w:r>
    </w:p>
    <w:p w14:paraId="4FA8C91A">
      <w:pPr>
        <w:ind w:firstLine="413" w:firstLineChars="196"/>
        <w:rPr>
          <w:rFonts w:ascii="宋体" w:hAnsi="宋体"/>
          <w:b/>
          <w:bCs/>
          <w:szCs w:val="21"/>
        </w:rPr>
      </w:pPr>
      <w:r>
        <w:rPr>
          <w:rFonts w:hint="eastAsia" w:ascii="宋体" w:hAnsi="宋体"/>
          <w:b/>
          <w:bCs/>
          <w:szCs w:val="21"/>
        </w:rPr>
        <w:t>37.1.1最低价法</w:t>
      </w:r>
    </w:p>
    <w:p w14:paraId="0496C461">
      <w:pPr>
        <w:ind w:firstLine="411" w:firstLineChars="196"/>
        <w:rPr>
          <w:rFonts w:hint="eastAsia" w:ascii="ˎ̥" w:hAnsi="ˎ̥"/>
        </w:rPr>
      </w:pPr>
      <w:bookmarkStart w:id="71"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E56EBC1">
      <w:pPr>
        <w:ind w:firstLine="413" w:firstLineChars="196"/>
        <w:rPr>
          <w:rFonts w:ascii="宋体" w:hAnsi="宋体"/>
          <w:b/>
          <w:bCs/>
          <w:szCs w:val="21"/>
        </w:rPr>
      </w:pPr>
      <w:r>
        <w:rPr>
          <w:rFonts w:hint="eastAsia" w:ascii="宋体" w:hAnsi="宋体"/>
          <w:b/>
          <w:bCs/>
          <w:szCs w:val="21"/>
        </w:rPr>
        <w:t>37.1.2综合评分法</w:t>
      </w:r>
    </w:p>
    <w:p w14:paraId="69FC74B1">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1"/>
    </w:p>
    <w:p w14:paraId="2A3637E7">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7A3209AF">
      <w:pPr>
        <w:ind w:firstLine="413" w:firstLineChars="196"/>
        <w:rPr>
          <w:rFonts w:ascii="宋体" w:hAnsi="宋体"/>
          <w:b/>
          <w:bCs/>
          <w:szCs w:val="21"/>
        </w:rPr>
      </w:pPr>
      <w:r>
        <w:rPr>
          <w:rFonts w:hint="eastAsia" w:ascii="宋体" w:hAnsi="宋体"/>
          <w:b/>
          <w:bCs/>
          <w:szCs w:val="21"/>
        </w:rPr>
        <w:t>37.3重新评审的情形</w:t>
      </w:r>
    </w:p>
    <w:p w14:paraId="7D7650D0">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766485B">
      <w:pPr>
        <w:ind w:firstLine="411" w:firstLineChars="196"/>
        <w:rPr>
          <w:rFonts w:ascii="宋体" w:hAnsi="宋体" w:cs="宋体"/>
          <w:kern w:val="0"/>
          <w:szCs w:val="21"/>
        </w:rPr>
      </w:pPr>
      <w:r>
        <w:rPr>
          <w:rFonts w:hint="eastAsia" w:ascii="宋体" w:hAnsi="宋体" w:cs="宋体"/>
          <w:kern w:val="0"/>
          <w:szCs w:val="21"/>
        </w:rPr>
        <w:t>37.3.1分值汇总计算错误的；</w:t>
      </w:r>
    </w:p>
    <w:p w14:paraId="1A6733DF">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26DD7000">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42FAF60C">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6E9C4D5A">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27CDCD6">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5DE6DD9">
      <w:pPr>
        <w:ind w:firstLine="413" w:firstLineChars="196"/>
        <w:rPr>
          <w:rFonts w:ascii="宋体" w:hAnsi="宋体"/>
          <w:b/>
          <w:bCs/>
          <w:szCs w:val="21"/>
        </w:rPr>
      </w:pPr>
      <w:r>
        <w:rPr>
          <w:rFonts w:hint="eastAsia" w:ascii="宋体" w:hAnsi="宋体"/>
          <w:b/>
          <w:bCs/>
          <w:szCs w:val="21"/>
        </w:rPr>
        <w:t>37.4重新组建评审委员会的情形</w:t>
      </w:r>
    </w:p>
    <w:p w14:paraId="0BAB174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468922D1">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5C177E07">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524B64C">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2BBEED7B">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C254D9A">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E68B2C6">
      <w:pPr>
        <w:ind w:firstLine="411" w:firstLineChars="196"/>
        <w:rPr>
          <w:rFonts w:ascii="宋体" w:hAnsi="宋体"/>
          <w:szCs w:val="21"/>
        </w:rPr>
      </w:pPr>
    </w:p>
    <w:p w14:paraId="304A7C21">
      <w:pPr>
        <w:pStyle w:val="5"/>
        <w:numPr>
          <w:ilvl w:val="0"/>
          <w:numId w:val="16"/>
        </w:numPr>
        <w:spacing w:before="120" w:beforeLines="50" w:after="120" w:afterLines="50"/>
        <w:ind w:left="562" w:hanging="562"/>
        <w:rPr>
          <w:sz w:val="28"/>
          <w:szCs w:val="28"/>
        </w:rPr>
      </w:pPr>
      <w:r>
        <w:rPr>
          <w:rFonts w:hint="eastAsia"/>
          <w:sz w:val="28"/>
          <w:szCs w:val="28"/>
        </w:rPr>
        <w:t>定标及公示</w:t>
      </w:r>
    </w:p>
    <w:p w14:paraId="5452A18D">
      <w:pPr>
        <w:rPr>
          <w:rFonts w:ascii="黑体" w:hAnsi="宋体" w:eastAsia="黑体"/>
          <w:b/>
          <w:bCs/>
          <w:sz w:val="24"/>
        </w:rPr>
      </w:pPr>
      <w:r>
        <w:rPr>
          <w:rFonts w:hint="eastAsia" w:ascii="黑体" w:hAnsi="宋体" w:eastAsia="黑体"/>
          <w:sz w:val="24"/>
        </w:rPr>
        <w:t>38．定标方法</w:t>
      </w:r>
    </w:p>
    <w:p w14:paraId="1F353854">
      <w:pPr>
        <w:ind w:firstLine="413" w:firstLineChars="196"/>
        <w:rPr>
          <w:rFonts w:ascii="宋体" w:hAnsi="宋体"/>
          <w:b/>
          <w:bCs/>
          <w:szCs w:val="21"/>
        </w:rPr>
      </w:pPr>
      <w:r>
        <w:rPr>
          <w:rFonts w:hint="eastAsia" w:ascii="宋体" w:hAnsi="宋体"/>
          <w:b/>
          <w:bCs/>
          <w:szCs w:val="21"/>
        </w:rPr>
        <w:t>38.1非评定分离项目定标方法</w:t>
      </w:r>
    </w:p>
    <w:p w14:paraId="29B36195">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2353B255">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69BA057">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5EBF220A">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33664429">
      <w:pPr>
        <w:ind w:firstLine="413" w:firstLineChars="196"/>
        <w:rPr>
          <w:rFonts w:ascii="宋体" w:hAnsi="宋体"/>
          <w:b/>
          <w:bCs/>
          <w:szCs w:val="21"/>
        </w:rPr>
      </w:pPr>
      <w:r>
        <w:rPr>
          <w:rFonts w:hint="eastAsia" w:ascii="宋体" w:hAnsi="宋体"/>
          <w:b/>
          <w:bCs/>
          <w:szCs w:val="21"/>
        </w:rPr>
        <w:t>38.2评定分离项目定标方法</w:t>
      </w:r>
    </w:p>
    <w:p w14:paraId="15AB0008">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公开招标（公开征集）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22407A2">
      <w:pPr>
        <w:ind w:firstLine="411" w:firstLineChars="196"/>
      </w:pPr>
      <w:r>
        <w:rPr>
          <w:rFonts w:ascii="宋体" w:hAnsi="宋体"/>
          <w:szCs w:val="21"/>
        </w:rPr>
        <w:t xml:space="preserve">38.2.2 </w:t>
      </w:r>
      <w:bookmarkStart w:id="72"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174C9777">
      <w:pPr>
        <w:ind w:firstLine="411" w:firstLineChars="196"/>
        <w:rPr>
          <w:rFonts w:ascii="宋体" w:hAnsi="宋体"/>
          <w:szCs w:val="21"/>
        </w:rPr>
      </w:pPr>
      <w:r>
        <w:rPr>
          <w:rFonts w:hint="eastAsia" w:ascii="宋体" w:hAnsi="宋体"/>
          <w:szCs w:val="21"/>
        </w:rPr>
        <w:t>38.2.3</w:t>
      </w:r>
      <w:bookmarkStart w:id="73"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2"/>
      <w:bookmarkEnd w:id="73"/>
    </w:p>
    <w:p w14:paraId="7CE55865">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6A479D5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29309F35">
      <w:pPr>
        <w:ind w:firstLine="411" w:firstLineChars="196"/>
        <w:rPr>
          <w:rFonts w:ascii="宋体" w:hAnsi="宋体"/>
          <w:szCs w:val="21"/>
        </w:rPr>
      </w:pPr>
      <w:r>
        <w:rPr>
          <w:rFonts w:hint="eastAsia" w:ascii="宋体" w:hAnsi="宋体"/>
          <w:szCs w:val="21"/>
        </w:rPr>
        <w:t>38.3专用条款另有规定的，按专用条款相关要求定标。</w:t>
      </w:r>
    </w:p>
    <w:p w14:paraId="3272E281">
      <w:pPr>
        <w:rPr>
          <w:rFonts w:ascii="黑体" w:hAnsi="宋体" w:eastAsia="黑体"/>
          <w:sz w:val="24"/>
        </w:rPr>
      </w:pPr>
      <w:r>
        <w:rPr>
          <w:rFonts w:hint="eastAsia" w:ascii="黑体" w:hAnsi="宋体" w:eastAsia="黑体"/>
          <w:sz w:val="24"/>
        </w:rPr>
        <w:t>39．编写评审报告</w:t>
      </w:r>
    </w:p>
    <w:p w14:paraId="7FCEEA5D">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AE33A1A">
      <w:pPr>
        <w:rPr>
          <w:rFonts w:ascii="黑体" w:hAnsi="宋体" w:eastAsia="黑体"/>
          <w:sz w:val="24"/>
        </w:rPr>
      </w:pPr>
      <w:r>
        <w:rPr>
          <w:rFonts w:hint="eastAsia" w:ascii="黑体" w:hAnsi="宋体" w:eastAsia="黑体"/>
          <w:sz w:val="24"/>
        </w:rPr>
        <w:t>40．中标公告</w:t>
      </w:r>
    </w:p>
    <w:p w14:paraId="5BCE3DF3">
      <w:pPr>
        <w:ind w:firstLine="411" w:firstLineChars="196"/>
        <w:rPr>
          <w:rFonts w:ascii="宋体" w:hAnsi="宋体"/>
          <w:szCs w:val="21"/>
        </w:rPr>
      </w:pPr>
      <w:r>
        <w:rPr>
          <w:rFonts w:hint="eastAsia" w:ascii="宋体" w:hAnsi="宋体"/>
          <w:szCs w:val="21"/>
        </w:rPr>
        <w:t>40.1</w:t>
      </w:r>
      <w:bookmarkStart w:id="74"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4"/>
      <w:bookmarkStart w:id="7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5"/>
    <w:p w14:paraId="1C1ED61B">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7C5093A8">
      <w:pPr>
        <w:rPr>
          <w:rFonts w:ascii="黑体" w:hAnsi="宋体" w:eastAsia="黑体"/>
          <w:sz w:val="24"/>
        </w:rPr>
      </w:pPr>
      <w:r>
        <w:rPr>
          <w:rFonts w:hint="eastAsia" w:ascii="黑体" w:hAnsi="宋体" w:eastAsia="黑体"/>
          <w:sz w:val="24"/>
        </w:rPr>
        <w:t>41．中标通知书</w:t>
      </w:r>
    </w:p>
    <w:p w14:paraId="5D7B93EC">
      <w:pPr>
        <w:ind w:firstLine="411" w:firstLineChars="196"/>
        <w:rPr>
          <w:rFonts w:ascii="宋体" w:hAnsi="宋体"/>
          <w:szCs w:val="21"/>
        </w:rPr>
      </w:pPr>
      <w:bookmarkStart w:id="76" w:name="_Hlk71407340"/>
      <w:r>
        <w:rPr>
          <w:rFonts w:hint="eastAsia" w:ascii="宋体" w:hAnsi="宋体"/>
          <w:szCs w:val="21"/>
        </w:rPr>
        <w:t>41</w:t>
      </w:r>
      <w:r>
        <w:rPr>
          <w:rFonts w:ascii="宋体" w:hAnsi="宋体"/>
          <w:szCs w:val="21"/>
        </w:rPr>
        <w:t>.</w:t>
      </w:r>
      <w:r>
        <w:rPr>
          <w:rFonts w:hint="eastAsia" w:ascii="宋体" w:hAnsi="宋体"/>
          <w:szCs w:val="21"/>
        </w:rPr>
        <w:t>1</w:t>
      </w:r>
      <w:bookmarkStart w:id="77"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7"/>
    </w:p>
    <w:p w14:paraId="4C8F5D4D">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6847D847">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6"/>
    <w:p w14:paraId="7A5B2244">
      <w:pPr>
        <w:ind w:firstLine="411" w:firstLineChars="196"/>
        <w:rPr>
          <w:rFonts w:ascii="宋体" w:hAnsi="宋体"/>
          <w:szCs w:val="21"/>
        </w:rPr>
      </w:pPr>
    </w:p>
    <w:p w14:paraId="6005D026">
      <w:pPr>
        <w:pStyle w:val="5"/>
        <w:numPr>
          <w:ilvl w:val="0"/>
          <w:numId w:val="16"/>
        </w:numPr>
        <w:spacing w:before="120" w:beforeLines="50" w:after="120" w:afterLines="50"/>
        <w:ind w:left="562" w:hanging="562"/>
        <w:rPr>
          <w:sz w:val="28"/>
          <w:szCs w:val="28"/>
        </w:rPr>
      </w:pPr>
      <w:r>
        <w:rPr>
          <w:rFonts w:hint="eastAsia"/>
          <w:sz w:val="28"/>
          <w:szCs w:val="28"/>
          <w:lang w:eastAsia="zh-CN"/>
        </w:rPr>
        <w:t>公开招标（公开征集）</w:t>
      </w:r>
      <w:r>
        <w:rPr>
          <w:rFonts w:hint="eastAsia"/>
          <w:sz w:val="28"/>
          <w:szCs w:val="28"/>
        </w:rPr>
        <w:t>失败的后续处理</w:t>
      </w:r>
    </w:p>
    <w:p w14:paraId="1417C16F">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公开招标（公开征集）</w:t>
      </w:r>
      <w:r>
        <w:rPr>
          <w:rFonts w:hint="eastAsia" w:ascii="黑体" w:hAnsi="宋体" w:eastAsia="黑体"/>
          <w:sz w:val="24"/>
        </w:rPr>
        <w:t>失败的处理</w:t>
      </w:r>
    </w:p>
    <w:p w14:paraId="39ACD8F0">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公开招标（公开征集）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公开招标（公开征集）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4B765E55">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公开招标（公开征集）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14:paraId="6E397270">
      <w:pPr>
        <w:ind w:firstLine="411" w:firstLineChars="196"/>
        <w:rPr>
          <w:rFonts w:ascii="宋体" w:hAnsi="宋体"/>
          <w:szCs w:val="21"/>
        </w:rPr>
      </w:pPr>
      <w:r>
        <w:rPr>
          <w:rFonts w:hint="eastAsia" w:ascii="宋体" w:hAnsi="宋体"/>
          <w:szCs w:val="21"/>
        </w:rPr>
        <w:t>42.3重新组织采购有以下两种组织形式：</w:t>
      </w:r>
    </w:p>
    <w:p w14:paraId="45DF7C15">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公开招标（公开征集）</w:t>
      </w:r>
      <w:r>
        <w:rPr>
          <w:rFonts w:hint="eastAsia" w:ascii="宋体" w:hAnsi="宋体"/>
        </w:rPr>
        <w:t>；</w:t>
      </w:r>
    </w:p>
    <w:p w14:paraId="6DD7D27F">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公开招标（公开征集）</w:t>
      </w:r>
      <w:r>
        <w:rPr>
          <w:rFonts w:hint="eastAsia" w:ascii="宋体" w:hAnsi="宋体"/>
        </w:rPr>
        <w:t>方式申请，经同级财政部门批准，</w:t>
      </w:r>
      <w:r>
        <w:rPr>
          <w:rFonts w:hint="eastAsia" w:ascii="宋体" w:hAnsi="宋体"/>
          <w:lang w:eastAsia="zh-CN"/>
        </w:rPr>
        <w:t>公开招标（公开征集）</w:t>
      </w:r>
      <w:r>
        <w:rPr>
          <w:rFonts w:hint="eastAsia" w:ascii="宋体" w:hAnsi="宋体"/>
        </w:rPr>
        <w:t>失败采购项目可转为竞争性谈判或单一来源谈判方式采购。</w:t>
      </w:r>
    </w:p>
    <w:p w14:paraId="72BBC1A1">
      <w:pPr>
        <w:ind w:firstLine="411" w:firstLineChars="196"/>
        <w:rPr>
          <w:rFonts w:ascii="宋体" w:hAnsi="宋体"/>
        </w:rPr>
      </w:pPr>
      <w:r>
        <w:rPr>
          <w:rFonts w:hint="eastAsia" w:ascii="宋体" w:hAnsi="宋体"/>
        </w:rPr>
        <w:t>42.4</w:t>
      </w:r>
      <w:r>
        <w:rPr>
          <w:rFonts w:hint="eastAsia" w:ascii="宋体" w:hAnsi="宋体"/>
          <w:lang w:eastAsia="zh-CN"/>
        </w:rPr>
        <w:t>公开招标（公开征集）</w:t>
      </w:r>
      <w:r>
        <w:rPr>
          <w:rFonts w:hint="eastAsia" w:ascii="宋体" w:hAnsi="宋体"/>
        </w:rPr>
        <w:t>失败的采购项目重新组织</w:t>
      </w:r>
      <w:r>
        <w:rPr>
          <w:rFonts w:hint="eastAsia" w:ascii="宋体" w:hAnsi="宋体"/>
          <w:lang w:eastAsia="zh-CN"/>
        </w:rPr>
        <w:t>公开招标（公开征集）</w:t>
      </w:r>
      <w:r>
        <w:rPr>
          <w:rFonts w:hint="eastAsia" w:ascii="宋体" w:hAnsi="宋体"/>
        </w:rPr>
        <w:t>，由政府集中采购机构重新按</w:t>
      </w:r>
      <w:r>
        <w:rPr>
          <w:rFonts w:hint="eastAsia" w:ascii="宋体" w:hAnsi="宋体"/>
          <w:lang w:eastAsia="zh-CN"/>
        </w:rPr>
        <w:t>公开招标（公开征集）</w:t>
      </w:r>
      <w:r>
        <w:rPr>
          <w:rFonts w:hint="eastAsia" w:ascii="宋体" w:hAnsi="宋体"/>
        </w:rPr>
        <w:t>流程组织采购活动。</w:t>
      </w:r>
    </w:p>
    <w:p w14:paraId="6E76E50B">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公开招标（公开征集）</w:t>
      </w:r>
      <w:r>
        <w:rPr>
          <w:rFonts w:hint="eastAsia" w:ascii="宋体" w:hAnsi="宋体"/>
        </w:rPr>
        <w:t>失败的采购项目经同级财政部门批准转为竞争性谈判或单一来源谈判方式采购的，按规定要求组织政府采购工作。</w:t>
      </w:r>
    </w:p>
    <w:p w14:paraId="590BC48D">
      <w:pPr>
        <w:rPr>
          <w:rFonts w:ascii="黑体" w:hAnsi="宋体" w:eastAsia="黑体"/>
          <w:sz w:val="24"/>
        </w:rPr>
      </w:pPr>
    </w:p>
    <w:p w14:paraId="4BA56B74">
      <w:pPr>
        <w:pStyle w:val="5"/>
        <w:numPr>
          <w:ilvl w:val="0"/>
          <w:numId w:val="16"/>
        </w:numPr>
        <w:spacing w:before="120" w:beforeLines="50" w:after="120" w:afterLines="50"/>
        <w:ind w:left="562" w:hanging="562"/>
        <w:rPr>
          <w:sz w:val="28"/>
          <w:szCs w:val="28"/>
        </w:rPr>
      </w:pPr>
      <w:bookmarkStart w:id="78" w:name="_Hlk72439043"/>
      <w:r>
        <w:rPr>
          <w:rFonts w:hint="eastAsia"/>
          <w:sz w:val="28"/>
          <w:szCs w:val="28"/>
        </w:rPr>
        <w:t>合同的授予与备案</w:t>
      </w:r>
      <w:bookmarkEnd w:id="78"/>
    </w:p>
    <w:p w14:paraId="0CB9B9CF">
      <w:pPr>
        <w:rPr>
          <w:rFonts w:ascii="黑体" w:hAnsi="宋体" w:eastAsia="黑体"/>
          <w:sz w:val="24"/>
        </w:rPr>
      </w:pPr>
      <w:bookmarkStart w:id="79" w:name="_Toc73518157"/>
      <w:bookmarkStart w:id="80" w:name="_Toc73521586"/>
      <w:bookmarkStart w:id="81" w:name="_Toc100052408"/>
      <w:bookmarkStart w:id="82" w:name="_Toc73521674"/>
      <w:bookmarkStart w:id="83" w:name="_Toc73517679"/>
      <w:bookmarkStart w:id="84" w:name="_Hlk72439088"/>
      <w:r>
        <w:rPr>
          <w:rFonts w:hint="eastAsia" w:ascii="黑体" w:hAnsi="宋体" w:eastAsia="黑体"/>
          <w:sz w:val="24"/>
        </w:rPr>
        <w:t>43．合同授予标准</w:t>
      </w:r>
      <w:bookmarkEnd w:id="79"/>
      <w:bookmarkEnd w:id="80"/>
      <w:bookmarkEnd w:id="81"/>
      <w:bookmarkEnd w:id="82"/>
      <w:bookmarkEnd w:id="83"/>
    </w:p>
    <w:p w14:paraId="229D1C96">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F486316">
      <w:pPr>
        <w:rPr>
          <w:rFonts w:ascii="黑体" w:hAnsi="宋体" w:eastAsia="黑体"/>
          <w:sz w:val="24"/>
        </w:rPr>
      </w:pPr>
      <w:bookmarkStart w:id="85" w:name="_Toc73521675"/>
      <w:bookmarkStart w:id="86" w:name="_Toc73521587"/>
      <w:bookmarkStart w:id="87" w:name="_Toc100052409"/>
      <w:bookmarkStart w:id="88" w:name="_Toc73517680"/>
      <w:bookmarkStart w:id="89" w:name="_Toc73518158"/>
      <w:r>
        <w:rPr>
          <w:rFonts w:hint="eastAsia" w:ascii="黑体" w:hAnsi="宋体" w:eastAsia="黑体"/>
          <w:sz w:val="24"/>
        </w:rPr>
        <w:t>44．</w:t>
      </w:r>
      <w:bookmarkEnd w:id="85"/>
      <w:bookmarkEnd w:id="86"/>
      <w:bookmarkEnd w:id="87"/>
      <w:bookmarkEnd w:id="88"/>
      <w:bookmarkEnd w:id="89"/>
      <w:r>
        <w:rPr>
          <w:rFonts w:hint="eastAsia" w:ascii="黑体" w:hAnsi="宋体" w:eastAsia="黑体"/>
          <w:sz w:val="24"/>
        </w:rPr>
        <w:t>接受和拒绝任何或所有投标的权力</w:t>
      </w:r>
    </w:p>
    <w:p w14:paraId="1F5184AA">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2230F9A">
      <w:pPr>
        <w:rPr>
          <w:rFonts w:ascii="黑体" w:hAnsi="宋体" w:eastAsia="黑体"/>
          <w:sz w:val="24"/>
        </w:rPr>
      </w:pPr>
      <w:bookmarkStart w:id="90" w:name="_Toc73517682"/>
      <w:bookmarkStart w:id="91" w:name="_Toc100052410"/>
      <w:bookmarkStart w:id="92" w:name="_Toc73521589"/>
      <w:bookmarkStart w:id="93" w:name="_Toc73518160"/>
      <w:bookmarkStart w:id="94" w:name="_Toc73521677"/>
      <w:r>
        <w:rPr>
          <w:rFonts w:hint="eastAsia" w:ascii="黑体" w:hAnsi="宋体" w:eastAsia="黑体"/>
          <w:sz w:val="24"/>
        </w:rPr>
        <w:t>45．合同的签订</w:t>
      </w:r>
      <w:bookmarkEnd w:id="90"/>
      <w:bookmarkEnd w:id="91"/>
      <w:bookmarkEnd w:id="92"/>
      <w:bookmarkEnd w:id="93"/>
      <w:bookmarkEnd w:id="94"/>
    </w:p>
    <w:p w14:paraId="0E6F26F9">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785D06D">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D5D2998">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66D9AC3F">
      <w:pPr>
        <w:rPr>
          <w:rFonts w:ascii="黑体" w:hAnsi="宋体" w:eastAsia="黑体"/>
          <w:sz w:val="24"/>
        </w:rPr>
      </w:pPr>
      <w:bookmarkStart w:id="95" w:name="_Toc73521678"/>
      <w:bookmarkStart w:id="96" w:name="_Toc73521590"/>
      <w:bookmarkStart w:id="97" w:name="_Toc100052411"/>
      <w:bookmarkStart w:id="98" w:name="_Toc73517683"/>
      <w:bookmarkStart w:id="99" w:name="_Toc73518161"/>
      <w:r>
        <w:rPr>
          <w:rFonts w:hint="eastAsia" w:ascii="黑体" w:hAnsi="宋体" w:eastAsia="黑体"/>
          <w:sz w:val="24"/>
        </w:rPr>
        <w:t>46．履约担保</w:t>
      </w:r>
      <w:bookmarkEnd w:id="95"/>
      <w:bookmarkEnd w:id="96"/>
      <w:bookmarkEnd w:id="97"/>
      <w:bookmarkEnd w:id="98"/>
      <w:bookmarkEnd w:id="99"/>
    </w:p>
    <w:p w14:paraId="472DE223">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2D140C2">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994B210">
      <w:pPr>
        <w:rPr>
          <w:rFonts w:ascii="黑体" w:hAnsi="宋体" w:eastAsia="黑体"/>
          <w:sz w:val="24"/>
        </w:rPr>
      </w:pPr>
      <w:r>
        <w:rPr>
          <w:rFonts w:hint="eastAsia" w:ascii="黑体" w:hAnsi="宋体" w:eastAsia="黑体"/>
          <w:sz w:val="24"/>
        </w:rPr>
        <w:t>48. 合同变更</w:t>
      </w:r>
    </w:p>
    <w:p w14:paraId="7F4DA83D">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0165B9A9">
      <w:pPr>
        <w:rPr>
          <w:rFonts w:ascii="黑体" w:hAnsi="宋体" w:eastAsia="黑体"/>
          <w:sz w:val="24"/>
        </w:rPr>
      </w:pPr>
      <w:r>
        <w:rPr>
          <w:rFonts w:hint="eastAsia" w:ascii="黑体" w:hAnsi="宋体" w:eastAsia="黑体"/>
          <w:sz w:val="24"/>
        </w:rPr>
        <w:t>49. 项目验收</w:t>
      </w:r>
    </w:p>
    <w:p w14:paraId="765C0670">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3C3F19C0">
      <w:pPr>
        <w:rPr>
          <w:rFonts w:ascii="黑体" w:hAnsi="宋体" w:eastAsia="黑体"/>
          <w:sz w:val="24"/>
        </w:rPr>
      </w:pPr>
      <w:r>
        <w:rPr>
          <w:rFonts w:hint="eastAsia" w:ascii="黑体" w:hAnsi="宋体" w:eastAsia="黑体"/>
          <w:sz w:val="24"/>
        </w:rPr>
        <w:t>50. 宣传</w:t>
      </w:r>
    </w:p>
    <w:p w14:paraId="5E137C17">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51A5495">
      <w:pPr>
        <w:ind w:left="210" w:leftChars="100" w:firstLine="411" w:firstLineChars="196"/>
        <w:rPr>
          <w:rFonts w:ascii="宋体" w:hAnsi="宋体"/>
        </w:rPr>
      </w:pPr>
      <w:r>
        <w:rPr>
          <w:rFonts w:ascii="宋体" w:hAnsi="宋体"/>
        </w:rPr>
        <w:t>a.名片、宣传册、广告标语等；</w:t>
      </w:r>
    </w:p>
    <w:p w14:paraId="6FEEE79D">
      <w:pPr>
        <w:ind w:left="210" w:leftChars="100" w:firstLine="411" w:firstLineChars="196"/>
        <w:rPr>
          <w:rFonts w:ascii="宋体" w:hAnsi="宋体"/>
        </w:rPr>
      </w:pPr>
      <w:r>
        <w:rPr>
          <w:rFonts w:ascii="宋体" w:hAnsi="宋体"/>
        </w:rPr>
        <w:t>b.案例介绍、推广等；</w:t>
      </w:r>
    </w:p>
    <w:p w14:paraId="152C53B1">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6243106D">
      <w:pPr>
        <w:rPr>
          <w:rFonts w:ascii="黑体" w:hAnsi="宋体" w:eastAsia="黑体"/>
          <w:sz w:val="24"/>
        </w:rPr>
      </w:pPr>
      <w:r>
        <w:rPr>
          <w:rFonts w:hint="eastAsia" w:ascii="黑体" w:hAnsi="宋体" w:eastAsia="黑体"/>
          <w:sz w:val="24"/>
        </w:rPr>
        <w:t>51. 供应商违法责任</w:t>
      </w:r>
    </w:p>
    <w:p w14:paraId="5CA8428A">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EE0BFEB">
      <w:pPr>
        <w:ind w:firstLine="411" w:firstLineChars="196"/>
        <w:rPr>
          <w:rFonts w:ascii="宋体" w:hAnsi="宋体"/>
          <w:szCs w:val="21"/>
        </w:rPr>
      </w:pPr>
      <w:r>
        <w:rPr>
          <w:rFonts w:hint="eastAsia" w:ascii="宋体" w:hAnsi="宋体"/>
          <w:szCs w:val="21"/>
        </w:rPr>
        <w:t>（1）在采购活动中应当回避而未回避的；</w:t>
      </w:r>
    </w:p>
    <w:p w14:paraId="4E94D59B">
      <w:pPr>
        <w:ind w:firstLine="411" w:firstLineChars="196"/>
        <w:rPr>
          <w:rFonts w:ascii="宋体" w:hAnsi="宋体"/>
          <w:szCs w:val="21"/>
        </w:rPr>
      </w:pPr>
      <w:r>
        <w:rPr>
          <w:rFonts w:hint="eastAsia" w:ascii="宋体" w:hAnsi="宋体"/>
          <w:szCs w:val="21"/>
        </w:rPr>
        <w:t>（2）未按本条例规定签订、履行采购合同，造成严重后果的；</w:t>
      </w:r>
    </w:p>
    <w:p w14:paraId="07E97DDE">
      <w:pPr>
        <w:ind w:firstLine="411" w:firstLineChars="196"/>
        <w:rPr>
          <w:rFonts w:ascii="宋体" w:hAnsi="宋体"/>
          <w:szCs w:val="21"/>
        </w:rPr>
      </w:pPr>
      <w:r>
        <w:rPr>
          <w:rFonts w:hint="eastAsia" w:ascii="宋体" w:hAnsi="宋体"/>
          <w:szCs w:val="21"/>
        </w:rPr>
        <w:t>（3）隐瞒真实情况，提供虚假资料的；</w:t>
      </w:r>
    </w:p>
    <w:p w14:paraId="271F5793">
      <w:pPr>
        <w:ind w:firstLine="411" w:firstLineChars="196"/>
        <w:rPr>
          <w:rFonts w:ascii="宋体" w:hAnsi="宋体"/>
          <w:szCs w:val="21"/>
        </w:rPr>
      </w:pPr>
      <w:r>
        <w:rPr>
          <w:rFonts w:hint="eastAsia" w:ascii="宋体" w:hAnsi="宋体"/>
          <w:szCs w:val="21"/>
        </w:rPr>
        <w:t>（4）以非法手段排斥其他供应商参与竞争的；</w:t>
      </w:r>
    </w:p>
    <w:p w14:paraId="40028270">
      <w:pPr>
        <w:ind w:firstLine="411" w:firstLineChars="196"/>
        <w:rPr>
          <w:rFonts w:ascii="宋体" w:hAnsi="宋体"/>
          <w:szCs w:val="21"/>
        </w:rPr>
      </w:pPr>
      <w:r>
        <w:rPr>
          <w:rFonts w:hint="eastAsia" w:ascii="宋体" w:hAnsi="宋体"/>
          <w:szCs w:val="21"/>
        </w:rPr>
        <w:t>（5）与其他采购参加人串通投标的；</w:t>
      </w:r>
    </w:p>
    <w:p w14:paraId="3133BED7">
      <w:pPr>
        <w:ind w:firstLine="411" w:firstLineChars="196"/>
        <w:rPr>
          <w:rFonts w:ascii="宋体" w:hAnsi="宋体"/>
          <w:szCs w:val="21"/>
        </w:rPr>
      </w:pPr>
      <w:r>
        <w:rPr>
          <w:rFonts w:hint="eastAsia" w:ascii="宋体" w:hAnsi="宋体"/>
          <w:szCs w:val="21"/>
        </w:rPr>
        <w:t>（6）恶意投诉的；</w:t>
      </w:r>
    </w:p>
    <w:p w14:paraId="6C84F731">
      <w:pPr>
        <w:ind w:firstLine="411" w:firstLineChars="196"/>
        <w:rPr>
          <w:rFonts w:ascii="宋体" w:hAnsi="宋体"/>
          <w:szCs w:val="21"/>
        </w:rPr>
      </w:pPr>
      <w:r>
        <w:rPr>
          <w:rFonts w:hint="eastAsia" w:ascii="宋体" w:hAnsi="宋体"/>
          <w:szCs w:val="21"/>
        </w:rPr>
        <w:t>（7）向采购项目相关人行贿或者提供其他不当利益的；</w:t>
      </w:r>
    </w:p>
    <w:p w14:paraId="4D90EF22">
      <w:pPr>
        <w:ind w:firstLine="411" w:firstLineChars="196"/>
        <w:rPr>
          <w:rFonts w:ascii="宋体" w:hAnsi="宋体"/>
          <w:szCs w:val="21"/>
        </w:rPr>
      </w:pPr>
      <w:r>
        <w:rPr>
          <w:rFonts w:hint="eastAsia" w:ascii="宋体" w:hAnsi="宋体"/>
          <w:szCs w:val="21"/>
        </w:rPr>
        <w:t>（8）阻碍、抗拒主管部门监督检查的；</w:t>
      </w:r>
    </w:p>
    <w:p w14:paraId="241A1B5A">
      <w:pPr>
        <w:ind w:firstLine="411" w:firstLineChars="196"/>
        <w:rPr>
          <w:rFonts w:ascii="宋体" w:hAnsi="宋体"/>
          <w:szCs w:val="21"/>
        </w:rPr>
      </w:pPr>
      <w:r>
        <w:rPr>
          <w:rFonts w:hint="eastAsia" w:ascii="宋体" w:hAnsi="宋体"/>
          <w:szCs w:val="21"/>
        </w:rPr>
        <w:t>（9）其他违反本条例规定的行为。</w:t>
      </w:r>
    </w:p>
    <w:p w14:paraId="52B7F841">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0" w:name="_Hlk72440769"/>
      <w:r>
        <w:rPr>
          <w:rFonts w:hint="eastAsia" w:ascii="宋体" w:hAnsi="宋体"/>
          <w:szCs w:val="21"/>
        </w:rPr>
        <w:t>政府集中采购机构或采购人不予退还其交纳的谈判保证金，情节严重的，并由主管部门</w:t>
      </w:r>
      <w:bookmarkEnd w:id="100"/>
      <w:r>
        <w:rPr>
          <w:rFonts w:hint="eastAsia" w:ascii="宋体" w:hAnsi="宋体"/>
          <w:szCs w:val="21"/>
        </w:rPr>
        <w:t>记入供应商诚信档案，予以通报：</w:t>
      </w:r>
    </w:p>
    <w:p w14:paraId="1E9C2D97">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6820C2DF">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533BEFA7">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261A5A4">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4"/>
    <w:p w14:paraId="4FF41D62">
      <w:pPr>
        <w:pStyle w:val="5"/>
        <w:numPr>
          <w:ilvl w:val="0"/>
          <w:numId w:val="16"/>
        </w:numPr>
        <w:spacing w:before="120" w:beforeLines="50" w:after="120" w:afterLines="50"/>
        <w:ind w:left="562" w:hanging="562"/>
        <w:rPr>
          <w:sz w:val="28"/>
          <w:szCs w:val="28"/>
        </w:rPr>
      </w:pPr>
      <w:r>
        <w:rPr>
          <w:rFonts w:hint="eastAsia"/>
          <w:sz w:val="28"/>
          <w:szCs w:val="28"/>
        </w:rPr>
        <w:t>质疑处理</w:t>
      </w:r>
    </w:p>
    <w:p w14:paraId="2F61B86D">
      <w:pPr>
        <w:rPr>
          <w:rFonts w:ascii="黑体" w:hAnsi="宋体" w:eastAsia="黑体"/>
          <w:sz w:val="24"/>
        </w:rPr>
      </w:pPr>
      <w:r>
        <w:rPr>
          <w:rFonts w:hint="eastAsia" w:ascii="黑体" w:hAnsi="宋体" w:eastAsia="黑体"/>
          <w:sz w:val="24"/>
        </w:rPr>
        <w:t>52.质疑提出与答复</w:t>
      </w:r>
    </w:p>
    <w:p w14:paraId="750E54B5">
      <w:pPr>
        <w:rPr>
          <w:rFonts w:ascii="宋体" w:hAnsi="宋体"/>
          <w:szCs w:val="21"/>
        </w:rPr>
      </w:pPr>
      <w:r>
        <w:rPr>
          <w:rFonts w:hint="eastAsia" w:ascii="宋体" w:hAnsi="宋体"/>
          <w:szCs w:val="21"/>
        </w:rPr>
        <w:t xml:space="preserve">    52.1提出质疑</w:t>
      </w:r>
    </w:p>
    <w:p w14:paraId="55588603">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3B2AEFDD">
      <w:pPr>
        <w:rPr>
          <w:rFonts w:ascii="宋体" w:hAnsi="宋体"/>
          <w:szCs w:val="21"/>
        </w:rPr>
      </w:pPr>
      <w:r>
        <w:rPr>
          <w:rFonts w:hint="eastAsia" w:ascii="宋体" w:hAnsi="宋体"/>
          <w:szCs w:val="21"/>
        </w:rPr>
        <w:t xml:space="preserve">    52.2</w:t>
      </w:r>
      <w:r>
        <w:rPr>
          <w:rFonts w:ascii="宋体" w:hAnsi="宋体"/>
          <w:szCs w:val="21"/>
        </w:rPr>
        <w:t>法律依据</w:t>
      </w:r>
    </w:p>
    <w:p w14:paraId="3F38A048">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158A40B3">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2BCCDDEB">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2BEF475C">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D3CA186">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D34880D">
      <w:pPr>
        <w:ind w:firstLine="420"/>
        <w:rPr>
          <w:rFonts w:ascii="宋体" w:hAnsi="宋体"/>
          <w:szCs w:val="21"/>
        </w:rPr>
      </w:pPr>
      <w:r>
        <w:rPr>
          <w:rFonts w:hint="eastAsia" w:ascii="宋体" w:hAnsi="宋体"/>
          <w:szCs w:val="21"/>
        </w:rPr>
        <w:t>（1）供应商的名称（或者姓名）、地址、邮编、邮箱、联系人及联系电话；</w:t>
      </w:r>
    </w:p>
    <w:p w14:paraId="13362D1E">
      <w:pPr>
        <w:ind w:firstLine="420" w:firstLineChars="200"/>
        <w:rPr>
          <w:rFonts w:ascii="宋体" w:hAnsi="宋体"/>
          <w:szCs w:val="21"/>
        </w:rPr>
      </w:pPr>
      <w:r>
        <w:rPr>
          <w:rFonts w:hint="eastAsia" w:ascii="宋体" w:hAnsi="宋体"/>
          <w:szCs w:val="21"/>
        </w:rPr>
        <w:t>（2）质疑项目的名称、编号；</w:t>
      </w:r>
    </w:p>
    <w:p w14:paraId="3AE1878E">
      <w:pPr>
        <w:ind w:firstLine="420" w:firstLineChars="200"/>
        <w:rPr>
          <w:rFonts w:ascii="宋体" w:hAnsi="宋体"/>
          <w:szCs w:val="21"/>
        </w:rPr>
      </w:pPr>
      <w:r>
        <w:rPr>
          <w:rFonts w:hint="eastAsia" w:ascii="宋体" w:hAnsi="宋体"/>
          <w:szCs w:val="21"/>
        </w:rPr>
        <w:t>（3）具体、明确的质疑对象、质疑事项和质疑请求；</w:t>
      </w:r>
    </w:p>
    <w:p w14:paraId="24A8B42A">
      <w:pPr>
        <w:ind w:firstLine="420" w:firstLineChars="200"/>
        <w:rPr>
          <w:rFonts w:ascii="宋体" w:hAnsi="宋体"/>
          <w:szCs w:val="21"/>
        </w:rPr>
      </w:pPr>
      <w:r>
        <w:rPr>
          <w:rFonts w:hint="eastAsia" w:ascii="宋体" w:hAnsi="宋体"/>
          <w:szCs w:val="21"/>
        </w:rPr>
        <w:t>（4）因质疑事项而受损害的权益；</w:t>
      </w:r>
    </w:p>
    <w:p w14:paraId="5F6EFF3A">
      <w:pPr>
        <w:ind w:firstLine="420" w:firstLineChars="200"/>
        <w:rPr>
          <w:rFonts w:ascii="宋体" w:hAnsi="宋体"/>
          <w:szCs w:val="21"/>
        </w:rPr>
      </w:pPr>
      <w:r>
        <w:rPr>
          <w:rFonts w:hint="eastAsia" w:ascii="宋体" w:hAnsi="宋体"/>
          <w:szCs w:val="21"/>
        </w:rPr>
        <w:t>（5）事实依据；</w:t>
      </w:r>
    </w:p>
    <w:p w14:paraId="39A40DC8">
      <w:pPr>
        <w:ind w:firstLine="420" w:firstLineChars="200"/>
        <w:rPr>
          <w:rFonts w:ascii="宋体" w:hAnsi="宋体"/>
          <w:szCs w:val="21"/>
        </w:rPr>
      </w:pPr>
      <w:r>
        <w:rPr>
          <w:rFonts w:hint="eastAsia" w:ascii="宋体" w:hAnsi="宋体"/>
          <w:szCs w:val="21"/>
        </w:rPr>
        <w:t>（6）必要的法律依据；</w:t>
      </w:r>
    </w:p>
    <w:p w14:paraId="09DBACA5">
      <w:pPr>
        <w:ind w:firstLine="420" w:firstLineChars="200"/>
        <w:rPr>
          <w:rFonts w:ascii="宋体" w:hAnsi="宋体"/>
          <w:szCs w:val="21"/>
        </w:rPr>
      </w:pPr>
      <w:r>
        <w:rPr>
          <w:rFonts w:hint="eastAsia" w:ascii="宋体" w:hAnsi="宋体"/>
          <w:szCs w:val="21"/>
        </w:rPr>
        <w:t>（7）提出质疑的日期。</w:t>
      </w:r>
    </w:p>
    <w:p w14:paraId="6FB89E4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7A3AD3D">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8268E2A">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06B4758">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0FEB611">
      <w:pPr>
        <w:ind w:firstLine="422" w:firstLineChars="200"/>
        <w:rPr>
          <w:b/>
          <w:color w:val="FF0000"/>
        </w:rPr>
      </w:pPr>
      <w:r>
        <w:rPr>
          <w:rFonts w:hint="eastAsia"/>
          <w:b/>
          <w:color w:val="FF0000"/>
        </w:rPr>
        <w:t>52.5提交方式</w:t>
      </w:r>
    </w:p>
    <w:p w14:paraId="0556B931">
      <w:pPr>
        <w:ind w:firstLine="422" w:firstLineChars="200"/>
        <w:rPr>
          <w:b/>
          <w:color w:val="FF0000"/>
        </w:rPr>
      </w:pPr>
      <w:r>
        <w:rPr>
          <w:rFonts w:hint="eastAsia"/>
          <w:b/>
          <w:color w:val="FF0000"/>
        </w:rPr>
        <w:t>5</w:t>
      </w:r>
      <w:r>
        <w:rPr>
          <w:b/>
          <w:color w:val="FF0000"/>
        </w:rPr>
        <w:t>2.5.</w:t>
      </w:r>
      <w:r>
        <w:rPr>
          <w:rFonts w:hint="eastAsia"/>
          <w:b/>
          <w:color w:val="FF0000"/>
        </w:rPr>
        <w:t>1请质疑供应商根据深圳公共资源交易中心网页（https://www.szggzy.com/globalSearch/details.html?contentId=1211037）所发布的质疑指引、质疑函模板填写质疑函并提交质疑材料。</w:t>
      </w:r>
    </w:p>
    <w:p w14:paraId="2B9D4C8B">
      <w:pPr>
        <w:rPr>
          <w:b/>
          <w:bCs/>
          <w:color w:val="FF0000"/>
        </w:rPr>
      </w:pPr>
      <w:r>
        <w:rPr>
          <w:rFonts w:hint="eastAsia"/>
          <w:b/>
          <w:bCs/>
          <w:color w:val="FF0000"/>
        </w:rPr>
        <w:t>收文地点：深圳公共资源交易中心（</w:t>
      </w:r>
      <w:r>
        <w:rPr>
          <w:rFonts w:hint="eastAsia"/>
          <w:b/>
          <w:bCs/>
          <w:color w:val="FF0000"/>
          <w:lang w:eastAsia="zh-CN"/>
        </w:rPr>
        <w:t>深圳交易集团有限公司盐田分公司</w:t>
      </w:r>
      <w:r>
        <w:rPr>
          <w:rFonts w:hint="eastAsia"/>
          <w:b/>
          <w:bCs/>
          <w:color w:val="FF0000"/>
        </w:rPr>
        <w:t>）</w:t>
      </w:r>
      <w:r>
        <w:rPr>
          <w:rFonts w:hint="eastAsia"/>
          <w:b/>
          <w:bCs/>
          <w:color w:val="FF0000"/>
          <w:lang w:eastAsia="zh-CN"/>
        </w:rPr>
        <w:t>深圳市盐田区海景二路1025号壹海国际中心9楼901</w:t>
      </w:r>
      <w:r>
        <w:rPr>
          <w:rFonts w:hint="eastAsia"/>
          <w:b/>
          <w:bCs/>
          <w:color w:val="FF0000"/>
        </w:rPr>
        <w:t>。质疑咨询电话：0755</w:t>
      </w:r>
      <w:r>
        <w:rPr>
          <w:rFonts w:hint="eastAsia"/>
          <w:b/>
          <w:bCs/>
          <w:color w:val="FF0000"/>
          <w:lang w:val="en-US" w:eastAsia="zh-CN"/>
        </w:rPr>
        <w:t>25869725</w:t>
      </w:r>
      <w:r>
        <w:rPr>
          <w:rFonts w:hint="eastAsia"/>
          <w:b/>
          <w:bCs/>
          <w:color w:val="FF0000"/>
        </w:rPr>
        <w:t>。</w:t>
      </w:r>
    </w:p>
    <w:p w14:paraId="74B6DDF0">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31B7665C">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A898BF5">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075F725D">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562E0468">
      <w:pPr>
        <w:ind w:firstLine="420" w:firstLineChars="200"/>
        <w:rPr>
          <w:rFonts w:ascii="宋体" w:hAnsi="宋体"/>
          <w:szCs w:val="21"/>
        </w:rPr>
      </w:pPr>
      <w:r>
        <w:rPr>
          <w:rFonts w:hint="eastAsia" w:ascii="宋体" w:hAnsi="宋体"/>
          <w:szCs w:val="21"/>
        </w:rPr>
        <w:t>供应商提交的质疑存在下列情形之一的，不予受理：</w:t>
      </w:r>
    </w:p>
    <w:p w14:paraId="1E6250E7">
      <w:pPr>
        <w:ind w:firstLine="420" w:firstLineChars="200"/>
        <w:rPr>
          <w:rFonts w:ascii="宋体" w:hAnsi="宋体"/>
          <w:szCs w:val="21"/>
        </w:rPr>
      </w:pPr>
      <w:r>
        <w:rPr>
          <w:rFonts w:hint="eastAsia" w:ascii="宋体" w:hAnsi="宋体"/>
          <w:szCs w:val="21"/>
        </w:rPr>
        <w:t>（1）质疑主体不满足要求的；</w:t>
      </w:r>
    </w:p>
    <w:p w14:paraId="2E59BD78">
      <w:pPr>
        <w:ind w:firstLine="420" w:firstLineChars="200"/>
        <w:rPr>
          <w:rFonts w:ascii="宋体" w:hAnsi="宋体"/>
          <w:szCs w:val="21"/>
        </w:rPr>
      </w:pPr>
      <w:r>
        <w:rPr>
          <w:rFonts w:hint="eastAsia" w:ascii="宋体" w:hAnsi="宋体"/>
          <w:szCs w:val="21"/>
        </w:rPr>
        <w:t>（2）供应商自身权益未受到损害的；</w:t>
      </w:r>
    </w:p>
    <w:p w14:paraId="43F2AF51">
      <w:pPr>
        <w:ind w:firstLine="420" w:firstLineChars="200"/>
        <w:rPr>
          <w:rFonts w:ascii="宋体" w:hAnsi="宋体"/>
          <w:szCs w:val="21"/>
        </w:rPr>
      </w:pPr>
      <w:r>
        <w:rPr>
          <w:rFonts w:hint="eastAsia" w:ascii="宋体" w:hAnsi="宋体"/>
          <w:szCs w:val="21"/>
        </w:rPr>
        <w:t>（3）供应商未在法定质疑期限内提出质疑的；</w:t>
      </w:r>
    </w:p>
    <w:p w14:paraId="245212BE">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3A40FC0C">
      <w:pPr>
        <w:ind w:firstLine="420" w:firstLineChars="200"/>
        <w:rPr>
          <w:rFonts w:ascii="宋体" w:hAnsi="宋体"/>
          <w:szCs w:val="21"/>
        </w:rPr>
      </w:pPr>
      <w:r>
        <w:rPr>
          <w:rFonts w:hint="eastAsia" w:ascii="宋体" w:hAnsi="宋体"/>
          <w:szCs w:val="21"/>
        </w:rPr>
        <w:t>（5）其他不符合受理条件情形的。</w:t>
      </w:r>
    </w:p>
    <w:p w14:paraId="2DFB312D">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4605225A">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1EFBE704">
      <w:pPr>
        <w:rPr>
          <w:rFonts w:ascii="宋体" w:hAnsi="宋体"/>
          <w:szCs w:val="21"/>
        </w:rPr>
      </w:pPr>
      <w:r>
        <w:rPr>
          <w:rFonts w:hint="eastAsia" w:ascii="宋体" w:hAnsi="宋体"/>
          <w:szCs w:val="21"/>
        </w:rPr>
        <w:t xml:space="preserve">    自收文之日起七个工作日内。</w:t>
      </w:r>
    </w:p>
    <w:p w14:paraId="1129BD31">
      <w:pPr>
        <w:rPr>
          <w:rFonts w:ascii="宋体" w:hAnsi="宋体"/>
          <w:szCs w:val="21"/>
        </w:rPr>
      </w:pPr>
      <w:r>
        <w:rPr>
          <w:rFonts w:hint="eastAsia" w:ascii="宋体" w:hAnsi="宋体"/>
          <w:szCs w:val="21"/>
        </w:rPr>
        <w:t xml:space="preserve">    52.8投诉</w:t>
      </w:r>
    </w:p>
    <w:p w14:paraId="6B8B124C">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rPr>
        <w:t>本项目预算主管单位</w:t>
      </w:r>
      <w:r>
        <w:rPr>
          <w:rFonts w:hint="eastAsia" w:ascii="宋体" w:hAnsi="宋体"/>
          <w:lang w:val="en-US" w:eastAsia="zh-CN"/>
        </w:rPr>
        <w:t>投诉</w:t>
      </w:r>
      <w:r>
        <w:rPr>
          <w:rFonts w:hint="eastAsia" w:ascii="宋体" w:hAnsi="宋体"/>
          <w:lang w:eastAsia="zh-CN"/>
        </w:rPr>
        <w:t>（</w:t>
      </w:r>
      <w:r>
        <w:rPr>
          <w:rFonts w:hint="eastAsia" w:ascii="宋体" w:hAnsi="宋体"/>
        </w:rPr>
        <w:t>深圳市盐田区民政局</w:t>
      </w:r>
      <w:r>
        <w:rPr>
          <w:rFonts w:hint="eastAsia" w:ascii="宋体" w:hAnsi="宋体"/>
          <w:lang w:eastAsia="zh-CN"/>
        </w:rPr>
        <w:t>）</w:t>
      </w:r>
      <w:r>
        <w:rPr>
          <w:rFonts w:hint="eastAsia" w:ascii="宋体" w:hAnsi="宋体"/>
          <w:szCs w:val="21"/>
        </w:rPr>
        <w:t>。</w:t>
      </w:r>
    </w:p>
    <w:p w14:paraId="09D7CC68">
      <w:pPr>
        <w:rPr>
          <w:rFonts w:ascii="宋体" w:hAnsi="宋体"/>
          <w:szCs w:val="21"/>
        </w:rPr>
      </w:pPr>
    </w:p>
    <w:p w14:paraId="70D5429A">
      <w:pPr>
        <w:ind w:firstLine="480" w:firstLineChars="200"/>
        <w:rPr>
          <w:rFonts w:ascii="黑体" w:hAnsi="宋体" w:eastAsia="黑体"/>
          <w:sz w:val="24"/>
        </w:rPr>
      </w:pPr>
      <w:r>
        <w:rPr>
          <w:rFonts w:hint="eastAsia" w:ascii="黑体" w:hAnsi="宋体" w:eastAsia="黑体"/>
          <w:sz w:val="24"/>
        </w:rPr>
        <w:t>53. 质疑后续处理</w:t>
      </w:r>
    </w:p>
    <w:p w14:paraId="7CCB17B7">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0F1214B7">
      <w:pPr>
        <w:ind w:firstLine="432"/>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AB3A2AD">
      <w:pPr>
        <w:rPr>
          <w:rFonts w:ascii="宋体" w:hAnsi="宋体"/>
          <w:szCs w:val="21"/>
        </w:rPr>
      </w:pPr>
    </w:p>
    <w:p w14:paraId="76B1ECEC">
      <w:pPr>
        <w:ind w:firstLine="420" w:firstLineChars="200"/>
        <w:jc w:val="center"/>
        <w:rPr>
          <w:rFonts w:ascii="宋体" w:hAnsi="宋体"/>
          <w:szCs w:val="21"/>
        </w:rPr>
      </w:pPr>
      <w:r>
        <w:t>---- END ----</w:t>
      </w: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9778">
    <w:pPr>
      <w:pStyle w:val="28"/>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37B3528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7A5A">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1B884A2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3069">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11B60"/>
    <w:multiLevelType w:val="singleLevel"/>
    <w:tmpl w:val="A9F11B60"/>
    <w:lvl w:ilvl="0" w:tentative="0">
      <w:start w:val="2"/>
      <w:numFmt w:val="chineseCounting"/>
      <w:suff w:val="nothing"/>
      <w:lvlText w:val="（%1）"/>
      <w:lvlJc w:val="left"/>
      <w:rPr>
        <w:rFonts w:hint="eastAsia"/>
      </w:rPr>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8F02E5F"/>
    <w:multiLevelType w:val="singleLevel"/>
    <w:tmpl w:val="F8F02E5F"/>
    <w:lvl w:ilvl="0" w:tentative="0">
      <w:start w:val="3"/>
      <w:numFmt w:val="decimal"/>
      <w:suff w:val="nothing"/>
      <w:lvlText w:val="（%1）"/>
      <w:lvlJc w:val="left"/>
    </w:lvl>
  </w:abstractNum>
  <w:abstractNum w:abstractNumId="4">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0000003"/>
    <w:multiLevelType w:val="singleLevel"/>
    <w:tmpl w:val="00000003"/>
    <w:lvl w:ilvl="0" w:tentative="0">
      <w:start w:val="1"/>
      <w:numFmt w:val="decimal"/>
      <w:lvlText w:val="%1."/>
      <w:lvlJc w:val="left"/>
      <w:pPr>
        <w:ind w:left="425" w:hanging="425"/>
      </w:pPr>
      <w:rPr>
        <w:rFonts w:hint="default"/>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9BDD2B2"/>
    <w:multiLevelType w:val="singleLevel"/>
    <w:tmpl w:val="19BDD2B2"/>
    <w:lvl w:ilvl="0" w:tentative="0">
      <w:start w:val="1"/>
      <w:numFmt w:val="decimal"/>
      <w:suff w:val="space"/>
      <w:lvlText w:val="%1"/>
      <w:lvlJc w:val="left"/>
      <w:pPr>
        <w:ind w:left="425" w:hanging="425"/>
      </w:pPr>
      <w:rPr>
        <w:rFonts w:hint="default"/>
      </w:rPr>
    </w:lvl>
  </w:abstractNum>
  <w:abstractNum w:abstractNumId="11">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82379FC"/>
    <w:multiLevelType w:val="singleLevel"/>
    <w:tmpl w:val="282379FC"/>
    <w:lvl w:ilvl="0" w:tentative="0">
      <w:start w:val="2"/>
      <w:numFmt w:val="chineseCounting"/>
      <w:suff w:val="nothing"/>
      <w:lvlText w:val="（%1）"/>
      <w:lvlJc w:val="left"/>
      <w:rPr>
        <w:rFonts w:hint="eastAsia"/>
      </w:rPr>
    </w:lvl>
  </w:abstractNum>
  <w:abstractNum w:abstractNumId="13">
    <w:nsid w:val="2CCFBEDA"/>
    <w:multiLevelType w:val="singleLevel"/>
    <w:tmpl w:val="2CCFBEDA"/>
    <w:lvl w:ilvl="0" w:tentative="0">
      <w:start w:val="2"/>
      <w:numFmt w:val="decimal"/>
      <w:suff w:val="nothing"/>
      <w:lvlText w:val="%1、"/>
      <w:lvlJc w:val="left"/>
    </w:lvl>
  </w:abstractNum>
  <w:abstractNum w:abstractNumId="14">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8"/>
  </w:num>
  <w:num w:numId="5">
    <w:abstractNumId w:val="15"/>
  </w:num>
  <w:num w:numId="6">
    <w:abstractNumId w:val="14"/>
  </w:num>
  <w:num w:numId="7">
    <w:abstractNumId w:val="0"/>
  </w:num>
  <w:num w:numId="8">
    <w:abstractNumId w:val="12"/>
  </w:num>
  <w:num w:numId="9">
    <w:abstractNumId w:val="1"/>
  </w:num>
  <w:num w:numId="10">
    <w:abstractNumId w:val="6"/>
  </w:num>
  <w:num w:numId="11">
    <w:abstractNumId w:val="10"/>
  </w:num>
  <w:num w:numId="12">
    <w:abstractNumId w:val="3"/>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WRiZDE5ZDY0OWM1ODNjZjM5N2RhODQ2ZTMyOTE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1F7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170C8"/>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377491"/>
    <w:rsid w:val="018F4DD0"/>
    <w:rsid w:val="02034A18"/>
    <w:rsid w:val="023D293E"/>
    <w:rsid w:val="03613039"/>
    <w:rsid w:val="036202D4"/>
    <w:rsid w:val="03D07714"/>
    <w:rsid w:val="042A6EF2"/>
    <w:rsid w:val="04B94B88"/>
    <w:rsid w:val="05023E3B"/>
    <w:rsid w:val="05262D76"/>
    <w:rsid w:val="056F462F"/>
    <w:rsid w:val="057C5B7B"/>
    <w:rsid w:val="06270849"/>
    <w:rsid w:val="06552DE0"/>
    <w:rsid w:val="067D4F9E"/>
    <w:rsid w:val="06D71535"/>
    <w:rsid w:val="070F64E0"/>
    <w:rsid w:val="07515FD1"/>
    <w:rsid w:val="07991A83"/>
    <w:rsid w:val="07CA293D"/>
    <w:rsid w:val="085F419E"/>
    <w:rsid w:val="08CA370B"/>
    <w:rsid w:val="08DD09D6"/>
    <w:rsid w:val="09F07824"/>
    <w:rsid w:val="0A0932C7"/>
    <w:rsid w:val="0A371079"/>
    <w:rsid w:val="0A506477"/>
    <w:rsid w:val="0A680E05"/>
    <w:rsid w:val="0A86636F"/>
    <w:rsid w:val="0A8A4C86"/>
    <w:rsid w:val="0ACF3CB7"/>
    <w:rsid w:val="0B461D38"/>
    <w:rsid w:val="0C146529"/>
    <w:rsid w:val="0C30706F"/>
    <w:rsid w:val="0C8D726E"/>
    <w:rsid w:val="0CA15669"/>
    <w:rsid w:val="0CE05750"/>
    <w:rsid w:val="0CE73BD2"/>
    <w:rsid w:val="0D1077DD"/>
    <w:rsid w:val="0D22265C"/>
    <w:rsid w:val="0D810B68"/>
    <w:rsid w:val="0DA73EF3"/>
    <w:rsid w:val="0E4B1D4D"/>
    <w:rsid w:val="0EA162F1"/>
    <w:rsid w:val="0F4F55B5"/>
    <w:rsid w:val="0F523385"/>
    <w:rsid w:val="0F7811B7"/>
    <w:rsid w:val="10907D14"/>
    <w:rsid w:val="110658A6"/>
    <w:rsid w:val="114A387E"/>
    <w:rsid w:val="116D5A7E"/>
    <w:rsid w:val="11A5684D"/>
    <w:rsid w:val="120E7E09"/>
    <w:rsid w:val="12217B86"/>
    <w:rsid w:val="123D4E07"/>
    <w:rsid w:val="12562AA0"/>
    <w:rsid w:val="12936662"/>
    <w:rsid w:val="148F527B"/>
    <w:rsid w:val="15100288"/>
    <w:rsid w:val="156B7273"/>
    <w:rsid w:val="159B504D"/>
    <w:rsid w:val="15D57E3B"/>
    <w:rsid w:val="16420B24"/>
    <w:rsid w:val="167F40D4"/>
    <w:rsid w:val="169B65A7"/>
    <w:rsid w:val="16CB4F50"/>
    <w:rsid w:val="16FF7CC7"/>
    <w:rsid w:val="17853B61"/>
    <w:rsid w:val="179400D7"/>
    <w:rsid w:val="17CA481C"/>
    <w:rsid w:val="17CB121D"/>
    <w:rsid w:val="183A1C0C"/>
    <w:rsid w:val="199C5B01"/>
    <w:rsid w:val="199E5A21"/>
    <w:rsid w:val="1B942A09"/>
    <w:rsid w:val="1BB61013"/>
    <w:rsid w:val="1BCE272A"/>
    <w:rsid w:val="1BDF7E16"/>
    <w:rsid w:val="1C4C11C0"/>
    <w:rsid w:val="1C515A75"/>
    <w:rsid w:val="1D035455"/>
    <w:rsid w:val="1D1C0494"/>
    <w:rsid w:val="1D2B1804"/>
    <w:rsid w:val="1D2D465B"/>
    <w:rsid w:val="1D504B86"/>
    <w:rsid w:val="1DD526A6"/>
    <w:rsid w:val="1E3950C5"/>
    <w:rsid w:val="1E4808ED"/>
    <w:rsid w:val="1F202AA9"/>
    <w:rsid w:val="1F3C313C"/>
    <w:rsid w:val="1FDF5B79"/>
    <w:rsid w:val="20913CBA"/>
    <w:rsid w:val="20DB5404"/>
    <w:rsid w:val="210118AD"/>
    <w:rsid w:val="22701800"/>
    <w:rsid w:val="250937F2"/>
    <w:rsid w:val="25B12A01"/>
    <w:rsid w:val="27034AD1"/>
    <w:rsid w:val="280C250B"/>
    <w:rsid w:val="28CF69C0"/>
    <w:rsid w:val="28DB23E5"/>
    <w:rsid w:val="28DD6E23"/>
    <w:rsid w:val="293A32D8"/>
    <w:rsid w:val="2A4F0167"/>
    <w:rsid w:val="2A720CEB"/>
    <w:rsid w:val="2A8249EA"/>
    <w:rsid w:val="2ADE7026"/>
    <w:rsid w:val="2B067E60"/>
    <w:rsid w:val="2CDD21EA"/>
    <w:rsid w:val="2D8206C8"/>
    <w:rsid w:val="2E644C2A"/>
    <w:rsid w:val="2EEC40A0"/>
    <w:rsid w:val="2FD74BE1"/>
    <w:rsid w:val="30322AC0"/>
    <w:rsid w:val="306A27D7"/>
    <w:rsid w:val="307410C2"/>
    <w:rsid w:val="308D0856"/>
    <w:rsid w:val="31121EF5"/>
    <w:rsid w:val="31EF7704"/>
    <w:rsid w:val="3315441F"/>
    <w:rsid w:val="33305B83"/>
    <w:rsid w:val="338B6C3E"/>
    <w:rsid w:val="34E56399"/>
    <w:rsid w:val="35AF558A"/>
    <w:rsid w:val="375F2433"/>
    <w:rsid w:val="383B5D48"/>
    <w:rsid w:val="39E14173"/>
    <w:rsid w:val="3A2F650E"/>
    <w:rsid w:val="3A660185"/>
    <w:rsid w:val="3BDD4E74"/>
    <w:rsid w:val="3C7E4EDD"/>
    <w:rsid w:val="3CDE029E"/>
    <w:rsid w:val="3E413EEF"/>
    <w:rsid w:val="3E824310"/>
    <w:rsid w:val="3E895FE7"/>
    <w:rsid w:val="3EB53DB8"/>
    <w:rsid w:val="3F2415CF"/>
    <w:rsid w:val="405C2C22"/>
    <w:rsid w:val="406568BE"/>
    <w:rsid w:val="40896530"/>
    <w:rsid w:val="40B97C69"/>
    <w:rsid w:val="40E813E9"/>
    <w:rsid w:val="41103AB3"/>
    <w:rsid w:val="411A2A57"/>
    <w:rsid w:val="4185067D"/>
    <w:rsid w:val="418A584C"/>
    <w:rsid w:val="419E4861"/>
    <w:rsid w:val="41A2641C"/>
    <w:rsid w:val="426828AB"/>
    <w:rsid w:val="42A11473"/>
    <w:rsid w:val="42D24149"/>
    <w:rsid w:val="42E51F94"/>
    <w:rsid w:val="44502E5B"/>
    <w:rsid w:val="44C558EE"/>
    <w:rsid w:val="45C77963"/>
    <w:rsid w:val="45E17242"/>
    <w:rsid w:val="46CF4FC2"/>
    <w:rsid w:val="46EC288D"/>
    <w:rsid w:val="47B6656B"/>
    <w:rsid w:val="48C170B3"/>
    <w:rsid w:val="49461E07"/>
    <w:rsid w:val="4950607F"/>
    <w:rsid w:val="49574862"/>
    <w:rsid w:val="4A5406A2"/>
    <w:rsid w:val="4AC519F6"/>
    <w:rsid w:val="4B110B90"/>
    <w:rsid w:val="4CD84EEE"/>
    <w:rsid w:val="4D4B1098"/>
    <w:rsid w:val="4D624570"/>
    <w:rsid w:val="4D8C0B39"/>
    <w:rsid w:val="4DB3507E"/>
    <w:rsid w:val="4E444B87"/>
    <w:rsid w:val="4E9958F8"/>
    <w:rsid w:val="50C35389"/>
    <w:rsid w:val="517B5039"/>
    <w:rsid w:val="525C0895"/>
    <w:rsid w:val="53083749"/>
    <w:rsid w:val="5355411C"/>
    <w:rsid w:val="53590226"/>
    <w:rsid w:val="53956558"/>
    <w:rsid w:val="53A44BEF"/>
    <w:rsid w:val="53F50F84"/>
    <w:rsid w:val="54803EF9"/>
    <w:rsid w:val="55FD133D"/>
    <w:rsid w:val="561244DD"/>
    <w:rsid w:val="562B3B54"/>
    <w:rsid w:val="563A27AE"/>
    <w:rsid w:val="56F15429"/>
    <w:rsid w:val="573F362D"/>
    <w:rsid w:val="58B205DA"/>
    <w:rsid w:val="58E62431"/>
    <w:rsid w:val="59562254"/>
    <w:rsid w:val="597F7FA7"/>
    <w:rsid w:val="59E62C29"/>
    <w:rsid w:val="5A791130"/>
    <w:rsid w:val="5AB92201"/>
    <w:rsid w:val="5B847B74"/>
    <w:rsid w:val="5BA12694"/>
    <w:rsid w:val="5CED3FF9"/>
    <w:rsid w:val="5D4476FB"/>
    <w:rsid w:val="5E8B3C4B"/>
    <w:rsid w:val="5ED8763C"/>
    <w:rsid w:val="5F0F4BA2"/>
    <w:rsid w:val="5FC96642"/>
    <w:rsid w:val="60032513"/>
    <w:rsid w:val="601574AE"/>
    <w:rsid w:val="60257F58"/>
    <w:rsid w:val="61250170"/>
    <w:rsid w:val="614B2DC9"/>
    <w:rsid w:val="62111B39"/>
    <w:rsid w:val="62312A9A"/>
    <w:rsid w:val="634925E3"/>
    <w:rsid w:val="64C5395D"/>
    <w:rsid w:val="64C826EA"/>
    <w:rsid w:val="65735661"/>
    <w:rsid w:val="658519A8"/>
    <w:rsid w:val="65924CA9"/>
    <w:rsid w:val="665E5750"/>
    <w:rsid w:val="66BE68EE"/>
    <w:rsid w:val="66C03831"/>
    <w:rsid w:val="66CF6936"/>
    <w:rsid w:val="678877B3"/>
    <w:rsid w:val="67E1648C"/>
    <w:rsid w:val="684844D6"/>
    <w:rsid w:val="6881195A"/>
    <w:rsid w:val="688D19A9"/>
    <w:rsid w:val="68DA5D31"/>
    <w:rsid w:val="68E5013A"/>
    <w:rsid w:val="69A9410F"/>
    <w:rsid w:val="6B100175"/>
    <w:rsid w:val="6B63693E"/>
    <w:rsid w:val="6B76151E"/>
    <w:rsid w:val="6B854B1B"/>
    <w:rsid w:val="6B914CBA"/>
    <w:rsid w:val="6BD12C1C"/>
    <w:rsid w:val="6D0E2679"/>
    <w:rsid w:val="6D184DC4"/>
    <w:rsid w:val="6D4621DE"/>
    <w:rsid w:val="6DB24ECA"/>
    <w:rsid w:val="6DC41DD2"/>
    <w:rsid w:val="6DE55656"/>
    <w:rsid w:val="6E261BA7"/>
    <w:rsid w:val="6E2830B5"/>
    <w:rsid w:val="6E417708"/>
    <w:rsid w:val="6E660432"/>
    <w:rsid w:val="6E681C31"/>
    <w:rsid w:val="6E797BAC"/>
    <w:rsid w:val="6E8D3E82"/>
    <w:rsid w:val="6ED7625C"/>
    <w:rsid w:val="6F135292"/>
    <w:rsid w:val="7021172E"/>
    <w:rsid w:val="70F50EBA"/>
    <w:rsid w:val="71227BBE"/>
    <w:rsid w:val="71266569"/>
    <w:rsid w:val="717C6A58"/>
    <w:rsid w:val="71D60130"/>
    <w:rsid w:val="72C65327"/>
    <w:rsid w:val="73547B51"/>
    <w:rsid w:val="73FA5E27"/>
    <w:rsid w:val="741E4FC3"/>
    <w:rsid w:val="7447637A"/>
    <w:rsid w:val="74C667AB"/>
    <w:rsid w:val="74C876B4"/>
    <w:rsid w:val="753E2971"/>
    <w:rsid w:val="757440A2"/>
    <w:rsid w:val="75F73A2A"/>
    <w:rsid w:val="75FC7405"/>
    <w:rsid w:val="765A3B9A"/>
    <w:rsid w:val="769958F2"/>
    <w:rsid w:val="76E96805"/>
    <w:rsid w:val="770266B0"/>
    <w:rsid w:val="77E577FB"/>
    <w:rsid w:val="784576F8"/>
    <w:rsid w:val="78767A5E"/>
    <w:rsid w:val="793D0B51"/>
    <w:rsid w:val="795A671E"/>
    <w:rsid w:val="79BC0CE2"/>
    <w:rsid w:val="7B471C92"/>
    <w:rsid w:val="7C8A15D3"/>
    <w:rsid w:val="7CFE3D1B"/>
    <w:rsid w:val="7DB027AB"/>
    <w:rsid w:val="7DEB27D3"/>
    <w:rsid w:val="7E150331"/>
    <w:rsid w:val="7E6D727C"/>
    <w:rsid w:val="7E816BC7"/>
    <w:rsid w:val="7EF402AF"/>
    <w:rsid w:val="7EFC5B0D"/>
    <w:rsid w:val="7F2E3DC9"/>
    <w:rsid w:val="7F9FFB43"/>
    <w:rsid w:val="7FD85EAB"/>
    <w:rsid w:val="7FF0375A"/>
    <w:rsid w:val="7FF931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9"/>
    <w:pPr>
      <w:spacing w:before="260" w:after="260" w:line="240" w:lineRule="auto"/>
      <w:outlineLvl w:val="2"/>
    </w:pPr>
    <w:rPr>
      <w:rFonts w:ascii="宋体" w:hAnsi="宋体" w:eastAsia="宋体"/>
      <w:szCs w:val="32"/>
    </w:rPr>
  </w:style>
  <w:style w:type="paragraph" w:styleId="4">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10">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81"/>
    <w:qFormat/>
    <w:uiPriority w:val="0"/>
    <w:pPr>
      <w:keepNext/>
      <w:keepLines/>
      <w:spacing w:before="240" w:after="64" w:line="320" w:lineRule="auto"/>
      <w:outlineLvl w:val="6"/>
    </w:pPr>
    <w:rPr>
      <w:b/>
      <w:sz w:val="24"/>
      <w:szCs w:val="20"/>
    </w:rPr>
  </w:style>
  <w:style w:type="paragraph" w:styleId="12">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4"/>
    <w:qFormat/>
    <w:uiPriority w:val="0"/>
    <w:pPr>
      <w:ind w:firstLine="420"/>
    </w:pPr>
    <w:rPr>
      <w:szCs w:val="20"/>
    </w:rPr>
  </w:style>
  <w:style w:type="paragraph" w:styleId="8">
    <w:name w:val="Body Text"/>
    <w:basedOn w:val="1"/>
    <w:next w:val="9"/>
    <w:link w:val="89"/>
    <w:qFormat/>
    <w:uiPriority w:val="0"/>
    <w:pPr>
      <w:spacing w:line="360" w:lineRule="auto"/>
    </w:pPr>
    <w:rPr>
      <w:b/>
      <w:bCs/>
      <w:sz w:val="24"/>
    </w:rPr>
  </w:style>
  <w:style w:type="paragraph" w:styleId="9">
    <w:name w:val="Title"/>
    <w:basedOn w:val="1"/>
    <w:next w:val="1"/>
    <w:link w:val="84"/>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3"/>
    <w:qFormat/>
    <w:uiPriority w:val="0"/>
    <w:pPr>
      <w:spacing w:line="360" w:lineRule="auto"/>
    </w:pPr>
    <w:rPr>
      <w:sz w:val="24"/>
    </w:rPr>
  </w:style>
  <w:style w:type="paragraph" w:styleId="37">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7"/>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8"/>
    <w:link w:val="127"/>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4"/>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9"/>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10"/>
    <w:qFormat/>
    <w:uiPriority w:val="0"/>
    <w:rPr>
      <w:rFonts w:ascii="Arial" w:hAnsi="Arial" w:eastAsia="黑体"/>
      <w:b/>
      <w:kern w:val="2"/>
      <w:sz w:val="24"/>
      <w:lang w:val="en-US" w:eastAsia="zh-CN" w:bidi="ar-SA"/>
    </w:rPr>
  </w:style>
  <w:style w:type="character" w:customStyle="1" w:styleId="81">
    <w:name w:val="标题 7 Char"/>
    <w:link w:val="11"/>
    <w:qFormat/>
    <w:uiPriority w:val="0"/>
    <w:rPr>
      <w:rFonts w:eastAsia="宋体"/>
      <w:b/>
      <w:kern w:val="2"/>
      <w:sz w:val="24"/>
      <w:lang w:val="en-US" w:eastAsia="zh-CN" w:bidi="ar-SA"/>
    </w:rPr>
  </w:style>
  <w:style w:type="character" w:customStyle="1" w:styleId="82">
    <w:name w:val="标题 8 Char"/>
    <w:link w:val="12"/>
    <w:qFormat/>
    <w:uiPriority w:val="0"/>
    <w:rPr>
      <w:rFonts w:ascii="Arial" w:hAnsi="Arial" w:eastAsia="黑体"/>
      <w:kern w:val="2"/>
      <w:sz w:val="24"/>
      <w:lang w:val="en-US" w:eastAsia="zh-CN" w:bidi="ar-SA"/>
    </w:rPr>
  </w:style>
  <w:style w:type="character" w:customStyle="1" w:styleId="83">
    <w:name w:val="标题 9 Char"/>
    <w:link w:val="13"/>
    <w:qFormat/>
    <w:uiPriority w:val="0"/>
    <w:rPr>
      <w:rFonts w:ascii="Arial" w:hAnsi="Arial" w:eastAsia="黑体"/>
      <w:kern w:val="2"/>
      <w:sz w:val="21"/>
      <w:lang w:val="en-US" w:eastAsia="zh-CN" w:bidi="ar-SA"/>
    </w:rPr>
  </w:style>
  <w:style w:type="character" w:customStyle="1" w:styleId="84">
    <w:name w:val="标题 Char"/>
    <w:link w:val="9"/>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7"/>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8"/>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36"/>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9"/>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9"/>
    <w:qFormat/>
    <w:uiPriority w:val="0"/>
    <w:pPr>
      <w:spacing w:before="120" w:after="120"/>
    </w:pPr>
    <w:rPr>
      <w:rFonts w:eastAsia="黑体"/>
      <w:b w:val="0"/>
      <w:sz w:val="30"/>
      <w:szCs w:val="21"/>
    </w:rPr>
  </w:style>
  <w:style w:type="paragraph" w:customStyle="1" w:styleId="98">
    <w:name w:val="样式2"/>
    <w:basedOn w:val="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8"/>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8"/>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3">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5">
    <w:name w:val="Table Paragraph"/>
    <w:basedOn w:val="1"/>
    <w:qFormat/>
    <w:uiPriority w:val="1"/>
    <w:pPr>
      <w:autoSpaceDE w:val="0"/>
      <w:autoSpaceDN w:val="0"/>
      <w:adjustRightInd w:val="0"/>
      <w:jc w:val="left"/>
    </w:pPr>
    <w:rPr>
      <w:rFonts w:ascii="宋体" w:hAnsi="Calibri" w:eastAsia="宋体" w:cs="宋体"/>
      <w:kern w:val="0"/>
      <w:sz w:val="24"/>
      <w:szCs w:val="22"/>
    </w:rPr>
  </w:style>
  <w:style w:type="table" w:customStyle="1" w:styleId="196">
    <w:name w:val="Table Normal_0"/>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12746</Words>
  <Characters>13633</Characters>
  <Lines>340</Lines>
  <Paragraphs>95</Paragraphs>
  <TotalTime>0</TotalTime>
  <ScaleCrop>false</ScaleCrop>
  <LinksUpToDate>false</LinksUpToDate>
  <CharactersWithSpaces>13719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zjf</cp:lastModifiedBy>
  <cp:lastPrinted>2021-05-09T16:02:00Z</cp:lastPrinted>
  <dcterms:modified xsi:type="dcterms:W3CDTF">2025-06-03T09:31:30Z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1AE3519C50A81E7929B2A66730A5FEE7_43</vt:lpwstr>
  </property>
  <property fmtid="{D5CDD505-2E9C-101B-9397-08002B2CF9AE}" pid="4" name="KSOTemplateDocerSaveRecord">
    <vt:lpwstr>eyJoZGlkIjoiNjBmYTA2MzdjNzI4ZjVjYTRkMjI2NTliMDY5ZmU0ODciLCJ1c2VySWQiOiIzMTIxNjg0MjMifQ==</vt:lpwstr>
  </property>
</Properties>
</file>