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66DA5"/>
    <w:p w14:paraId="60B8DC29"/>
    <w:p w14:paraId="26A86886"/>
    <w:p w14:paraId="3B9ED79E">
      <w:pPr>
        <w:ind w:firstLine="3654" w:firstLineChars="1300"/>
        <w:rPr>
          <w:rFonts w:ascii="宋体" w:hAnsi="宋体"/>
          <w:color w:val="FF0000"/>
          <w:szCs w:val="21"/>
        </w:rPr>
      </w:pPr>
      <w:r>
        <w:rPr>
          <w:rFonts w:hint="eastAsia" w:ascii="宋体" w:hAnsi="宋体" w:eastAsia="黑体"/>
          <w:b/>
          <w:bCs/>
          <w:color w:val="FF0000"/>
          <w:kern w:val="44"/>
          <w:sz w:val="28"/>
          <w:szCs w:val="44"/>
        </w:rPr>
        <w:t>特别警示条款</w:t>
      </w:r>
    </w:p>
    <w:p w14:paraId="190B03A7">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2175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77AF0248">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79ECE7FE">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14:paraId="5AA3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5585B6BD">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2A8C9BC0">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2E87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1051BC04">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1AF0E35F">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434F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1529C2DC">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4A3ECC7A">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31CB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27563B19">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17DE641A">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35E6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4240456E">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77C87490">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515E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47171B71">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41407EF9">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5CA9806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p>
    <w:p w14:paraId="5DDC09E1">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A293435">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0E1294E6">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74F95FC4">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74CC4010">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1DCBE807">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40D7B02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65219C8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5CB73A56">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29D4EBBB">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49ADDCE9">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7942C90">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44E2F98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4A719EE4">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3F430D6D">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18E46ABA">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2EBEAED4">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279C12A">
      <w:pPr>
        <w:rPr>
          <w:rFonts w:ascii="Calibri" w:hAnsi="Calibri"/>
          <w:szCs w:val="22"/>
        </w:rPr>
      </w:pPr>
    </w:p>
    <w:p w14:paraId="2C71A2A0">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2F9BDFDA">
      <w:pPr>
        <w:ind w:firstLine="400" w:firstLineChars="200"/>
        <w:rPr>
          <w:rFonts w:ascii="宋体" w:hAnsi="宋体"/>
          <w:color w:val="FF0000"/>
          <w:sz w:val="20"/>
          <w:szCs w:val="20"/>
        </w:rPr>
        <w:sectPr>
          <w:pgSz w:w="12240" w:h="15840"/>
          <w:pgMar w:top="1440" w:right="1800" w:bottom="1440" w:left="1800" w:header="720" w:footer="720" w:gutter="0"/>
          <w:cols w:space="720" w:num="1"/>
        </w:sectPr>
      </w:pPr>
    </w:p>
    <w:p w14:paraId="7A15F652">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2723"/>
        <w:gridCol w:w="5220"/>
      </w:tblGrid>
      <w:tr w14:paraId="63131C8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2ADBCB5">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5FF8C8D3">
            <w:pPr>
              <w:widowControl/>
              <w:jc w:val="left"/>
              <w:rPr>
                <w:sz w:val="30"/>
                <w:szCs w:val="30"/>
              </w:rPr>
            </w:pPr>
            <w:r>
              <w:rPr>
                <w:rFonts w:hint="eastAsia"/>
                <w:sz w:val="30"/>
                <w:szCs w:val="30"/>
              </w:rPr>
              <w:t>YTZXCG-2025-00039</w:t>
            </w:r>
          </w:p>
        </w:tc>
      </w:tr>
      <w:tr w14:paraId="10EC8A6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35FA8EC">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6589F3ED">
            <w:pPr>
              <w:widowControl/>
              <w:jc w:val="left"/>
              <w:rPr>
                <w:sz w:val="30"/>
                <w:szCs w:val="30"/>
              </w:rPr>
            </w:pPr>
            <w:r>
              <w:rPr>
                <w:rFonts w:hint="eastAsia"/>
                <w:sz w:val="30"/>
                <w:szCs w:val="30"/>
              </w:rPr>
              <w:t>深圳市盐田区区属学校（幼儿园）大宗食材补充采购</w:t>
            </w:r>
          </w:p>
        </w:tc>
      </w:tr>
      <w:tr w14:paraId="4205E5A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CFCF972">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1C1779D7">
            <w:pPr>
              <w:widowControl/>
              <w:jc w:val="left"/>
              <w:rPr>
                <w:sz w:val="30"/>
                <w:szCs w:val="30"/>
              </w:rPr>
            </w:pPr>
            <w:r>
              <w:rPr>
                <w:rFonts w:ascii="宋体" w:hAnsi="宋体" w:cs="宋体"/>
                <w:kern w:val="0"/>
                <w:sz w:val="30"/>
                <w:szCs w:val="30"/>
                <w:lang w:bidi="ar"/>
              </w:rPr>
              <w:t>A</w:t>
            </w:r>
          </w:p>
        </w:tc>
      </w:tr>
      <w:tr w14:paraId="53E6A7F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993B416">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25B40814">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72AEA2E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16773E5">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51DCC56F">
            <w:pPr>
              <w:widowControl/>
              <w:jc w:val="left"/>
              <w:rPr>
                <w:sz w:val="30"/>
                <w:szCs w:val="30"/>
              </w:rPr>
            </w:pPr>
            <w:r>
              <w:rPr>
                <w:rFonts w:ascii="宋体" w:hAnsi="宋体" w:cs="宋体"/>
                <w:kern w:val="0"/>
                <w:sz w:val="30"/>
                <w:szCs w:val="30"/>
                <w:lang w:bidi="ar"/>
              </w:rPr>
              <w:t>公开招标</w:t>
            </w:r>
          </w:p>
        </w:tc>
      </w:tr>
      <w:tr w14:paraId="602FE32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E32D1A1">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53C1A6CA">
            <w:pPr>
              <w:widowControl/>
              <w:jc w:val="left"/>
              <w:rPr>
                <w:sz w:val="30"/>
                <w:szCs w:val="30"/>
              </w:rPr>
            </w:pPr>
            <w:r>
              <w:rPr>
                <w:rFonts w:ascii="宋体" w:hAnsi="宋体" w:cs="宋体"/>
                <w:kern w:val="0"/>
                <w:sz w:val="30"/>
                <w:szCs w:val="30"/>
                <w:lang w:bidi="ar"/>
              </w:rPr>
              <w:t>人民币</w:t>
            </w:r>
          </w:p>
        </w:tc>
      </w:tr>
      <w:tr w14:paraId="549D1EC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81F40BD">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2CBCA90E">
            <w:pPr>
              <w:widowControl/>
              <w:jc w:val="left"/>
              <w:rPr>
                <w:sz w:val="30"/>
                <w:szCs w:val="30"/>
              </w:rPr>
            </w:pPr>
            <w:r>
              <w:rPr>
                <w:rFonts w:ascii="宋体" w:hAnsi="宋体" w:cs="宋体"/>
                <w:kern w:val="0"/>
                <w:sz w:val="30"/>
                <w:szCs w:val="30"/>
                <w:lang w:bidi="ar"/>
              </w:rPr>
              <w:t>综合评分法</w:t>
            </w:r>
          </w:p>
        </w:tc>
      </w:tr>
    </w:tbl>
    <w:p w14:paraId="0B3DD859"/>
    <w:p w14:paraId="3700420C">
      <w:pPr>
        <w:pStyle w:val="37"/>
        <w:jc w:val="center"/>
        <w:outlineLvl w:val="1"/>
        <w:rPr>
          <w:rFonts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3F3D53F1">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1FEEE4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D3FC60C">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91A6788">
            <w:pPr>
              <w:jc w:val="center"/>
              <w:rPr>
                <w:rFonts w:ascii="宋体" w:hAnsi="宋体" w:cs="宋体"/>
                <w:sz w:val="28"/>
                <w:szCs w:val="28"/>
              </w:rPr>
            </w:pPr>
            <w:r>
              <w:rPr>
                <w:sz w:val="28"/>
                <w:szCs w:val="28"/>
              </w:rPr>
              <w:t>内容</w:t>
            </w:r>
          </w:p>
        </w:tc>
      </w:tr>
      <w:tr w14:paraId="5CF8A8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04FEC12">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4D467BAC">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17D8C9DF">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0D4299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3EBFB70">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6D43AEA">
            <w:pPr>
              <w:jc w:val="center"/>
              <w:rPr>
                <w:rFonts w:ascii="宋体" w:hAnsi="宋体" w:cs="宋体"/>
                <w:sz w:val="28"/>
                <w:szCs w:val="28"/>
              </w:rPr>
            </w:pPr>
            <w:r>
              <w:rPr>
                <w:sz w:val="28"/>
                <w:szCs w:val="28"/>
              </w:rPr>
              <w:t>内容</w:t>
            </w:r>
          </w:p>
        </w:tc>
      </w:tr>
      <w:tr w14:paraId="1B3AA3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393ACA0">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4D42F033">
            <w:pPr>
              <w:rPr>
                <w:rFonts w:ascii="宋体" w:hAnsi="宋体" w:cs="宋体"/>
                <w:szCs w:val="21"/>
              </w:rPr>
            </w:pPr>
            <w:r>
              <w:rPr>
                <w:rFonts w:hint="eastAsia"/>
              </w:rPr>
              <w:t>不得将一个包的内容拆开投标；</w:t>
            </w:r>
          </w:p>
        </w:tc>
      </w:tr>
      <w:tr w14:paraId="37209A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4B6CF99">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2D64050E">
            <w:pPr>
              <w:rPr>
                <w:rFonts w:ascii="宋体" w:hAnsi="宋体" w:cs="宋体"/>
                <w:szCs w:val="21"/>
              </w:rPr>
            </w:pPr>
            <w:r>
              <w:rPr>
                <w:rFonts w:hint="eastAsia"/>
              </w:rPr>
              <w:t>对同一项目投标时，不得提供两套以上的投标方案（招标文件另有规定的除外）；</w:t>
            </w:r>
          </w:p>
        </w:tc>
      </w:tr>
      <w:tr w14:paraId="4BFCB2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258201E">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562B9F4B">
            <w:pPr>
              <w:rPr>
                <w:rFonts w:ascii="宋体" w:hAnsi="宋体" w:cs="宋体"/>
                <w:szCs w:val="21"/>
              </w:rPr>
            </w:pPr>
            <w:r>
              <w:rPr>
                <w:rFonts w:hint="eastAsia" w:ascii="宋体" w:hAnsi="宋体" w:cs="宋体"/>
                <w:szCs w:val="21"/>
              </w:rPr>
              <w:t>投标人填报的折扣率不满足“0＜折扣率≤1”公式要求，或折扣率缺填、漏填，或填报了两个或以上折扣率”；</w:t>
            </w:r>
          </w:p>
        </w:tc>
      </w:tr>
      <w:tr w14:paraId="07A49D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9650F7C">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653C90D4">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216B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034752A">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38F09FDB">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20BB4C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A8FBAAF">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695E31E1">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5B1A3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0A4045D">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198BFD7C">
            <w:pPr>
              <w:rPr>
                <w:rFonts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5D753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9F7E7D5">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2FAF71BF">
            <w:pPr>
              <w:rPr>
                <w:rFonts w:ascii="宋体" w:hAnsi="宋体" w:cs="宋体"/>
                <w:szCs w:val="21"/>
              </w:rPr>
            </w:pPr>
            <w:r>
              <w:rPr>
                <w:rFonts w:hint="eastAsia"/>
              </w:rPr>
              <w:t>投标文件存在列放位置错误，导致属于信息公开情形的没有被公开；</w:t>
            </w:r>
          </w:p>
        </w:tc>
      </w:tr>
      <w:tr w14:paraId="2E294D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15A7110">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3D907D5D">
            <w:pPr>
              <w:rPr>
                <w:rFonts w:ascii="宋体" w:hAnsi="宋体" w:cs="宋体"/>
                <w:szCs w:val="21"/>
              </w:rPr>
            </w:pPr>
            <w:r>
              <w:rPr>
                <w:rFonts w:hint="eastAsia"/>
              </w:rPr>
              <w:t>投标文件电子文档不得带病毒；</w:t>
            </w:r>
          </w:p>
        </w:tc>
      </w:tr>
      <w:tr w14:paraId="6B98B5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9F163DF">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7BB12619">
            <w:pPr>
              <w:rPr>
                <w:rFonts w:ascii="宋体" w:hAnsi="宋体" w:cs="宋体"/>
                <w:szCs w:val="21"/>
              </w:rPr>
            </w:pPr>
            <w:r>
              <w:rPr>
                <w:rFonts w:hint="eastAsia"/>
              </w:rPr>
              <w:t>投标文件用不属于本公司的电子密钥或电子营业执照进行加密的；</w:t>
            </w:r>
          </w:p>
        </w:tc>
      </w:tr>
      <w:tr w14:paraId="50157A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71F2777">
            <w:pPr>
              <w:widowControl/>
              <w:jc w:val="center"/>
              <w:textAlignment w:val="top"/>
              <w:rPr>
                <w:rFonts w:ascii="宋体" w:hAnsi="宋体" w:cs="宋体"/>
                <w:szCs w:val="21"/>
              </w:rPr>
            </w:pPr>
            <w:r>
              <w:rPr>
                <w:rFonts w:hint="eastAsia"/>
              </w:rPr>
              <w:t>11</w:t>
            </w:r>
          </w:p>
        </w:tc>
        <w:tc>
          <w:tcPr>
            <w:tcW w:w="8278" w:type="dxa"/>
            <w:tcBorders>
              <w:top w:val="single" w:color="000000" w:sz="8" w:space="0"/>
              <w:left w:val="single" w:color="000000" w:sz="8" w:space="0"/>
              <w:bottom w:val="single" w:color="000000" w:sz="8" w:space="0"/>
              <w:right w:val="single" w:color="000000" w:sz="8" w:space="0"/>
            </w:tcBorders>
          </w:tcPr>
          <w:p w14:paraId="26FAAFD4">
            <w:pPr>
              <w:widowControl/>
              <w:jc w:val="left"/>
              <w:textAlignment w:val="top"/>
            </w:pPr>
            <w:r>
              <w:rPr>
                <w:rFonts w:hint="eastAsia"/>
              </w:rPr>
              <w:t>不同投标供应商投标文件“文件制作机器码”一致；</w:t>
            </w:r>
          </w:p>
        </w:tc>
      </w:tr>
      <w:tr w14:paraId="058F64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F0F127F">
            <w:pPr>
              <w:widowControl/>
              <w:jc w:val="center"/>
              <w:textAlignment w:val="top"/>
              <w:rPr>
                <w:rFonts w:ascii="宋体" w:hAnsi="宋体" w:cs="宋体"/>
                <w:szCs w:val="21"/>
              </w:rPr>
            </w:pPr>
            <w:r>
              <w:rPr>
                <w:rFonts w:hint="eastAsia"/>
              </w:rPr>
              <w:t>12</w:t>
            </w:r>
          </w:p>
        </w:tc>
        <w:tc>
          <w:tcPr>
            <w:tcW w:w="8278" w:type="dxa"/>
            <w:tcBorders>
              <w:top w:val="single" w:color="000000" w:sz="8" w:space="0"/>
              <w:left w:val="single" w:color="000000" w:sz="8" w:space="0"/>
              <w:bottom w:val="single" w:color="000000" w:sz="8" w:space="0"/>
              <w:right w:val="single" w:color="000000" w:sz="8" w:space="0"/>
            </w:tcBorders>
          </w:tcPr>
          <w:p w14:paraId="1B21D809">
            <w:pPr>
              <w:widowControl/>
              <w:jc w:val="left"/>
              <w:textAlignment w:val="top"/>
            </w:pPr>
            <w:r>
              <w:rPr>
                <w:rFonts w:hint="eastAsia"/>
              </w:rPr>
              <w:t>不同投标供应商投标文件“文件创建标识码”一致；</w:t>
            </w:r>
          </w:p>
        </w:tc>
      </w:tr>
      <w:tr w14:paraId="0792D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9635541">
            <w:pPr>
              <w:jc w:val="center"/>
              <w:rPr>
                <w:rFonts w:ascii="宋体" w:hAnsi="宋体" w:cs="宋体"/>
                <w:szCs w:val="21"/>
              </w:rPr>
            </w:pPr>
            <w:r>
              <w:rPr>
                <w:szCs w:val="21"/>
              </w:rPr>
              <w:t>1</w:t>
            </w:r>
            <w:r>
              <w:rPr>
                <w:rFonts w:hint="eastAsia"/>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462ED062">
            <w:pPr>
              <w:rPr>
                <w:rFonts w:ascii="宋体" w:hAnsi="宋体" w:cs="宋体"/>
                <w:szCs w:val="21"/>
              </w:rPr>
            </w:pPr>
            <w:r>
              <w:rPr>
                <w:rFonts w:hint="eastAsia"/>
              </w:rPr>
              <w:t>法律、法规、规章、规范性文件规定的其他情形。</w:t>
            </w:r>
          </w:p>
        </w:tc>
      </w:tr>
    </w:tbl>
    <w:p w14:paraId="0B805345"/>
    <w:p w14:paraId="52656727">
      <w:pPr>
        <w:pStyle w:val="37"/>
        <w:jc w:val="center"/>
        <w:outlineLvl w:val="1"/>
        <w:rPr>
          <w:rFonts w:ascii="黑体" w:hAnsi="黑体" w:eastAsia="黑体"/>
          <w:sz w:val="40"/>
          <w:szCs w:val="40"/>
        </w:rPr>
        <w:sectPr>
          <w:pgSz w:w="11907" w:h="16840"/>
          <w:pgMar w:top="1440" w:right="1417" w:bottom="1440" w:left="1417" w:header="851" w:footer="992" w:gutter="0"/>
          <w:cols w:space="425" w:num="1"/>
          <w:titlePg/>
          <w:docGrid w:linePitch="462" w:charSpace="0"/>
        </w:sectPr>
      </w:pPr>
    </w:p>
    <w:p w14:paraId="34A6658F">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6247D6E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0803A85D">
            <w:pPr>
              <w:widowControl/>
              <w:jc w:val="left"/>
              <w:rPr>
                <w:b/>
                <w:bCs/>
                <w:sz w:val="24"/>
              </w:rPr>
            </w:pPr>
            <w:r>
              <w:rPr>
                <w:b/>
                <w:bCs/>
              </w:rPr>
              <w:t>评标方法：综合评分法</w:t>
            </w:r>
          </w:p>
        </w:tc>
        <w:tc>
          <w:tcPr>
            <w:tcW w:w="240" w:type="dxa"/>
            <w:shd w:val="clear" w:color="auto" w:fill="auto"/>
            <w:vAlign w:val="center"/>
          </w:tcPr>
          <w:p w14:paraId="1CB398E2">
            <w:pPr>
              <w:jc w:val="right"/>
              <w:rPr>
                <w:rFonts w:ascii="宋体"/>
                <w:b/>
                <w:bCs/>
                <w:sz w:val="24"/>
              </w:rPr>
            </w:pPr>
          </w:p>
        </w:tc>
      </w:tr>
      <w:tr w14:paraId="60079B2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097F904E">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p>
          <w:p w14:paraId="26CC3AEC">
            <w:pPr>
              <w:ind w:firstLine="420"/>
              <w:rPr>
                <w:szCs w:val="21"/>
              </w:rPr>
            </w:pPr>
            <w:r>
              <w:rPr>
                <w:szCs w:val="21"/>
              </w:rPr>
              <w:t>价格分计算方法：</w:t>
            </w:r>
          </w:p>
          <w:p w14:paraId="621C14AF">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007025DA">
            <w:pPr>
              <w:widowControl/>
              <w:ind w:left="420"/>
              <w:jc w:val="left"/>
              <w:rPr>
                <w:szCs w:val="21"/>
              </w:rPr>
            </w:pPr>
            <w:r>
              <w:rPr>
                <w:szCs w:val="21"/>
              </w:rPr>
              <w:t xml:space="preserve">投标报价得分=(评标基准价／投标报价)×100 </w:t>
            </w:r>
          </w:p>
          <w:p w14:paraId="0A1502C8">
            <w:pPr>
              <w:widowControl/>
              <w:ind w:left="420"/>
              <w:jc w:val="left"/>
              <w:rPr>
                <w:szCs w:val="21"/>
              </w:rPr>
            </w:pPr>
            <w:r>
              <w:rPr>
                <w:szCs w:val="21"/>
              </w:rPr>
              <w:t xml:space="preserve">评标总得分＝F1×A1＋F2×A2＋……＋Fn×An </w:t>
            </w:r>
          </w:p>
          <w:p w14:paraId="13CCA908">
            <w:pPr>
              <w:widowControl/>
              <w:ind w:left="420"/>
              <w:jc w:val="left"/>
              <w:rPr>
                <w:szCs w:val="21"/>
              </w:rPr>
            </w:pPr>
            <w:r>
              <w:rPr>
                <w:szCs w:val="21"/>
              </w:rPr>
              <w:t xml:space="preserve">F1、F2……Fn分别为各项评审因素的得分； </w:t>
            </w:r>
          </w:p>
          <w:p w14:paraId="4AD724AC">
            <w:pPr>
              <w:widowControl/>
              <w:ind w:left="420"/>
              <w:jc w:val="left"/>
              <w:rPr>
                <w:szCs w:val="21"/>
              </w:rPr>
            </w:pPr>
            <w:r>
              <w:rPr>
                <w:szCs w:val="21"/>
              </w:rPr>
              <w:t xml:space="preserve">A1、A2、……An 分别为各项评审因素所占的权重(A1＋A2＋……＋An＝1)。 </w:t>
            </w:r>
          </w:p>
          <w:p w14:paraId="5969878D">
            <w:pPr>
              <w:widowControl/>
              <w:ind w:left="420"/>
              <w:jc w:val="left"/>
              <w:rPr>
                <w:szCs w:val="21"/>
              </w:rPr>
            </w:pPr>
            <w:r>
              <w:rPr>
                <w:szCs w:val="21"/>
              </w:rPr>
              <w:t>评标过程中，不得去掉报价中的最高报价和最低报价。</w:t>
            </w:r>
          </w:p>
          <w:p w14:paraId="01DDC193">
            <w:pPr>
              <w:widowControl/>
              <w:ind w:left="420"/>
              <w:jc w:val="left"/>
              <w:rPr>
                <w:szCs w:val="21"/>
              </w:rPr>
            </w:pPr>
            <w:r>
              <w:rPr>
                <w:rFonts w:hint="eastAsia"/>
                <w:szCs w:val="21"/>
              </w:rPr>
              <w:t>因落实政府采购政策进行价格调整的，以调整后的价格计算评标基准价和投标报价。</w:t>
            </w:r>
          </w:p>
          <w:p w14:paraId="26DE8F1D">
            <w:pPr>
              <w:ind w:firstLine="422" w:firstLineChars="200"/>
              <w:rPr>
                <w:rFonts w:asciiTheme="minorHAnsi" w:hAnsiTheme="minorHAnsi" w:eastAsiaTheme="minorEastAsia" w:cstheme="minorBidi"/>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tc>
      </w:tr>
    </w:tbl>
    <w:p w14:paraId="56D88F6F">
      <w:pPr>
        <w:rPr>
          <w:vanish/>
        </w:rPr>
      </w:pPr>
    </w:p>
    <w:tbl>
      <w:tblPr>
        <w:tblStyle w:val="42"/>
        <w:tblW w:w="907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14:paraId="0D9CB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B9BFF5B">
            <w:pPr>
              <w:jc w:val="center"/>
              <w:rPr>
                <w:rFonts w:ascii="宋体" w:hAnsi="宋体"/>
                <w:b/>
                <w:bCs/>
                <w:sz w:val="24"/>
              </w:rPr>
            </w:pPr>
            <w:r>
              <w:rPr>
                <w:rFonts w:ascii="宋体" w:hAnsi="宋体"/>
                <w:b/>
                <w:bCs/>
              </w:rPr>
              <w:t>序号</w:t>
            </w:r>
          </w:p>
        </w:tc>
        <w:tc>
          <w:tcPr>
            <w:tcW w:w="4196" w:type="dxa"/>
            <w:gridSpan w:val="3"/>
            <w:tcBorders>
              <w:top w:val="single" w:color="000000" w:sz="8" w:space="0"/>
              <w:left w:val="nil"/>
              <w:bottom w:val="single" w:color="000000" w:sz="8" w:space="0"/>
              <w:right w:val="single" w:color="000000" w:sz="8" w:space="0"/>
            </w:tcBorders>
            <w:shd w:val="clear" w:color="auto" w:fill="E6EFFA"/>
            <w:vAlign w:val="center"/>
          </w:tcPr>
          <w:p w14:paraId="509106C2">
            <w:pPr>
              <w:wordWrap w:val="0"/>
              <w:jc w:val="center"/>
              <w:rPr>
                <w:rFonts w:ascii="宋体" w:hAnsi="宋体"/>
                <w:b/>
                <w:bCs/>
                <w:sz w:val="24"/>
              </w:rPr>
            </w:pPr>
            <w:r>
              <w:rPr>
                <w:rFonts w:ascii="宋体" w:hAnsi="宋体"/>
                <w:b/>
                <w:bCs/>
              </w:rPr>
              <w:t>评分项</w:t>
            </w:r>
          </w:p>
        </w:tc>
        <w:tc>
          <w:tcPr>
            <w:tcW w:w="4196" w:type="dxa"/>
            <w:tcBorders>
              <w:top w:val="single" w:color="000000" w:sz="8" w:space="0"/>
              <w:left w:val="nil"/>
              <w:bottom w:val="single" w:color="000000" w:sz="8" w:space="0"/>
              <w:right w:val="single" w:color="000000" w:sz="8" w:space="0"/>
            </w:tcBorders>
            <w:shd w:val="clear" w:color="auto" w:fill="E6EFFA"/>
            <w:vAlign w:val="center"/>
          </w:tcPr>
          <w:p w14:paraId="698E7CEB">
            <w:pPr>
              <w:wordWrap w:val="0"/>
              <w:jc w:val="center"/>
              <w:rPr>
                <w:rFonts w:ascii="宋体" w:hAnsi="宋体"/>
                <w:b/>
                <w:bCs/>
                <w:sz w:val="24"/>
              </w:rPr>
            </w:pPr>
            <w:r>
              <w:rPr>
                <w:rFonts w:ascii="宋体" w:hAnsi="宋体"/>
                <w:b/>
                <w:bCs/>
              </w:rPr>
              <w:t>权重</w:t>
            </w:r>
            <w:r>
              <w:rPr>
                <w:b/>
                <w:bCs/>
              </w:rPr>
              <w:t>(%)</w:t>
            </w:r>
          </w:p>
        </w:tc>
      </w:tr>
      <w:tr w14:paraId="12A743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nil"/>
              <w:left w:val="single" w:color="000000" w:sz="8" w:space="0"/>
              <w:bottom w:val="single" w:color="000000" w:sz="8" w:space="0"/>
              <w:right w:val="single" w:color="000000" w:sz="8" w:space="0"/>
            </w:tcBorders>
          </w:tcPr>
          <w:p w14:paraId="589FCD0B">
            <w:pPr>
              <w:wordWrap w:val="0"/>
              <w:jc w:val="center"/>
              <w:rPr>
                <w:rFonts w:ascii="宋体" w:hAnsi="宋体"/>
                <w:b/>
                <w:bCs/>
                <w:color w:val="0000FF"/>
                <w:sz w:val="24"/>
              </w:rPr>
            </w:pPr>
            <w:r>
              <w:rPr>
                <w:b/>
                <w:bCs/>
                <w:color w:val="0000FF"/>
              </w:rPr>
              <w:t>1</w:t>
            </w:r>
          </w:p>
        </w:tc>
        <w:tc>
          <w:tcPr>
            <w:tcW w:w="4196" w:type="dxa"/>
            <w:gridSpan w:val="3"/>
            <w:tcBorders>
              <w:top w:val="single" w:color="000000" w:sz="8" w:space="0"/>
              <w:left w:val="nil"/>
              <w:bottom w:val="single" w:color="000000" w:sz="8" w:space="0"/>
              <w:right w:val="single" w:color="000000" w:sz="8" w:space="0"/>
            </w:tcBorders>
          </w:tcPr>
          <w:p w14:paraId="16F09008">
            <w:pPr>
              <w:wordWrap w:val="0"/>
              <w:jc w:val="center"/>
              <w:rPr>
                <w:rFonts w:ascii="宋体" w:hAnsi="宋体"/>
                <w:b/>
                <w:bCs/>
                <w:color w:val="0000FF"/>
                <w:sz w:val="24"/>
              </w:rPr>
            </w:pPr>
            <w:r>
              <w:rPr>
                <w:rFonts w:ascii="宋体" w:hAnsi="宋体"/>
                <w:b/>
                <w:bCs/>
                <w:color w:val="0000FF"/>
              </w:rPr>
              <w:t>价格</w:t>
            </w:r>
          </w:p>
        </w:tc>
        <w:tc>
          <w:tcPr>
            <w:tcW w:w="4196" w:type="dxa"/>
            <w:tcBorders>
              <w:top w:val="single" w:color="000000" w:sz="8" w:space="0"/>
              <w:left w:val="nil"/>
              <w:bottom w:val="single" w:color="000000" w:sz="8" w:space="0"/>
              <w:right w:val="single" w:color="000000" w:sz="8" w:space="0"/>
            </w:tcBorders>
          </w:tcPr>
          <w:p w14:paraId="7BF3F911">
            <w:pPr>
              <w:wordWrap w:val="0"/>
              <w:jc w:val="center"/>
              <w:rPr>
                <w:rFonts w:ascii="宋体" w:hAnsi="宋体"/>
                <w:b/>
                <w:bCs/>
                <w:color w:val="0000FF"/>
                <w:sz w:val="24"/>
              </w:rPr>
            </w:pPr>
            <w:r>
              <w:rPr>
                <w:rFonts w:hint="eastAsia"/>
                <w:b/>
                <w:bCs/>
                <w:color w:val="0000FF"/>
              </w:rPr>
              <w:t>1</w:t>
            </w:r>
            <w:r>
              <w:rPr>
                <w:b/>
                <w:bCs/>
                <w:color w:val="0000FF"/>
              </w:rPr>
              <w:t>0</w:t>
            </w:r>
          </w:p>
        </w:tc>
      </w:tr>
      <w:tr w14:paraId="5850ED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69C7695B">
            <w:pPr>
              <w:widowControl/>
              <w:jc w:val="left"/>
              <w:rPr>
                <w:rFonts w:ascii="宋体" w:hAnsi="宋体"/>
                <w:b/>
                <w:bCs/>
                <w:color w:val="0000FF"/>
                <w:sz w:val="24"/>
              </w:rPr>
            </w:pPr>
          </w:p>
        </w:tc>
        <w:tc>
          <w:tcPr>
            <w:tcW w:w="8392" w:type="dxa"/>
            <w:gridSpan w:val="4"/>
            <w:tcBorders>
              <w:top w:val="single" w:color="000000" w:sz="8" w:space="0"/>
              <w:left w:val="nil"/>
              <w:bottom w:val="single" w:color="000000" w:sz="8" w:space="0"/>
              <w:right w:val="single" w:color="000000" w:sz="8" w:space="0"/>
            </w:tcBorders>
          </w:tcPr>
          <w:p w14:paraId="02BAB397">
            <w:pPr>
              <w:wordWrap w:val="0"/>
              <w:rPr>
                <w:rFonts w:ascii="宋体" w:hAnsi="宋体"/>
                <w:szCs w:val="21"/>
              </w:rPr>
            </w:pPr>
          </w:p>
        </w:tc>
      </w:tr>
      <w:tr w14:paraId="0BE0B6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nil"/>
              <w:left w:val="single" w:color="000000" w:sz="8" w:space="0"/>
              <w:bottom w:val="single" w:color="000000" w:sz="8" w:space="0"/>
              <w:right w:val="single" w:color="000000" w:sz="8" w:space="0"/>
            </w:tcBorders>
          </w:tcPr>
          <w:p w14:paraId="37FE60A7">
            <w:pPr>
              <w:wordWrap w:val="0"/>
              <w:jc w:val="center"/>
              <w:rPr>
                <w:rFonts w:ascii="宋体" w:hAnsi="宋体"/>
                <w:b/>
                <w:bCs/>
                <w:color w:val="0000FF"/>
                <w:sz w:val="24"/>
              </w:rPr>
            </w:pPr>
            <w:r>
              <w:rPr>
                <w:b/>
                <w:bCs/>
                <w:color w:val="0000FF"/>
              </w:rPr>
              <w:t>2</w:t>
            </w:r>
          </w:p>
        </w:tc>
        <w:tc>
          <w:tcPr>
            <w:tcW w:w="4196" w:type="dxa"/>
            <w:gridSpan w:val="3"/>
            <w:tcBorders>
              <w:top w:val="single" w:color="000000" w:sz="8" w:space="0"/>
              <w:left w:val="nil"/>
              <w:bottom w:val="single" w:color="000000" w:sz="8" w:space="0"/>
              <w:right w:val="single" w:color="000000" w:sz="8" w:space="0"/>
            </w:tcBorders>
          </w:tcPr>
          <w:p w14:paraId="238C5DE7">
            <w:pPr>
              <w:wordWrap w:val="0"/>
              <w:jc w:val="center"/>
              <w:rPr>
                <w:rFonts w:ascii="宋体" w:hAnsi="宋体"/>
                <w:b/>
                <w:bCs/>
                <w:color w:val="0000FF"/>
                <w:sz w:val="24"/>
              </w:rPr>
            </w:pPr>
            <w:r>
              <w:rPr>
                <w:rFonts w:ascii="宋体" w:hAnsi="宋体"/>
                <w:b/>
                <w:bCs/>
                <w:color w:val="0000FF"/>
              </w:rPr>
              <w:t>技术</w:t>
            </w:r>
            <w:r>
              <w:rPr>
                <w:rFonts w:hint="eastAsia" w:ascii="宋体" w:hAnsi="宋体"/>
                <w:b/>
                <w:bCs/>
                <w:color w:val="0000FF"/>
              </w:rPr>
              <w:t>部分</w:t>
            </w:r>
          </w:p>
        </w:tc>
        <w:tc>
          <w:tcPr>
            <w:tcW w:w="4196" w:type="dxa"/>
            <w:tcBorders>
              <w:top w:val="single" w:color="000000" w:sz="8" w:space="0"/>
              <w:left w:val="nil"/>
              <w:bottom w:val="single" w:color="000000" w:sz="8" w:space="0"/>
              <w:right w:val="single" w:color="000000" w:sz="8" w:space="0"/>
            </w:tcBorders>
          </w:tcPr>
          <w:p w14:paraId="153839BA">
            <w:pPr>
              <w:wordWrap w:val="0"/>
              <w:jc w:val="center"/>
              <w:rPr>
                <w:rFonts w:ascii="宋体" w:hAnsi="宋体"/>
                <w:b/>
                <w:bCs/>
                <w:color w:val="0000FF"/>
                <w:sz w:val="24"/>
              </w:rPr>
            </w:pPr>
            <w:r>
              <w:rPr>
                <w:rFonts w:hint="eastAsia" w:ascii="宋体" w:hAnsi="宋体"/>
                <w:b/>
                <w:bCs/>
                <w:color w:val="0000FF"/>
                <w:sz w:val="24"/>
              </w:rPr>
              <w:t>80</w:t>
            </w:r>
          </w:p>
        </w:tc>
      </w:tr>
      <w:tr w14:paraId="4BA733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18107450">
            <w:pPr>
              <w:widowControl/>
              <w:jc w:val="left"/>
              <w:rPr>
                <w:rFonts w:ascii="宋体" w:hAnsi="宋体"/>
                <w:b/>
                <w:bCs/>
                <w:color w:val="0000FF"/>
                <w:sz w:val="24"/>
              </w:rPr>
            </w:pPr>
          </w:p>
        </w:tc>
        <w:tc>
          <w:tcPr>
            <w:tcW w:w="8392" w:type="dxa"/>
            <w:gridSpan w:val="4"/>
            <w:tcBorders>
              <w:top w:val="single" w:color="000000" w:sz="8" w:space="0"/>
              <w:left w:val="nil"/>
              <w:bottom w:val="single" w:color="000000" w:sz="8" w:space="0"/>
              <w:right w:val="single" w:color="000000" w:sz="8" w:space="0"/>
            </w:tcBorders>
          </w:tcPr>
          <w:p w14:paraId="344AD617">
            <w:pPr>
              <w:wordWrap w:val="0"/>
              <w:rPr>
                <w:rFonts w:ascii="宋体" w:hAnsi="宋体"/>
                <w:szCs w:val="21"/>
              </w:rPr>
            </w:pPr>
          </w:p>
        </w:tc>
      </w:tr>
      <w:tr w14:paraId="3A8EBC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06A059C1">
            <w:pPr>
              <w:widowControl/>
              <w:jc w:val="left"/>
              <w:rPr>
                <w:rFonts w:ascii="宋体" w:hAnsi="宋体"/>
                <w:b/>
                <w:bCs/>
                <w:color w:val="0000FF"/>
                <w:sz w:val="24"/>
              </w:rPr>
            </w:pPr>
          </w:p>
        </w:tc>
        <w:tc>
          <w:tcPr>
            <w:tcW w:w="680" w:type="dxa"/>
            <w:tcBorders>
              <w:top w:val="inset" w:color="000000" w:sz="6" w:space="0"/>
              <w:left w:val="inset" w:color="000000" w:sz="6" w:space="0"/>
              <w:bottom w:val="inset" w:color="000000" w:sz="6" w:space="0"/>
              <w:right w:val="inset" w:color="000000" w:sz="6" w:space="0"/>
            </w:tcBorders>
            <w:shd w:val="clear" w:color="auto" w:fill="E6EFFA"/>
            <w:vAlign w:val="center"/>
          </w:tcPr>
          <w:p w14:paraId="23107BC2">
            <w:pPr>
              <w:wordWrap w:val="0"/>
              <w:jc w:val="center"/>
              <w:rPr>
                <w:rFonts w:ascii="宋体" w:hAnsi="宋体"/>
                <w:szCs w:val="21"/>
              </w:rPr>
            </w:pPr>
            <w:r>
              <w:rPr>
                <w:rFonts w:ascii="宋体" w:hAnsi="宋体"/>
              </w:rPr>
              <w:t>序号</w:t>
            </w:r>
          </w:p>
        </w:tc>
        <w:tc>
          <w:tcPr>
            <w:tcW w:w="2835" w:type="dxa"/>
            <w:tcBorders>
              <w:top w:val="inset" w:color="000000" w:sz="6" w:space="0"/>
              <w:left w:val="nil"/>
              <w:bottom w:val="inset" w:color="000000" w:sz="6" w:space="0"/>
              <w:right w:val="inset" w:color="000000" w:sz="6" w:space="0"/>
            </w:tcBorders>
            <w:shd w:val="clear" w:color="auto" w:fill="E6EFFA"/>
            <w:vAlign w:val="center"/>
          </w:tcPr>
          <w:p w14:paraId="4584C867">
            <w:pPr>
              <w:wordWrap w:val="0"/>
              <w:jc w:val="center"/>
              <w:rPr>
                <w:rFonts w:ascii="宋体" w:hAnsi="宋体"/>
                <w:szCs w:val="21"/>
              </w:rPr>
            </w:pPr>
            <w:r>
              <w:rPr>
                <w:rFonts w:ascii="宋体" w:hAnsi="宋体"/>
              </w:rPr>
              <w:t>评分因素</w:t>
            </w:r>
          </w:p>
        </w:tc>
        <w:tc>
          <w:tcPr>
            <w:tcW w:w="681" w:type="dxa"/>
            <w:tcBorders>
              <w:top w:val="inset" w:color="000000" w:sz="6" w:space="0"/>
              <w:left w:val="nil"/>
              <w:bottom w:val="inset" w:color="000000" w:sz="6" w:space="0"/>
              <w:right w:val="inset" w:color="000000" w:sz="6" w:space="0"/>
            </w:tcBorders>
            <w:shd w:val="clear" w:color="auto" w:fill="E6EFFA"/>
            <w:vAlign w:val="center"/>
          </w:tcPr>
          <w:p w14:paraId="5A9EF3D5">
            <w:pPr>
              <w:wordWrap w:val="0"/>
              <w:jc w:val="center"/>
              <w:rPr>
                <w:rFonts w:ascii="宋体" w:hAnsi="宋体"/>
                <w:szCs w:val="21"/>
              </w:rPr>
            </w:pPr>
            <w:r>
              <w:rPr>
                <w:rFonts w:ascii="宋体" w:hAnsi="宋体"/>
              </w:rPr>
              <w:t>权重</w:t>
            </w:r>
            <w:r>
              <w:t>(%)</w:t>
            </w:r>
          </w:p>
        </w:tc>
        <w:tc>
          <w:tcPr>
            <w:tcW w:w="4196" w:type="dxa"/>
            <w:tcBorders>
              <w:top w:val="inset" w:color="000000" w:sz="6" w:space="0"/>
              <w:left w:val="nil"/>
              <w:bottom w:val="inset" w:color="000000" w:sz="6" w:space="0"/>
              <w:right w:val="inset" w:color="000000" w:sz="6" w:space="0"/>
            </w:tcBorders>
            <w:shd w:val="clear" w:color="auto" w:fill="E6EFFA"/>
            <w:vAlign w:val="center"/>
          </w:tcPr>
          <w:p w14:paraId="1E417D08">
            <w:pPr>
              <w:wordWrap w:val="0"/>
              <w:jc w:val="center"/>
              <w:rPr>
                <w:rFonts w:ascii="宋体" w:hAnsi="宋体"/>
                <w:szCs w:val="21"/>
              </w:rPr>
            </w:pPr>
            <w:r>
              <w:rPr>
                <w:rFonts w:ascii="宋体" w:hAnsi="宋体"/>
              </w:rPr>
              <w:t>评分准则</w:t>
            </w:r>
          </w:p>
        </w:tc>
      </w:tr>
      <w:tr w14:paraId="2C5F2D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1A4A2D82">
            <w:pPr>
              <w:widowControl/>
              <w:jc w:val="left"/>
              <w:rPr>
                <w:rFonts w:ascii="宋体" w:hAnsi="宋体"/>
                <w:b/>
                <w:bCs/>
                <w:color w:val="0000FF"/>
                <w:sz w:val="24"/>
              </w:rPr>
            </w:pPr>
          </w:p>
        </w:tc>
        <w:tc>
          <w:tcPr>
            <w:tcW w:w="680" w:type="dxa"/>
            <w:tcBorders>
              <w:top w:val="single" w:color="000000" w:sz="8" w:space="0"/>
              <w:left w:val="nil"/>
              <w:bottom w:val="single" w:color="000000" w:sz="8" w:space="0"/>
              <w:right w:val="single" w:color="000000" w:sz="8" w:space="0"/>
            </w:tcBorders>
          </w:tcPr>
          <w:p w14:paraId="5CFC00CD">
            <w:pPr>
              <w:wordWrap w:val="0"/>
              <w:jc w:val="center"/>
              <w:rPr>
                <w:rFonts w:ascii="宋体" w:hAnsi="宋体"/>
                <w:szCs w:val="21"/>
              </w:rPr>
            </w:pPr>
            <w:r>
              <w:rPr>
                <w:rFonts w:hint="eastAsia" w:ascii="宋体" w:hAnsi="宋体"/>
              </w:rPr>
              <w:t>1</w:t>
            </w:r>
          </w:p>
        </w:tc>
        <w:tc>
          <w:tcPr>
            <w:tcW w:w="2835" w:type="dxa"/>
            <w:tcBorders>
              <w:top w:val="single" w:color="000000" w:sz="8" w:space="0"/>
              <w:left w:val="nil"/>
              <w:bottom w:val="single" w:color="000000" w:sz="8" w:space="0"/>
              <w:right w:val="single" w:color="000000" w:sz="8" w:space="0"/>
            </w:tcBorders>
          </w:tcPr>
          <w:p w14:paraId="4DB557A4">
            <w:pPr>
              <w:wordWrap w:val="0"/>
              <w:rPr>
                <w:rFonts w:ascii="宋体" w:hAnsi="宋体"/>
                <w:szCs w:val="21"/>
              </w:rPr>
            </w:pPr>
            <w:r>
              <w:rPr>
                <w:rFonts w:hint="eastAsia" w:ascii="宋体" w:hAnsi="宋体"/>
              </w:rPr>
              <w:t>项目整体设想及规划方案</w:t>
            </w:r>
          </w:p>
        </w:tc>
        <w:tc>
          <w:tcPr>
            <w:tcW w:w="681" w:type="dxa"/>
            <w:tcBorders>
              <w:top w:val="single" w:color="000000" w:sz="8" w:space="0"/>
              <w:left w:val="nil"/>
              <w:bottom w:val="single" w:color="000000" w:sz="8" w:space="0"/>
              <w:right w:val="single" w:color="000000" w:sz="8" w:space="0"/>
            </w:tcBorders>
          </w:tcPr>
          <w:p w14:paraId="621C0714">
            <w:pPr>
              <w:widowControl/>
              <w:jc w:val="left"/>
              <w:rPr>
                <w:rFonts w:ascii="宋体" w:hAnsi="宋体"/>
                <w:szCs w:val="21"/>
              </w:rPr>
            </w:pPr>
            <w:r>
              <w:rPr>
                <w:rFonts w:hint="eastAsia" w:ascii="宋体" w:hAnsi="宋体"/>
              </w:rPr>
              <w:t>4</w:t>
            </w:r>
          </w:p>
        </w:tc>
        <w:tc>
          <w:tcPr>
            <w:tcW w:w="4196" w:type="dxa"/>
            <w:tcBorders>
              <w:top w:val="single" w:color="000000" w:sz="8" w:space="0"/>
              <w:left w:val="nil"/>
              <w:bottom w:val="single" w:color="000000" w:sz="8" w:space="0"/>
              <w:right w:val="single" w:color="000000" w:sz="8" w:space="0"/>
            </w:tcBorders>
          </w:tcPr>
          <w:p w14:paraId="43F0D37F">
            <w:pPr>
              <w:wordWrap w:val="0"/>
              <w:rPr>
                <w:rFonts w:ascii="宋体" w:hAnsi="宋体"/>
                <w:b/>
                <w:szCs w:val="21"/>
              </w:rPr>
            </w:pPr>
            <w:r>
              <w:rPr>
                <w:rFonts w:hint="eastAsia" w:ascii="宋体" w:hAnsi="宋体"/>
                <w:b/>
              </w:rPr>
              <w:t>（一）评分内容：</w:t>
            </w:r>
          </w:p>
          <w:p w14:paraId="0A0FFC43">
            <w:pPr>
              <w:wordWrap w:val="0"/>
              <w:rPr>
                <w:rFonts w:ascii="宋体" w:hAnsi="宋体"/>
                <w:bCs/>
              </w:rPr>
            </w:pPr>
            <w:r>
              <w:rPr>
                <w:rFonts w:hint="eastAsia" w:ascii="宋体" w:hAnsi="宋体"/>
                <w:bCs/>
              </w:rPr>
              <w:t>考察针对本项目的项目整体设想及规划方案，方案内容包括以下内容：</w:t>
            </w:r>
          </w:p>
          <w:p w14:paraId="25BCD172">
            <w:pPr>
              <w:wordWrap w:val="0"/>
              <w:rPr>
                <w:rFonts w:ascii="宋体" w:hAnsi="宋体"/>
                <w:bCs/>
              </w:rPr>
            </w:pPr>
            <w:r>
              <w:rPr>
                <w:rFonts w:hint="eastAsia" w:ascii="宋体" w:hAnsi="宋体"/>
                <w:bCs/>
              </w:rPr>
              <w:t>1.专项服务小组人员配备；</w:t>
            </w:r>
          </w:p>
          <w:p w14:paraId="38366266">
            <w:pPr>
              <w:wordWrap w:val="0"/>
              <w:rPr>
                <w:rFonts w:ascii="宋体" w:hAnsi="宋体"/>
                <w:bCs/>
              </w:rPr>
            </w:pPr>
            <w:r>
              <w:rPr>
                <w:rFonts w:hint="eastAsia" w:ascii="宋体" w:hAnsi="宋体"/>
                <w:bCs/>
              </w:rPr>
              <w:t>2.质量安全控制措施；</w:t>
            </w:r>
          </w:p>
          <w:p w14:paraId="511EBBCB">
            <w:pPr>
              <w:wordWrap w:val="0"/>
              <w:rPr>
                <w:rFonts w:ascii="宋体" w:hAnsi="宋体"/>
                <w:bCs/>
              </w:rPr>
            </w:pPr>
            <w:r>
              <w:rPr>
                <w:rFonts w:hint="eastAsia" w:ascii="宋体" w:hAnsi="宋体"/>
                <w:bCs/>
              </w:rPr>
              <w:t>3.配送服务计划（包括但不限于配送流程、配送时间、客户沟通）。</w:t>
            </w:r>
          </w:p>
          <w:p w14:paraId="51F04D78">
            <w:pPr>
              <w:wordWrap w:val="0"/>
              <w:rPr>
                <w:rFonts w:ascii="宋体" w:hAnsi="宋体"/>
                <w:b/>
              </w:rPr>
            </w:pPr>
            <w:r>
              <w:rPr>
                <w:rFonts w:hint="eastAsia" w:ascii="宋体" w:hAnsi="宋体"/>
                <w:b/>
              </w:rPr>
              <w:t>（二）评分依据：</w:t>
            </w:r>
          </w:p>
          <w:p w14:paraId="78145A46">
            <w:pPr>
              <w:wordWrap w:val="0"/>
              <w:rPr>
                <w:rFonts w:ascii="宋体" w:hAnsi="宋体"/>
                <w:bCs/>
              </w:rPr>
            </w:pPr>
            <w:r>
              <w:rPr>
                <w:rFonts w:hint="eastAsia" w:ascii="宋体" w:hAnsi="宋体"/>
                <w:bCs/>
              </w:rPr>
              <w:t>提供以上3点内容得</w:t>
            </w:r>
            <w:r>
              <w:rPr>
                <w:rFonts w:hint="eastAsia"/>
                <w:bCs/>
              </w:rPr>
              <w:t>8</w:t>
            </w:r>
            <w:r>
              <w:rPr>
                <w:rFonts w:hint="eastAsia" w:ascii="宋体" w:hAnsi="宋体"/>
                <w:bCs/>
              </w:rPr>
              <w:t>0分，提供2点内容得</w:t>
            </w:r>
            <w:r>
              <w:rPr>
                <w:rFonts w:hint="eastAsia"/>
                <w:bCs/>
              </w:rPr>
              <w:t>4</w:t>
            </w:r>
            <w:r>
              <w:rPr>
                <w:rFonts w:hint="eastAsia" w:ascii="宋体" w:hAnsi="宋体"/>
                <w:bCs/>
              </w:rPr>
              <w:t>0分，提供1点内容得10分，未体现不得分。</w:t>
            </w:r>
          </w:p>
          <w:p w14:paraId="4E9C9D44">
            <w:pPr>
              <w:wordWrap w:val="0"/>
              <w:rPr>
                <w:rFonts w:ascii="宋体" w:hAnsi="宋体"/>
                <w:bCs/>
              </w:rPr>
            </w:pPr>
            <w:r>
              <w:rPr>
                <w:rFonts w:hint="eastAsia" w:ascii="宋体" w:hAnsi="宋体"/>
                <w:bCs/>
              </w:rPr>
              <w:t>在此基础上，专家根据内容的合理性进行评审：</w:t>
            </w:r>
          </w:p>
          <w:p w14:paraId="6DC27ABA">
            <w:pPr>
              <w:wordWrap w:val="0"/>
              <w:rPr>
                <w:rFonts w:ascii="宋体" w:hAnsi="宋体"/>
                <w:bCs/>
              </w:rPr>
            </w:pPr>
            <w:r>
              <w:rPr>
                <w:rFonts w:hint="eastAsia" w:ascii="宋体" w:hAnsi="宋体"/>
                <w:bCs/>
              </w:rPr>
              <w:t xml:space="preserve">优评分标准:专项服务小组人员配备较齐全，有详细的人员清单；质量安全控制流程清晰较合理，有货物来源、入库、出库等全过程的检测与监管措施；配送服务计划具有较强的针对性和可操作性，有配送流程、配送时间、客户沟通、项目重点难点分析、专业性意见及合理化建议等。 </w:t>
            </w:r>
          </w:p>
          <w:p w14:paraId="60645845">
            <w:pPr>
              <w:wordWrap w:val="0"/>
              <w:rPr>
                <w:rFonts w:ascii="宋体" w:hAnsi="宋体"/>
                <w:bCs/>
              </w:rPr>
            </w:pPr>
            <w:r>
              <w:rPr>
                <w:rFonts w:hint="eastAsia" w:ascii="宋体" w:hAnsi="宋体"/>
                <w:bCs/>
              </w:rPr>
              <w:t xml:space="preserve">良评分标准: 专项服务小组人员配备齐全，有人员清单；质量安全控制流程清晰合理，货物来源、入库、出库等全过程的检测与监管措施有缺漏项的；配送服务计划具有针对性和可操作性，配送流程、配送时间、客户沟通、项目重点难点分析、专业性意见及合理化建议等有缺漏项的。 </w:t>
            </w:r>
          </w:p>
          <w:p w14:paraId="3A8314E9">
            <w:pPr>
              <w:wordWrap w:val="0"/>
              <w:rPr>
                <w:rFonts w:ascii="宋体" w:hAnsi="宋体"/>
                <w:bCs/>
              </w:rPr>
            </w:pPr>
            <w:r>
              <w:rPr>
                <w:rFonts w:hint="eastAsia" w:ascii="宋体" w:hAnsi="宋体"/>
                <w:bCs/>
              </w:rPr>
              <w:t>中评分标准：配备专项服务小组人员配备，有人员清单；质量安全控制流程一般，货物来源、入库、出库等全过程的检测与监管措施有重大缺失的；配送服务计划一般，配送流程、配送时间、客户沟通、项目重点难点分析、专业性意见及合理化建议等有重大缺漏项的。</w:t>
            </w:r>
          </w:p>
          <w:p w14:paraId="54289155">
            <w:pPr>
              <w:wordWrap w:val="0"/>
              <w:rPr>
                <w:rFonts w:ascii="宋体" w:hAnsi="宋体"/>
                <w:bCs/>
              </w:rPr>
            </w:pPr>
            <w:r>
              <w:rPr>
                <w:rFonts w:hint="eastAsia" w:ascii="宋体" w:hAnsi="宋体"/>
                <w:bCs/>
              </w:rPr>
              <w:t>差评分标准:项目整体设想及规划方案存在重大疏漏或不合理。</w:t>
            </w:r>
          </w:p>
          <w:p w14:paraId="093B1AA8">
            <w:pPr>
              <w:wordWrap w:val="0"/>
              <w:rPr>
                <w:rFonts w:ascii="宋体" w:hAnsi="宋体"/>
                <w:bCs/>
              </w:rPr>
            </w:pPr>
            <w:r>
              <w:rPr>
                <w:rFonts w:hint="eastAsia" w:ascii="宋体" w:hAnsi="宋体"/>
                <w:bCs/>
              </w:rPr>
              <w:t>评价为优得</w:t>
            </w:r>
            <w:r>
              <w:rPr>
                <w:rFonts w:hint="eastAsia"/>
                <w:bCs/>
              </w:rPr>
              <w:t>2</w:t>
            </w:r>
            <w:r>
              <w:rPr>
                <w:rFonts w:hint="eastAsia" w:ascii="宋体" w:hAnsi="宋体"/>
                <w:bCs/>
              </w:rPr>
              <w:t>0分；</w:t>
            </w:r>
          </w:p>
          <w:p w14:paraId="2577B5DC">
            <w:pPr>
              <w:wordWrap w:val="0"/>
              <w:rPr>
                <w:rFonts w:ascii="宋体" w:hAnsi="宋体"/>
                <w:bCs/>
              </w:rPr>
            </w:pPr>
            <w:r>
              <w:rPr>
                <w:rFonts w:hint="eastAsia" w:ascii="宋体" w:hAnsi="宋体"/>
                <w:bCs/>
              </w:rPr>
              <w:t>评价为良得</w:t>
            </w:r>
            <w:r>
              <w:rPr>
                <w:rFonts w:hint="eastAsia"/>
                <w:bCs/>
              </w:rPr>
              <w:t>1</w:t>
            </w:r>
            <w:r>
              <w:rPr>
                <w:rFonts w:hint="eastAsia" w:ascii="宋体" w:hAnsi="宋体"/>
                <w:bCs/>
              </w:rPr>
              <w:t>0分；</w:t>
            </w:r>
          </w:p>
          <w:p w14:paraId="5338D9B5">
            <w:pPr>
              <w:wordWrap w:val="0"/>
              <w:rPr>
                <w:rFonts w:ascii="宋体" w:hAnsi="宋体"/>
                <w:bCs/>
              </w:rPr>
            </w:pPr>
            <w:r>
              <w:rPr>
                <w:rFonts w:hint="eastAsia" w:ascii="宋体" w:hAnsi="宋体"/>
                <w:bCs/>
              </w:rPr>
              <w:t>评价为中得</w:t>
            </w:r>
            <w:r>
              <w:rPr>
                <w:rFonts w:hint="eastAsia"/>
                <w:bCs/>
              </w:rPr>
              <w:t>5</w:t>
            </w:r>
            <w:r>
              <w:rPr>
                <w:rFonts w:hint="eastAsia" w:ascii="宋体" w:hAnsi="宋体"/>
                <w:bCs/>
              </w:rPr>
              <w:t>分；</w:t>
            </w:r>
          </w:p>
          <w:p w14:paraId="55C2FC9A">
            <w:pPr>
              <w:rPr>
                <w:rFonts w:ascii="宋体" w:hAnsi="宋体"/>
                <w:szCs w:val="21"/>
              </w:rPr>
            </w:pPr>
            <w:r>
              <w:rPr>
                <w:rFonts w:hint="eastAsia" w:ascii="宋体" w:hAnsi="宋体"/>
                <w:bCs/>
              </w:rPr>
              <w:t>评价为差不得分。如评审为差，评审专家须书面说明理由，并记录在档。</w:t>
            </w:r>
          </w:p>
        </w:tc>
      </w:tr>
      <w:tr w14:paraId="4EF37E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53CA6B4D">
            <w:pPr>
              <w:widowControl/>
              <w:jc w:val="left"/>
              <w:rPr>
                <w:rFonts w:ascii="宋体" w:hAnsi="宋体"/>
                <w:b/>
                <w:bCs/>
                <w:color w:val="0000FF"/>
                <w:sz w:val="24"/>
              </w:rPr>
            </w:pPr>
          </w:p>
        </w:tc>
        <w:tc>
          <w:tcPr>
            <w:tcW w:w="680" w:type="dxa"/>
            <w:tcBorders>
              <w:top w:val="single" w:color="000000" w:sz="8" w:space="0"/>
              <w:left w:val="nil"/>
              <w:bottom w:val="single" w:color="000000" w:sz="8" w:space="0"/>
              <w:right w:val="single" w:color="000000" w:sz="8" w:space="0"/>
            </w:tcBorders>
          </w:tcPr>
          <w:p w14:paraId="4094FAB5">
            <w:pPr>
              <w:wordWrap w:val="0"/>
              <w:jc w:val="center"/>
              <w:rPr>
                <w:rFonts w:ascii="宋体" w:hAnsi="宋体"/>
                <w:szCs w:val="21"/>
              </w:rPr>
            </w:pPr>
            <w:r>
              <w:rPr>
                <w:rFonts w:hint="eastAsia" w:ascii="宋体" w:hAnsi="宋体"/>
              </w:rPr>
              <w:t>2</w:t>
            </w:r>
          </w:p>
        </w:tc>
        <w:tc>
          <w:tcPr>
            <w:tcW w:w="2835" w:type="dxa"/>
            <w:tcBorders>
              <w:top w:val="single" w:color="000000" w:sz="8" w:space="0"/>
              <w:left w:val="nil"/>
              <w:bottom w:val="single" w:color="000000" w:sz="8" w:space="0"/>
              <w:right w:val="single" w:color="000000" w:sz="8" w:space="0"/>
            </w:tcBorders>
          </w:tcPr>
          <w:p w14:paraId="0C098DC8">
            <w:pPr>
              <w:wordWrap w:val="0"/>
              <w:rPr>
                <w:rFonts w:ascii="宋体" w:hAnsi="宋体"/>
                <w:szCs w:val="21"/>
              </w:rPr>
            </w:pPr>
            <w:r>
              <w:rPr>
                <w:rFonts w:hint="eastAsia" w:ascii="宋体" w:hAnsi="宋体"/>
              </w:rPr>
              <w:t>规章管理制度、工作流程</w:t>
            </w:r>
          </w:p>
        </w:tc>
        <w:tc>
          <w:tcPr>
            <w:tcW w:w="681" w:type="dxa"/>
            <w:tcBorders>
              <w:top w:val="single" w:color="000000" w:sz="8" w:space="0"/>
              <w:left w:val="nil"/>
              <w:bottom w:val="single" w:color="000000" w:sz="8" w:space="0"/>
              <w:right w:val="single" w:color="000000" w:sz="8" w:space="0"/>
            </w:tcBorders>
          </w:tcPr>
          <w:p w14:paraId="270C1945">
            <w:pPr>
              <w:wordWrap w:val="0"/>
              <w:rPr>
                <w:rFonts w:ascii="宋体" w:hAnsi="宋体"/>
                <w:szCs w:val="21"/>
              </w:rPr>
            </w:pPr>
            <w:r>
              <w:rPr>
                <w:rFonts w:hint="eastAsia" w:ascii="宋体" w:hAnsi="宋体"/>
              </w:rPr>
              <w:t>4</w:t>
            </w:r>
          </w:p>
        </w:tc>
        <w:tc>
          <w:tcPr>
            <w:tcW w:w="4196" w:type="dxa"/>
            <w:tcBorders>
              <w:top w:val="single" w:color="000000" w:sz="8" w:space="0"/>
              <w:left w:val="nil"/>
              <w:bottom w:val="single" w:color="000000" w:sz="8" w:space="0"/>
              <w:right w:val="single" w:color="000000" w:sz="8" w:space="0"/>
            </w:tcBorders>
          </w:tcPr>
          <w:p w14:paraId="0B73109C">
            <w:pPr>
              <w:wordWrap w:val="0"/>
              <w:rPr>
                <w:rFonts w:ascii="宋体" w:hAnsi="宋体"/>
                <w:b/>
                <w:szCs w:val="21"/>
              </w:rPr>
            </w:pPr>
            <w:r>
              <w:rPr>
                <w:rFonts w:hint="eastAsia" w:ascii="宋体" w:hAnsi="宋体"/>
                <w:b/>
              </w:rPr>
              <w:t>（一）评分内容：</w:t>
            </w:r>
          </w:p>
          <w:p w14:paraId="4DB0DF8B">
            <w:pPr>
              <w:wordWrap w:val="0"/>
              <w:rPr>
                <w:rFonts w:ascii="宋体" w:hAnsi="宋体"/>
                <w:bCs/>
              </w:rPr>
            </w:pPr>
            <w:r>
              <w:rPr>
                <w:rFonts w:hint="eastAsia" w:ascii="宋体" w:hAnsi="宋体"/>
                <w:bCs/>
              </w:rPr>
              <w:t>考察针对本项目的项目规章管理制度、工作流程等，包括以下内容:</w:t>
            </w:r>
          </w:p>
          <w:p w14:paraId="315DFF60">
            <w:pPr>
              <w:wordWrap w:val="0"/>
              <w:rPr>
                <w:rFonts w:ascii="宋体" w:hAnsi="宋体"/>
                <w:bCs/>
              </w:rPr>
            </w:pPr>
            <w:r>
              <w:rPr>
                <w:rFonts w:hint="eastAsia" w:ascii="宋体" w:hAnsi="宋体"/>
                <w:bCs/>
              </w:rPr>
              <w:t>1.食品安全保障制度；</w:t>
            </w:r>
          </w:p>
          <w:p w14:paraId="3E96EEC1">
            <w:pPr>
              <w:wordWrap w:val="0"/>
              <w:rPr>
                <w:rFonts w:ascii="宋体" w:hAnsi="宋体"/>
                <w:bCs/>
              </w:rPr>
            </w:pPr>
            <w:r>
              <w:rPr>
                <w:rFonts w:hint="eastAsia" w:ascii="宋体" w:hAnsi="宋体"/>
                <w:bCs/>
              </w:rPr>
              <w:t>2.人员岗位职责；</w:t>
            </w:r>
          </w:p>
          <w:p w14:paraId="77F14C20">
            <w:pPr>
              <w:wordWrap w:val="0"/>
              <w:rPr>
                <w:rFonts w:ascii="宋体" w:hAnsi="宋体"/>
                <w:bCs/>
              </w:rPr>
            </w:pPr>
            <w:r>
              <w:rPr>
                <w:rFonts w:hint="eastAsia" w:ascii="宋体" w:hAnsi="宋体"/>
                <w:bCs/>
              </w:rPr>
              <w:t>3.操作规程；</w:t>
            </w:r>
          </w:p>
          <w:p w14:paraId="54CCBB05">
            <w:pPr>
              <w:wordWrap w:val="0"/>
              <w:rPr>
                <w:rFonts w:ascii="宋体" w:hAnsi="宋体"/>
                <w:bCs/>
              </w:rPr>
            </w:pPr>
            <w:r>
              <w:rPr>
                <w:rFonts w:hint="eastAsia" w:ascii="宋体" w:hAnsi="宋体"/>
                <w:bCs/>
              </w:rPr>
              <w:t>4.劳动纪律和奖惩办法；</w:t>
            </w:r>
          </w:p>
          <w:p w14:paraId="749E0935">
            <w:pPr>
              <w:wordWrap w:val="0"/>
              <w:rPr>
                <w:rFonts w:ascii="宋体" w:hAnsi="宋体"/>
                <w:bCs/>
              </w:rPr>
            </w:pPr>
            <w:r>
              <w:rPr>
                <w:rFonts w:hint="eastAsia" w:ascii="宋体" w:hAnsi="宋体"/>
                <w:bCs/>
              </w:rPr>
              <w:t>5.客户投诉反馈管理制度。</w:t>
            </w:r>
          </w:p>
          <w:p w14:paraId="71516FA0">
            <w:pPr>
              <w:wordWrap w:val="0"/>
              <w:rPr>
                <w:rFonts w:ascii="宋体" w:hAnsi="宋体"/>
                <w:b/>
              </w:rPr>
            </w:pPr>
            <w:r>
              <w:rPr>
                <w:rFonts w:hint="eastAsia" w:ascii="宋体" w:hAnsi="宋体"/>
                <w:b/>
              </w:rPr>
              <w:t>（二）评分依据：</w:t>
            </w:r>
          </w:p>
          <w:p w14:paraId="7BA9F281">
            <w:pPr>
              <w:wordWrap w:val="0"/>
              <w:rPr>
                <w:rFonts w:ascii="宋体" w:hAnsi="宋体"/>
                <w:bCs/>
              </w:rPr>
            </w:pPr>
            <w:r>
              <w:rPr>
                <w:rFonts w:hint="eastAsia" w:ascii="宋体" w:hAnsi="宋体"/>
                <w:bCs/>
              </w:rPr>
              <w:t>提供以上5点内容得</w:t>
            </w:r>
            <w:r>
              <w:rPr>
                <w:rFonts w:hint="eastAsia"/>
                <w:bCs/>
              </w:rPr>
              <w:t>8</w:t>
            </w:r>
            <w:r>
              <w:rPr>
                <w:rFonts w:hint="eastAsia" w:ascii="宋体" w:hAnsi="宋体"/>
                <w:bCs/>
              </w:rPr>
              <w:t>0分，提供4点内容得</w:t>
            </w:r>
            <w:r>
              <w:rPr>
                <w:rFonts w:hint="eastAsia"/>
                <w:bCs/>
              </w:rPr>
              <w:t>6</w:t>
            </w:r>
            <w:r>
              <w:rPr>
                <w:rFonts w:hint="eastAsia" w:ascii="宋体" w:hAnsi="宋体"/>
                <w:bCs/>
              </w:rPr>
              <w:t>0分，提供3点内容得</w:t>
            </w:r>
            <w:r>
              <w:rPr>
                <w:rFonts w:hint="eastAsia"/>
                <w:bCs/>
              </w:rPr>
              <w:t>4</w:t>
            </w:r>
            <w:r>
              <w:rPr>
                <w:rFonts w:hint="eastAsia" w:ascii="宋体" w:hAnsi="宋体"/>
                <w:bCs/>
              </w:rPr>
              <w:t>0分，提供2点内容得20分，提供1点内容得10分，未体现不得分。在此基础上，专家根据内容的合理性进行评分:</w:t>
            </w:r>
          </w:p>
          <w:p w14:paraId="22B0712E">
            <w:pPr>
              <w:wordWrap w:val="0"/>
              <w:rPr>
                <w:rFonts w:ascii="宋体" w:hAnsi="宋体"/>
                <w:bCs/>
              </w:rPr>
            </w:pPr>
            <w:r>
              <w:rPr>
                <w:rFonts w:hint="eastAsia" w:ascii="宋体" w:hAnsi="宋体"/>
                <w:bCs/>
              </w:rPr>
              <w:t>优评分标准: 食品安全质量保障措施详细、具体，对服务过程中的关键节点有具体质量控制措施，有相应的人力、物力投入安排；能够确保产品质量人员管理制度说明、项目管理机制说明、对可能出现的风险情况进行预测并罗列，且对应说明防控措施。</w:t>
            </w:r>
          </w:p>
          <w:p w14:paraId="0C43B65D">
            <w:pPr>
              <w:wordWrap w:val="0"/>
              <w:rPr>
                <w:rFonts w:ascii="宋体" w:hAnsi="宋体"/>
                <w:bCs/>
              </w:rPr>
            </w:pPr>
            <w:r>
              <w:rPr>
                <w:rFonts w:hint="eastAsia" w:ascii="宋体" w:hAnsi="宋体"/>
                <w:bCs/>
              </w:rPr>
              <w:t>良评分标准: 食品安全质量保障措施简单，对服务过程中的关键节点有提出基本的质量控制措施，有简单的人力、物力投入安排；制定了人员管理制度说明、项目管理机制说明、对可能出现的风险情况进行预测并罗列。</w:t>
            </w:r>
          </w:p>
          <w:p w14:paraId="26546B5B">
            <w:pPr>
              <w:wordWrap w:val="0"/>
              <w:rPr>
                <w:rFonts w:ascii="宋体" w:hAnsi="宋体"/>
                <w:bCs/>
              </w:rPr>
            </w:pPr>
            <w:r>
              <w:rPr>
                <w:rFonts w:hint="eastAsia" w:ascii="宋体" w:hAnsi="宋体"/>
                <w:bCs/>
              </w:rPr>
              <w:t>中评分标准：食品安全质量保障措施较为简单，对服务过程中的关键节点有提出基本的质量控制措施；有针对本项目的实际情况制定人员管理制度说明、项目管理机制说明。</w:t>
            </w:r>
          </w:p>
          <w:p w14:paraId="2AF91F24">
            <w:pPr>
              <w:wordWrap w:val="0"/>
              <w:rPr>
                <w:rFonts w:ascii="宋体" w:hAnsi="宋体"/>
                <w:bCs/>
              </w:rPr>
            </w:pPr>
            <w:r>
              <w:rPr>
                <w:rFonts w:hint="eastAsia" w:ascii="宋体" w:hAnsi="宋体"/>
                <w:bCs/>
              </w:rPr>
              <w:t>差评分标准:有针对本项目的实际情况制定人员管理制度说明，其他无。</w:t>
            </w:r>
          </w:p>
          <w:p w14:paraId="2F7AD36A">
            <w:pPr>
              <w:wordWrap w:val="0"/>
              <w:rPr>
                <w:rFonts w:ascii="宋体" w:hAnsi="宋体"/>
                <w:bCs/>
              </w:rPr>
            </w:pPr>
            <w:r>
              <w:rPr>
                <w:rFonts w:hint="eastAsia" w:ascii="宋体" w:hAnsi="宋体"/>
                <w:bCs/>
              </w:rPr>
              <w:t>评价为优得</w:t>
            </w:r>
            <w:r>
              <w:rPr>
                <w:rFonts w:hint="eastAsia"/>
                <w:bCs/>
              </w:rPr>
              <w:t>2</w:t>
            </w:r>
            <w:r>
              <w:rPr>
                <w:rFonts w:hint="eastAsia" w:ascii="宋体" w:hAnsi="宋体"/>
                <w:bCs/>
              </w:rPr>
              <w:t>0分；</w:t>
            </w:r>
          </w:p>
          <w:p w14:paraId="04CF598E">
            <w:pPr>
              <w:wordWrap w:val="0"/>
              <w:rPr>
                <w:rFonts w:ascii="宋体" w:hAnsi="宋体"/>
                <w:bCs/>
              </w:rPr>
            </w:pPr>
            <w:r>
              <w:rPr>
                <w:rFonts w:hint="eastAsia" w:ascii="宋体" w:hAnsi="宋体"/>
                <w:bCs/>
              </w:rPr>
              <w:t>评价为良得</w:t>
            </w:r>
            <w:r>
              <w:rPr>
                <w:rFonts w:hint="eastAsia"/>
                <w:bCs/>
              </w:rPr>
              <w:t>1</w:t>
            </w:r>
            <w:r>
              <w:rPr>
                <w:rFonts w:hint="eastAsia" w:ascii="宋体" w:hAnsi="宋体"/>
                <w:bCs/>
              </w:rPr>
              <w:t>0分；</w:t>
            </w:r>
          </w:p>
          <w:p w14:paraId="47E23EDD">
            <w:pPr>
              <w:wordWrap w:val="0"/>
              <w:rPr>
                <w:rFonts w:ascii="宋体" w:hAnsi="宋体"/>
                <w:bCs/>
              </w:rPr>
            </w:pPr>
            <w:r>
              <w:rPr>
                <w:rFonts w:hint="eastAsia" w:ascii="宋体" w:hAnsi="宋体"/>
                <w:bCs/>
              </w:rPr>
              <w:t>评价为中得</w:t>
            </w:r>
            <w:r>
              <w:rPr>
                <w:rFonts w:hint="eastAsia"/>
                <w:bCs/>
              </w:rPr>
              <w:t>5</w:t>
            </w:r>
            <w:r>
              <w:rPr>
                <w:rFonts w:hint="eastAsia" w:ascii="宋体" w:hAnsi="宋体"/>
                <w:bCs/>
              </w:rPr>
              <w:t>分；</w:t>
            </w:r>
          </w:p>
          <w:p w14:paraId="35D54B41">
            <w:pPr>
              <w:wordWrap w:val="0"/>
              <w:rPr>
                <w:rFonts w:ascii="宋体" w:hAnsi="宋体"/>
                <w:szCs w:val="21"/>
              </w:rPr>
            </w:pPr>
            <w:r>
              <w:rPr>
                <w:rFonts w:hint="eastAsia" w:ascii="宋体" w:hAnsi="宋体"/>
                <w:bCs/>
              </w:rPr>
              <w:t>评价为差不得分。如评审为差，评审专家须书面说明理由，并记录在档。</w:t>
            </w:r>
          </w:p>
        </w:tc>
      </w:tr>
      <w:tr w14:paraId="7F75AF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21412228">
            <w:pPr>
              <w:widowControl/>
              <w:jc w:val="left"/>
              <w:rPr>
                <w:rFonts w:ascii="宋体" w:hAnsi="宋体"/>
                <w:b/>
                <w:bCs/>
                <w:color w:val="0000FF"/>
                <w:sz w:val="24"/>
              </w:rPr>
            </w:pPr>
          </w:p>
        </w:tc>
        <w:tc>
          <w:tcPr>
            <w:tcW w:w="680" w:type="dxa"/>
            <w:tcBorders>
              <w:top w:val="single" w:color="000000" w:sz="8" w:space="0"/>
              <w:left w:val="nil"/>
              <w:bottom w:val="single" w:color="000000" w:sz="8" w:space="0"/>
              <w:right w:val="single" w:color="000000" w:sz="8" w:space="0"/>
            </w:tcBorders>
          </w:tcPr>
          <w:p w14:paraId="648EAC54">
            <w:pPr>
              <w:wordWrap w:val="0"/>
              <w:jc w:val="center"/>
              <w:rPr>
                <w:rFonts w:ascii="宋体" w:hAnsi="宋体"/>
                <w:szCs w:val="21"/>
              </w:rPr>
            </w:pPr>
            <w:r>
              <w:rPr>
                <w:rFonts w:hint="eastAsia" w:ascii="宋体" w:hAnsi="宋体"/>
              </w:rPr>
              <w:t>3</w:t>
            </w:r>
          </w:p>
        </w:tc>
        <w:tc>
          <w:tcPr>
            <w:tcW w:w="2835" w:type="dxa"/>
            <w:tcBorders>
              <w:top w:val="single" w:color="000000" w:sz="8" w:space="0"/>
              <w:left w:val="nil"/>
              <w:bottom w:val="single" w:color="000000" w:sz="8" w:space="0"/>
              <w:right w:val="single" w:color="000000" w:sz="8" w:space="0"/>
            </w:tcBorders>
          </w:tcPr>
          <w:p w14:paraId="1F28B3F2">
            <w:pPr>
              <w:wordWrap w:val="0"/>
              <w:rPr>
                <w:rFonts w:ascii="宋体" w:hAnsi="宋体"/>
                <w:szCs w:val="21"/>
              </w:rPr>
            </w:pPr>
            <w:r>
              <w:rPr>
                <w:rFonts w:hint="eastAsia" w:ascii="宋体" w:hAnsi="宋体"/>
              </w:rPr>
              <w:t>应急方案</w:t>
            </w:r>
          </w:p>
        </w:tc>
        <w:tc>
          <w:tcPr>
            <w:tcW w:w="681" w:type="dxa"/>
            <w:tcBorders>
              <w:top w:val="single" w:color="000000" w:sz="8" w:space="0"/>
              <w:left w:val="nil"/>
              <w:bottom w:val="single" w:color="000000" w:sz="8" w:space="0"/>
              <w:right w:val="single" w:color="000000" w:sz="8" w:space="0"/>
            </w:tcBorders>
          </w:tcPr>
          <w:p w14:paraId="35123A92">
            <w:pPr>
              <w:wordWrap w:val="0"/>
              <w:rPr>
                <w:rFonts w:ascii="宋体" w:hAnsi="宋体"/>
                <w:szCs w:val="21"/>
              </w:rPr>
            </w:pPr>
            <w:r>
              <w:rPr>
                <w:rFonts w:hint="eastAsia" w:ascii="宋体" w:hAnsi="宋体"/>
              </w:rPr>
              <w:t>4</w:t>
            </w:r>
          </w:p>
        </w:tc>
        <w:tc>
          <w:tcPr>
            <w:tcW w:w="4196" w:type="dxa"/>
            <w:tcBorders>
              <w:top w:val="single" w:color="000000" w:sz="8" w:space="0"/>
              <w:left w:val="nil"/>
              <w:bottom w:val="single" w:color="000000" w:sz="8" w:space="0"/>
              <w:right w:val="single" w:color="000000" w:sz="8" w:space="0"/>
            </w:tcBorders>
          </w:tcPr>
          <w:p w14:paraId="6D1B9FAE">
            <w:pPr>
              <w:wordWrap w:val="0"/>
              <w:rPr>
                <w:rFonts w:ascii="宋体" w:hAnsi="宋体"/>
                <w:b/>
                <w:szCs w:val="21"/>
              </w:rPr>
            </w:pPr>
            <w:r>
              <w:rPr>
                <w:rFonts w:hint="eastAsia" w:ascii="宋体" w:hAnsi="宋体"/>
                <w:b/>
              </w:rPr>
              <w:t>（一）评分内容：</w:t>
            </w:r>
          </w:p>
          <w:p w14:paraId="1047427D">
            <w:pPr>
              <w:wordWrap w:val="0"/>
              <w:rPr>
                <w:rFonts w:ascii="宋体" w:hAnsi="宋体"/>
                <w:bCs/>
              </w:rPr>
            </w:pPr>
            <w:r>
              <w:rPr>
                <w:rFonts w:hint="eastAsia" w:ascii="宋体" w:hAnsi="宋体"/>
                <w:bCs/>
              </w:rPr>
              <w:t>结合招标文件的要求，考察针对本项目的项目应急方案，方案包括以下内容：</w:t>
            </w:r>
          </w:p>
          <w:p w14:paraId="38DE865F">
            <w:pPr>
              <w:wordWrap w:val="0"/>
              <w:rPr>
                <w:rFonts w:ascii="宋体" w:hAnsi="宋体"/>
                <w:bCs/>
              </w:rPr>
            </w:pPr>
            <w:r>
              <w:rPr>
                <w:rFonts w:hint="eastAsia" w:ascii="宋体" w:hAnsi="宋体"/>
                <w:bCs/>
              </w:rPr>
              <w:t>1.投标人应急服务能力介绍；</w:t>
            </w:r>
          </w:p>
          <w:p w14:paraId="2AAF8945">
            <w:pPr>
              <w:wordWrap w:val="0"/>
              <w:rPr>
                <w:rFonts w:ascii="宋体" w:hAnsi="宋体"/>
                <w:bCs/>
              </w:rPr>
            </w:pPr>
            <w:r>
              <w:rPr>
                <w:rFonts w:hint="eastAsia" w:ascii="宋体" w:hAnsi="宋体"/>
                <w:bCs/>
              </w:rPr>
              <w:t>2.应急服务队伍配置情况；</w:t>
            </w:r>
          </w:p>
          <w:p w14:paraId="5F53FB93">
            <w:pPr>
              <w:wordWrap w:val="0"/>
              <w:rPr>
                <w:rFonts w:ascii="宋体" w:hAnsi="宋体"/>
                <w:bCs/>
              </w:rPr>
            </w:pPr>
            <w:r>
              <w:rPr>
                <w:rFonts w:hint="eastAsia" w:ascii="宋体" w:hAnsi="宋体"/>
                <w:bCs/>
              </w:rPr>
              <w:t>3.响应速度、具体实施；</w:t>
            </w:r>
          </w:p>
          <w:p w14:paraId="63983A51">
            <w:pPr>
              <w:wordWrap w:val="0"/>
              <w:rPr>
                <w:rFonts w:ascii="宋体" w:hAnsi="宋体"/>
                <w:bCs/>
              </w:rPr>
            </w:pPr>
            <w:r>
              <w:rPr>
                <w:rFonts w:hint="eastAsia" w:ascii="宋体" w:hAnsi="宋体"/>
                <w:bCs/>
              </w:rPr>
              <w:t>4.项目保障措施；</w:t>
            </w:r>
          </w:p>
          <w:p w14:paraId="36D0A0EC">
            <w:pPr>
              <w:wordWrap w:val="0"/>
              <w:rPr>
                <w:rFonts w:ascii="宋体" w:hAnsi="宋体"/>
                <w:bCs/>
              </w:rPr>
            </w:pPr>
            <w:r>
              <w:rPr>
                <w:rFonts w:hint="eastAsia" w:ascii="宋体" w:hAnsi="宋体"/>
                <w:bCs/>
              </w:rPr>
              <w:t>5.针对食物中毒事件及食品质量问题的预应急处理方案；</w:t>
            </w:r>
          </w:p>
          <w:p w14:paraId="5E705C4B">
            <w:pPr>
              <w:wordWrap w:val="0"/>
              <w:rPr>
                <w:rFonts w:ascii="宋体" w:hAnsi="宋体"/>
                <w:bCs/>
              </w:rPr>
            </w:pPr>
            <w:r>
              <w:rPr>
                <w:rFonts w:hint="eastAsia" w:ascii="宋体" w:hAnsi="宋体"/>
                <w:bCs/>
              </w:rPr>
              <w:t>6.物流配送应急预案。</w:t>
            </w:r>
          </w:p>
          <w:p w14:paraId="05844AD1">
            <w:pPr>
              <w:wordWrap w:val="0"/>
              <w:rPr>
                <w:rFonts w:ascii="宋体" w:hAnsi="宋体"/>
                <w:b/>
              </w:rPr>
            </w:pPr>
            <w:r>
              <w:rPr>
                <w:rFonts w:hint="eastAsia" w:ascii="宋体" w:hAnsi="宋体"/>
                <w:b/>
              </w:rPr>
              <w:t>（二）评分依据：</w:t>
            </w:r>
          </w:p>
          <w:p w14:paraId="4C2F8EC7">
            <w:pPr>
              <w:wordWrap w:val="0"/>
              <w:rPr>
                <w:rFonts w:ascii="宋体" w:hAnsi="宋体"/>
                <w:bCs/>
              </w:rPr>
            </w:pPr>
            <w:r>
              <w:rPr>
                <w:rFonts w:hint="eastAsia" w:ascii="宋体" w:hAnsi="宋体"/>
                <w:bCs/>
              </w:rPr>
              <w:t>提供以上6点内容得</w:t>
            </w:r>
            <w:r>
              <w:rPr>
                <w:rFonts w:hint="eastAsia"/>
                <w:bCs/>
              </w:rPr>
              <w:t>8</w:t>
            </w:r>
            <w:r>
              <w:rPr>
                <w:rFonts w:hint="eastAsia" w:ascii="宋体" w:hAnsi="宋体"/>
                <w:bCs/>
              </w:rPr>
              <w:t>0分，提供5点内容得</w:t>
            </w:r>
            <w:r>
              <w:rPr>
                <w:rFonts w:hint="eastAsia"/>
                <w:bCs/>
              </w:rPr>
              <w:t>6</w:t>
            </w:r>
            <w:r>
              <w:rPr>
                <w:rFonts w:hint="eastAsia" w:ascii="宋体" w:hAnsi="宋体"/>
                <w:bCs/>
              </w:rPr>
              <w:t>0分，提供4点内容得</w:t>
            </w:r>
            <w:r>
              <w:rPr>
                <w:rFonts w:hint="eastAsia"/>
                <w:bCs/>
              </w:rPr>
              <w:t>4</w:t>
            </w:r>
            <w:r>
              <w:rPr>
                <w:rFonts w:hint="eastAsia" w:ascii="宋体" w:hAnsi="宋体"/>
                <w:bCs/>
              </w:rPr>
              <w:t>0分，提供3点内容得20分，提供2点内容得10分，提供1点内容得5分，未体现不得分。</w:t>
            </w:r>
          </w:p>
          <w:p w14:paraId="41231CFA">
            <w:pPr>
              <w:wordWrap w:val="0"/>
              <w:rPr>
                <w:rFonts w:ascii="宋体" w:hAnsi="宋体"/>
                <w:bCs/>
              </w:rPr>
            </w:pPr>
            <w:r>
              <w:rPr>
                <w:rFonts w:hint="eastAsia" w:ascii="宋体" w:hAnsi="宋体"/>
                <w:bCs/>
              </w:rPr>
              <w:t>在此基础上，专家根据内容的合理性进行评分:</w:t>
            </w:r>
          </w:p>
          <w:p w14:paraId="746A2B81">
            <w:pPr>
              <w:wordWrap w:val="0"/>
              <w:rPr>
                <w:rFonts w:ascii="宋体" w:hAnsi="宋体"/>
                <w:bCs/>
              </w:rPr>
            </w:pPr>
            <w:r>
              <w:rPr>
                <w:rFonts w:hint="eastAsia" w:ascii="宋体" w:hAnsi="宋体"/>
                <w:bCs/>
              </w:rPr>
              <w:t>优评分标准: 处理方案完整、详细、科学，及时保质保量配送，可有效消除食物中毒事件及食品安全质量问题的负面影响。</w:t>
            </w:r>
          </w:p>
          <w:p w14:paraId="4D59A033">
            <w:pPr>
              <w:wordWrap w:val="0"/>
              <w:rPr>
                <w:rFonts w:ascii="宋体" w:hAnsi="宋体"/>
                <w:bCs/>
              </w:rPr>
            </w:pPr>
            <w:r>
              <w:rPr>
                <w:rFonts w:hint="eastAsia" w:ascii="宋体" w:hAnsi="宋体"/>
                <w:bCs/>
              </w:rPr>
              <w:t>良评分标准: 处理方案简单，及时保质保量配送，但可有效减轻食物中毒事件及食品质量问题负面影响的。</w:t>
            </w:r>
          </w:p>
          <w:p w14:paraId="5B49A36A">
            <w:pPr>
              <w:wordWrap w:val="0"/>
              <w:rPr>
                <w:rFonts w:ascii="宋体" w:hAnsi="宋体"/>
                <w:bCs/>
              </w:rPr>
            </w:pPr>
            <w:r>
              <w:rPr>
                <w:rFonts w:hint="eastAsia" w:ascii="宋体" w:hAnsi="宋体"/>
                <w:bCs/>
              </w:rPr>
              <w:t>中评分标准：处理方案较为简单，保质保量配送,但可有效减轻食物中毒事件及食品质量问题负面影响的。</w:t>
            </w:r>
          </w:p>
          <w:p w14:paraId="1B738793">
            <w:pPr>
              <w:wordWrap w:val="0"/>
              <w:rPr>
                <w:rFonts w:ascii="宋体" w:hAnsi="宋体"/>
                <w:bCs/>
              </w:rPr>
            </w:pPr>
            <w:r>
              <w:rPr>
                <w:rFonts w:hint="eastAsia" w:ascii="宋体" w:hAnsi="宋体"/>
                <w:bCs/>
              </w:rPr>
              <w:t>差评分标准: 处理方案不完整或存在明显缺漏或未提供相关内容的不得分。</w:t>
            </w:r>
          </w:p>
          <w:p w14:paraId="6BA4FB33">
            <w:pPr>
              <w:wordWrap w:val="0"/>
              <w:rPr>
                <w:rFonts w:ascii="宋体" w:hAnsi="宋体"/>
                <w:bCs/>
              </w:rPr>
            </w:pPr>
            <w:r>
              <w:rPr>
                <w:rFonts w:hint="eastAsia" w:ascii="宋体" w:hAnsi="宋体"/>
                <w:bCs/>
              </w:rPr>
              <w:t>评价为优得</w:t>
            </w:r>
            <w:r>
              <w:rPr>
                <w:rFonts w:hint="eastAsia"/>
                <w:bCs/>
              </w:rPr>
              <w:t>2</w:t>
            </w:r>
            <w:r>
              <w:rPr>
                <w:rFonts w:hint="eastAsia" w:ascii="宋体" w:hAnsi="宋体"/>
                <w:bCs/>
              </w:rPr>
              <w:t>0分；</w:t>
            </w:r>
          </w:p>
          <w:p w14:paraId="62BDF06B">
            <w:pPr>
              <w:wordWrap w:val="0"/>
              <w:rPr>
                <w:rFonts w:ascii="宋体" w:hAnsi="宋体"/>
                <w:bCs/>
              </w:rPr>
            </w:pPr>
            <w:r>
              <w:rPr>
                <w:rFonts w:hint="eastAsia" w:ascii="宋体" w:hAnsi="宋体"/>
                <w:bCs/>
              </w:rPr>
              <w:t>评价为良得</w:t>
            </w:r>
            <w:r>
              <w:rPr>
                <w:rFonts w:hint="eastAsia"/>
                <w:bCs/>
              </w:rPr>
              <w:t>1</w:t>
            </w:r>
            <w:r>
              <w:rPr>
                <w:rFonts w:hint="eastAsia" w:ascii="宋体" w:hAnsi="宋体"/>
                <w:bCs/>
              </w:rPr>
              <w:t>0分；</w:t>
            </w:r>
          </w:p>
          <w:p w14:paraId="3B09D19E">
            <w:pPr>
              <w:wordWrap w:val="0"/>
              <w:rPr>
                <w:rFonts w:ascii="宋体" w:hAnsi="宋体"/>
                <w:bCs/>
              </w:rPr>
            </w:pPr>
            <w:r>
              <w:rPr>
                <w:rFonts w:hint="eastAsia" w:ascii="宋体" w:hAnsi="宋体"/>
                <w:bCs/>
              </w:rPr>
              <w:t>评价为中得</w:t>
            </w:r>
            <w:r>
              <w:rPr>
                <w:rFonts w:hint="eastAsia"/>
                <w:bCs/>
              </w:rPr>
              <w:t>5</w:t>
            </w:r>
            <w:r>
              <w:rPr>
                <w:rFonts w:hint="eastAsia" w:ascii="宋体" w:hAnsi="宋体"/>
                <w:bCs/>
              </w:rPr>
              <w:t>分；</w:t>
            </w:r>
          </w:p>
          <w:p w14:paraId="3CCAE78F">
            <w:pPr>
              <w:wordWrap w:val="0"/>
              <w:rPr>
                <w:rFonts w:ascii="宋体" w:hAnsi="宋体"/>
                <w:szCs w:val="21"/>
              </w:rPr>
            </w:pPr>
            <w:r>
              <w:rPr>
                <w:rFonts w:hint="eastAsia" w:ascii="宋体" w:hAnsi="宋体"/>
                <w:bCs/>
              </w:rPr>
              <w:t xml:space="preserve">评价为差不得分。如评审为差，评审专家须书面说明理由，并记录在档。 </w:t>
            </w:r>
          </w:p>
        </w:tc>
      </w:tr>
      <w:tr w14:paraId="6ADC57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34F3667A">
            <w:pPr>
              <w:widowControl/>
              <w:jc w:val="left"/>
              <w:rPr>
                <w:rFonts w:ascii="宋体" w:hAnsi="宋体"/>
                <w:b/>
                <w:bCs/>
                <w:color w:val="0000FF"/>
                <w:sz w:val="24"/>
              </w:rPr>
            </w:pPr>
          </w:p>
        </w:tc>
        <w:tc>
          <w:tcPr>
            <w:tcW w:w="680" w:type="dxa"/>
            <w:tcBorders>
              <w:top w:val="single" w:color="000000" w:sz="8" w:space="0"/>
              <w:left w:val="nil"/>
              <w:bottom w:val="single" w:color="000000" w:sz="8" w:space="0"/>
              <w:right w:val="single" w:color="000000" w:sz="8" w:space="0"/>
            </w:tcBorders>
          </w:tcPr>
          <w:p w14:paraId="636A4ECE">
            <w:pPr>
              <w:wordWrap w:val="0"/>
              <w:jc w:val="center"/>
              <w:rPr>
                <w:rFonts w:ascii="宋体" w:hAnsi="宋体"/>
                <w:szCs w:val="21"/>
              </w:rPr>
            </w:pPr>
            <w:r>
              <w:rPr>
                <w:rFonts w:hint="eastAsia" w:ascii="宋体" w:hAnsi="宋体"/>
              </w:rPr>
              <w:t>4</w:t>
            </w:r>
          </w:p>
        </w:tc>
        <w:tc>
          <w:tcPr>
            <w:tcW w:w="2835" w:type="dxa"/>
            <w:tcBorders>
              <w:top w:val="single" w:color="000000" w:sz="8" w:space="0"/>
              <w:left w:val="nil"/>
              <w:bottom w:val="single" w:color="000000" w:sz="8" w:space="0"/>
              <w:right w:val="single" w:color="000000" w:sz="8" w:space="0"/>
            </w:tcBorders>
          </w:tcPr>
          <w:p w14:paraId="1882CEC6">
            <w:pPr>
              <w:wordWrap w:val="0"/>
              <w:rPr>
                <w:rFonts w:ascii="宋体" w:hAnsi="宋体"/>
                <w:szCs w:val="21"/>
              </w:rPr>
            </w:pPr>
            <w:r>
              <w:rPr>
                <w:rFonts w:hint="eastAsia" w:ascii="宋体" w:hAnsi="宋体"/>
                <w:bCs/>
              </w:rPr>
              <w:t>食品安全保险及公众责任险</w:t>
            </w:r>
          </w:p>
        </w:tc>
        <w:tc>
          <w:tcPr>
            <w:tcW w:w="681" w:type="dxa"/>
            <w:tcBorders>
              <w:top w:val="single" w:color="000000" w:sz="8" w:space="0"/>
              <w:left w:val="nil"/>
              <w:bottom w:val="single" w:color="000000" w:sz="8" w:space="0"/>
              <w:right w:val="single" w:color="000000" w:sz="8" w:space="0"/>
            </w:tcBorders>
          </w:tcPr>
          <w:p w14:paraId="19FDF608">
            <w:pPr>
              <w:wordWrap w:val="0"/>
              <w:jc w:val="center"/>
              <w:rPr>
                <w:rFonts w:ascii="宋体" w:hAnsi="宋体"/>
                <w:szCs w:val="21"/>
              </w:rPr>
            </w:pPr>
            <w:r>
              <w:rPr>
                <w:rFonts w:hint="eastAsia" w:ascii="宋体" w:hAnsi="宋体"/>
              </w:rPr>
              <w:t>5</w:t>
            </w:r>
          </w:p>
        </w:tc>
        <w:tc>
          <w:tcPr>
            <w:tcW w:w="4196" w:type="dxa"/>
            <w:tcBorders>
              <w:top w:val="single" w:color="000000" w:sz="8" w:space="0"/>
              <w:left w:val="nil"/>
              <w:bottom w:val="single" w:color="000000" w:sz="8" w:space="0"/>
              <w:right w:val="single" w:color="000000" w:sz="8" w:space="0"/>
            </w:tcBorders>
          </w:tcPr>
          <w:p w14:paraId="08D721EA">
            <w:pPr>
              <w:wordWrap w:val="0"/>
              <w:rPr>
                <w:rFonts w:ascii="宋体" w:hAnsi="宋体"/>
                <w:b/>
                <w:szCs w:val="21"/>
              </w:rPr>
            </w:pPr>
            <w:r>
              <w:rPr>
                <w:rFonts w:hint="eastAsia" w:ascii="宋体" w:hAnsi="宋体"/>
                <w:b/>
              </w:rPr>
              <w:t>（一）评分内容：</w:t>
            </w:r>
          </w:p>
          <w:p w14:paraId="7472F8E7">
            <w:pPr>
              <w:wordWrap w:val="0"/>
              <w:rPr>
                <w:rFonts w:ascii="宋体" w:hAnsi="宋体"/>
                <w:bCs/>
              </w:rPr>
            </w:pPr>
            <w:r>
              <w:rPr>
                <w:rFonts w:hint="eastAsia" w:ascii="宋体" w:hAnsi="宋体"/>
                <w:bCs/>
              </w:rPr>
              <w:t>1.投标人购买相关食品安全责任险（需在保险期内）：</w:t>
            </w:r>
          </w:p>
          <w:p w14:paraId="6688439C">
            <w:pPr>
              <w:widowControl/>
              <w:jc w:val="left"/>
              <w:rPr>
                <w:rFonts w:ascii="宋体" w:hAnsi="宋体"/>
                <w:bCs/>
              </w:rPr>
            </w:pPr>
            <w:r>
              <w:rPr>
                <w:rFonts w:hint="eastAsia" w:ascii="宋体" w:hAnsi="宋体"/>
                <w:bCs/>
              </w:rPr>
              <w:t>（1）年总保额在</w:t>
            </w:r>
            <w:r>
              <w:rPr>
                <w:rFonts w:hint="eastAsia"/>
                <w:bCs/>
              </w:rPr>
              <w:t>3</w:t>
            </w:r>
            <w:r>
              <w:rPr>
                <w:rFonts w:hint="eastAsia" w:ascii="宋体" w:hAnsi="宋体"/>
                <w:bCs/>
              </w:rPr>
              <w:t>亿元（含）以上，且每次事故赔偿额≥1亿元，得50分；</w:t>
            </w:r>
          </w:p>
          <w:p w14:paraId="5F01E035">
            <w:pPr>
              <w:wordWrap w:val="0"/>
              <w:rPr>
                <w:rFonts w:ascii="宋体" w:hAnsi="宋体"/>
                <w:bCs/>
              </w:rPr>
            </w:pPr>
            <w:r>
              <w:rPr>
                <w:rFonts w:hint="eastAsia" w:ascii="宋体" w:hAnsi="宋体"/>
                <w:bCs/>
              </w:rPr>
              <w:t>（2）年总保额在</w:t>
            </w:r>
            <w:r>
              <w:rPr>
                <w:rFonts w:hint="eastAsia"/>
                <w:bCs/>
              </w:rPr>
              <w:t>1</w:t>
            </w:r>
            <w:r>
              <w:rPr>
                <w:rFonts w:hint="eastAsia" w:ascii="宋体" w:hAnsi="宋体"/>
                <w:bCs/>
              </w:rPr>
              <w:t>亿元（含）-</w:t>
            </w:r>
            <w:r>
              <w:rPr>
                <w:rFonts w:hint="eastAsia"/>
                <w:bCs/>
              </w:rPr>
              <w:t>3</w:t>
            </w:r>
            <w:r>
              <w:rPr>
                <w:rFonts w:hint="eastAsia" w:ascii="宋体" w:hAnsi="宋体"/>
                <w:bCs/>
              </w:rPr>
              <w:t>亿元（不含），且每次事故赔偿额≥5000万元，得20分；</w:t>
            </w:r>
          </w:p>
          <w:p w14:paraId="2663ED02">
            <w:pPr>
              <w:wordWrap w:val="0"/>
              <w:rPr>
                <w:rFonts w:ascii="宋体" w:hAnsi="宋体"/>
                <w:bCs/>
              </w:rPr>
            </w:pPr>
            <w:r>
              <w:rPr>
                <w:rFonts w:hint="eastAsia" w:ascii="宋体" w:hAnsi="宋体"/>
                <w:bCs/>
              </w:rPr>
              <w:t>（3）年总保额在5000万（含）-</w:t>
            </w:r>
            <w:r>
              <w:rPr>
                <w:rFonts w:hint="eastAsia"/>
                <w:bCs/>
              </w:rPr>
              <w:t>1</w:t>
            </w:r>
            <w:r>
              <w:rPr>
                <w:rFonts w:hint="eastAsia" w:ascii="宋体" w:hAnsi="宋体"/>
                <w:bCs/>
              </w:rPr>
              <w:t>亿元（不含），且每次事故赔偿额≥1000万元，得10分；</w:t>
            </w:r>
          </w:p>
          <w:p w14:paraId="53B91520">
            <w:pPr>
              <w:wordWrap w:val="0"/>
              <w:rPr>
                <w:rFonts w:ascii="宋体" w:hAnsi="宋体"/>
                <w:bCs/>
              </w:rPr>
            </w:pPr>
            <w:r>
              <w:rPr>
                <w:rFonts w:hint="eastAsia" w:ascii="宋体" w:hAnsi="宋体"/>
                <w:bCs/>
              </w:rPr>
              <w:t>（4）其他不得分。</w:t>
            </w:r>
          </w:p>
          <w:p w14:paraId="5AD8C5C3">
            <w:pPr>
              <w:wordWrap w:val="0"/>
              <w:rPr>
                <w:rFonts w:ascii="宋体" w:hAnsi="宋体"/>
                <w:bCs/>
              </w:rPr>
            </w:pPr>
            <w:r>
              <w:rPr>
                <w:rFonts w:hint="eastAsia" w:ascii="宋体" w:hAnsi="宋体"/>
                <w:bCs/>
              </w:rPr>
              <w:t>提供多个保险投保金额不累计。</w:t>
            </w:r>
          </w:p>
          <w:p w14:paraId="269FFD5B">
            <w:pPr>
              <w:wordWrap w:val="0"/>
              <w:rPr>
                <w:rFonts w:ascii="宋体" w:hAnsi="宋体"/>
                <w:bCs/>
              </w:rPr>
            </w:pPr>
            <w:r>
              <w:rPr>
                <w:rFonts w:hint="eastAsia" w:ascii="宋体" w:hAnsi="宋体"/>
                <w:bCs/>
              </w:rPr>
              <w:t>2.投标人购买相关公众责任险（需在保险期内）：</w:t>
            </w:r>
          </w:p>
          <w:p w14:paraId="612A23D6">
            <w:pPr>
              <w:wordWrap w:val="0"/>
              <w:rPr>
                <w:rFonts w:ascii="宋体" w:hAnsi="宋体"/>
                <w:bCs/>
              </w:rPr>
            </w:pPr>
            <w:r>
              <w:rPr>
                <w:rFonts w:hint="eastAsia" w:ascii="宋体" w:hAnsi="宋体"/>
                <w:bCs/>
              </w:rPr>
              <w:t>（1）年总保额在</w:t>
            </w:r>
            <w:r>
              <w:rPr>
                <w:rFonts w:hint="eastAsia"/>
                <w:bCs/>
              </w:rPr>
              <w:t>3</w:t>
            </w:r>
            <w:r>
              <w:rPr>
                <w:rFonts w:hint="eastAsia" w:ascii="宋体" w:hAnsi="宋体"/>
                <w:bCs/>
              </w:rPr>
              <w:t>亿元（含）以上，且每次事故赔偿额≥5000万元，得50分；</w:t>
            </w:r>
          </w:p>
          <w:p w14:paraId="03244FE7">
            <w:pPr>
              <w:wordWrap w:val="0"/>
              <w:rPr>
                <w:rFonts w:ascii="宋体" w:hAnsi="宋体"/>
                <w:bCs/>
              </w:rPr>
            </w:pPr>
            <w:r>
              <w:rPr>
                <w:rFonts w:hint="eastAsia" w:ascii="宋体" w:hAnsi="宋体"/>
                <w:bCs/>
              </w:rPr>
              <w:t>（2）年总保额在</w:t>
            </w:r>
            <w:r>
              <w:rPr>
                <w:rFonts w:hint="eastAsia"/>
                <w:bCs/>
              </w:rPr>
              <w:t>1</w:t>
            </w:r>
            <w:r>
              <w:rPr>
                <w:rFonts w:hint="eastAsia" w:ascii="宋体" w:hAnsi="宋体"/>
                <w:bCs/>
              </w:rPr>
              <w:t>亿元（含）-</w:t>
            </w:r>
            <w:r>
              <w:rPr>
                <w:rFonts w:hint="eastAsia"/>
                <w:bCs/>
              </w:rPr>
              <w:t>3</w:t>
            </w:r>
            <w:r>
              <w:rPr>
                <w:rFonts w:hint="eastAsia" w:ascii="宋体" w:hAnsi="宋体"/>
                <w:bCs/>
              </w:rPr>
              <w:t>亿元（不含），且每次事故赔偿额≥2000万元，得20分；</w:t>
            </w:r>
          </w:p>
          <w:p w14:paraId="5FDDA572">
            <w:pPr>
              <w:wordWrap w:val="0"/>
              <w:rPr>
                <w:rFonts w:ascii="宋体" w:hAnsi="宋体"/>
                <w:bCs/>
              </w:rPr>
            </w:pPr>
            <w:r>
              <w:rPr>
                <w:rFonts w:hint="eastAsia" w:ascii="宋体" w:hAnsi="宋体"/>
                <w:bCs/>
              </w:rPr>
              <w:t>（3）年总保额在5000万（含）-</w:t>
            </w:r>
            <w:r>
              <w:rPr>
                <w:rFonts w:hint="eastAsia"/>
                <w:bCs/>
              </w:rPr>
              <w:t>1</w:t>
            </w:r>
            <w:r>
              <w:rPr>
                <w:rFonts w:hint="eastAsia" w:ascii="宋体" w:hAnsi="宋体"/>
                <w:bCs/>
              </w:rPr>
              <w:t>亿元（不含），且每次事故赔偿额≥1000万元，得10分；</w:t>
            </w:r>
          </w:p>
          <w:p w14:paraId="0DB1FCA2">
            <w:pPr>
              <w:wordWrap w:val="0"/>
              <w:rPr>
                <w:rFonts w:ascii="宋体" w:hAnsi="宋体"/>
                <w:bCs/>
              </w:rPr>
            </w:pPr>
            <w:r>
              <w:rPr>
                <w:rFonts w:hint="eastAsia" w:ascii="宋体" w:hAnsi="宋体"/>
                <w:bCs/>
              </w:rPr>
              <w:t>（4）其他不得分。</w:t>
            </w:r>
          </w:p>
          <w:p w14:paraId="1DAE1DD6">
            <w:pPr>
              <w:wordWrap w:val="0"/>
              <w:rPr>
                <w:rFonts w:ascii="宋体" w:hAnsi="宋体"/>
                <w:bCs/>
              </w:rPr>
            </w:pPr>
            <w:r>
              <w:rPr>
                <w:rFonts w:hint="eastAsia" w:ascii="宋体" w:hAnsi="宋体"/>
                <w:bCs/>
              </w:rPr>
              <w:t>提供多个保险投保金额不累计。</w:t>
            </w:r>
          </w:p>
          <w:p w14:paraId="6F47B338">
            <w:pPr>
              <w:numPr>
                <w:ilvl w:val="0"/>
                <w:numId w:val="7"/>
              </w:numPr>
              <w:wordWrap w:val="0"/>
              <w:ind w:left="422" w:hanging="422"/>
              <w:rPr>
                <w:rFonts w:ascii="宋体" w:hAnsi="宋体"/>
                <w:b/>
              </w:rPr>
            </w:pPr>
            <w:r>
              <w:rPr>
                <w:rFonts w:hint="eastAsia" w:ascii="宋体" w:hAnsi="宋体"/>
                <w:b/>
              </w:rPr>
              <w:t>评分依据：</w:t>
            </w:r>
          </w:p>
          <w:p w14:paraId="3ED157F0">
            <w:pPr>
              <w:wordWrap w:val="0"/>
              <w:rPr>
                <w:rFonts w:ascii="宋体" w:hAnsi="宋体"/>
                <w:szCs w:val="21"/>
              </w:rPr>
            </w:pPr>
            <w:r>
              <w:rPr>
                <w:rFonts w:hint="eastAsia" w:ascii="宋体" w:hAnsi="宋体"/>
                <w:bCs/>
              </w:rPr>
              <w:t>提供购买的食品安全责任险和公众责任险投保单扫描件或合同扫描件，同时提供保险购买发票及付款凭证扫描件；原件备查。未按要求提供或提供不清晰导致专家无法判断的均不得分。</w:t>
            </w:r>
          </w:p>
        </w:tc>
      </w:tr>
      <w:tr w14:paraId="05DC2A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546DE80D">
            <w:pPr>
              <w:widowControl/>
              <w:jc w:val="left"/>
              <w:rPr>
                <w:rFonts w:ascii="宋体" w:hAnsi="宋体"/>
                <w:b/>
                <w:bCs/>
                <w:color w:val="0000FF"/>
                <w:sz w:val="24"/>
              </w:rPr>
            </w:pPr>
          </w:p>
        </w:tc>
        <w:tc>
          <w:tcPr>
            <w:tcW w:w="680" w:type="dxa"/>
            <w:tcBorders>
              <w:top w:val="single" w:color="000000" w:sz="8" w:space="0"/>
              <w:left w:val="nil"/>
              <w:bottom w:val="single" w:color="000000" w:sz="8" w:space="0"/>
              <w:right w:val="single" w:color="000000" w:sz="8" w:space="0"/>
            </w:tcBorders>
          </w:tcPr>
          <w:p w14:paraId="6BCD2502">
            <w:pPr>
              <w:wordWrap w:val="0"/>
              <w:jc w:val="center"/>
              <w:rPr>
                <w:rFonts w:ascii="宋体" w:hAnsi="宋体"/>
                <w:szCs w:val="21"/>
              </w:rPr>
            </w:pPr>
            <w:r>
              <w:rPr>
                <w:rFonts w:hint="eastAsia" w:ascii="宋体" w:hAnsi="宋体"/>
              </w:rPr>
              <w:t>5</w:t>
            </w:r>
          </w:p>
        </w:tc>
        <w:tc>
          <w:tcPr>
            <w:tcW w:w="2835" w:type="dxa"/>
            <w:tcBorders>
              <w:top w:val="single" w:color="000000" w:sz="8" w:space="0"/>
              <w:left w:val="nil"/>
              <w:bottom w:val="single" w:color="000000" w:sz="8" w:space="0"/>
              <w:right w:val="single" w:color="000000" w:sz="8" w:space="0"/>
            </w:tcBorders>
          </w:tcPr>
          <w:p w14:paraId="33299AA7">
            <w:pPr>
              <w:wordWrap w:val="0"/>
              <w:rPr>
                <w:rFonts w:ascii="宋体" w:hAnsi="宋体"/>
                <w:szCs w:val="21"/>
              </w:rPr>
            </w:pPr>
            <w:r>
              <w:rPr>
                <w:rFonts w:hint="eastAsia" w:ascii="宋体" w:hAnsi="宋体"/>
                <w:bCs/>
              </w:rPr>
              <w:t>冷库存储空间</w:t>
            </w:r>
          </w:p>
        </w:tc>
        <w:tc>
          <w:tcPr>
            <w:tcW w:w="681" w:type="dxa"/>
            <w:tcBorders>
              <w:top w:val="single" w:color="000000" w:sz="8" w:space="0"/>
              <w:left w:val="nil"/>
              <w:bottom w:val="single" w:color="000000" w:sz="8" w:space="0"/>
              <w:right w:val="single" w:color="000000" w:sz="8" w:space="0"/>
            </w:tcBorders>
          </w:tcPr>
          <w:p w14:paraId="46CB1D46">
            <w:pPr>
              <w:wordWrap w:val="0"/>
              <w:jc w:val="center"/>
              <w:rPr>
                <w:rFonts w:ascii="宋体" w:hAnsi="宋体"/>
                <w:szCs w:val="21"/>
              </w:rPr>
            </w:pPr>
            <w:r>
              <w:rPr>
                <w:rFonts w:hint="eastAsia" w:ascii="宋体" w:hAnsi="宋体"/>
              </w:rPr>
              <w:t>4</w:t>
            </w:r>
          </w:p>
        </w:tc>
        <w:tc>
          <w:tcPr>
            <w:tcW w:w="4196" w:type="dxa"/>
            <w:tcBorders>
              <w:top w:val="single" w:color="000000" w:sz="8" w:space="0"/>
              <w:left w:val="nil"/>
              <w:bottom w:val="single" w:color="000000" w:sz="8" w:space="0"/>
              <w:right w:val="single" w:color="000000" w:sz="8" w:space="0"/>
            </w:tcBorders>
          </w:tcPr>
          <w:p w14:paraId="7E8AAAFA">
            <w:pPr>
              <w:wordWrap w:val="0"/>
              <w:rPr>
                <w:rFonts w:ascii="宋体" w:hAnsi="宋体"/>
                <w:bCs/>
                <w:szCs w:val="21"/>
              </w:rPr>
            </w:pPr>
            <w:r>
              <w:rPr>
                <w:rFonts w:hint="eastAsia" w:ascii="宋体" w:hAnsi="宋体"/>
                <w:b/>
              </w:rPr>
              <w:t>（一）评分内容：</w:t>
            </w:r>
            <w:r>
              <w:rPr>
                <w:rFonts w:hint="eastAsia" w:ascii="宋体" w:hAnsi="宋体"/>
                <w:bCs/>
              </w:rPr>
              <w:br w:type="textWrapping"/>
            </w:r>
            <w:r>
              <w:rPr>
                <w:rFonts w:hint="eastAsia" w:ascii="宋体" w:hAnsi="宋体"/>
                <w:bCs/>
              </w:rPr>
              <w:t>投标人拟投入本项目的自有或租赁冷库【含冷冻（或急冻）和冷藏（或保鲜）】面积：</w:t>
            </w:r>
            <w:r>
              <w:rPr>
                <w:rFonts w:hint="eastAsia" w:ascii="宋体" w:hAnsi="宋体"/>
                <w:bCs/>
              </w:rPr>
              <w:br w:type="textWrapping"/>
            </w:r>
            <w:r>
              <w:rPr>
                <w:rFonts w:hint="eastAsia" w:ascii="宋体" w:hAnsi="宋体"/>
                <w:bCs/>
              </w:rPr>
              <w:t>（1）面积</w:t>
            </w:r>
            <w:bookmarkStart w:id="0" w:name="OLE_LINK16"/>
            <w:r>
              <w:rPr>
                <w:rFonts w:hint="eastAsia" w:ascii="宋体" w:hAnsi="宋体"/>
                <w:bCs/>
              </w:rPr>
              <w:t>2000平方米</w:t>
            </w:r>
            <w:bookmarkEnd w:id="0"/>
            <w:r>
              <w:rPr>
                <w:rFonts w:hint="eastAsia" w:ascii="宋体" w:hAnsi="宋体"/>
                <w:bCs/>
              </w:rPr>
              <w:t>（含）以上的得100分；</w:t>
            </w:r>
            <w:r>
              <w:rPr>
                <w:rFonts w:hint="eastAsia" w:ascii="宋体" w:hAnsi="宋体"/>
                <w:bCs/>
              </w:rPr>
              <w:br w:type="textWrapping"/>
            </w:r>
            <w:r>
              <w:rPr>
                <w:rFonts w:hint="eastAsia" w:ascii="宋体" w:hAnsi="宋体"/>
                <w:bCs/>
              </w:rPr>
              <w:t>（2）1000平方米≤面积＜2000平方米的得50分；</w:t>
            </w:r>
          </w:p>
          <w:p w14:paraId="3EE90D0A">
            <w:pPr>
              <w:wordWrap w:val="0"/>
              <w:rPr>
                <w:rFonts w:ascii="宋体" w:hAnsi="宋体"/>
                <w:bCs/>
              </w:rPr>
            </w:pPr>
            <w:r>
              <w:rPr>
                <w:rFonts w:hint="eastAsia" w:ascii="宋体" w:hAnsi="宋体"/>
                <w:bCs/>
              </w:rPr>
              <w:t>（3）面积500平方米≤面积＜1000平方米得10分；</w:t>
            </w:r>
          </w:p>
          <w:p w14:paraId="2EB2DA7D">
            <w:pPr>
              <w:wordWrap w:val="0"/>
              <w:rPr>
                <w:rFonts w:ascii="宋体" w:hAnsi="宋体"/>
                <w:b/>
              </w:rPr>
            </w:pPr>
            <w:r>
              <w:rPr>
                <w:rFonts w:hint="eastAsia" w:ascii="宋体" w:hAnsi="宋体"/>
                <w:bCs/>
              </w:rPr>
              <w:t>（4）其余情况不得分。</w:t>
            </w:r>
            <w:r>
              <w:rPr>
                <w:rFonts w:hint="eastAsia" w:ascii="宋体" w:hAnsi="宋体"/>
                <w:bCs/>
              </w:rPr>
              <w:br w:type="textWrapping"/>
            </w:r>
            <w:r>
              <w:rPr>
                <w:rFonts w:hint="eastAsia" w:ascii="宋体" w:hAnsi="宋体"/>
                <w:bCs/>
              </w:rPr>
              <w:t>提供多个冷库面积可累计。</w:t>
            </w:r>
          </w:p>
          <w:p w14:paraId="5546473D">
            <w:pPr>
              <w:rPr>
                <w:rFonts w:ascii="宋体" w:hAnsi="宋体"/>
                <w:szCs w:val="21"/>
              </w:rPr>
            </w:pPr>
            <w:r>
              <w:rPr>
                <w:rFonts w:hint="eastAsia" w:ascii="宋体" w:hAnsi="宋体"/>
                <w:b/>
              </w:rPr>
              <w:t>（二）评分依据：</w:t>
            </w:r>
            <w:r>
              <w:rPr>
                <w:rFonts w:hint="eastAsia" w:ascii="宋体" w:hAnsi="宋体"/>
                <w:b/>
              </w:rPr>
              <w:br w:type="textWrapping"/>
            </w:r>
            <w:r>
              <w:rPr>
                <w:rFonts w:hint="eastAsia" w:ascii="宋体" w:hAnsi="宋体"/>
                <w:bCs/>
              </w:rPr>
              <w:t>（1）若提供的是自有冷库须同时提供以下证明材料扫描件，原件备查：</w:t>
            </w:r>
            <w:bookmarkStart w:id="1" w:name="OLE_LINK49"/>
            <w:r>
              <w:rPr>
                <w:rFonts w:hint="eastAsia" w:ascii="宋体" w:hAnsi="宋体"/>
                <w:bCs/>
              </w:rPr>
              <w:t>冷库</w:t>
            </w:r>
            <w:bookmarkEnd w:id="1"/>
            <w:r>
              <w:rPr>
                <w:rFonts w:hint="eastAsia" w:ascii="宋体" w:hAnsi="宋体"/>
                <w:bCs/>
              </w:rPr>
              <w:t>工程建设合同（或冷库施工合同或冷库转让合同或冷库工程竣工验收报告）、有效的（近一年内第三方机构出具的）冷库温度校准证明文件、</w:t>
            </w:r>
            <w:r>
              <w:rPr>
                <w:rFonts w:hint="eastAsia" w:ascii="宋体" w:hAnsi="宋体"/>
              </w:rPr>
              <w:t>冷库现场图片3-5张</w:t>
            </w:r>
            <w:r>
              <w:rPr>
                <w:rFonts w:hint="eastAsia" w:ascii="宋体" w:hAnsi="宋体"/>
                <w:bCs/>
              </w:rPr>
              <w:t>；</w:t>
            </w:r>
            <w:r>
              <w:rPr>
                <w:rFonts w:hint="eastAsia" w:ascii="宋体" w:hAnsi="宋体"/>
                <w:bCs/>
              </w:rPr>
              <w:br w:type="textWrapping"/>
            </w:r>
            <w:r>
              <w:rPr>
                <w:rFonts w:hint="eastAsia" w:ascii="宋体" w:hAnsi="宋体"/>
                <w:bCs/>
              </w:rPr>
              <w:t>（2）若提供的是租赁冷库需同时提供以下证明材料扫描件，原件备查：冷库租赁合同、近三个月内任意一个月的租赁费用发票、付款凭证、有效的（近一年内第三方机构出具的）冷库温度校准证明文件、</w:t>
            </w:r>
            <w:r>
              <w:rPr>
                <w:rFonts w:hint="eastAsia" w:ascii="宋体" w:hAnsi="宋体"/>
              </w:rPr>
              <w:t>冷库现场图片3-5张</w:t>
            </w:r>
            <w:r>
              <w:rPr>
                <w:rFonts w:hint="eastAsia" w:ascii="宋体" w:hAnsi="宋体"/>
                <w:bCs/>
              </w:rPr>
              <w:t>；</w:t>
            </w:r>
            <w:r>
              <w:rPr>
                <w:rFonts w:hint="eastAsia" w:ascii="宋体" w:hAnsi="宋体"/>
                <w:bCs/>
              </w:rPr>
              <w:br w:type="textWrapping"/>
            </w:r>
            <w:r>
              <w:rPr>
                <w:rFonts w:hint="eastAsia" w:ascii="宋体" w:hAnsi="宋体"/>
                <w:bCs/>
              </w:rPr>
              <w:t>（3）须提供第三方出具冷库建筑面积的面积测绘报告为证明材料，若面积单位为立方米或其他单位的，投标人须提供换算为平方米的证明材料。</w:t>
            </w:r>
            <w:r>
              <w:rPr>
                <w:rFonts w:hint="eastAsia" w:ascii="宋体" w:hAnsi="宋体"/>
                <w:bCs/>
              </w:rPr>
              <w:br w:type="textWrapping"/>
            </w:r>
            <w:r>
              <w:rPr>
                <w:rFonts w:hint="eastAsia" w:ascii="宋体" w:hAnsi="宋体"/>
                <w:bCs/>
              </w:rPr>
              <w:t>备注：以上资料均要求提供扫描件，原件备查。未按要求提供或提供不清晰导致专家无法判断的均不得分。</w:t>
            </w:r>
          </w:p>
        </w:tc>
      </w:tr>
      <w:tr w14:paraId="06F0AF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6CB451C6">
            <w:pPr>
              <w:widowControl/>
              <w:jc w:val="left"/>
              <w:rPr>
                <w:rFonts w:ascii="宋体" w:hAnsi="宋体"/>
                <w:b/>
                <w:bCs/>
                <w:color w:val="0000FF"/>
                <w:sz w:val="24"/>
              </w:rPr>
            </w:pPr>
          </w:p>
        </w:tc>
        <w:tc>
          <w:tcPr>
            <w:tcW w:w="680" w:type="dxa"/>
            <w:tcBorders>
              <w:top w:val="single" w:color="000000" w:sz="8" w:space="0"/>
              <w:left w:val="nil"/>
              <w:bottom w:val="single" w:color="000000" w:sz="8" w:space="0"/>
              <w:right w:val="single" w:color="000000" w:sz="8" w:space="0"/>
            </w:tcBorders>
          </w:tcPr>
          <w:p w14:paraId="7C6A91BE">
            <w:pPr>
              <w:wordWrap w:val="0"/>
              <w:jc w:val="center"/>
              <w:rPr>
                <w:rFonts w:ascii="宋体" w:hAnsi="宋体"/>
                <w:szCs w:val="21"/>
              </w:rPr>
            </w:pPr>
            <w:r>
              <w:rPr>
                <w:rFonts w:hint="eastAsia" w:ascii="宋体" w:hAnsi="宋体"/>
              </w:rPr>
              <w:t>6</w:t>
            </w:r>
          </w:p>
        </w:tc>
        <w:tc>
          <w:tcPr>
            <w:tcW w:w="2835" w:type="dxa"/>
            <w:tcBorders>
              <w:top w:val="single" w:color="000000" w:sz="8" w:space="0"/>
              <w:left w:val="nil"/>
              <w:bottom w:val="single" w:color="000000" w:sz="8" w:space="0"/>
              <w:right w:val="single" w:color="000000" w:sz="8" w:space="0"/>
            </w:tcBorders>
          </w:tcPr>
          <w:p w14:paraId="5EA6ADBB">
            <w:pPr>
              <w:wordWrap w:val="0"/>
              <w:rPr>
                <w:rFonts w:ascii="宋体" w:hAnsi="宋体"/>
                <w:bCs/>
                <w:color w:val="FF0000"/>
                <w:szCs w:val="21"/>
              </w:rPr>
            </w:pPr>
            <w:r>
              <w:rPr>
                <w:rFonts w:hint="eastAsia" w:ascii="宋体" w:hAnsi="宋体"/>
              </w:rPr>
              <w:t>生产基地情况</w:t>
            </w:r>
          </w:p>
        </w:tc>
        <w:tc>
          <w:tcPr>
            <w:tcW w:w="681" w:type="dxa"/>
            <w:tcBorders>
              <w:top w:val="single" w:color="000000" w:sz="8" w:space="0"/>
              <w:left w:val="nil"/>
              <w:bottom w:val="single" w:color="000000" w:sz="8" w:space="0"/>
              <w:right w:val="single" w:color="000000" w:sz="8" w:space="0"/>
            </w:tcBorders>
          </w:tcPr>
          <w:p w14:paraId="56712AD9">
            <w:pPr>
              <w:wordWrap w:val="0"/>
              <w:jc w:val="center"/>
              <w:rPr>
                <w:rFonts w:ascii="宋体" w:hAnsi="宋体"/>
                <w:szCs w:val="21"/>
              </w:rPr>
            </w:pPr>
            <w:r>
              <w:rPr>
                <w:rFonts w:hint="eastAsia" w:ascii="宋体" w:hAnsi="宋体"/>
              </w:rPr>
              <w:t>8</w:t>
            </w:r>
          </w:p>
        </w:tc>
        <w:tc>
          <w:tcPr>
            <w:tcW w:w="4196" w:type="dxa"/>
            <w:tcBorders>
              <w:top w:val="single" w:color="000000" w:sz="8" w:space="0"/>
              <w:left w:val="nil"/>
              <w:bottom w:val="single" w:color="000000" w:sz="8" w:space="0"/>
              <w:right w:val="single" w:color="000000" w:sz="8" w:space="0"/>
            </w:tcBorders>
          </w:tcPr>
          <w:p w14:paraId="08EF8033">
            <w:pPr>
              <w:wordWrap w:val="0"/>
              <w:rPr>
                <w:rFonts w:ascii="宋体" w:hAnsi="宋体"/>
                <w:bCs/>
                <w:szCs w:val="21"/>
              </w:rPr>
            </w:pPr>
            <w:r>
              <w:rPr>
                <w:rFonts w:hint="eastAsia" w:ascii="宋体" w:hAnsi="宋体"/>
                <w:b/>
              </w:rPr>
              <w:t>（一）评分内容：</w:t>
            </w:r>
            <w:r>
              <w:rPr>
                <w:rFonts w:hint="eastAsia" w:ascii="宋体" w:hAnsi="宋体"/>
                <w:b/>
              </w:rPr>
              <w:br w:type="textWrapping"/>
            </w:r>
            <w:r>
              <w:rPr>
                <w:rFonts w:hint="eastAsia" w:ascii="宋体" w:hAnsi="宋体"/>
                <w:bCs/>
              </w:rPr>
              <w:t>1.根据投标人拥有（自有、租赁或合作）的</w:t>
            </w:r>
            <w:r>
              <w:rPr>
                <w:rFonts w:hint="eastAsia" w:ascii="宋体" w:hAnsi="宋体"/>
              </w:rPr>
              <w:t>生产基地</w:t>
            </w:r>
            <w:r>
              <w:rPr>
                <w:rFonts w:hint="eastAsia" w:ascii="宋体" w:hAnsi="宋体"/>
                <w:bCs/>
              </w:rPr>
              <w:t>情况进行评分：</w:t>
            </w:r>
          </w:p>
          <w:p w14:paraId="561B8058">
            <w:pPr>
              <w:wordWrap w:val="0"/>
              <w:rPr>
                <w:rFonts w:ascii="宋体" w:hAnsi="宋体"/>
                <w:bCs/>
              </w:rPr>
            </w:pPr>
            <w:r>
              <w:rPr>
                <w:rFonts w:hint="eastAsia" w:ascii="宋体" w:hAnsi="宋体"/>
                <w:bCs/>
              </w:rPr>
              <w:t>（1）面积≥3000亩的得25分；</w:t>
            </w:r>
          </w:p>
          <w:p w14:paraId="64713F6E">
            <w:pPr>
              <w:wordWrap w:val="0"/>
              <w:rPr>
                <w:rFonts w:ascii="宋体" w:hAnsi="宋体"/>
                <w:bCs/>
              </w:rPr>
            </w:pPr>
            <w:r>
              <w:rPr>
                <w:rFonts w:hint="eastAsia" w:ascii="宋体" w:hAnsi="宋体"/>
                <w:bCs/>
              </w:rPr>
              <w:t>（2）2000亩≤面积＜3000亩的得15分；</w:t>
            </w:r>
          </w:p>
          <w:p w14:paraId="095099C6">
            <w:pPr>
              <w:wordWrap w:val="0"/>
              <w:rPr>
                <w:rFonts w:ascii="宋体" w:hAnsi="宋体"/>
                <w:bCs/>
              </w:rPr>
            </w:pPr>
            <w:r>
              <w:rPr>
                <w:rFonts w:hint="eastAsia" w:ascii="宋体" w:hAnsi="宋体"/>
                <w:bCs/>
              </w:rPr>
              <w:t>（3）1000亩≤面积＜2000亩的得10分；</w:t>
            </w:r>
          </w:p>
          <w:p w14:paraId="26935D3E">
            <w:pPr>
              <w:wordWrap w:val="0"/>
              <w:rPr>
                <w:rFonts w:ascii="宋体" w:hAnsi="宋体"/>
                <w:bCs/>
              </w:rPr>
            </w:pPr>
            <w:r>
              <w:rPr>
                <w:rFonts w:hint="eastAsia" w:ascii="宋体" w:hAnsi="宋体"/>
                <w:bCs/>
              </w:rPr>
              <w:t>（4）面积&lt;1000亩的得5分；</w:t>
            </w:r>
          </w:p>
          <w:p w14:paraId="0998AA71">
            <w:pPr>
              <w:wordWrap w:val="0"/>
              <w:rPr>
                <w:rFonts w:ascii="宋体" w:hAnsi="宋体"/>
                <w:bCs/>
              </w:rPr>
            </w:pPr>
            <w:r>
              <w:rPr>
                <w:rFonts w:hint="eastAsia" w:ascii="宋体" w:hAnsi="宋体"/>
                <w:bCs/>
              </w:rPr>
              <w:t>（5）不具备或不提供的不得分。</w:t>
            </w:r>
          </w:p>
          <w:p w14:paraId="7D4EE502">
            <w:pPr>
              <w:wordWrap w:val="0"/>
              <w:rPr>
                <w:rFonts w:ascii="宋体" w:hAnsi="宋体"/>
                <w:bCs/>
              </w:rPr>
            </w:pPr>
            <w:r>
              <w:rPr>
                <w:rFonts w:hint="eastAsia"/>
              </w:rPr>
              <w:t>2</w:t>
            </w:r>
            <w:r>
              <w:rPr>
                <w:rFonts w:hint="eastAsia" w:ascii="宋体" w:hAnsi="宋体"/>
              </w:rPr>
              <w:t>、</w:t>
            </w:r>
            <w:r>
              <w:rPr>
                <w:rFonts w:hint="eastAsia" w:ascii="宋体" w:hAnsi="宋体"/>
                <w:bCs/>
              </w:rPr>
              <w:t>根据投标人拟用于本项目生产基地2024年7月1日至本项目投标截止日（以报告出具日期为准）具有的CMA 认证资质的第三方检测机构出具的报告情况进行评分：</w:t>
            </w:r>
          </w:p>
          <w:p w14:paraId="31417D54">
            <w:pPr>
              <w:widowControl/>
              <w:jc w:val="left"/>
              <w:rPr>
                <w:rFonts w:ascii="宋体" w:hAnsi="宋体"/>
                <w:bCs/>
              </w:rPr>
            </w:pPr>
            <w:r>
              <w:rPr>
                <w:rFonts w:hint="eastAsia" w:ascii="宋体" w:hAnsi="宋体"/>
                <w:bCs/>
              </w:rPr>
              <w:t>（1）具有灌溉水检测报告的，检测报告需同时包含以下检测项目(pH值、化学需氧量、铅（或“总铅”）、镉（或“总镉”）、</w:t>
            </w:r>
            <w:r>
              <w:rPr>
                <w:rFonts w:ascii="瀹嬩綋" w:hAnsi="瀹嬩綋"/>
                <w:color w:val="000000"/>
                <w:kern w:val="0"/>
              </w:rPr>
              <w:t>全盐量、</w:t>
            </w:r>
            <w:r>
              <w:rPr>
                <w:rFonts w:hint="eastAsia" w:ascii="宋体" w:hAnsi="宋体"/>
                <w:bCs/>
              </w:rPr>
              <w:t>粪大肠菌群），且以上检测项目检测结果需“达标”或“合格”或“符合”或同等描述的得25分，如检测项目出现“-”“/”类结论的不计分；</w:t>
            </w:r>
          </w:p>
          <w:p w14:paraId="66ED44A4">
            <w:pPr>
              <w:wordWrap w:val="0"/>
              <w:rPr>
                <w:rFonts w:ascii="宋体" w:hAnsi="宋体"/>
                <w:bCs/>
              </w:rPr>
            </w:pPr>
            <w:r>
              <w:rPr>
                <w:rFonts w:hint="eastAsia" w:ascii="宋体" w:hAnsi="宋体"/>
                <w:bCs/>
              </w:rPr>
              <w:t>（2）具有基地土壤检测报告的，检测报告需同时包含以下检测项目（锌、总汞(或“汞”)、总砷（或“砷”）、六六六（总量）、苯并（a）芘、滴滴涕（总量）），且以上检测项目检测结果需“达标”或“合格”或“符合”或同等描述得25分，如检测项目出现“-”“/”类结论的不计分；</w:t>
            </w:r>
          </w:p>
          <w:p w14:paraId="6EB8DFA7">
            <w:pPr>
              <w:wordWrap w:val="0"/>
              <w:rPr>
                <w:rFonts w:ascii="宋体" w:hAnsi="宋体"/>
                <w:bCs/>
              </w:rPr>
            </w:pPr>
            <w:r>
              <w:rPr>
                <w:rFonts w:hint="eastAsia" w:ascii="宋体" w:hAnsi="宋体"/>
              </w:rPr>
              <w:t>（</w:t>
            </w:r>
            <w:r>
              <w:rPr>
                <w:rFonts w:hint="eastAsia"/>
              </w:rPr>
              <w:t>3</w:t>
            </w:r>
            <w:r>
              <w:rPr>
                <w:rFonts w:hint="eastAsia" w:ascii="宋体" w:hAnsi="宋体"/>
              </w:rPr>
              <w:t>）</w:t>
            </w:r>
            <w:r>
              <w:rPr>
                <w:rFonts w:hint="eastAsia" w:ascii="宋体" w:hAnsi="宋体"/>
                <w:bCs/>
              </w:rPr>
              <w:t>具有基地空气检测报告的，检测报告需同时包含以下检测项目（二氧化氮、二氧化硫、总悬浮颗粒物、臭氧、苯并[a]芘、氟化物），且以上检测项目检测结果需“达标”或“合格”或“符合”或同等描述得25分，如检测项目出现“-”“/”类结论的不计分；</w:t>
            </w:r>
          </w:p>
          <w:p w14:paraId="3B144A96">
            <w:pPr>
              <w:wordWrap w:val="0"/>
              <w:rPr>
                <w:rFonts w:ascii="宋体" w:hAnsi="宋体"/>
                <w:bCs/>
              </w:rPr>
            </w:pPr>
            <w:r>
              <w:rPr>
                <w:rFonts w:hint="eastAsia" w:ascii="宋体" w:hAnsi="宋体"/>
                <w:b/>
              </w:rPr>
              <w:t>（二）评分依据：</w:t>
            </w:r>
            <w:r>
              <w:rPr>
                <w:rFonts w:hint="eastAsia" w:ascii="宋体" w:hAnsi="宋体"/>
                <w:b/>
              </w:rPr>
              <w:br w:type="textWrapping"/>
            </w:r>
            <w:r>
              <w:rPr>
                <w:rFonts w:hint="eastAsia" w:ascii="宋体" w:hAnsi="宋体"/>
                <w:bCs/>
              </w:rPr>
              <w:t>1.提供自有基地土地证明文件或土地租赁合同（协议）、</w:t>
            </w:r>
            <w:r>
              <w:rPr>
                <w:rFonts w:hint="eastAsia" w:ascii="宋体" w:hAnsi="宋体"/>
              </w:rPr>
              <w:t>生产基地现场图片3-5张。如生产基地为租赁的，还需提供近一年来任意一次租赁费用发票或付款凭证</w:t>
            </w:r>
            <w:r>
              <w:rPr>
                <w:rFonts w:hint="eastAsia" w:ascii="宋体" w:hAnsi="宋体"/>
                <w:bCs/>
              </w:rPr>
              <w:t>。</w:t>
            </w:r>
          </w:p>
          <w:p w14:paraId="66D9053D">
            <w:pPr>
              <w:wordWrap w:val="0"/>
              <w:rPr>
                <w:rFonts w:ascii="宋体" w:hAnsi="宋体"/>
                <w:bCs/>
              </w:rPr>
            </w:pPr>
            <w:r>
              <w:rPr>
                <w:rFonts w:hint="eastAsia" w:ascii="宋体" w:hAnsi="宋体"/>
                <w:bCs/>
              </w:rPr>
              <w:t>2.提供具有CMA印章的检测报告扫描件和第三方机构的CMA印章认证资质证书，检测报告应在全国认证认可信息公共服务平台（http://cx.cnca.cn/）上进行查询，提供查询截图且查询报告编号一致；</w:t>
            </w:r>
          </w:p>
          <w:p w14:paraId="47A06B2E">
            <w:pPr>
              <w:rPr>
                <w:rFonts w:ascii="宋体" w:hAnsi="宋体"/>
                <w:b/>
                <w:color w:val="FF0000"/>
                <w:szCs w:val="21"/>
              </w:rPr>
            </w:pPr>
            <w:r>
              <w:rPr>
                <w:rFonts w:hint="eastAsia" w:ascii="宋体" w:hAnsi="宋体"/>
                <w:bCs/>
              </w:rPr>
              <w:t>3.以上资料均要求提供扫描件，原件备查。未按要求提供或提供不清晰导致专家无法判断的均不得分。</w:t>
            </w:r>
          </w:p>
        </w:tc>
      </w:tr>
      <w:tr w14:paraId="7AED97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2FF0F095">
            <w:pPr>
              <w:widowControl/>
              <w:jc w:val="left"/>
              <w:rPr>
                <w:rFonts w:ascii="宋体" w:hAnsi="宋体"/>
                <w:b/>
                <w:bCs/>
                <w:color w:val="0000FF"/>
                <w:sz w:val="24"/>
              </w:rPr>
            </w:pPr>
          </w:p>
        </w:tc>
        <w:tc>
          <w:tcPr>
            <w:tcW w:w="680" w:type="dxa"/>
            <w:tcBorders>
              <w:top w:val="single" w:color="000000" w:sz="8" w:space="0"/>
              <w:left w:val="nil"/>
              <w:bottom w:val="single" w:color="000000" w:sz="8" w:space="0"/>
              <w:right w:val="single" w:color="000000" w:sz="8" w:space="0"/>
            </w:tcBorders>
          </w:tcPr>
          <w:p w14:paraId="44A5B6CF">
            <w:pPr>
              <w:wordWrap w:val="0"/>
              <w:jc w:val="center"/>
              <w:rPr>
                <w:rFonts w:ascii="宋体" w:hAnsi="宋体"/>
                <w:szCs w:val="21"/>
              </w:rPr>
            </w:pPr>
            <w:r>
              <w:rPr>
                <w:rFonts w:hint="eastAsia" w:ascii="宋体" w:hAnsi="宋体"/>
              </w:rPr>
              <w:t>7</w:t>
            </w:r>
          </w:p>
        </w:tc>
        <w:tc>
          <w:tcPr>
            <w:tcW w:w="2835" w:type="dxa"/>
            <w:tcBorders>
              <w:top w:val="single" w:color="000000" w:sz="8" w:space="0"/>
              <w:left w:val="nil"/>
              <w:bottom w:val="single" w:color="000000" w:sz="8" w:space="0"/>
              <w:right w:val="single" w:color="000000" w:sz="8" w:space="0"/>
            </w:tcBorders>
          </w:tcPr>
          <w:p w14:paraId="3D83317D">
            <w:pPr>
              <w:wordWrap w:val="0"/>
              <w:rPr>
                <w:rFonts w:ascii="宋体" w:hAnsi="宋体"/>
                <w:color w:val="FF0000"/>
                <w:szCs w:val="21"/>
              </w:rPr>
            </w:pPr>
            <w:r>
              <w:rPr>
                <w:rFonts w:hint="eastAsia" w:ascii="宋体" w:hAnsi="宋体"/>
              </w:rPr>
              <w:t>作业场所</w:t>
            </w:r>
          </w:p>
        </w:tc>
        <w:tc>
          <w:tcPr>
            <w:tcW w:w="681" w:type="dxa"/>
            <w:tcBorders>
              <w:top w:val="single" w:color="000000" w:sz="8" w:space="0"/>
              <w:left w:val="nil"/>
              <w:bottom w:val="single" w:color="000000" w:sz="8" w:space="0"/>
              <w:right w:val="single" w:color="000000" w:sz="8" w:space="0"/>
            </w:tcBorders>
          </w:tcPr>
          <w:p w14:paraId="4FCE4494">
            <w:pPr>
              <w:wordWrap w:val="0"/>
              <w:jc w:val="center"/>
              <w:rPr>
                <w:rFonts w:ascii="宋体" w:hAnsi="宋体"/>
                <w:szCs w:val="21"/>
              </w:rPr>
            </w:pPr>
            <w:r>
              <w:rPr>
                <w:rFonts w:hint="eastAsia" w:ascii="宋体" w:hAnsi="宋体"/>
              </w:rPr>
              <w:t>5</w:t>
            </w:r>
          </w:p>
        </w:tc>
        <w:tc>
          <w:tcPr>
            <w:tcW w:w="4196" w:type="dxa"/>
            <w:tcBorders>
              <w:top w:val="single" w:color="000000" w:sz="8" w:space="0"/>
              <w:left w:val="nil"/>
              <w:bottom w:val="single" w:color="000000" w:sz="8" w:space="0"/>
              <w:right w:val="single" w:color="000000" w:sz="8" w:space="0"/>
            </w:tcBorders>
          </w:tcPr>
          <w:p w14:paraId="2982F5BF">
            <w:pPr>
              <w:widowControl/>
              <w:jc w:val="left"/>
              <w:rPr>
                <w:rFonts w:ascii="宋体" w:hAnsi="宋体"/>
                <w:bCs/>
                <w:szCs w:val="21"/>
              </w:rPr>
            </w:pPr>
            <w:r>
              <w:rPr>
                <w:rFonts w:hint="eastAsia" w:ascii="宋体" w:hAnsi="宋体"/>
                <w:b/>
              </w:rPr>
              <w:t>（一）评分内容：</w:t>
            </w:r>
            <w:r>
              <w:rPr>
                <w:rFonts w:hint="eastAsia" w:ascii="宋体" w:hAnsi="宋体"/>
                <w:b/>
              </w:rPr>
              <w:br w:type="textWrapping"/>
            </w:r>
            <w:r>
              <w:rPr>
                <w:rFonts w:hint="eastAsia" w:ascii="宋体" w:hAnsi="宋体"/>
                <w:bCs/>
              </w:rPr>
              <w:t>投标人自有或租赁的</w:t>
            </w:r>
            <w:r>
              <w:rPr>
                <w:rFonts w:hint="eastAsia" w:ascii="宋体" w:hAnsi="宋体"/>
              </w:rPr>
              <w:t>作业场所</w:t>
            </w:r>
            <w:r>
              <w:rPr>
                <w:rFonts w:hint="eastAsia" w:ascii="宋体" w:hAnsi="宋体"/>
                <w:bCs/>
              </w:rPr>
              <w:t>面积：</w:t>
            </w:r>
          </w:p>
          <w:p w14:paraId="777DD50A">
            <w:pPr>
              <w:wordWrap w:val="0"/>
              <w:rPr>
                <w:rFonts w:ascii="宋体" w:hAnsi="宋体"/>
                <w:bCs/>
              </w:rPr>
            </w:pPr>
            <w:r>
              <w:rPr>
                <w:rFonts w:hint="eastAsia" w:ascii="宋体" w:hAnsi="宋体"/>
                <w:bCs/>
              </w:rPr>
              <w:t>1.作业场所面积≥</w:t>
            </w:r>
            <w:r>
              <w:rPr>
                <w:rFonts w:hint="eastAsia"/>
                <w:bCs/>
              </w:rPr>
              <w:t>5</w:t>
            </w:r>
            <w:r>
              <w:rPr>
                <w:rFonts w:hint="eastAsia" w:ascii="宋体" w:hAnsi="宋体"/>
                <w:bCs/>
              </w:rPr>
              <w:t>000平方米的得100分；</w:t>
            </w:r>
          </w:p>
          <w:p w14:paraId="797FDC2E">
            <w:pPr>
              <w:wordWrap w:val="0"/>
              <w:rPr>
                <w:rFonts w:ascii="宋体" w:hAnsi="宋体"/>
                <w:bCs/>
              </w:rPr>
            </w:pPr>
            <w:r>
              <w:rPr>
                <w:rFonts w:hint="eastAsia" w:ascii="宋体" w:hAnsi="宋体"/>
                <w:bCs/>
              </w:rPr>
              <w:t>2.</w:t>
            </w:r>
            <w:r>
              <w:rPr>
                <w:rFonts w:hint="eastAsia"/>
                <w:bCs/>
              </w:rPr>
              <w:t>4</w:t>
            </w:r>
            <w:r>
              <w:rPr>
                <w:rFonts w:hint="eastAsia" w:ascii="宋体" w:hAnsi="宋体"/>
                <w:bCs/>
              </w:rPr>
              <w:t>000平方米≤</w:t>
            </w:r>
            <w:r>
              <w:rPr>
                <w:rFonts w:hint="eastAsia" w:ascii="宋体" w:hAnsi="宋体"/>
              </w:rPr>
              <w:t>作业场所</w:t>
            </w:r>
            <w:r>
              <w:rPr>
                <w:rFonts w:hint="eastAsia" w:ascii="宋体" w:hAnsi="宋体"/>
                <w:bCs/>
              </w:rPr>
              <w:t>面积＜</w:t>
            </w:r>
            <w:r>
              <w:rPr>
                <w:rFonts w:hint="eastAsia"/>
                <w:bCs/>
              </w:rPr>
              <w:t>5</w:t>
            </w:r>
            <w:r>
              <w:rPr>
                <w:rFonts w:hint="eastAsia" w:ascii="宋体" w:hAnsi="宋体"/>
                <w:bCs/>
              </w:rPr>
              <w:t>000平方米的得60分；</w:t>
            </w:r>
          </w:p>
          <w:p w14:paraId="3986E901">
            <w:pPr>
              <w:wordWrap w:val="0"/>
              <w:rPr>
                <w:rFonts w:ascii="宋体" w:hAnsi="宋体"/>
                <w:bCs/>
              </w:rPr>
            </w:pPr>
            <w:r>
              <w:rPr>
                <w:rFonts w:hint="eastAsia" w:ascii="宋体" w:hAnsi="宋体"/>
                <w:bCs/>
              </w:rPr>
              <w:t>3.3000平方米≤</w:t>
            </w:r>
            <w:r>
              <w:rPr>
                <w:rFonts w:hint="eastAsia" w:ascii="宋体" w:hAnsi="宋体"/>
              </w:rPr>
              <w:t>作业场所</w:t>
            </w:r>
            <w:r>
              <w:rPr>
                <w:rFonts w:hint="eastAsia" w:ascii="宋体" w:hAnsi="宋体"/>
                <w:bCs/>
              </w:rPr>
              <w:t>面积＜</w:t>
            </w:r>
            <w:r>
              <w:rPr>
                <w:rFonts w:hint="eastAsia"/>
                <w:bCs/>
              </w:rPr>
              <w:t>4</w:t>
            </w:r>
            <w:r>
              <w:rPr>
                <w:rFonts w:hint="eastAsia" w:ascii="宋体" w:hAnsi="宋体"/>
                <w:bCs/>
              </w:rPr>
              <w:t>000平方米的得50分；</w:t>
            </w:r>
          </w:p>
          <w:p w14:paraId="7A0B46A4">
            <w:pPr>
              <w:wordWrap w:val="0"/>
              <w:rPr>
                <w:rFonts w:ascii="宋体" w:hAnsi="宋体"/>
                <w:bCs/>
              </w:rPr>
            </w:pPr>
            <w:r>
              <w:rPr>
                <w:rFonts w:hint="eastAsia" w:ascii="宋体" w:hAnsi="宋体"/>
                <w:bCs/>
              </w:rPr>
              <w:t>4.2000平方米≤</w:t>
            </w:r>
            <w:r>
              <w:rPr>
                <w:rFonts w:hint="eastAsia" w:ascii="宋体" w:hAnsi="宋体"/>
              </w:rPr>
              <w:t>作业场所</w:t>
            </w:r>
            <w:r>
              <w:rPr>
                <w:rFonts w:hint="eastAsia" w:ascii="宋体" w:hAnsi="宋体"/>
                <w:bCs/>
              </w:rPr>
              <w:t>面积＜3000平方米的得30分；</w:t>
            </w:r>
          </w:p>
          <w:p w14:paraId="57E706B0">
            <w:pPr>
              <w:wordWrap w:val="0"/>
              <w:rPr>
                <w:rFonts w:ascii="宋体" w:hAnsi="宋体"/>
                <w:bCs/>
              </w:rPr>
            </w:pPr>
            <w:r>
              <w:rPr>
                <w:rFonts w:hint="eastAsia" w:ascii="宋体" w:hAnsi="宋体"/>
                <w:bCs/>
              </w:rPr>
              <w:t>5.1000平方米≤</w:t>
            </w:r>
            <w:r>
              <w:rPr>
                <w:rFonts w:hint="eastAsia" w:ascii="宋体" w:hAnsi="宋体"/>
              </w:rPr>
              <w:t>作业场所</w:t>
            </w:r>
            <w:r>
              <w:rPr>
                <w:rFonts w:hint="eastAsia" w:ascii="宋体" w:hAnsi="宋体"/>
                <w:bCs/>
              </w:rPr>
              <w:t>面积＜2000平方米的得10分。</w:t>
            </w:r>
          </w:p>
          <w:p w14:paraId="77B19065">
            <w:pPr>
              <w:wordWrap w:val="0"/>
              <w:rPr>
                <w:rFonts w:ascii="宋体" w:hAnsi="宋体"/>
                <w:bCs/>
              </w:rPr>
            </w:pPr>
            <w:r>
              <w:rPr>
                <w:rFonts w:hint="eastAsia" w:ascii="宋体" w:hAnsi="宋体"/>
                <w:bCs/>
              </w:rPr>
              <w:t>6.1000平方米以下或不提供的不得分。</w:t>
            </w:r>
          </w:p>
          <w:p w14:paraId="6D14B6C4">
            <w:pPr>
              <w:wordWrap w:val="0"/>
              <w:rPr>
                <w:rFonts w:ascii="宋体" w:hAnsi="宋体"/>
                <w:bCs/>
              </w:rPr>
            </w:pPr>
            <w:r>
              <w:rPr>
                <w:rFonts w:hint="eastAsia" w:ascii="宋体" w:hAnsi="宋体"/>
                <w:bCs/>
              </w:rPr>
              <w:t>备注：投标人如自有或租赁多个作业场所，面积可累计计算。</w:t>
            </w:r>
            <w:r>
              <w:rPr>
                <w:rFonts w:hint="eastAsia" w:ascii="宋体" w:hAnsi="宋体"/>
                <w:kern w:val="0"/>
              </w:rPr>
              <w:t>本项最高得100分。</w:t>
            </w:r>
          </w:p>
          <w:p w14:paraId="3C455C4F">
            <w:pPr>
              <w:widowControl/>
              <w:jc w:val="left"/>
              <w:rPr>
                <w:rFonts w:ascii="宋体" w:hAnsi="宋体"/>
                <w:bCs/>
              </w:rPr>
            </w:pPr>
            <w:r>
              <w:rPr>
                <w:rFonts w:hint="eastAsia" w:ascii="宋体" w:hAnsi="宋体"/>
                <w:b/>
              </w:rPr>
              <w:t>（二）评分依据：</w:t>
            </w:r>
            <w:r>
              <w:rPr>
                <w:rFonts w:hint="eastAsia" w:ascii="宋体" w:hAnsi="宋体"/>
                <w:b/>
              </w:rPr>
              <w:br w:type="textWrapping"/>
            </w:r>
            <w:r>
              <w:rPr>
                <w:rFonts w:hint="eastAsia" w:ascii="宋体" w:hAnsi="宋体"/>
                <w:bCs/>
              </w:rPr>
              <w:t>1.提供自有房产证明或租赁合同关键页（包括但不限于：合同名称页、合同主要内容页、合同签订日期页、合同双方签字盖章页），近三个月内任意一个月的租赁费用发票或付款凭证、</w:t>
            </w:r>
            <w:r>
              <w:rPr>
                <w:rFonts w:hint="eastAsia" w:ascii="宋体" w:hAnsi="宋体"/>
              </w:rPr>
              <w:t>作业场所</w:t>
            </w:r>
            <w:r>
              <w:rPr>
                <w:rFonts w:hint="eastAsia" w:ascii="宋体" w:hAnsi="宋体"/>
                <w:bCs/>
              </w:rPr>
              <w:t>现场照片三张；</w:t>
            </w:r>
          </w:p>
          <w:p w14:paraId="45435A67">
            <w:pPr>
              <w:rPr>
                <w:rFonts w:ascii="宋体" w:hAnsi="宋体"/>
                <w:bCs/>
                <w:color w:val="FF0000"/>
                <w:szCs w:val="21"/>
              </w:rPr>
            </w:pPr>
            <w:r>
              <w:rPr>
                <w:rFonts w:hint="eastAsia" w:ascii="宋体" w:hAnsi="宋体"/>
                <w:bCs/>
              </w:rPr>
              <w:t>2.以上资料均要求提供扫描件，原件备查。未按要求提供或提供不清晰导致专家无法判断的均不得分。</w:t>
            </w:r>
          </w:p>
        </w:tc>
      </w:tr>
      <w:tr w14:paraId="4A2CF5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3E9E9855">
            <w:pPr>
              <w:widowControl/>
              <w:jc w:val="left"/>
              <w:rPr>
                <w:rFonts w:ascii="宋体" w:hAnsi="宋体"/>
                <w:b/>
                <w:bCs/>
                <w:color w:val="0000FF"/>
                <w:sz w:val="24"/>
              </w:rPr>
            </w:pPr>
          </w:p>
        </w:tc>
        <w:tc>
          <w:tcPr>
            <w:tcW w:w="680" w:type="dxa"/>
            <w:tcBorders>
              <w:top w:val="single" w:color="000000" w:sz="8" w:space="0"/>
              <w:left w:val="nil"/>
              <w:bottom w:val="single" w:color="000000" w:sz="8" w:space="0"/>
              <w:right w:val="single" w:color="000000" w:sz="8" w:space="0"/>
            </w:tcBorders>
          </w:tcPr>
          <w:p w14:paraId="6C6B4C1B">
            <w:pPr>
              <w:wordWrap w:val="0"/>
              <w:jc w:val="center"/>
              <w:rPr>
                <w:rFonts w:ascii="宋体" w:hAnsi="宋体"/>
                <w:szCs w:val="21"/>
              </w:rPr>
            </w:pPr>
            <w:r>
              <w:rPr>
                <w:rFonts w:hint="eastAsia" w:ascii="宋体" w:hAnsi="宋体"/>
              </w:rPr>
              <w:t>8</w:t>
            </w:r>
          </w:p>
        </w:tc>
        <w:tc>
          <w:tcPr>
            <w:tcW w:w="2835" w:type="dxa"/>
            <w:tcBorders>
              <w:top w:val="single" w:color="000000" w:sz="8" w:space="0"/>
              <w:left w:val="nil"/>
              <w:bottom w:val="single" w:color="000000" w:sz="8" w:space="0"/>
              <w:right w:val="single" w:color="000000" w:sz="8" w:space="0"/>
            </w:tcBorders>
          </w:tcPr>
          <w:p w14:paraId="45BFA48C">
            <w:pPr>
              <w:wordWrap w:val="0"/>
              <w:rPr>
                <w:rFonts w:ascii="宋体" w:hAnsi="宋体"/>
                <w:color w:val="FF0000"/>
                <w:szCs w:val="21"/>
              </w:rPr>
            </w:pPr>
            <w:r>
              <w:rPr>
                <w:rFonts w:hint="eastAsia" w:ascii="宋体" w:hAnsi="宋体"/>
              </w:rPr>
              <w:t>配送保障能力</w:t>
            </w:r>
          </w:p>
        </w:tc>
        <w:tc>
          <w:tcPr>
            <w:tcW w:w="681" w:type="dxa"/>
            <w:tcBorders>
              <w:top w:val="single" w:color="000000" w:sz="8" w:space="0"/>
              <w:left w:val="nil"/>
              <w:bottom w:val="single" w:color="000000" w:sz="8" w:space="0"/>
              <w:right w:val="single" w:color="000000" w:sz="8" w:space="0"/>
            </w:tcBorders>
          </w:tcPr>
          <w:p w14:paraId="6CBD354B">
            <w:pPr>
              <w:wordWrap w:val="0"/>
              <w:jc w:val="center"/>
              <w:rPr>
                <w:rFonts w:ascii="宋体" w:hAnsi="宋体"/>
                <w:szCs w:val="21"/>
              </w:rPr>
            </w:pPr>
            <w:r>
              <w:rPr>
                <w:rFonts w:hint="eastAsia" w:ascii="宋体" w:hAnsi="宋体"/>
              </w:rPr>
              <w:t>4</w:t>
            </w:r>
          </w:p>
        </w:tc>
        <w:tc>
          <w:tcPr>
            <w:tcW w:w="4196" w:type="dxa"/>
            <w:tcBorders>
              <w:top w:val="single" w:color="000000" w:sz="8" w:space="0"/>
              <w:left w:val="nil"/>
              <w:bottom w:val="single" w:color="000000" w:sz="8" w:space="0"/>
              <w:right w:val="single" w:color="000000" w:sz="8" w:space="0"/>
            </w:tcBorders>
          </w:tcPr>
          <w:p w14:paraId="3743C07E">
            <w:pPr>
              <w:wordWrap w:val="0"/>
              <w:rPr>
                <w:rFonts w:cs="宋体"/>
                <w:bCs/>
                <w:szCs w:val="21"/>
              </w:rPr>
            </w:pPr>
            <w:r>
              <w:rPr>
                <w:rFonts w:hint="eastAsia" w:ascii="宋体" w:hAnsi="宋体"/>
                <w:b/>
              </w:rPr>
              <w:t>（一）评分内容：</w:t>
            </w:r>
            <w:r>
              <w:rPr>
                <w:rFonts w:hint="eastAsia" w:ascii="宋体" w:hAnsi="宋体"/>
                <w:b/>
              </w:rPr>
              <w:br w:type="textWrapping"/>
            </w:r>
            <w:r>
              <w:rPr>
                <w:rFonts w:hint="eastAsia" w:ascii="宋体" w:hAnsi="宋体"/>
                <w:bCs/>
              </w:rPr>
              <w:t>投标人自有或租赁冷藏车，车辆行驶证的车辆类型应为特殊结构车辆（含重型厢式货车、轻型厢式货车），每提供</w:t>
            </w:r>
            <w:r>
              <w:rPr>
                <w:rFonts w:hint="eastAsia"/>
                <w:bCs/>
              </w:rPr>
              <w:t>1</w:t>
            </w:r>
            <w:r>
              <w:rPr>
                <w:rFonts w:hint="eastAsia" w:ascii="宋体" w:hAnsi="宋体"/>
                <w:bCs/>
              </w:rPr>
              <w:t>辆得</w:t>
            </w:r>
            <w:r>
              <w:rPr>
                <w:rFonts w:hint="eastAsia"/>
                <w:bCs/>
              </w:rPr>
              <w:t>20</w:t>
            </w:r>
            <w:r>
              <w:rPr>
                <w:rFonts w:hint="eastAsia" w:ascii="宋体" w:hAnsi="宋体"/>
                <w:bCs/>
              </w:rPr>
              <w:t>分，本项最高得</w:t>
            </w:r>
            <w:r>
              <w:rPr>
                <w:rFonts w:hint="eastAsia"/>
                <w:bCs/>
              </w:rPr>
              <w:t>100</w:t>
            </w:r>
            <w:r>
              <w:rPr>
                <w:rFonts w:hint="eastAsia" w:ascii="宋体" w:hAnsi="宋体"/>
                <w:bCs/>
              </w:rPr>
              <w:t>分；</w:t>
            </w:r>
          </w:p>
          <w:p w14:paraId="5976AC4A">
            <w:pPr>
              <w:wordWrap w:val="0"/>
              <w:rPr>
                <w:rFonts w:cs="宋体"/>
                <w:bCs/>
              </w:rPr>
            </w:pPr>
            <w:r>
              <w:rPr>
                <w:rFonts w:hint="eastAsia" w:ascii="宋体" w:hAnsi="宋体"/>
                <w:b/>
              </w:rPr>
              <w:t>（二）评分依据：</w:t>
            </w:r>
            <w:r>
              <w:rPr>
                <w:rFonts w:hint="eastAsia" w:ascii="宋体" w:hAnsi="宋体"/>
                <w:b/>
              </w:rPr>
              <w:br w:type="textWrapping"/>
            </w:r>
            <w:r>
              <w:rPr>
                <w:rFonts w:hint="eastAsia" w:ascii="宋体" w:hAnsi="宋体"/>
                <w:bCs/>
              </w:rPr>
              <w:t>（</w:t>
            </w:r>
            <w:r>
              <w:rPr>
                <w:rFonts w:hint="eastAsia"/>
                <w:bCs/>
              </w:rPr>
              <w:t>1</w:t>
            </w:r>
            <w:r>
              <w:rPr>
                <w:rFonts w:hint="eastAsia" w:ascii="宋体" w:hAnsi="宋体"/>
                <w:bCs/>
              </w:rPr>
              <w:t>）若提供的是自有车辆，需同时提供以下证明材料扫描件，原件备查：①车辆照片（需显示车头车尾）、②检验有效期内的自有车辆行驶证或车辆登记证书、③购买发票。</w:t>
            </w:r>
          </w:p>
          <w:p w14:paraId="18301D88">
            <w:pPr>
              <w:wordWrap w:val="0"/>
              <w:rPr>
                <w:rFonts w:cs="宋体"/>
                <w:bCs/>
              </w:rPr>
            </w:pPr>
            <w:r>
              <w:rPr>
                <w:rFonts w:hint="eastAsia" w:ascii="宋体" w:hAnsi="宋体"/>
                <w:bCs/>
              </w:rPr>
              <w:t>（</w:t>
            </w:r>
            <w:r>
              <w:rPr>
                <w:rFonts w:hint="eastAsia"/>
                <w:bCs/>
              </w:rPr>
              <w:t>2</w:t>
            </w:r>
            <w:r>
              <w:rPr>
                <w:rFonts w:hint="eastAsia" w:ascii="宋体" w:hAnsi="宋体"/>
                <w:bCs/>
              </w:rPr>
              <w:t>）若提供的是租赁车辆，需同时提供以下证明材料扫描件，原件备查：①租赁合同（需在服务期内，需体现相关车辆车牌信息）、②车辆照片（需显示车头车尾，车牌号码清晰）、③检验有效期内的车辆行驶证（行驶证归属方需与出租方一致）、④近三个月内任意一个月的租赁车辆费用发票及转账凭证。</w:t>
            </w:r>
          </w:p>
          <w:p w14:paraId="4A262652">
            <w:pPr>
              <w:rPr>
                <w:rFonts w:ascii="宋体" w:hAnsi="宋体"/>
                <w:bCs/>
                <w:color w:val="FF0000"/>
                <w:szCs w:val="21"/>
              </w:rPr>
            </w:pPr>
            <w:r>
              <w:rPr>
                <w:rFonts w:hint="eastAsia" w:ascii="宋体" w:hAnsi="宋体"/>
                <w:bCs/>
              </w:rPr>
              <w:t>备注：以上资料均要求提供扫描件，原件备查。未按要求提供或提供不清晰导致专家无法判断的均不得分。</w:t>
            </w:r>
          </w:p>
        </w:tc>
      </w:tr>
      <w:tr w14:paraId="2D8CF6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00AD1774">
            <w:pPr>
              <w:widowControl/>
              <w:jc w:val="left"/>
              <w:rPr>
                <w:rFonts w:ascii="宋体" w:hAnsi="宋体"/>
                <w:b/>
                <w:bCs/>
                <w:color w:val="0000FF"/>
                <w:sz w:val="24"/>
              </w:rPr>
            </w:pPr>
          </w:p>
        </w:tc>
        <w:tc>
          <w:tcPr>
            <w:tcW w:w="680" w:type="dxa"/>
            <w:tcBorders>
              <w:top w:val="single" w:color="000000" w:sz="8" w:space="0"/>
              <w:left w:val="nil"/>
              <w:bottom w:val="single" w:color="000000" w:sz="8" w:space="0"/>
              <w:right w:val="single" w:color="000000" w:sz="8" w:space="0"/>
            </w:tcBorders>
          </w:tcPr>
          <w:p w14:paraId="0D3106C8">
            <w:pPr>
              <w:wordWrap w:val="0"/>
              <w:jc w:val="center"/>
              <w:rPr>
                <w:rFonts w:ascii="宋体" w:hAnsi="宋体"/>
                <w:szCs w:val="21"/>
              </w:rPr>
            </w:pPr>
            <w:r>
              <w:rPr>
                <w:rFonts w:hint="eastAsia" w:ascii="宋体" w:hAnsi="宋体"/>
              </w:rPr>
              <w:t>9</w:t>
            </w:r>
          </w:p>
        </w:tc>
        <w:tc>
          <w:tcPr>
            <w:tcW w:w="2835" w:type="dxa"/>
            <w:tcBorders>
              <w:top w:val="single" w:color="000000" w:sz="8" w:space="0"/>
              <w:left w:val="nil"/>
              <w:bottom w:val="single" w:color="000000" w:sz="8" w:space="0"/>
              <w:right w:val="single" w:color="000000" w:sz="8" w:space="0"/>
            </w:tcBorders>
          </w:tcPr>
          <w:p w14:paraId="43EEF142">
            <w:pPr>
              <w:wordWrap w:val="0"/>
              <w:rPr>
                <w:rFonts w:ascii="宋体" w:hAnsi="宋体"/>
                <w:color w:val="FF0000"/>
                <w:szCs w:val="21"/>
              </w:rPr>
            </w:pPr>
            <w:r>
              <w:rPr>
                <w:rFonts w:hint="eastAsia" w:ascii="宋体" w:hAnsi="宋体"/>
              </w:rPr>
              <w:t>安全检测报告</w:t>
            </w:r>
          </w:p>
        </w:tc>
        <w:tc>
          <w:tcPr>
            <w:tcW w:w="681" w:type="dxa"/>
            <w:tcBorders>
              <w:top w:val="single" w:color="000000" w:sz="8" w:space="0"/>
              <w:left w:val="nil"/>
              <w:bottom w:val="single" w:color="000000" w:sz="8" w:space="0"/>
              <w:right w:val="single" w:color="000000" w:sz="8" w:space="0"/>
            </w:tcBorders>
          </w:tcPr>
          <w:p w14:paraId="7781BC19">
            <w:pPr>
              <w:wordWrap w:val="0"/>
              <w:jc w:val="center"/>
              <w:rPr>
                <w:rFonts w:ascii="宋体" w:hAnsi="宋体"/>
                <w:color w:val="FF0000"/>
                <w:szCs w:val="21"/>
              </w:rPr>
            </w:pPr>
            <w:r>
              <w:rPr>
                <w:rFonts w:hint="eastAsia" w:ascii="宋体" w:hAnsi="宋体"/>
              </w:rPr>
              <w:t>15</w:t>
            </w:r>
          </w:p>
        </w:tc>
        <w:tc>
          <w:tcPr>
            <w:tcW w:w="4196" w:type="dxa"/>
            <w:tcBorders>
              <w:top w:val="single" w:color="000000" w:sz="8" w:space="0"/>
              <w:left w:val="nil"/>
              <w:bottom w:val="single" w:color="000000" w:sz="8" w:space="0"/>
              <w:right w:val="single" w:color="000000" w:sz="8" w:space="0"/>
            </w:tcBorders>
          </w:tcPr>
          <w:p w14:paraId="182BFCCB">
            <w:pPr>
              <w:rPr>
                <w:rFonts w:ascii="宋体" w:hAnsi="宋体"/>
                <w:b/>
                <w:bCs/>
                <w:szCs w:val="21"/>
              </w:rPr>
            </w:pPr>
            <w:r>
              <w:rPr>
                <w:rFonts w:hint="eastAsia" w:ascii="宋体" w:hAnsi="宋体"/>
                <w:b/>
                <w:bCs/>
              </w:rPr>
              <w:t>（一）评分内容：</w:t>
            </w:r>
          </w:p>
          <w:p w14:paraId="51904F37">
            <w:pPr>
              <w:widowControl/>
              <w:jc w:val="left"/>
              <w:rPr>
                <w:rFonts w:ascii="宋体" w:hAnsi="宋体"/>
                <w:bCs/>
              </w:rPr>
            </w:pPr>
            <w:r>
              <w:rPr>
                <w:rFonts w:hint="eastAsia" w:ascii="宋体" w:hAnsi="宋体"/>
                <w:bCs/>
              </w:rPr>
              <w:t>投标人提供2025年1月1日以后，由具备CMA 和CNAS资质的第三方检测机构出具的以下食材的检测报告（每份报告的检测项目均须包含但不限于以下的检测内容），且检测结果为合格（或符合或达标或未检出或其他同等结论，如检测项目出现“-”“/”类结论的不计分），每提供以下一个品类连续三个月的检测报告的得12分，每提供以下一个种类连续两个月的检测报告的得6分，每提供以下一个种类连续一个月的检测报告的得2分。最高得100分：同一种类不重复得分。</w:t>
            </w:r>
          </w:p>
          <w:p w14:paraId="6FCB153C">
            <w:pPr>
              <w:widowControl/>
              <w:jc w:val="left"/>
              <w:rPr>
                <w:rFonts w:ascii="宋体" w:hAnsi="宋体"/>
                <w:bCs/>
              </w:rPr>
            </w:pPr>
            <w:r>
              <w:rPr>
                <w:rFonts w:hint="eastAsia" w:ascii="宋体" w:hAnsi="宋体"/>
                <w:bCs/>
              </w:rPr>
              <w:t>（1）大米类：</w:t>
            </w:r>
          </w:p>
          <w:p w14:paraId="307B01F3">
            <w:pPr>
              <w:widowControl/>
              <w:jc w:val="left"/>
              <w:rPr>
                <w:rFonts w:ascii="宋体" w:hAnsi="宋体"/>
                <w:bCs/>
              </w:rPr>
            </w:pPr>
            <w:r>
              <w:rPr>
                <w:rFonts w:hint="eastAsia" w:ascii="宋体" w:hAnsi="宋体"/>
                <w:bCs/>
              </w:rPr>
              <w:t>检测项≥15项，且至少包含：镉(以Cd计)、铅(以Pb计)、黄曲霉毒素B1、氯苯甲醚、茚草酮；</w:t>
            </w:r>
          </w:p>
          <w:p w14:paraId="0880D000">
            <w:pPr>
              <w:widowControl/>
              <w:jc w:val="left"/>
              <w:rPr>
                <w:rFonts w:ascii="宋体" w:hAnsi="宋体"/>
                <w:bCs/>
              </w:rPr>
            </w:pPr>
            <w:r>
              <w:rPr>
                <w:rFonts w:hint="eastAsia" w:ascii="宋体" w:hAnsi="宋体"/>
                <w:bCs/>
              </w:rPr>
              <w:t>（2）面粉类：</w:t>
            </w:r>
          </w:p>
          <w:p w14:paraId="068E0D22">
            <w:pPr>
              <w:widowControl/>
              <w:jc w:val="left"/>
              <w:rPr>
                <w:rFonts w:ascii="宋体" w:hAnsi="宋体"/>
                <w:bCs/>
              </w:rPr>
            </w:pPr>
            <w:r>
              <w:rPr>
                <w:rFonts w:hint="eastAsia" w:ascii="宋体" w:hAnsi="宋体"/>
                <w:bCs/>
              </w:rPr>
              <w:t>检测项≥15项，且至少包含：铅（以Pb计）、镉、甲醛次硫酸氢钠(以甲醛计)、磷化铝、巴毒磷；</w:t>
            </w:r>
          </w:p>
          <w:p w14:paraId="6DB153C9">
            <w:pPr>
              <w:widowControl/>
              <w:jc w:val="left"/>
              <w:rPr>
                <w:rFonts w:ascii="宋体" w:hAnsi="宋体"/>
                <w:bCs/>
              </w:rPr>
            </w:pPr>
            <w:r>
              <w:rPr>
                <w:rFonts w:hint="eastAsia" w:ascii="宋体" w:hAnsi="宋体"/>
                <w:bCs/>
              </w:rPr>
              <w:t>（3）食用油类：</w:t>
            </w:r>
          </w:p>
          <w:p w14:paraId="4CD2DA80">
            <w:pPr>
              <w:widowControl/>
              <w:jc w:val="left"/>
              <w:rPr>
                <w:rFonts w:ascii="宋体" w:hAnsi="宋体"/>
                <w:bCs/>
              </w:rPr>
            </w:pPr>
            <w:r>
              <w:rPr>
                <w:rFonts w:hint="eastAsia" w:ascii="宋体" w:hAnsi="宋体"/>
                <w:bCs/>
              </w:rPr>
              <w:t>检测项≥15项，且至少包含：过氧化值、苯并[a]芘、黄曲霉毒素B1、甲氧虫酰肼、特丁基对苯二酚；</w:t>
            </w:r>
          </w:p>
          <w:p w14:paraId="26CEA094">
            <w:pPr>
              <w:widowControl/>
              <w:jc w:val="left"/>
              <w:rPr>
                <w:rFonts w:ascii="宋体" w:hAnsi="宋体"/>
                <w:bCs/>
              </w:rPr>
            </w:pPr>
            <w:r>
              <w:rPr>
                <w:rFonts w:hint="eastAsia" w:ascii="宋体" w:hAnsi="宋体"/>
                <w:bCs/>
              </w:rPr>
              <w:t>（4）调味品类：</w:t>
            </w:r>
          </w:p>
          <w:p w14:paraId="0F1650AD">
            <w:pPr>
              <w:widowControl/>
              <w:jc w:val="left"/>
              <w:rPr>
                <w:rFonts w:ascii="宋体" w:hAnsi="宋体"/>
                <w:bCs/>
              </w:rPr>
            </w:pPr>
            <w:r>
              <w:rPr>
                <w:rFonts w:hint="eastAsia" w:ascii="宋体" w:hAnsi="宋体"/>
                <w:bCs/>
              </w:rPr>
              <w:t>检测项≥15项，且至少包含：苯甲酸及其钠盐（以苯甲酸计）、山梨酸及其钾盐 (以山梨酸计)、二氧化硫残留量、罗丹明B、罂粟碱；</w:t>
            </w:r>
          </w:p>
          <w:p w14:paraId="369AC031">
            <w:pPr>
              <w:widowControl/>
              <w:jc w:val="left"/>
              <w:rPr>
                <w:rFonts w:ascii="宋体" w:hAnsi="宋体"/>
                <w:bCs/>
              </w:rPr>
            </w:pPr>
            <w:r>
              <w:rPr>
                <w:rFonts w:hint="eastAsia" w:ascii="宋体" w:hAnsi="宋体"/>
                <w:bCs/>
              </w:rPr>
              <w:t>（5）肉类：</w:t>
            </w:r>
          </w:p>
          <w:p w14:paraId="2E98672B">
            <w:pPr>
              <w:widowControl/>
              <w:jc w:val="left"/>
              <w:rPr>
                <w:rFonts w:ascii="宋体" w:hAnsi="宋体"/>
                <w:bCs/>
              </w:rPr>
            </w:pPr>
            <w:r>
              <w:rPr>
                <w:rFonts w:hint="eastAsia" w:ascii="宋体" w:hAnsi="宋体"/>
                <w:bCs/>
              </w:rPr>
              <w:t>检测项≥15项，且至少包含：氯霉素、地西泮（安定）、沙丁胺醇、氟甲喹、氯丙嗪；</w:t>
            </w:r>
          </w:p>
          <w:p w14:paraId="6BBAC8B0">
            <w:pPr>
              <w:widowControl/>
              <w:jc w:val="left"/>
              <w:rPr>
                <w:rFonts w:ascii="宋体" w:hAnsi="宋体"/>
                <w:bCs/>
              </w:rPr>
            </w:pPr>
            <w:r>
              <w:rPr>
                <w:rFonts w:hint="eastAsia" w:ascii="宋体" w:hAnsi="宋体"/>
                <w:bCs/>
              </w:rPr>
              <w:t>（6）禽类：</w:t>
            </w:r>
          </w:p>
          <w:p w14:paraId="50B11336">
            <w:pPr>
              <w:widowControl/>
              <w:jc w:val="left"/>
              <w:rPr>
                <w:rFonts w:ascii="宋体" w:hAnsi="宋体"/>
                <w:bCs/>
              </w:rPr>
            </w:pPr>
            <w:r>
              <w:rPr>
                <w:rFonts w:hint="eastAsia" w:ascii="宋体" w:hAnsi="宋体"/>
                <w:bCs/>
              </w:rPr>
              <w:t>检测项≥15项，且至少包含：恩诺沙星残留量、替米考星、硝基呋喃代谢物-A0Z、甲氧苄啶、氯霉素、氯丙嗪；</w:t>
            </w:r>
          </w:p>
          <w:p w14:paraId="5FB1FD15">
            <w:pPr>
              <w:widowControl/>
              <w:jc w:val="left"/>
              <w:rPr>
                <w:rFonts w:ascii="宋体" w:hAnsi="宋体"/>
                <w:bCs/>
              </w:rPr>
            </w:pPr>
            <w:r>
              <w:rPr>
                <w:rFonts w:hint="eastAsia" w:ascii="宋体" w:hAnsi="宋体"/>
                <w:bCs/>
              </w:rPr>
              <w:t>（7）蛋类：</w:t>
            </w:r>
          </w:p>
          <w:p w14:paraId="53B6D7B0">
            <w:pPr>
              <w:widowControl/>
              <w:jc w:val="left"/>
              <w:rPr>
                <w:rFonts w:ascii="宋体" w:hAnsi="宋体"/>
                <w:bCs/>
              </w:rPr>
            </w:pPr>
            <w:r>
              <w:rPr>
                <w:rFonts w:hint="eastAsia" w:ascii="宋体" w:hAnsi="宋体"/>
                <w:bCs/>
              </w:rPr>
              <w:t>检测项≥15项，且至少包含：甲硝唑、地美硝唑、氯霉素、丙溴磷、喷布特罗；</w:t>
            </w:r>
          </w:p>
          <w:p w14:paraId="3710D9B8">
            <w:pPr>
              <w:widowControl/>
              <w:jc w:val="left"/>
              <w:rPr>
                <w:rFonts w:ascii="宋体" w:hAnsi="宋体"/>
                <w:bCs/>
              </w:rPr>
            </w:pPr>
            <w:r>
              <w:rPr>
                <w:rFonts w:hint="eastAsia" w:ascii="宋体" w:hAnsi="宋体"/>
                <w:bCs/>
              </w:rPr>
              <w:t>（8）冻品类：</w:t>
            </w:r>
          </w:p>
          <w:p w14:paraId="10367005">
            <w:pPr>
              <w:widowControl/>
              <w:jc w:val="left"/>
              <w:rPr>
                <w:rFonts w:ascii="宋体" w:hAnsi="宋体"/>
                <w:bCs/>
              </w:rPr>
            </w:pPr>
            <w:r>
              <w:rPr>
                <w:rFonts w:hint="eastAsia" w:ascii="宋体" w:hAnsi="宋体"/>
                <w:bCs/>
              </w:rPr>
              <w:t>检测项≥15项，且至少包含：过氧化值（以脂肪计）、N-二甲基亚硝胺、脱氢乙酸及其钠盐(包括脱氢乙酸,脱氢乙酸钠)（以脱氢乙酸计）、日落黄、诱惑红、</w:t>
            </w:r>
          </w:p>
          <w:p w14:paraId="611A8A6F">
            <w:pPr>
              <w:widowControl/>
              <w:jc w:val="left"/>
              <w:rPr>
                <w:rFonts w:ascii="宋体" w:hAnsi="宋体"/>
                <w:bCs/>
              </w:rPr>
            </w:pPr>
            <w:r>
              <w:rPr>
                <w:rFonts w:hint="eastAsia" w:ascii="宋体" w:hAnsi="宋体"/>
                <w:bCs/>
              </w:rPr>
              <w:t>（9）乳制品类：</w:t>
            </w:r>
          </w:p>
          <w:p w14:paraId="0152193D">
            <w:pPr>
              <w:widowControl/>
              <w:jc w:val="left"/>
              <w:rPr>
                <w:rFonts w:ascii="宋体" w:hAnsi="宋体"/>
                <w:bCs/>
              </w:rPr>
            </w:pPr>
            <w:r>
              <w:rPr>
                <w:rFonts w:hint="eastAsia" w:ascii="宋体" w:hAnsi="宋体"/>
                <w:bCs/>
              </w:rPr>
              <w:t>检测项≥15项，且至少包含：黄曲霉毒素M1、洛美沙星、螺旋霉素、泰乐菌素、三聚氰胺；</w:t>
            </w:r>
          </w:p>
          <w:p w14:paraId="60C06B21">
            <w:pPr>
              <w:widowControl/>
              <w:jc w:val="left"/>
              <w:rPr>
                <w:rFonts w:ascii="宋体" w:hAnsi="宋体"/>
                <w:bCs/>
              </w:rPr>
            </w:pPr>
            <w:r>
              <w:rPr>
                <w:rFonts w:hint="eastAsia" w:ascii="宋体" w:hAnsi="宋体"/>
                <w:bCs/>
              </w:rPr>
              <w:t>（二）评分依据：</w:t>
            </w:r>
          </w:p>
          <w:p w14:paraId="610D12FE">
            <w:pPr>
              <w:widowControl/>
              <w:jc w:val="left"/>
              <w:rPr>
                <w:rFonts w:ascii="宋体" w:hAnsi="宋体"/>
                <w:bCs/>
              </w:rPr>
            </w:pPr>
            <w:r>
              <w:rPr>
                <w:rFonts w:hint="eastAsia" w:ascii="宋体" w:hAnsi="宋体"/>
                <w:bCs/>
              </w:rPr>
              <w:t>1.提供满足要求的检测报告；</w:t>
            </w:r>
          </w:p>
          <w:p w14:paraId="16135D31">
            <w:pPr>
              <w:widowControl/>
              <w:jc w:val="left"/>
              <w:rPr>
                <w:rFonts w:ascii="宋体" w:hAnsi="宋体"/>
                <w:bCs/>
              </w:rPr>
            </w:pPr>
            <w:r>
              <w:rPr>
                <w:rFonts w:hint="eastAsia" w:ascii="宋体" w:hAnsi="宋体"/>
                <w:bCs/>
              </w:rPr>
              <w:t>2.提供检测报告在全国认证认可信息公共服务平台（http://cx.cnca.cn/）上进行查询的截图，且查询编号与检测报告编号必须一致；</w:t>
            </w:r>
          </w:p>
          <w:p w14:paraId="52AEB039">
            <w:pPr>
              <w:widowControl/>
              <w:jc w:val="left"/>
              <w:rPr>
                <w:rFonts w:ascii="宋体" w:hAnsi="宋体"/>
                <w:bCs/>
              </w:rPr>
            </w:pPr>
            <w:r>
              <w:rPr>
                <w:rFonts w:hint="eastAsia" w:ascii="宋体" w:hAnsi="宋体"/>
                <w:bCs/>
              </w:rPr>
              <w:t>3.提供检测机构的CMA和CNAS认证资质证书；</w:t>
            </w:r>
          </w:p>
          <w:p w14:paraId="2DA34960">
            <w:pPr>
              <w:widowControl/>
              <w:jc w:val="left"/>
              <w:rPr>
                <w:rFonts w:ascii="宋体" w:hAnsi="宋体"/>
                <w:bCs/>
              </w:rPr>
            </w:pPr>
            <w:r>
              <w:rPr>
                <w:rFonts w:hint="eastAsia" w:ascii="宋体" w:hAnsi="宋体"/>
                <w:bCs/>
              </w:rPr>
              <w:t>4.检验检测报告的委托单位须为投标人；</w:t>
            </w:r>
          </w:p>
          <w:p w14:paraId="65269DD2">
            <w:pPr>
              <w:widowControl/>
              <w:jc w:val="left"/>
              <w:rPr>
                <w:bCs/>
                <w:color w:val="FF0000"/>
                <w:szCs w:val="21"/>
              </w:rPr>
            </w:pPr>
            <w:r>
              <w:rPr>
                <w:rFonts w:hint="eastAsia" w:ascii="宋体" w:hAnsi="宋体"/>
                <w:bCs/>
              </w:rPr>
              <w:t>提供以上证明文件扫描件，未提供证明材料或者提供的证明材料不符合要求或提供的证明材料不清晰导致评审专家无法辨认的，不得分。</w:t>
            </w:r>
          </w:p>
        </w:tc>
      </w:tr>
      <w:tr w14:paraId="0F2D09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3ED48485">
            <w:pPr>
              <w:widowControl/>
              <w:jc w:val="left"/>
              <w:rPr>
                <w:rFonts w:ascii="宋体" w:hAnsi="宋体"/>
                <w:b/>
                <w:bCs/>
                <w:color w:val="0000FF"/>
                <w:sz w:val="24"/>
              </w:rPr>
            </w:pPr>
          </w:p>
        </w:tc>
        <w:tc>
          <w:tcPr>
            <w:tcW w:w="680" w:type="dxa"/>
            <w:tcBorders>
              <w:top w:val="single" w:color="000000" w:sz="8" w:space="0"/>
              <w:left w:val="nil"/>
              <w:bottom w:val="single" w:color="000000" w:sz="8" w:space="0"/>
              <w:right w:val="single" w:color="000000" w:sz="8" w:space="0"/>
            </w:tcBorders>
          </w:tcPr>
          <w:p w14:paraId="17BC3157">
            <w:pPr>
              <w:wordWrap w:val="0"/>
              <w:jc w:val="center"/>
              <w:rPr>
                <w:rFonts w:ascii="宋体" w:hAnsi="宋体"/>
                <w:szCs w:val="21"/>
              </w:rPr>
            </w:pPr>
            <w:r>
              <w:rPr>
                <w:rFonts w:hint="eastAsia" w:ascii="宋体" w:hAnsi="宋体"/>
              </w:rPr>
              <w:t>10</w:t>
            </w:r>
          </w:p>
        </w:tc>
        <w:tc>
          <w:tcPr>
            <w:tcW w:w="2835" w:type="dxa"/>
            <w:tcBorders>
              <w:top w:val="single" w:color="000000" w:sz="8" w:space="0"/>
              <w:left w:val="nil"/>
              <w:bottom w:val="single" w:color="000000" w:sz="8" w:space="0"/>
              <w:right w:val="single" w:color="000000" w:sz="8" w:space="0"/>
            </w:tcBorders>
          </w:tcPr>
          <w:p w14:paraId="7B10FC73">
            <w:pPr>
              <w:wordWrap w:val="0"/>
              <w:rPr>
                <w:rFonts w:ascii="宋体" w:hAnsi="宋体"/>
                <w:color w:val="FF0000"/>
                <w:szCs w:val="21"/>
              </w:rPr>
            </w:pPr>
            <w:r>
              <w:rPr>
                <w:rFonts w:hint="eastAsia" w:ascii="宋体" w:hAnsi="宋体"/>
              </w:rPr>
              <w:t>信息化能力</w:t>
            </w:r>
          </w:p>
        </w:tc>
        <w:tc>
          <w:tcPr>
            <w:tcW w:w="681" w:type="dxa"/>
            <w:tcBorders>
              <w:top w:val="single" w:color="000000" w:sz="8" w:space="0"/>
              <w:left w:val="nil"/>
              <w:bottom w:val="single" w:color="000000" w:sz="8" w:space="0"/>
              <w:right w:val="single" w:color="000000" w:sz="8" w:space="0"/>
            </w:tcBorders>
          </w:tcPr>
          <w:p w14:paraId="5A545F9D">
            <w:pPr>
              <w:wordWrap w:val="0"/>
              <w:jc w:val="center"/>
              <w:rPr>
                <w:rFonts w:ascii="宋体" w:hAnsi="宋体"/>
                <w:color w:val="FF0000"/>
                <w:szCs w:val="21"/>
              </w:rPr>
            </w:pPr>
            <w:r>
              <w:rPr>
                <w:rFonts w:hint="eastAsia" w:ascii="宋体" w:hAnsi="宋体"/>
              </w:rPr>
              <w:t>3</w:t>
            </w:r>
          </w:p>
        </w:tc>
        <w:tc>
          <w:tcPr>
            <w:tcW w:w="4196" w:type="dxa"/>
            <w:tcBorders>
              <w:top w:val="single" w:color="000000" w:sz="8" w:space="0"/>
              <w:left w:val="nil"/>
              <w:bottom w:val="single" w:color="000000" w:sz="8" w:space="0"/>
              <w:right w:val="single" w:color="000000" w:sz="8" w:space="0"/>
            </w:tcBorders>
          </w:tcPr>
          <w:p w14:paraId="55FB7CD7">
            <w:pPr>
              <w:wordWrap w:val="0"/>
              <w:rPr>
                <w:rFonts w:ascii="宋体" w:hAnsi="宋体"/>
                <w:bCs/>
                <w:szCs w:val="21"/>
              </w:rPr>
            </w:pPr>
            <w:r>
              <w:rPr>
                <w:rFonts w:hint="eastAsia" w:ascii="宋体" w:hAnsi="宋体"/>
                <w:b/>
              </w:rPr>
              <w:t>（一）评分内容：</w:t>
            </w:r>
          </w:p>
          <w:p w14:paraId="2225995D">
            <w:pPr>
              <w:wordWrap w:val="0"/>
              <w:rPr>
                <w:rFonts w:ascii="宋体" w:hAnsi="宋体"/>
                <w:bCs/>
              </w:rPr>
            </w:pPr>
            <w:r>
              <w:rPr>
                <w:rFonts w:hint="eastAsia" w:ascii="宋体" w:hAnsi="宋体"/>
                <w:bCs/>
              </w:rPr>
              <w:t>1、具有自行开发或购买信息化管理类系统的（能体现各类食材订单管理），得50分；</w:t>
            </w:r>
          </w:p>
          <w:p w14:paraId="76FDBC26">
            <w:pPr>
              <w:wordWrap w:val="0"/>
              <w:rPr>
                <w:rFonts w:ascii="宋体" w:hAnsi="宋体"/>
                <w:bCs/>
              </w:rPr>
            </w:pPr>
            <w:r>
              <w:rPr>
                <w:rFonts w:hint="eastAsia" w:ascii="宋体" w:hAnsi="宋体"/>
                <w:bCs/>
              </w:rPr>
              <w:t>2、具有自行开发或购买移动端订单类小程序的（各类食材能直接下订单），得50分。</w:t>
            </w:r>
          </w:p>
          <w:p w14:paraId="204317B3">
            <w:pPr>
              <w:jc w:val="left"/>
              <w:rPr>
                <w:rFonts w:ascii="宋体" w:hAnsi="宋体"/>
                <w:bCs/>
              </w:rPr>
            </w:pPr>
            <w:r>
              <w:rPr>
                <w:rFonts w:hint="eastAsia" w:ascii="宋体" w:hAnsi="宋体"/>
                <w:bCs/>
              </w:rPr>
              <w:t>以上2项累计得分，最高得100分。</w:t>
            </w:r>
          </w:p>
          <w:p w14:paraId="61ADC94A">
            <w:pPr>
              <w:jc w:val="left"/>
              <w:rPr>
                <w:rFonts w:ascii="宋体" w:hAnsi="宋体"/>
              </w:rPr>
            </w:pPr>
            <w:r>
              <w:rPr>
                <w:rFonts w:hint="eastAsia" w:ascii="宋体" w:hAnsi="宋体"/>
                <w:b/>
              </w:rPr>
              <w:t>（二）评分依据：</w:t>
            </w:r>
            <w:r>
              <w:rPr>
                <w:rFonts w:hint="eastAsia" w:ascii="宋体" w:hAnsi="宋体"/>
                <w:b/>
              </w:rPr>
              <w:br w:type="textWrapping"/>
            </w:r>
            <w:r>
              <w:rPr>
                <w:rFonts w:hint="eastAsia" w:ascii="宋体" w:hAnsi="宋体"/>
              </w:rPr>
              <w:t>系统/小程序为自主开发的，提供国家版权局颁发的计算机软件著作权登记证书扫描件，投标人须为著作权人；</w:t>
            </w:r>
          </w:p>
          <w:p w14:paraId="29DC7D03">
            <w:pPr>
              <w:jc w:val="left"/>
              <w:rPr>
                <w:rFonts w:ascii="宋体" w:hAnsi="宋体"/>
              </w:rPr>
            </w:pPr>
            <w:r>
              <w:rPr>
                <w:rFonts w:hint="eastAsia" w:ascii="宋体" w:hAnsi="宋体"/>
              </w:rPr>
              <w:t>系统/小程序为购买或租赁的，需同时提供：</w:t>
            </w:r>
          </w:p>
          <w:p w14:paraId="74F29889">
            <w:pPr>
              <w:jc w:val="left"/>
              <w:rPr>
                <w:rFonts w:ascii="宋体" w:hAnsi="宋体"/>
              </w:rPr>
            </w:pPr>
            <w:r>
              <w:rPr>
                <w:rFonts w:hint="eastAsia" w:ascii="宋体" w:hAnsi="宋体"/>
              </w:rPr>
              <w:t>①提供购买（或租赁）合同，购买人（或租赁人）为投标人；</w:t>
            </w:r>
          </w:p>
          <w:p w14:paraId="7ADA46E4">
            <w:pPr>
              <w:wordWrap w:val="0"/>
              <w:rPr>
                <w:rFonts w:ascii="宋体" w:hAnsi="宋体"/>
                <w:bCs/>
              </w:rPr>
            </w:pPr>
            <w:r>
              <w:rPr>
                <w:rFonts w:hint="eastAsia" w:ascii="宋体" w:hAnsi="宋体"/>
              </w:rPr>
              <w:t>②国家版权局颁发的计算机软件著作权登记证书，著作权人为出售方（或出租方）；</w:t>
            </w:r>
            <w:r>
              <w:rPr>
                <w:rFonts w:hint="eastAsia" w:ascii="宋体" w:hAnsi="宋体"/>
              </w:rPr>
              <w:br w:type="textWrapping"/>
            </w:r>
            <w:r>
              <w:rPr>
                <w:rFonts w:hint="eastAsia" w:ascii="宋体" w:hAnsi="宋体"/>
              </w:rPr>
              <w:t>③购买（或租赁）发票，购买人（或租赁人）为投标人；</w:t>
            </w:r>
          </w:p>
          <w:p w14:paraId="4F2F20CB">
            <w:pPr>
              <w:rPr>
                <w:rFonts w:ascii="宋体" w:hAnsi="宋体"/>
                <w:color w:val="FF0000"/>
                <w:szCs w:val="21"/>
              </w:rPr>
            </w:pPr>
            <w:r>
              <w:rPr>
                <w:rFonts w:hint="eastAsia" w:ascii="宋体" w:hAnsi="宋体"/>
                <w:bCs/>
              </w:rPr>
              <w:t>备注：上述证明材料原件备查，评分中出现无证明资料或证书过期或专家无法凭所提供资料判断是否得分的情况，一律作不得分处理。</w:t>
            </w:r>
          </w:p>
        </w:tc>
      </w:tr>
      <w:tr w14:paraId="534368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56F838DA">
            <w:pPr>
              <w:widowControl/>
              <w:jc w:val="left"/>
              <w:rPr>
                <w:rFonts w:ascii="宋体" w:hAnsi="宋体"/>
                <w:b/>
                <w:bCs/>
                <w:color w:val="0000FF"/>
                <w:sz w:val="24"/>
              </w:rPr>
            </w:pPr>
          </w:p>
        </w:tc>
        <w:tc>
          <w:tcPr>
            <w:tcW w:w="680" w:type="dxa"/>
            <w:tcBorders>
              <w:top w:val="single" w:color="000000" w:sz="8" w:space="0"/>
              <w:left w:val="nil"/>
              <w:bottom w:val="single" w:color="000000" w:sz="8" w:space="0"/>
              <w:right w:val="single" w:color="000000" w:sz="8" w:space="0"/>
            </w:tcBorders>
          </w:tcPr>
          <w:p w14:paraId="1F865C23">
            <w:pPr>
              <w:wordWrap w:val="0"/>
              <w:jc w:val="center"/>
              <w:rPr>
                <w:rFonts w:ascii="宋体" w:hAnsi="宋体"/>
                <w:szCs w:val="21"/>
              </w:rPr>
            </w:pPr>
            <w:r>
              <w:rPr>
                <w:rFonts w:hint="eastAsia" w:ascii="宋体" w:hAnsi="宋体"/>
              </w:rPr>
              <w:t>11</w:t>
            </w:r>
          </w:p>
        </w:tc>
        <w:tc>
          <w:tcPr>
            <w:tcW w:w="2835" w:type="dxa"/>
            <w:tcBorders>
              <w:top w:val="single" w:color="000000" w:sz="8" w:space="0"/>
              <w:left w:val="nil"/>
              <w:bottom w:val="single" w:color="000000" w:sz="8" w:space="0"/>
              <w:right w:val="single" w:color="000000" w:sz="8" w:space="0"/>
            </w:tcBorders>
          </w:tcPr>
          <w:p w14:paraId="35AB6C3B">
            <w:pPr>
              <w:wordWrap w:val="0"/>
              <w:rPr>
                <w:rFonts w:ascii="宋体" w:hAnsi="宋体"/>
                <w:szCs w:val="21"/>
              </w:rPr>
            </w:pPr>
            <w:r>
              <w:rPr>
                <w:rFonts w:hint="eastAsia" w:ascii="宋体" w:hAnsi="宋体"/>
              </w:rPr>
              <w:t>拟安排的项目负责人情况（仅限一人）</w:t>
            </w:r>
          </w:p>
        </w:tc>
        <w:tc>
          <w:tcPr>
            <w:tcW w:w="681" w:type="dxa"/>
            <w:tcBorders>
              <w:top w:val="single" w:color="000000" w:sz="8" w:space="0"/>
              <w:left w:val="nil"/>
              <w:bottom w:val="single" w:color="000000" w:sz="8" w:space="0"/>
              <w:right w:val="single" w:color="000000" w:sz="8" w:space="0"/>
            </w:tcBorders>
          </w:tcPr>
          <w:p w14:paraId="530716C1">
            <w:pPr>
              <w:wordWrap w:val="0"/>
              <w:jc w:val="center"/>
              <w:rPr>
                <w:rFonts w:ascii="宋体" w:hAnsi="宋体"/>
                <w:szCs w:val="21"/>
              </w:rPr>
            </w:pPr>
            <w:r>
              <w:rPr>
                <w:rFonts w:hint="eastAsia" w:ascii="宋体" w:hAnsi="宋体"/>
              </w:rPr>
              <w:t>12</w:t>
            </w:r>
          </w:p>
        </w:tc>
        <w:tc>
          <w:tcPr>
            <w:tcW w:w="4196" w:type="dxa"/>
            <w:tcBorders>
              <w:top w:val="single" w:color="000000" w:sz="8" w:space="0"/>
              <w:left w:val="nil"/>
              <w:bottom w:val="single" w:color="000000" w:sz="8" w:space="0"/>
              <w:right w:val="single" w:color="000000" w:sz="8" w:space="0"/>
            </w:tcBorders>
          </w:tcPr>
          <w:p w14:paraId="457A5B59">
            <w:pPr>
              <w:wordWrap w:val="0"/>
              <w:rPr>
                <w:rFonts w:ascii="宋体" w:hAnsi="宋体"/>
                <w:bCs/>
                <w:szCs w:val="21"/>
              </w:rPr>
            </w:pPr>
            <w:r>
              <w:rPr>
                <w:rFonts w:hint="eastAsia" w:ascii="宋体" w:hAnsi="宋体"/>
                <w:b/>
              </w:rPr>
              <w:t>（一）评分内容：</w:t>
            </w:r>
          </w:p>
          <w:p w14:paraId="237C043A">
            <w:pPr>
              <w:wordWrap w:val="0"/>
              <w:rPr>
                <w:rFonts w:ascii="宋体" w:hAnsi="宋体"/>
                <w:bCs/>
              </w:rPr>
            </w:pPr>
            <w:r>
              <w:rPr>
                <w:rFonts w:hint="eastAsia" w:ascii="宋体" w:hAnsi="宋体"/>
                <w:bCs/>
              </w:rPr>
              <w:t>投标人拟派的项目负责人（仅限1人），必须是投标人本单位员工</w:t>
            </w:r>
            <w:r>
              <w:rPr>
                <w:rFonts w:hint="eastAsia" w:ascii="宋体" w:hAnsi="宋体"/>
                <w:szCs w:val="21"/>
              </w:rPr>
              <w:t>（以社保为准），否则本项不得分</w:t>
            </w:r>
            <w:r>
              <w:rPr>
                <w:rFonts w:hint="eastAsia" w:ascii="宋体" w:hAnsi="宋体"/>
                <w:bCs/>
              </w:rPr>
              <w:t>。在此基础上，考察项目负责人学历、职称或技能证书等情况：</w:t>
            </w:r>
          </w:p>
          <w:p w14:paraId="4FAD2CDE">
            <w:pPr>
              <w:wordWrap w:val="0"/>
              <w:rPr>
                <w:rFonts w:ascii="宋体" w:hAnsi="宋体"/>
                <w:bCs/>
              </w:rPr>
            </w:pPr>
            <w:r>
              <w:rPr>
                <w:rFonts w:hint="eastAsia" w:ascii="宋体" w:hAnsi="宋体"/>
                <w:bCs/>
              </w:rPr>
              <w:t>（1）具有本科或以上学历的得20分，具有大专学历的得10分，本小项最高得20分；</w:t>
            </w:r>
          </w:p>
          <w:p w14:paraId="68188B96">
            <w:pPr>
              <w:wordWrap w:val="0"/>
              <w:rPr>
                <w:rFonts w:ascii="宋体" w:hAnsi="宋体"/>
                <w:bCs/>
              </w:rPr>
            </w:pPr>
            <w:r>
              <w:rPr>
                <w:rFonts w:hint="eastAsia" w:ascii="宋体" w:hAnsi="宋体"/>
                <w:bCs/>
              </w:rPr>
              <w:t>（2）具有食品药品监督管理部门或市场监督管理部门颁发的食品安全管理员证书或食品安全管理（人）员考试合格证的得20分。</w:t>
            </w:r>
          </w:p>
          <w:p w14:paraId="2D00DFFD">
            <w:pPr>
              <w:wordWrap w:val="0"/>
              <w:rPr>
                <w:rFonts w:ascii="宋体" w:hAnsi="宋体"/>
                <w:bCs/>
              </w:rPr>
            </w:pPr>
            <w:r>
              <w:rPr>
                <w:rFonts w:hint="eastAsia" w:ascii="宋体" w:hAnsi="宋体"/>
                <w:bCs/>
              </w:rPr>
              <w:t>（3）具有人社部门或行业协会颁发的高级（三级）或以上健康管理师证书的20分；</w:t>
            </w:r>
          </w:p>
          <w:p w14:paraId="4C2363C4">
            <w:pPr>
              <w:wordWrap w:val="0"/>
              <w:rPr>
                <w:rFonts w:ascii="宋体" w:hAnsi="宋体"/>
                <w:bCs/>
              </w:rPr>
            </w:pPr>
            <w:r>
              <w:rPr>
                <w:rFonts w:hint="eastAsia" w:ascii="宋体" w:hAnsi="宋体"/>
                <w:bCs/>
              </w:rPr>
              <w:t>（4）具有中级（或以上）人力资源管理类职称的得40分；</w:t>
            </w:r>
          </w:p>
          <w:p w14:paraId="33D00844">
            <w:pPr>
              <w:wordWrap w:val="0"/>
              <w:rPr>
                <w:rFonts w:ascii="宋体" w:hAnsi="宋体"/>
                <w:bCs/>
              </w:rPr>
            </w:pPr>
            <w:r>
              <w:rPr>
                <w:rFonts w:hint="eastAsia" w:ascii="宋体" w:hAnsi="宋体"/>
                <w:bCs/>
              </w:rPr>
              <w:t>以上累计最高得100分。</w:t>
            </w:r>
          </w:p>
          <w:p w14:paraId="11D4A6EA">
            <w:pPr>
              <w:wordWrap w:val="0"/>
              <w:rPr>
                <w:rFonts w:ascii="宋体" w:hAnsi="宋体"/>
                <w:bCs/>
              </w:rPr>
            </w:pPr>
            <w:r>
              <w:rPr>
                <w:rFonts w:hint="eastAsia" w:ascii="宋体" w:hAnsi="宋体"/>
                <w:bCs/>
              </w:rPr>
              <w:t>（以上评分内容提供同一个项目负责人的证明材料）</w:t>
            </w:r>
          </w:p>
          <w:p w14:paraId="5D923ADE">
            <w:pPr>
              <w:wordWrap w:val="0"/>
              <w:rPr>
                <w:rFonts w:ascii="宋体" w:hAnsi="宋体"/>
                <w:b/>
              </w:rPr>
            </w:pPr>
            <w:r>
              <w:rPr>
                <w:rFonts w:hint="eastAsia" w:ascii="宋体" w:hAnsi="宋体"/>
                <w:b/>
              </w:rPr>
              <w:t>（二）评审依据：</w:t>
            </w:r>
          </w:p>
          <w:p w14:paraId="7BCF60EF">
            <w:pPr>
              <w:wordWrap w:val="0"/>
              <w:rPr>
                <w:rFonts w:ascii="宋体" w:hAnsi="宋体"/>
                <w:bCs/>
              </w:rPr>
            </w:pPr>
            <w:r>
              <w:rPr>
                <w:rFonts w:hint="eastAsia" w:ascii="宋体" w:hAnsi="宋体"/>
                <w:bCs/>
              </w:rPr>
              <w:t>（1）项目负责人（仅限1人）需为投标人自有员工。</w:t>
            </w:r>
            <w:r>
              <w:rPr>
                <w:rFonts w:hint="eastAsia" w:ascii="宋体" w:hAnsi="宋体" w:cs="宋体"/>
                <w:szCs w:val="21"/>
              </w:rPr>
              <w:t>要求提供通过投标人缴纳的近三个月的任意一个月的社保证明作为本单位员工的证明依据，</w:t>
            </w:r>
            <w:r>
              <w:rPr>
                <w:rFonts w:hint="eastAsia" w:ascii="宋体" w:hAnsi="宋体"/>
                <w:bCs/>
              </w:rPr>
              <w:t>若供应商成立不足三个月的，需提供成立情况说明函（格式自拟），无需提供相关人员社保，亦可得分；若为退休返聘人员，需提供说明函（格式自拟），无需提供相关人员社保，亦可得分。</w:t>
            </w:r>
          </w:p>
          <w:p w14:paraId="21016E76">
            <w:pPr>
              <w:wordWrap w:val="0"/>
              <w:rPr>
                <w:rFonts w:ascii="宋体" w:hAnsi="宋体"/>
                <w:bCs/>
              </w:rPr>
            </w:pPr>
            <w:r>
              <w:rPr>
                <w:rFonts w:hint="eastAsia" w:ascii="宋体" w:hAnsi="宋体"/>
                <w:bCs/>
              </w:rPr>
              <w:t>（2）评分内容第1项，要求同时提供①毕业证书扫描件②学信网查询记录（https://www.chsi.com.cn/xlcx/index.jsp）。对于较早颁发的学历证书，学信网无法查询的，要求提供毕业证书及其他佐证材料（如毕业院校、人社部门等颁发机构或监管机构等单位出具的证明）作为可以得分的依据等证明文件作为得分依据；</w:t>
            </w:r>
          </w:p>
          <w:p w14:paraId="5758D11A">
            <w:pPr>
              <w:wordWrap w:val="0"/>
              <w:rPr>
                <w:rFonts w:ascii="宋体" w:hAnsi="宋体"/>
                <w:bCs/>
              </w:rPr>
            </w:pPr>
            <w:r>
              <w:rPr>
                <w:rFonts w:hint="eastAsia" w:ascii="宋体" w:hAnsi="宋体"/>
                <w:bCs/>
              </w:rPr>
              <w:t>（3）评分内容第2项，需提供食品安全管理员证书或食品安全管理（人）员考试合格证扫描件和各地省级或以上人民政府政务网查询截图。</w:t>
            </w:r>
          </w:p>
          <w:p w14:paraId="1B7F4598">
            <w:pPr>
              <w:wordWrap w:val="0"/>
              <w:rPr>
                <w:rFonts w:ascii="宋体" w:hAnsi="宋体"/>
                <w:bCs/>
              </w:rPr>
            </w:pPr>
            <w:r>
              <w:rPr>
                <w:rFonts w:hint="eastAsia" w:ascii="宋体" w:hAnsi="宋体"/>
                <w:bCs/>
              </w:rPr>
              <w:t>（4）评分内容第3项，要求同时提供①相对应的证书扫描件②技能人才评价证书全国联网查询截图（http://zscx.osta.org.cn/）；若该证书为协会颁发的，还需要同时提供该协会(机构）在中国社会组织政务服务平台（网址 https://chinanpo.mca.gov.cn)的查询“正常”页面截图（证书颁发机构不能和投标人同一单位）；或该协会(机构）由政府部门或行政事业单位审批的证明文件扫描件，否则不予认可，视为无效证书；</w:t>
            </w:r>
          </w:p>
          <w:p w14:paraId="2FF5A1C8">
            <w:pPr>
              <w:wordWrap w:val="0"/>
              <w:rPr>
                <w:rFonts w:ascii="宋体" w:hAnsi="宋体"/>
                <w:bCs/>
              </w:rPr>
            </w:pPr>
            <w:r>
              <w:rPr>
                <w:rFonts w:hint="eastAsia" w:ascii="宋体" w:hAnsi="宋体"/>
                <w:bCs/>
              </w:rPr>
              <w:t>（5）评分内容第4项，要求同时提供①相对应的证书扫描件及②“全国人力资源和社会保障政务服务平台”（http://www.12333.gov.cn）查询截图；如职称证书无法提供查询截图的，则需提供人社部门或发证单位（机构）出具的其他证明文件作为得分依据。否则不予认可，视为无效证书；</w:t>
            </w:r>
          </w:p>
          <w:p w14:paraId="63DB74F9">
            <w:pPr>
              <w:rPr>
                <w:rFonts w:ascii="宋体" w:hAnsi="宋体"/>
                <w:szCs w:val="21"/>
              </w:rPr>
            </w:pPr>
            <w:r>
              <w:rPr>
                <w:rFonts w:hint="eastAsia" w:ascii="宋体" w:hAnsi="宋体"/>
                <w:bCs/>
              </w:rPr>
              <w:t>备注：以上资料均要求提供扫描件，原件备查。未按要求提供或提供不清晰导致专家无法判断的均不得分。</w:t>
            </w:r>
          </w:p>
        </w:tc>
      </w:tr>
      <w:tr w14:paraId="1EFDF7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2E0F17A3">
            <w:pPr>
              <w:widowControl/>
              <w:jc w:val="left"/>
              <w:rPr>
                <w:rFonts w:ascii="宋体" w:hAnsi="宋体"/>
                <w:b/>
                <w:bCs/>
                <w:color w:val="0000FF"/>
                <w:sz w:val="24"/>
              </w:rPr>
            </w:pPr>
          </w:p>
        </w:tc>
        <w:tc>
          <w:tcPr>
            <w:tcW w:w="680" w:type="dxa"/>
            <w:tcBorders>
              <w:top w:val="single" w:color="000000" w:sz="8" w:space="0"/>
              <w:left w:val="nil"/>
              <w:bottom w:val="single" w:color="000000" w:sz="8" w:space="0"/>
              <w:right w:val="single" w:color="000000" w:sz="8" w:space="0"/>
            </w:tcBorders>
            <w:vAlign w:val="center"/>
          </w:tcPr>
          <w:p w14:paraId="5FA90936">
            <w:pPr>
              <w:wordWrap w:val="0"/>
              <w:jc w:val="center"/>
              <w:rPr>
                <w:rFonts w:ascii="宋体" w:hAnsi="宋体"/>
                <w:szCs w:val="21"/>
              </w:rPr>
            </w:pPr>
            <w:r>
              <w:rPr>
                <w:rFonts w:hint="eastAsia" w:ascii="宋体" w:hAnsi="宋体"/>
              </w:rPr>
              <w:t>12</w:t>
            </w:r>
          </w:p>
        </w:tc>
        <w:tc>
          <w:tcPr>
            <w:tcW w:w="2835" w:type="dxa"/>
            <w:tcBorders>
              <w:top w:val="single" w:color="000000" w:sz="8" w:space="0"/>
              <w:left w:val="nil"/>
              <w:bottom w:val="single" w:color="000000" w:sz="8" w:space="0"/>
              <w:right w:val="single" w:color="000000" w:sz="8" w:space="0"/>
            </w:tcBorders>
            <w:vAlign w:val="center"/>
          </w:tcPr>
          <w:p w14:paraId="7ED6B315">
            <w:pPr>
              <w:wordWrap w:val="0"/>
              <w:jc w:val="center"/>
              <w:rPr>
                <w:rFonts w:ascii="宋体" w:hAnsi="宋体"/>
                <w:szCs w:val="21"/>
              </w:rPr>
            </w:pPr>
            <w:r>
              <w:rPr>
                <w:rFonts w:hint="eastAsia" w:ascii="宋体" w:hAnsi="宋体"/>
              </w:rPr>
              <w:t>项目团队（项目负责人除外）</w:t>
            </w:r>
          </w:p>
        </w:tc>
        <w:tc>
          <w:tcPr>
            <w:tcW w:w="681" w:type="dxa"/>
            <w:tcBorders>
              <w:top w:val="single" w:color="000000" w:sz="8" w:space="0"/>
              <w:left w:val="nil"/>
              <w:bottom w:val="single" w:color="000000" w:sz="8" w:space="0"/>
              <w:right w:val="single" w:color="000000" w:sz="8" w:space="0"/>
            </w:tcBorders>
            <w:vAlign w:val="center"/>
          </w:tcPr>
          <w:p w14:paraId="631BCC5B">
            <w:pPr>
              <w:wordWrap w:val="0"/>
              <w:jc w:val="center"/>
              <w:rPr>
                <w:rFonts w:ascii="宋体" w:hAnsi="宋体"/>
                <w:szCs w:val="21"/>
              </w:rPr>
            </w:pPr>
            <w:r>
              <w:rPr>
                <w:rFonts w:hint="eastAsia" w:ascii="宋体" w:hAnsi="宋体"/>
              </w:rPr>
              <w:t>12</w:t>
            </w:r>
          </w:p>
        </w:tc>
        <w:tc>
          <w:tcPr>
            <w:tcW w:w="4196" w:type="dxa"/>
            <w:tcBorders>
              <w:top w:val="single" w:color="000000" w:sz="8" w:space="0"/>
              <w:left w:val="nil"/>
              <w:bottom w:val="single" w:color="000000" w:sz="8" w:space="0"/>
              <w:right w:val="single" w:color="000000" w:sz="8" w:space="0"/>
            </w:tcBorders>
          </w:tcPr>
          <w:p w14:paraId="769C13E5">
            <w:pPr>
              <w:wordWrap w:val="0"/>
              <w:rPr>
                <w:rFonts w:ascii="宋体" w:hAnsi="宋体"/>
                <w:bCs/>
                <w:szCs w:val="21"/>
              </w:rPr>
            </w:pPr>
            <w:r>
              <w:rPr>
                <w:rFonts w:hint="eastAsia" w:ascii="宋体" w:hAnsi="宋体"/>
                <w:b/>
              </w:rPr>
              <w:t>（一）评分内容：</w:t>
            </w:r>
          </w:p>
          <w:p w14:paraId="69353E04">
            <w:pPr>
              <w:wordWrap w:val="0"/>
              <w:rPr>
                <w:rFonts w:ascii="宋体" w:hAnsi="宋体"/>
                <w:bCs/>
              </w:rPr>
            </w:pPr>
            <w:r>
              <w:rPr>
                <w:rFonts w:hint="eastAsia" w:ascii="宋体" w:hAnsi="宋体"/>
                <w:bCs/>
              </w:rPr>
              <w:t>拟安排项目主要团队成员为投标单位员工，否则该人员情况不计分。</w:t>
            </w:r>
          </w:p>
          <w:p w14:paraId="3FDD67C1">
            <w:pPr>
              <w:wordWrap w:val="0"/>
            </w:pPr>
            <w:r>
              <w:rPr>
                <w:rFonts w:hint="eastAsia" w:ascii="宋体" w:hAnsi="宋体"/>
                <w:bCs/>
              </w:rPr>
              <w:t>1、具有本科或以上学历食品类相关专业且持有行政机关或事业单位或行业协会，或经人社部门备案的第三方社会评价组织颁发的高级（三级）食品或农产品检验员证书或食品检验工（员）均可，员工具有上述证书中1项证书的，每提供1人得30分，本小项满分60分。</w:t>
            </w:r>
          </w:p>
          <w:p w14:paraId="3D5A3569">
            <w:pPr>
              <w:wordWrap w:val="0"/>
              <w:rPr>
                <w:rFonts w:ascii="宋体" w:hAnsi="宋体"/>
                <w:bCs/>
              </w:rPr>
            </w:pPr>
            <w:r>
              <w:rPr>
                <w:rFonts w:hint="eastAsia" w:ascii="宋体" w:hAnsi="宋体"/>
                <w:bCs/>
              </w:rPr>
              <w:t>2、具有大专或以上学历食品类相关专业且持有食品药品监督管理部门或市场监督管理部门颁发的食品安全管理员证书或食品安全管理（人）员考试合格证，每提供1人得20分，本小项满分40分。</w:t>
            </w:r>
          </w:p>
          <w:p w14:paraId="1AF9E9E3">
            <w:pPr>
              <w:wordWrap w:val="0"/>
              <w:rPr>
                <w:rFonts w:ascii="宋体" w:hAnsi="宋体"/>
                <w:bCs/>
              </w:rPr>
            </w:pPr>
            <w:r>
              <w:rPr>
                <w:rFonts w:hint="eastAsia" w:ascii="宋体" w:hAnsi="宋体"/>
                <w:bCs/>
              </w:rPr>
              <w:t>（同1个人具备多项证书的，不可累加计分，本项最高得100分）。</w:t>
            </w:r>
          </w:p>
          <w:p w14:paraId="6C4A5714">
            <w:pPr>
              <w:wordWrap w:val="0"/>
              <w:rPr>
                <w:rFonts w:ascii="宋体" w:hAnsi="宋体"/>
                <w:bCs/>
              </w:rPr>
            </w:pPr>
            <w:r>
              <w:rPr>
                <w:rFonts w:hint="eastAsia" w:ascii="宋体" w:hAnsi="宋体"/>
                <w:b/>
              </w:rPr>
              <w:t>（二）评分依据：</w:t>
            </w:r>
            <w:r>
              <w:rPr>
                <w:rFonts w:hint="eastAsia" w:ascii="宋体" w:hAnsi="宋体"/>
                <w:bCs/>
              </w:rPr>
              <w:br w:type="textWrapping"/>
            </w:r>
            <w:r>
              <w:rPr>
                <w:rFonts w:hint="eastAsia" w:ascii="宋体" w:hAnsi="宋体"/>
                <w:bCs/>
              </w:rPr>
              <w:t>1.项目团队（项目负责人除外）需为投标人自有员工。</w:t>
            </w:r>
            <w:r>
              <w:rPr>
                <w:rFonts w:hint="eastAsia" w:ascii="宋体" w:hAnsi="宋体" w:cs="宋体"/>
                <w:szCs w:val="21"/>
              </w:rPr>
              <w:t>要求提供通过投标人缴纳的近三个月的任意一个月的社保证明作为本单位员工的证明依据，</w:t>
            </w:r>
            <w:r>
              <w:rPr>
                <w:rFonts w:hint="eastAsia" w:ascii="宋体" w:hAnsi="宋体"/>
                <w:bCs/>
              </w:rPr>
              <w:t>若供应商成立不足三个月的，需提供成立情况说明函（格式自拟），无需提供相关人员社保，亦可得分；若为退休返聘人员，需提供说明函（格式自拟），无需提供相关人员社保，亦可得分。</w:t>
            </w:r>
          </w:p>
          <w:p w14:paraId="4AEFC71B">
            <w:pPr>
              <w:wordWrap w:val="0"/>
              <w:rPr>
                <w:rFonts w:ascii="宋体" w:hAnsi="宋体"/>
                <w:bCs/>
              </w:rPr>
            </w:pPr>
            <w:r>
              <w:rPr>
                <w:rFonts w:hint="eastAsia" w:ascii="宋体" w:hAnsi="宋体"/>
                <w:bCs/>
              </w:rPr>
              <w:t>2.关于学历证明需提供要求提供证书扫描件以及学信网（https://www.chsi.com.cn/）查询记录。对于较早颁发的学历证书，学信网无法查询的，要求提供证书扫描件和其他佐证材料（如毕业院校、人社部门等颁发机构或监管机构等单位出具的证明）作为得分的依据。</w:t>
            </w:r>
          </w:p>
          <w:p w14:paraId="5FD8EDCF">
            <w:pPr>
              <w:wordWrap w:val="0"/>
              <w:rPr>
                <w:rFonts w:ascii="宋体" w:hAnsi="宋体"/>
                <w:bCs/>
              </w:rPr>
            </w:pPr>
            <w:r>
              <w:rPr>
                <w:rFonts w:hint="eastAsia" w:ascii="宋体" w:hAnsi="宋体"/>
                <w:bCs/>
              </w:rPr>
              <w:t>海外留学（含港澳台）人员学历无法通过学信网站查询的，应当提供教育部留学服务中心出具的国外学历学位认证证书以及教育部留学服务中心官网（https://zwfw.cscse.edu.cn/）查询截图。若证明文件为其它语言，必须附中文译文，以中文译文为准；</w:t>
            </w:r>
          </w:p>
          <w:p w14:paraId="58F6BBBF">
            <w:pPr>
              <w:wordWrap w:val="0"/>
              <w:rPr>
                <w:rFonts w:ascii="宋体" w:hAnsi="宋体"/>
                <w:bCs/>
              </w:rPr>
            </w:pPr>
            <w:r>
              <w:rPr>
                <w:rFonts w:hint="eastAsia" w:ascii="宋体" w:hAnsi="宋体"/>
                <w:bCs/>
              </w:rPr>
              <w:t>3、第1项评分，需提供证书扫描件和技能人才评价证书全国联网查询截图（http://zscx.osta.org.cn/），若协会颁发的，还需要同时提供该协会在中国社会组织政务服务平台（网址 https://chinanpo.mca.gov.cn)的查询“正常”页面截图（证书颁发机构不能和投标人同一单位）；或该协会由政府部门或行政事业单位审批的证明文件扫描件，否则不予认可，视为无效证书；</w:t>
            </w:r>
          </w:p>
          <w:p w14:paraId="5488E62B">
            <w:pPr>
              <w:wordWrap w:val="0"/>
              <w:rPr>
                <w:rFonts w:ascii="宋体" w:hAnsi="宋体"/>
                <w:bCs/>
              </w:rPr>
            </w:pPr>
            <w:r>
              <w:rPr>
                <w:rFonts w:hint="eastAsia" w:ascii="宋体" w:hAnsi="宋体"/>
                <w:bCs/>
              </w:rPr>
              <w:t>4、第2项评分，需提供食品安全管理员证书或食品安全管理（人）员考试合格证和各地省级以上人民政府政务网查询截图。</w:t>
            </w:r>
          </w:p>
          <w:p w14:paraId="58079F2D">
            <w:pPr>
              <w:wordWrap w:val="0"/>
              <w:rPr>
                <w:rFonts w:ascii="宋体" w:hAnsi="宋体"/>
                <w:szCs w:val="21"/>
              </w:rPr>
            </w:pPr>
            <w:r>
              <w:rPr>
                <w:rFonts w:hint="eastAsia" w:ascii="宋体" w:hAnsi="宋体"/>
                <w:bCs/>
              </w:rPr>
              <w:t>备注：以上资料均要求提供扫描件，原件备查。未按要求提供或提供不清晰导致专家无法判断的均不得分。</w:t>
            </w:r>
          </w:p>
        </w:tc>
      </w:tr>
      <w:tr w14:paraId="00C35F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nil"/>
              <w:left w:val="single" w:color="000000" w:sz="8" w:space="0"/>
              <w:bottom w:val="single" w:color="000000" w:sz="8" w:space="0"/>
              <w:right w:val="single" w:color="000000" w:sz="8" w:space="0"/>
            </w:tcBorders>
          </w:tcPr>
          <w:p w14:paraId="1DB2FEBB">
            <w:pPr>
              <w:wordWrap w:val="0"/>
              <w:jc w:val="center"/>
              <w:rPr>
                <w:rFonts w:ascii="宋体" w:hAnsi="宋体"/>
                <w:b/>
                <w:bCs/>
                <w:color w:val="0000FF"/>
                <w:sz w:val="24"/>
              </w:rPr>
            </w:pPr>
            <w:r>
              <w:rPr>
                <w:b/>
                <w:bCs/>
                <w:color w:val="0000FF"/>
              </w:rPr>
              <w:t>3</w:t>
            </w:r>
          </w:p>
        </w:tc>
        <w:tc>
          <w:tcPr>
            <w:tcW w:w="4196" w:type="dxa"/>
            <w:gridSpan w:val="3"/>
            <w:tcBorders>
              <w:top w:val="single" w:color="000000" w:sz="8" w:space="0"/>
              <w:left w:val="nil"/>
              <w:bottom w:val="single" w:color="000000" w:sz="8" w:space="0"/>
              <w:right w:val="single" w:color="000000" w:sz="8" w:space="0"/>
            </w:tcBorders>
          </w:tcPr>
          <w:p w14:paraId="6F4D52D1">
            <w:pPr>
              <w:wordWrap w:val="0"/>
              <w:jc w:val="center"/>
              <w:rPr>
                <w:rFonts w:ascii="宋体" w:hAnsi="宋体"/>
                <w:b/>
                <w:bCs/>
                <w:color w:val="0000FF"/>
                <w:sz w:val="24"/>
              </w:rPr>
            </w:pPr>
            <w:r>
              <w:rPr>
                <w:rFonts w:ascii="宋体" w:hAnsi="宋体"/>
                <w:b/>
                <w:bCs/>
                <w:color w:val="0000FF"/>
              </w:rPr>
              <w:t>综合实力</w:t>
            </w:r>
          </w:p>
        </w:tc>
        <w:tc>
          <w:tcPr>
            <w:tcW w:w="4196" w:type="dxa"/>
            <w:tcBorders>
              <w:top w:val="single" w:color="000000" w:sz="8" w:space="0"/>
              <w:left w:val="nil"/>
              <w:bottom w:val="single" w:color="000000" w:sz="8" w:space="0"/>
              <w:right w:val="single" w:color="000000" w:sz="8" w:space="0"/>
            </w:tcBorders>
          </w:tcPr>
          <w:p w14:paraId="1DC3B8AB">
            <w:pPr>
              <w:wordWrap w:val="0"/>
              <w:jc w:val="center"/>
              <w:rPr>
                <w:rFonts w:ascii="宋体" w:hAnsi="宋体"/>
                <w:b/>
                <w:bCs/>
                <w:color w:val="0000FF"/>
                <w:sz w:val="24"/>
              </w:rPr>
            </w:pPr>
            <w:r>
              <w:rPr>
                <w:rFonts w:hint="eastAsia" w:ascii="宋体" w:hAnsi="宋体"/>
                <w:b/>
                <w:bCs/>
                <w:color w:val="0000FF"/>
                <w:sz w:val="24"/>
              </w:rPr>
              <w:t>5</w:t>
            </w:r>
          </w:p>
        </w:tc>
      </w:tr>
      <w:tr w14:paraId="19F7F0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2211748B">
            <w:pPr>
              <w:widowControl/>
              <w:jc w:val="left"/>
              <w:rPr>
                <w:rFonts w:ascii="宋体" w:hAnsi="宋体"/>
                <w:b/>
                <w:bCs/>
                <w:color w:val="0000FF"/>
                <w:sz w:val="24"/>
              </w:rPr>
            </w:pPr>
          </w:p>
        </w:tc>
        <w:tc>
          <w:tcPr>
            <w:tcW w:w="8392" w:type="dxa"/>
            <w:gridSpan w:val="4"/>
            <w:tcBorders>
              <w:top w:val="single" w:color="000000" w:sz="8" w:space="0"/>
              <w:left w:val="nil"/>
              <w:bottom w:val="single" w:color="000000" w:sz="8" w:space="0"/>
              <w:right w:val="single" w:color="000000" w:sz="8" w:space="0"/>
            </w:tcBorders>
          </w:tcPr>
          <w:p w14:paraId="6959C1C1">
            <w:pPr>
              <w:wordWrap w:val="0"/>
              <w:rPr>
                <w:rFonts w:ascii="宋体" w:hAnsi="宋体"/>
                <w:szCs w:val="21"/>
              </w:rPr>
            </w:pPr>
          </w:p>
        </w:tc>
      </w:tr>
      <w:tr w14:paraId="361D22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38C02B91">
            <w:pPr>
              <w:widowControl/>
              <w:jc w:val="left"/>
              <w:rPr>
                <w:rFonts w:ascii="宋体" w:hAnsi="宋体"/>
                <w:b/>
                <w:bCs/>
                <w:color w:val="0000FF"/>
                <w:sz w:val="24"/>
              </w:rPr>
            </w:pPr>
          </w:p>
        </w:tc>
        <w:tc>
          <w:tcPr>
            <w:tcW w:w="680" w:type="dxa"/>
            <w:tcBorders>
              <w:top w:val="inset" w:color="000000" w:sz="6" w:space="0"/>
              <w:left w:val="inset" w:color="000000" w:sz="6" w:space="0"/>
              <w:bottom w:val="inset" w:color="000000" w:sz="6" w:space="0"/>
              <w:right w:val="inset" w:color="000000" w:sz="6" w:space="0"/>
            </w:tcBorders>
            <w:shd w:val="clear" w:color="auto" w:fill="E6EFFA"/>
            <w:vAlign w:val="center"/>
          </w:tcPr>
          <w:p w14:paraId="5CCC7A76">
            <w:pPr>
              <w:wordWrap w:val="0"/>
              <w:jc w:val="center"/>
              <w:rPr>
                <w:rFonts w:ascii="宋体" w:hAnsi="宋体"/>
                <w:szCs w:val="21"/>
              </w:rPr>
            </w:pPr>
            <w:r>
              <w:rPr>
                <w:rFonts w:ascii="宋体" w:hAnsi="宋体"/>
              </w:rPr>
              <w:t>序号</w:t>
            </w:r>
          </w:p>
        </w:tc>
        <w:tc>
          <w:tcPr>
            <w:tcW w:w="2835" w:type="dxa"/>
            <w:tcBorders>
              <w:top w:val="inset" w:color="000000" w:sz="6" w:space="0"/>
              <w:left w:val="nil"/>
              <w:bottom w:val="inset" w:color="000000" w:sz="6" w:space="0"/>
              <w:right w:val="inset" w:color="000000" w:sz="6" w:space="0"/>
            </w:tcBorders>
            <w:shd w:val="clear" w:color="auto" w:fill="E6EFFA"/>
            <w:vAlign w:val="center"/>
          </w:tcPr>
          <w:p w14:paraId="24782FF8">
            <w:pPr>
              <w:wordWrap w:val="0"/>
              <w:jc w:val="center"/>
              <w:rPr>
                <w:rFonts w:ascii="宋体" w:hAnsi="宋体"/>
                <w:szCs w:val="21"/>
              </w:rPr>
            </w:pPr>
            <w:r>
              <w:rPr>
                <w:rFonts w:ascii="宋体" w:hAnsi="宋体"/>
              </w:rPr>
              <w:t>评分因素</w:t>
            </w:r>
          </w:p>
        </w:tc>
        <w:tc>
          <w:tcPr>
            <w:tcW w:w="681" w:type="dxa"/>
            <w:tcBorders>
              <w:top w:val="inset" w:color="000000" w:sz="6" w:space="0"/>
              <w:left w:val="nil"/>
              <w:bottom w:val="inset" w:color="000000" w:sz="6" w:space="0"/>
              <w:right w:val="inset" w:color="000000" w:sz="6" w:space="0"/>
            </w:tcBorders>
            <w:shd w:val="clear" w:color="auto" w:fill="E6EFFA"/>
            <w:vAlign w:val="center"/>
          </w:tcPr>
          <w:p w14:paraId="41BD0EBB">
            <w:pPr>
              <w:wordWrap w:val="0"/>
              <w:jc w:val="center"/>
              <w:rPr>
                <w:rFonts w:ascii="宋体" w:hAnsi="宋体"/>
                <w:szCs w:val="21"/>
              </w:rPr>
            </w:pPr>
            <w:r>
              <w:rPr>
                <w:rFonts w:ascii="宋体" w:hAnsi="宋体"/>
              </w:rPr>
              <w:t>权重</w:t>
            </w:r>
            <w:r>
              <w:t>(%)</w:t>
            </w:r>
          </w:p>
        </w:tc>
        <w:tc>
          <w:tcPr>
            <w:tcW w:w="4196" w:type="dxa"/>
            <w:tcBorders>
              <w:top w:val="inset" w:color="000000" w:sz="6" w:space="0"/>
              <w:left w:val="nil"/>
              <w:bottom w:val="inset" w:color="000000" w:sz="6" w:space="0"/>
              <w:right w:val="inset" w:color="000000" w:sz="6" w:space="0"/>
            </w:tcBorders>
            <w:shd w:val="clear" w:color="auto" w:fill="E6EFFA"/>
            <w:vAlign w:val="center"/>
          </w:tcPr>
          <w:p w14:paraId="6F6BC9D3">
            <w:pPr>
              <w:wordWrap w:val="0"/>
              <w:jc w:val="center"/>
              <w:rPr>
                <w:rFonts w:ascii="宋体" w:hAnsi="宋体"/>
                <w:szCs w:val="21"/>
              </w:rPr>
            </w:pPr>
            <w:r>
              <w:rPr>
                <w:rFonts w:ascii="宋体" w:hAnsi="宋体"/>
              </w:rPr>
              <w:t>评分准则</w:t>
            </w:r>
          </w:p>
        </w:tc>
      </w:tr>
      <w:tr w14:paraId="2B4CE6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5D6E5C71">
            <w:pPr>
              <w:widowControl/>
              <w:jc w:val="left"/>
              <w:rPr>
                <w:rFonts w:ascii="宋体" w:hAnsi="宋体"/>
                <w:b/>
                <w:bCs/>
                <w:color w:val="0000FF"/>
                <w:sz w:val="24"/>
              </w:rPr>
            </w:pPr>
          </w:p>
        </w:tc>
        <w:tc>
          <w:tcPr>
            <w:tcW w:w="680" w:type="dxa"/>
            <w:tcBorders>
              <w:top w:val="single" w:color="000000" w:sz="8" w:space="0"/>
              <w:left w:val="nil"/>
              <w:bottom w:val="single" w:color="000000" w:sz="8" w:space="0"/>
              <w:right w:val="single" w:color="000000" w:sz="8" w:space="0"/>
            </w:tcBorders>
          </w:tcPr>
          <w:p w14:paraId="719D4FDE">
            <w:pPr>
              <w:wordWrap w:val="0"/>
              <w:jc w:val="center"/>
              <w:rPr>
                <w:rFonts w:ascii="宋体" w:hAnsi="宋体"/>
                <w:szCs w:val="21"/>
              </w:rPr>
            </w:pPr>
            <w:r>
              <w:rPr>
                <w:rFonts w:hint="eastAsia" w:ascii="宋体" w:hAnsi="宋体"/>
              </w:rPr>
              <w:t>1</w:t>
            </w:r>
          </w:p>
        </w:tc>
        <w:tc>
          <w:tcPr>
            <w:tcW w:w="2835" w:type="dxa"/>
            <w:tcBorders>
              <w:top w:val="single" w:color="000000" w:sz="8" w:space="0"/>
              <w:left w:val="nil"/>
              <w:bottom w:val="single" w:color="000000" w:sz="8" w:space="0"/>
              <w:right w:val="single" w:color="000000" w:sz="8" w:space="0"/>
            </w:tcBorders>
          </w:tcPr>
          <w:p w14:paraId="07024352">
            <w:pPr>
              <w:wordWrap w:val="0"/>
              <w:rPr>
                <w:rFonts w:ascii="宋体" w:hAnsi="宋体"/>
                <w:color w:val="FF0000"/>
                <w:szCs w:val="21"/>
              </w:rPr>
            </w:pPr>
            <w:r>
              <w:rPr>
                <w:rFonts w:hint="eastAsia" w:ascii="宋体" w:hAnsi="宋体"/>
              </w:rPr>
              <w:t>投标人同类项目业绩情况</w:t>
            </w:r>
          </w:p>
          <w:p w14:paraId="57E79A06">
            <w:pPr>
              <w:wordWrap w:val="0"/>
              <w:rPr>
                <w:rFonts w:ascii="宋体" w:hAnsi="宋体"/>
              </w:rPr>
            </w:pPr>
          </w:p>
          <w:p w14:paraId="2BFB683D">
            <w:pPr>
              <w:widowControl/>
              <w:jc w:val="left"/>
              <w:rPr>
                <w:rFonts w:ascii="宋体" w:hAnsi="宋体"/>
                <w:szCs w:val="21"/>
              </w:rPr>
            </w:pPr>
          </w:p>
        </w:tc>
        <w:tc>
          <w:tcPr>
            <w:tcW w:w="681" w:type="dxa"/>
            <w:tcBorders>
              <w:top w:val="single" w:color="000000" w:sz="8" w:space="0"/>
              <w:left w:val="nil"/>
              <w:bottom w:val="single" w:color="000000" w:sz="8" w:space="0"/>
              <w:right w:val="single" w:color="000000" w:sz="8" w:space="0"/>
            </w:tcBorders>
          </w:tcPr>
          <w:p w14:paraId="5DF04791">
            <w:pPr>
              <w:widowControl/>
              <w:jc w:val="left"/>
              <w:rPr>
                <w:rFonts w:ascii="宋体" w:hAnsi="宋体"/>
                <w:szCs w:val="21"/>
              </w:rPr>
            </w:pPr>
            <w:r>
              <w:rPr>
                <w:rFonts w:hint="eastAsia" w:ascii="宋体" w:hAnsi="宋体"/>
              </w:rPr>
              <w:t>3</w:t>
            </w:r>
          </w:p>
        </w:tc>
        <w:tc>
          <w:tcPr>
            <w:tcW w:w="4196" w:type="dxa"/>
            <w:tcBorders>
              <w:top w:val="single" w:color="000000" w:sz="8" w:space="0"/>
              <w:left w:val="nil"/>
              <w:bottom w:val="single" w:color="000000" w:sz="8" w:space="0"/>
              <w:right w:val="single" w:color="000000" w:sz="8" w:space="0"/>
            </w:tcBorders>
          </w:tcPr>
          <w:p w14:paraId="16102FBF">
            <w:pPr>
              <w:wordWrap w:val="0"/>
              <w:rPr>
                <w:rFonts w:ascii="宋体" w:hAnsi="宋体"/>
                <w:bCs/>
                <w:szCs w:val="21"/>
              </w:rPr>
            </w:pPr>
            <w:r>
              <w:rPr>
                <w:rFonts w:hint="eastAsia" w:ascii="宋体" w:hAnsi="宋体"/>
                <w:b/>
              </w:rPr>
              <w:t>（一）评分内容：</w:t>
            </w:r>
          </w:p>
          <w:p w14:paraId="07CE339E">
            <w:pPr>
              <w:wordWrap w:val="0"/>
              <w:rPr>
                <w:rFonts w:ascii="宋体" w:hAnsi="宋体"/>
                <w:bCs/>
              </w:rPr>
            </w:pPr>
            <w:r>
              <w:rPr>
                <w:rFonts w:hint="eastAsia" w:ascii="宋体" w:hAnsi="宋体"/>
                <w:bCs/>
              </w:rPr>
              <w:t>2022年1月1日至本项目截标之日内所签订的政府部门或事业单位食材配送同类业绩项目合同（以合同签订日期为准），每提供1个同类有效业绩得20分，最高得100分。</w:t>
            </w:r>
          </w:p>
          <w:p w14:paraId="47B2EF83">
            <w:pPr>
              <w:wordWrap w:val="0"/>
              <w:rPr>
                <w:rFonts w:ascii="宋体" w:hAnsi="宋体"/>
                <w:bCs/>
              </w:rPr>
            </w:pPr>
            <w:r>
              <w:rPr>
                <w:rFonts w:hint="eastAsia" w:ascii="宋体" w:hAnsi="宋体"/>
                <w:b/>
              </w:rPr>
              <w:t>（二）评分依据：</w:t>
            </w:r>
            <w:r>
              <w:rPr>
                <w:rFonts w:hint="eastAsia" w:ascii="宋体" w:hAnsi="宋体"/>
                <w:b/>
              </w:rPr>
              <w:br w:type="textWrapping"/>
            </w:r>
            <w:r>
              <w:rPr>
                <w:rFonts w:hint="eastAsia" w:ascii="宋体" w:hAnsi="宋体"/>
                <w:bCs/>
              </w:rPr>
              <w:t>1.要求提供合同关键信息（包括但不限于：合同名称页、合同主要内容页、合同签订日期页、合同双方签字盖章页）</w:t>
            </w:r>
            <w:bookmarkStart w:id="2" w:name="OLE_LINK5"/>
            <w:r>
              <w:rPr>
                <w:rFonts w:hint="eastAsia" w:ascii="宋体" w:hAnsi="宋体"/>
                <w:bCs/>
              </w:rPr>
              <w:t>及加盖甲方公章（或甲方业务章）项目履约（或验收）评价为“优”或“非常满意”或“合格”或同等评价的履约报告（或服务评价）文件作为得分依据，</w:t>
            </w:r>
            <w:bookmarkEnd w:id="2"/>
            <w:r>
              <w:rPr>
                <w:rFonts w:hint="eastAsia" w:ascii="宋体" w:hAnsi="宋体"/>
                <w:bCs/>
              </w:rPr>
              <w:t>履约报告（或服务评价）文件签发时间为合同期结束之后方可计为有效评价；通过合同关键信息无法判断是否得分的，还须同时提供能证明得分的其它证明资料，如项目报告或合同甲方出具的证明文件等，一年一签的长期服务续签合同只计算一个业绩。</w:t>
            </w:r>
          </w:p>
          <w:p w14:paraId="528B9E8E">
            <w:pPr>
              <w:rPr>
                <w:rFonts w:ascii="宋体" w:hAnsi="宋体"/>
                <w:szCs w:val="21"/>
              </w:rPr>
            </w:pPr>
            <w:r>
              <w:rPr>
                <w:rFonts w:hint="eastAsia" w:ascii="宋体" w:hAnsi="宋体"/>
                <w:bCs/>
              </w:rPr>
              <w:t>2.以上资料均要求提供扫描件，原件备查。未按要求提供或提供不清晰导致专家无法判断的均不得分。</w:t>
            </w:r>
          </w:p>
        </w:tc>
      </w:tr>
      <w:tr w14:paraId="78D86E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2792A351">
            <w:pPr>
              <w:widowControl/>
              <w:jc w:val="left"/>
              <w:rPr>
                <w:rFonts w:ascii="宋体" w:hAnsi="宋体"/>
                <w:b/>
                <w:bCs/>
                <w:color w:val="0000FF"/>
                <w:sz w:val="24"/>
              </w:rPr>
            </w:pPr>
          </w:p>
        </w:tc>
        <w:tc>
          <w:tcPr>
            <w:tcW w:w="680" w:type="dxa"/>
            <w:tcBorders>
              <w:top w:val="single" w:color="000000" w:sz="8" w:space="0"/>
              <w:left w:val="nil"/>
              <w:bottom w:val="single" w:color="000000" w:sz="8" w:space="0"/>
              <w:right w:val="single" w:color="000000" w:sz="8" w:space="0"/>
            </w:tcBorders>
          </w:tcPr>
          <w:p w14:paraId="7246CD47">
            <w:pPr>
              <w:wordWrap w:val="0"/>
              <w:jc w:val="center"/>
              <w:rPr>
                <w:rFonts w:ascii="宋体" w:hAnsi="宋体"/>
                <w:szCs w:val="21"/>
              </w:rPr>
            </w:pPr>
            <w:r>
              <w:rPr>
                <w:rFonts w:hint="eastAsia" w:ascii="宋体" w:hAnsi="宋体"/>
              </w:rPr>
              <w:t>2</w:t>
            </w:r>
          </w:p>
        </w:tc>
        <w:tc>
          <w:tcPr>
            <w:tcW w:w="2835" w:type="dxa"/>
            <w:tcBorders>
              <w:top w:val="single" w:color="000000" w:sz="8" w:space="0"/>
              <w:left w:val="nil"/>
              <w:bottom w:val="single" w:color="000000" w:sz="8" w:space="0"/>
              <w:right w:val="single" w:color="000000" w:sz="8" w:space="0"/>
            </w:tcBorders>
          </w:tcPr>
          <w:p w14:paraId="6AE409AE">
            <w:pPr>
              <w:wordWrap w:val="0"/>
              <w:rPr>
                <w:rFonts w:ascii="宋体" w:hAnsi="宋体"/>
                <w:color w:val="FF0000"/>
                <w:szCs w:val="21"/>
              </w:rPr>
            </w:pPr>
            <w:r>
              <w:rPr>
                <w:rFonts w:hint="eastAsia" w:ascii="宋体" w:hAnsi="宋体"/>
              </w:rPr>
              <w:t>投标人获奖情况</w:t>
            </w:r>
          </w:p>
          <w:p w14:paraId="1493C7C5">
            <w:pPr>
              <w:wordWrap w:val="0"/>
              <w:rPr>
                <w:rFonts w:ascii="宋体" w:hAnsi="宋体"/>
                <w:szCs w:val="21"/>
              </w:rPr>
            </w:pPr>
          </w:p>
        </w:tc>
        <w:tc>
          <w:tcPr>
            <w:tcW w:w="681" w:type="dxa"/>
            <w:tcBorders>
              <w:top w:val="single" w:color="000000" w:sz="8" w:space="0"/>
              <w:left w:val="nil"/>
              <w:bottom w:val="single" w:color="000000" w:sz="8" w:space="0"/>
              <w:right w:val="single" w:color="000000" w:sz="8" w:space="0"/>
            </w:tcBorders>
          </w:tcPr>
          <w:p w14:paraId="45125246">
            <w:pPr>
              <w:widowControl/>
              <w:jc w:val="left"/>
              <w:rPr>
                <w:rFonts w:ascii="宋体" w:hAnsi="宋体"/>
                <w:szCs w:val="21"/>
              </w:rPr>
            </w:pPr>
            <w:r>
              <w:rPr>
                <w:rFonts w:hint="eastAsia" w:ascii="宋体" w:hAnsi="宋体"/>
              </w:rPr>
              <w:t>2</w:t>
            </w:r>
          </w:p>
        </w:tc>
        <w:tc>
          <w:tcPr>
            <w:tcW w:w="4196" w:type="dxa"/>
            <w:tcBorders>
              <w:top w:val="single" w:color="000000" w:sz="8" w:space="0"/>
              <w:left w:val="nil"/>
              <w:bottom w:val="single" w:color="000000" w:sz="8" w:space="0"/>
              <w:right w:val="single" w:color="000000" w:sz="8" w:space="0"/>
            </w:tcBorders>
          </w:tcPr>
          <w:p w14:paraId="62F89096">
            <w:pPr>
              <w:wordWrap w:val="0"/>
              <w:rPr>
                <w:rFonts w:ascii="宋体" w:hAnsi="宋体"/>
                <w:bCs/>
                <w:szCs w:val="21"/>
              </w:rPr>
            </w:pPr>
            <w:r>
              <w:rPr>
                <w:rFonts w:hint="eastAsia" w:ascii="宋体" w:hAnsi="宋体"/>
                <w:b/>
              </w:rPr>
              <w:t>（一）评分内容：</w:t>
            </w:r>
          </w:p>
          <w:p w14:paraId="06D3C17D">
            <w:pPr>
              <w:wordWrap w:val="0"/>
            </w:pPr>
            <w:r>
              <w:rPr>
                <w:rFonts w:hint="eastAsia"/>
              </w:rPr>
              <w:t>1. 2022年1月1日以来</w:t>
            </w:r>
            <w:r>
              <w:rPr>
                <w:rFonts w:hint="eastAsia" w:ascii="宋体" w:hAnsi="宋体"/>
                <w:bCs/>
              </w:rPr>
              <w:t>投标人具有</w:t>
            </w:r>
            <w:r>
              <w:rPr>
                <w:rFonts w:hint="eastAsia" w:ascii="宋体" w:hAnsi="宋体"/>
              </w:rPr>
              <w:t>政府部门颁发的</w:t>
            </w:r>
            <w:r>
              <w:rPr>
                <w:rFonts w:hint="eastAsia"/>
              </w:rPr>
              <w:t>省级（不含副省级）</w:t>
            </w:r>
            <w:r>
              <w:rPr>
                <w:rFonts w:hint="eastAsia" w:ascii="宋体" w:hAnsi="宋体"/>
              </w:rPr>
              <w:t>或以上农业类或食品类荣誉的，每提供一个得</w:t>
            </w:r>
            <w:r>
              <w:rPr>
                <w:rFonts w:hint="eastAsia"/>
              </w:rPr>
              <w:t>100</w:t>
            </w:r>
            <w:r>
              <w:rPr>
                <w:rFonts w:hint="eastAsia" w:ascii="宋体" w:hAnsi="宋体"/>
              </w:rPr>
              <w:t>分；</w:t>
            </w:r>
          </w:p>
          <w:p w14:paraId="4ED84060">
            <w:pPr>
              <w:wordWrap w:val="0"/>
            </w:pPr>
            <w:r>
              <w:rPr>
                <w:rFonts w:hint="eastAsia"/>
              </w:rPr>
              <w:t>2. 2022年1月1日以来</w:t>
            </w:r>
            <w:r>
              <w:rPr>
                <w:rFonts w:hint="eastAsia" w:ascii="宋体" w:hAnsi="宋体"/>
                <w:bCs/>
              </w:rPr>
              <w:t>投标人具有</w:t>
            </w:r>
            <w:r>
              <w:rPr>
                <w:rFonts w:hint="eastAsia" w:ascii="宋体" w:hAnsi="宋体"/>
              </w:rPr>
              <w:t>政府部门颁发的市级或以上农业类或食品类荣誉的，每提供一个得</w:t>
            </w:r>
            <w:r>
              <w:rPr>
                <w:rFonts w:hint="eastAsia"/>
              </w:rPr>
              <w:t>20</w:t>
            </w:r>
            <w:r>
              <w:rPr>
                <w:rFonts w:hint="eastAsia" w:ascii="宋体" w:hAnsi="宋体"/>
              </w:rPr>
              <w:t>分；</w:t>
            </w:r>
          </w:p>
          <w:p w14:paraId="5311D63C">
            <w:pPr>
              <w:wordWrap w:val="0"/>
            </w:pPr>
            <w:r>
              <w:rPr>
                <w:rFonts w:hint="eastAsia" w:ascii="宋体" w:hAnsi="宋体"/>
              </w:rPr>
              <w:t>以上</w:t>
            </w:r>
            <w:r>
              <w:rPr>
                <w:rFonts w:hint="eastAsia"/>
              </w:rPr>
              <w:t>2</w:t>
            </w:r>
            <w:r>
              <w:rPr>
                <w:rFonts w:hint="eastAsia" w:ascii="宋体" w:hAnsi="宋体"/>
              </w:rPr>
              <w:t>项累计计分，最高得</w:t>
            </w:r>
            <w:r>
              <w:rPr>
                <w:rFonts w:hint="eastAsia"/>
              </w:rPr>
              <w:t>100</w:t>
            </w:r>
            <w:r>
              <w:rPr>
                <w:rFonts w:hint="eastAsia" w:ascii="宋体" w:hAnsi="宋体"/>
              </w:rPr>
              <w:t>分。</w:t>
            </w:r>
          </w:p>
          <w:p w14:paraId="7B011DFB">
            <w:pPr>
              <w:wordWrap w:val="0"/>
            </w:pPr>
            <w:r>
              <w:rPr>
                <w:rFonts w:hint="eastAsia" w:ascii="宋体" w:hAnsi="宋体"/>
                <w:b/>
              </w:rPr>
              <w:t>（二）评分依据：</w:t>
            </w:r>
            <w:r>
              <w:rPr>
                <w:rFonts w:hint="eastAsia" w:ascii="宋体" w:hAnsi="宋体"/>
                <w:b/>
              </w:rPr>
              <w:br w:type="textWrapping"/>
            </w:r>
            <w:r>
              <w:rPr>
                <w:rFonts w:hint="eastAsia"/>
              </w:rPr>
              <w:t>1.</w:t>
            </w:r>
            <w:r>
              <w:rPr>
                <w:rFonts w:hint="eastAsia" w:ascii="宋体" w:hAnsi="宋体"/>
              </w:rPr>
              <w:t>要求提供有效奖项照片或获奖（荣誉）证书及红头文件或官网截图证明材料作为得分依据，同一证书不重复计分，按得分最高计分。；</w:t>
            </w:r>
          </w:p>
          <w:p w14:paraId="0726397B">
            <w:pPr>
              <w:rPr>
                <w:rFonts w:ascii="宋体" w:hAnsi="宋体"/>
                <w:bCs/>
                <w:szCs w:val="21"/>
              </w:rPr>
            </w:pPr>
            <w:r>
              <w:rPr>
                <w:rFonts w:hint="eastAsia"/>
              </w:rPr>
              <w:t>2.</w:t>
            </w:r>
            <w:r>
              <w:rPr>
                <w:rFonts w:hint="eastAsia" w:ascii="宋体" w:hAnsi="宋体"/>
              </w:rPr>
              <w:t>以上资料均要求提供扫描件。评分中出现无证明资料或专家无法凭所提供资料判断是否得分的情况，一律作不得分处理。</w:t>
            </w:r>
          </w:p>
        </w:tc>
      </w:tr>
      <w:tr w14:paraId="6B4AD0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nil"/>
              <w:left w:val="single" w:color="000000" w:sz="8" w:space="0"/>
              <w:bottom w:val="single" w:color="000000" w:sz="8" w:space="0"/>
              <w:right w:val="single" w:color="000000" w:sz="8" w:space="0"/>
            </w:tcBorders>
          </w:tcPr>
          <w:p w14:paraId="562ECE6F">
            <w:pPr>
              <w:wordWrap w:val="0"/>
              <w:jc w:val="center"/>
              <w:rPr>
                <w:rFonts w:ascii="宋体" w:hAnsi="宋体"/>
                <w:b/>
                <w:bCs/>
                <w:color w:val="0000FF"/>
                <w:sz w:val="24"/>
              </w:rPr>
            </w:pPr>
            <w:r>
              <w:rPr>
                <w:b/>
                <w:bCs/>
                <w:color w:val="0000FF"/>
              </w:rPr>
              <w:t>4</w:t>
            </w:r>
          </w:p>
        </w:tc>
        <w:tc>
          <w:tcPr>
            <w:tcW w:w="4196" w:type="dxa"/>
            <w:gridSpan w:val="3"/>
            <w:tcBorders>
              <w:top w:val="single" w:color="000000" w:sz="8" w:space="0"/>
              <w:left w:val="nil"/>
              <w:bottom w:val="single" w:color="000000" w:sz="8" w:space="0"/>
              <w:right w:val="single" w:color="000000" w:sz="8" w:space="0"/>
            </w:tcBorders>
          </w:tcPr>
          <w:p w14:paraId="30C3AF7E">
            <w:pPr>
              <w:wordWrap w:val="0"/>
              <w:jc w:val="center"/>
              <w:rPr>
                <w:rFonts w:ascii="宋体" w:hAnsi="宋体"/>
                <w:b/>
                <w:bCs/>
                <w:color w:val="0000FF"/>
                <w:sz w:val="24"/>
              </w:rPr>
            </w:pPr>
            <w:r>
              <w:rPr>
                <w:rFonts w:ascii="宋体" w:hAnsi="宋体"/>
                <w:b/>
                <w:bCs/>
                <w:color w:val="0000FF"/>
              </w:rPr>
              <w:t>诚信情况</w:t>
            </w:r>
          </w:p>
        </w:tc>
        <w:tc>
          <w:tcPr>
            <w:tcW w:w="4196" w:type="dxa"/>
            <w:tcBorders>
              <w:top w:val="single" w:color="000000" w:sz="8" w:space="0"/>
              <w:left w:val="nil"/>
              <w:bottom w:val="single" w:color="000000" w:sz="8" w:space="0"/>
              <w:right w:val="single" w:color="000000" w:sz="8" w:space="0"/>
            </w:tcBorders>
          </w:tcPr>
          <w:p w14:paraId="38FE9792">
            <w:pPr>
              <w:wordWrap w:val="0"/>
              <w:jc w:val="center"/>
              <w:rPr>
                <w:rFonts w:ascii="宋体" w:hAnsi="宋体"/>
                <w:b/>
                <w:bCs/>
                <w:color w:val="0000FF"/>
                <w:sz w:val="24"/>
              </w:rPr>
            </w:pPr>
            <w:r>
              <w:rPr>
                <w:b/>
                <w:bCs/>
                <w:color w:val="0000FF"/>
              </w:rPr>
              <w:t>5</w:t>
            </w:r>
          </w:p>
        </w:tc>
      </w:tr>
      <w:tr w14:paraId="08A606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6ADC831C">
            <w:pPr>
              <w:widowControl/>
              <w:jc w:val="left"/>
              <w:rPr>
                <w:rFonts w:ascii="宋体" w:hAnsi="宋体"/>
                <w:b/>
                <w:bCs/>
                <w:color w:val="0000FF"/>
                <w:sz w:val="24"/>
              </w:rPr>
            </w:pPr>
          </w:p>
        </w:tc>
        <w:tc>
          <w:tcPr>
            <w:tcW w:w="8392" w:type="dxa"/>
            <w:gridSpan w:val="4"/>
            <w:tcBorders>
              <w:top w:val="single" w:color="000000" w:sz="8" w:space="0"/>
              <w:left w:val="nil"/>
              <w:bottom w:val="single" w:color="000000" w:sz="8" w:space="0"/>
              <w:right w:val="single" w:color="000000" w:sz="8" w:space="0"/>
            </w:tcBorders>
          </w:tcPr>
          <w:p w14:paraId="57FEFB9D">
            <w:pPr>
              <w:wordWrap w:val="0"/>
              <w:rPr>
                <w:rFonts w:ascii="宋体" w:hAnsi="宋体"/>
                <w:szCs w:val="21"/>
              </w:rPr>
            </w:pPr>
          </w:p>
        </w:tc>
      </w:tr>
      <w:tr w14:paraId="5BF2C9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4AC50645">
            <w:pPr>
              <w:widowControl/>
              <w:jc w:val="left"/>
              <w:rPr>
                <w:rFonts w:ascii="宋体" w:hAnsi="宋体"/>
                <w:b/>
                <w:bCs/>
                <w:color w:val="0000FF"/>
                <w:sz w:val="24"/>
              </w:rPr>
            </w:pPr>
          </w:p>
        </w:tc>
        <w:tc>
          <w:tcPr>
            <w:tcW w:w="680" w:type="dxa"/>
            <w:tcBorders>
              <w:top w:val="inset" w:color="000000" w:sz="6" w:space="0"/>
              <w:left w:val="inset" w:color="000000" w:sz="6" w:space="0"/>
              <w:bottom w:val="inset" w:color="000000" w:sz="6" w:space="0"/>
              <w:right w:val="inset" w:color="000000" w:sz="6" w:space="0"/>
            </w:tcBorders>
            <w:shd w:val="clear" w:color="auto" w:fill="E6EFFA"/>
            <w:vAlign w:val="center"/>
          </w:tcPr>
          <w:p w14:paraId="7349C4E6">
            <w:pPr>
              <w:wordWrap w:val="0"/>
              <w:jc w:val="center"/>
              <w:rPr>
                <w:rFonts w:ascii="宋体" w:hAnsi="宋体"/>
                <w:szCs w:val="21"/>
              </w:rPr>
            </w:pPr>
            <w:r>
              <w:rPr>
                <w:rFonts w:ascii="宋体" w:hAnsi="宋体"/>
              </w:rPr>
              <w:t>序号</w:t>
            </w:r>
          </w:p>
        </w:tc>
        <w:tc>
          <w:tcPr>
            <w:tcW w:w="2835" w:type="dxa"/>
            <w:tcBorders>
              <w:top w:val="inset" w:color="000000" w:sz="6" w:space="0"/>
              <w:left w:val="nil"/>
              <w:bottom w:val="inset" w:color="000000" w:sz="6" w:space="0"/>
              <w:right w:val="inset" w:color="000000" w:sz="6" w:space="0"/>
            </w:tcBorders>
            <w:shd w:val="clear" w:color="auto" w:fill="E6EFFA"/>
            <w:vAlign w:val="center"/>
          </w:tcPr>
          <w:p w14:paraId="18AE3C83">
            <w:pPr>
              <w:wordWrap w:val="0"/>
              <w:jc w:val="center"/>
              <w:rPr>
                <w:rFonts w:ascii="宋体" w:hAnsi="宋体"/>
                <w:szCs w:val="21"/>
              </w:rPr>
            </w:pPr>
            <w:r>
              <w:rPr>
                <w:rFonts w:ascii="宋体" w:hAnsi="宋体"/>
              </w:rPr>
              <w:t>评分因素</w:t>
            </w:r>
          </w:p>
        </w:tc>
        <w:tc>
          <w:tcPr>
            <w:tcW w:w="681" w:type="dxa"/>
            <w:tcBorders>
              <w:top w:val="inset" w:color="000000" w:sz="6" w:space="0"/>
              <w:left w:val="nil"/>
              <w:bottom w:val="inset" w:color="000000" w:sz="6" w:space="0"/>
              <w:right w:val="inset" w:color="000000" w:sz="6" w:space="0"/>
            </w:tcBorders>
            <w:shd w:val="clear" w:color="auto" w:fill="E6EFFA"/>
            <w:vAlign w:val="center"/>
          </w:tcPr>
          <w:p w14:paraId="2A9A6821">
            <w:pPr>
              <w:wordWrap w:val="0"/>
              <w:jc w:val="center"/>
              <w:rPr>
                <w:rFonts w:ascii="宋体" w:hAnsi="宋体"/>
                <w:szCs w:val="21"/>
              </w:rPr>
            </w:pPr>
            <w:r>
              <w:rPr>
                <w:rFonts w:ascii="宋体" w:hAnsi="宋体"/>
              </w:rPr>
              <w:t>权重</w:t>
            </w:r>
            <w:r>
              <w:t>(%)</w:t>
            </w:r>
          </w:p>
        </w:tc>
        <w:tc>
          <w:tcPr>
            <w:tcW w:w="4196" w:type="dxa"/>
            <w:tcBorders>
              <w:top w:val="inset" w:color="000000" w:sz="6" w:space="0"/>
              <w:left w:val="nil"/>
              <w:bottom w:val="inset" w:color="000000" w:sz="6" w:space="0"/>
              <w:right w:val="inset" w:color="000000" w:sz="6" w:space="0"/>
            </w:tcBorders>
            <w:shd w:val="clear" w:color="auto" w:fill="E6EFFA"/>
            <w:vAlign w:val="center"/>
          </w:tcPr>
          <w:p w14:paraId="7CD8F2F8">
            <w:pPr>
              <w:wordWrap w:val="0"/>
              <w:jc w:val="center"/>
              <w:rPr>
                <w:rFonts w:ascii="宋体" w:hAnsi="宋体"/>
                <w:szCs w:val="21"/>
              </w:rPr>
            </w:pPr>
            <w:r>
              <w:rPr>
                <w:rFonts w:ascii="宋体" w:hAnsi="宋体"/>
              </w:rPr>
              <w:t>评分准则</w:t>
            </w:r>
          </w:p>
        </w:tc>
      </w:tr>
      <w:tr w14:paraId="0D25F5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000000" w:sz="8" w:space="0"/>
              <w:right w:val="single" w:color="000000" w:sz="8" w:space="0"/>
            </w:tcBorders>
            <w:vAlign w:val="center"/>
          </w:tcPr>
          <w:p w14:paraId="107F77DE">
            <w:pPr>
              <w:widowControl/>
              <w:jc w:val="left"/>
              <w:rPr>
                <w:rFonts w:ascii="宋体" w:hAnsi="宋体"/>
                <w:b/>
                <w:bCs/>
                <w:color w:val="0000FF"/>
                <w:sz w:val="24"/>
              </w:rPr>
            </w:pPr>
          </w:p>
        </w:tc>
        <w:tc>
          <w:tcPr>
            <w:tcW w:w="680" w:type="dxa"/>
            <w:tcBorders>
              <w:top w:val="single" w:color="000000" w:sz="8" w:space="0"/>
              <w:left w:val="nil"/>
              <w:bottom w:val="single" w:color="000000" w:sz="8" w:space="0"/>
              <w:right w:val="single" w:color="000000" w:sz="8" w:space="0"/>
            </w:tcBorders>
            <w:vAlign w:val="center"/>
          </w:tcPr>
          <w:p w14:paraId="1D9FD1D2">
            <w:pPr>
              <w:wordWrap w:val="0"/>
              <w:jc w:val="center"/>
              <w:rPr>
                <w:rFonts w:ascii="宋体" w:hAnsi="宋体"/>
                <w:szCs w:val="21"/>
              </w:rPr>
            </w:pPr>
            <w:r>
              <w:t>1</w:t>
            </w:r>
          </w:p>
        </w:tc>
        <w:tc>
          <w:tcPr>
            <w:tcW w:w="2835" w:type="dxa"/>
            <w:tcBorders>
              <w:top w:val="single" w:color="000000" w:sz="8" w:space="0"/>
              <w:left w:val="nil"/>
              <w:bottom w:val="single" w:color="000000" w:sz="8" w:space="0"/>
              <w:right w:val="single" w:color="000000" w:sz="8" w:space="0"/>
            </w:tcBorders>
            <w:vAlign w:val="center"/>
          </w:tcPr>
          <w:p w14:paraId="2176B53E">
            <w:pPr>
              <w:wordWrap w:val="0"/>
              <w:jc w:val="center"/>
              <w:rPr>
                <w:szCs w:val="21"/>
              </w:rPr>
            </w:pPr>
            <w:r>
              <w:rPr>
                <w:rFonts w:ascii="宋体" w:hAnsi="宋体"/>
              </w:rPr>
              <w:t>诚信情况</w:t>
            </w:r>
          </w:p>
          <w:p w14:paraId="1EAC7BC1">
            <w:pPr>
              <w:wordWrap w:val="0"/>
              <w:jc w:val="center"/>
              <w:rPr>
                <w:rFonts w:ascii="宋体" w:hAnsi="宋体"/>
                <w:szCs w:val="21"/>
              </w:rPr>
            </w:pPr>
          </w:p>
        </w:tc>
        <w:tc>
          <w:tcPr>
            <w:tcW w:w="681" w:type="dxa"/>
            <w:tcBorders>
              <w:top w:val="single" w:color="000000" w:sz="8" w:space="0"/>
              <w:left w:val="nil"/>
              <w:bottom w:val="single" w:color="000000" w:sz="8" w:space="0"/>
              <w:right w:val="single" w:color="000000" w:sz="8" w:space="0"/>
            </w:tcBorders>
            <w:vAlign w:val="center"/>
          </w:tcPr>
          <w:p w14:paraId="6B39F58C">
            <w:pPr>
              <w:widowControl/>
              <w:wordWrap w:val="0"/>
              <w:jc w:val="center"/>
              <w:textAlignment w:val="top"/>
              <w:rPr>
                <w:rFonts w:ascii="宋体" w:hAnsi="宋体"/>
                <w:szCs w:val="21"/>
              </w:rPr>
            </w:pPr>
            <w:r>
              <w:rPr>
                <w:rFonts w:hint="eastAsia"/>
              </w:rPr>
              <w:t>5</w:t>
            </w:r>
          </w:p>
        </w:tc>
        <w:tc>
          <w:tcPr>
            <w:tcW w:w="4196" w:type="dxa"/>
            <w:tcBorders>
              <w:top w:val="single" w:color="000000" w:sz="8" w:space="0"/>
              <w:left w:val="nil"/>
              <w:bottom w:val="single" w:color="000000" w:sz="8" w:space="0"/>
              <w:right w:val="single" w:color="000000" w:sz="8" w:space="0"/>
            </w:tcBorders>
          </w:tcPr>
          <w:p w14:paraId="0E2E9CBA">
            <w:pPr>
              <w:pStyle w:val="37"/>
              <w:wordWrap w:val="0"/>
              <w:rPr>
                <w:rFonts w:ascii="宋体" w:hAnsi="宋体"/>
                <w:sz w:val="21"/>
                <w:szCs w:val="21"/>
              </w:rPr>
            </w:pPr>
            <w:r>
              <w:rPr>
                <w:rFonts w:hint="eastAsia" w:ascii="宋体" w:hAnsi="宋体"/>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5C05ADFB">
            <w:pPr>
              <w:widowControl/>
              <w:jc w:val="left"/>
              <w:rPr>
                <w:rFonts w:ascii="宋体" w:hAnsi="宋体"/>
                <w:szCs w:val="21"/>
              </w:rPr>
            </w:pPr>
            <w:r>
              <w:rPr>
                <w:rFonts w:hint="eastAsia" w:ascii="宋体" w:hAnsi="宋体"/>
              </w:rPr>
              <w:t>查询渠道：通过“信用中国”（www.creditchina.gov.cn，下载信用信息报告）、“中国政府采购网”（www.ccgp.gov.cn）、以及“深圳市政府采购监管网”（http://zfcg.sz.gov.cn）查询供应商信用信息，信用信息以开标当日的查询结果为准。</w:t>
            </w:r>
          </w:p>
        </w:tc>
      </w:tr>
    </w:tbl>
    <w:p w14:paraId="6C960266">
      <w:pPr>
        <w:rPr>
          <w:rFonts w:ascii="宋体" w:hAnsi="宋体"/>
          <w:sz w:val="24"/>
        </w:rPr>
      </w:pPr>
    </w:p>
    <w:p w14:paraId="6531BCC7">
      <w:pPr>
        <w:sectPr>
          <w:pgSz w:w="11907" w:h="16840"/>
          <w:pgMar w:top="1440" w:right="1417" w:bottom="1440" w:left="1417" w:header="851" w:footer="992" w:gutter="0"/>
          <w:cols w:space="425" w:num="1"/>
          <w:titlePg/>
          <w:docGrid w:linePitch="462" w:charSpace="0"/>
        </w:sectPr>
      </w:pPr>
    </w:p>
    <w:p w14:paraId="6F95A7D2">
      <w:pPr>
        <w:jc w:val="center"/>
        <w:rPr>
          <w:b/>
          <w:sz w:val="120"/>
          <w:szCs w:val="120"/>
        </w:rPr>
      </w:pPr>
    </w:p>
    <w:p w14:paraId="1ABDEF85">
      <w:pPr>
        <w:jc w:val="center"/>
        <w:rPr>
          <w:b/>
          <w:sz w:val="120"/>
          <w:szCs w:val="120"/>
        </w:rPr>
      </w:pPr>
    </w:p>
    <w:p w14:paraId="35D16609">
      <w:pPr>
        <w:jc w:val="center"/>
        <w:rPr>
          <w:b/>
          <w:sz w:val="120"/>
          <w:szCs w:val="120"/>
        </w:rPr>
      </w:pPr>
    </w:p>
    <w:p w14:paraId="38677DF3">
      <w:pPr>
        <w:jc w:val="center"/>
        <w:rPr>
          <w:b/>
          <w:sz w:val="120"/>
          <w:szCs w:val="120"/>
        </w:rPr>
      </w:pPr>
      <w:r>
        <w:rPr>
          <w:rFonts w:hint="eastAsia"/>
          <w:b/>
          <w:sz w:val="120"/>
          <w:szCs w:val="120"/>
        </w:rPr>
        <w:t>政府采购</w:t>
      </w:r>
    </w:p>
    <w:p w14:paraId="04C83C4F">
      <w:pPr>
        <w:jc w:val="center"/>
        <w:rPr>
          <w:b/>
          <w:sz w:val="120"/>
          <w:szCs w:val="120"/>
        </w:rPr>
      </w:pPr>
      <w:r>
        <w:rPr>
          <w:rFonts w:hint="eastAsia"/>
          <w:b/>
          <w:sz w:val="120"/>
          <w:szCs w:val="120"/>
        </w:rPr>
        <w:t>招标文件</w:t>
      </w:r>
    </w:p>
    <w:p w14:paraId="3FA90764">
      <w:pPr>
        <w:jc w:val="center"/>
        <w:rPr>
          <w:b/>
          <w:sz w:val="52"/>
          <w:szCs w:val="52"/>
        </w:rPr>
      </w:pPr>
      <w:r>
        <w:rPr>
          <w:rFonts w:hint="eastAsia"/>
          <w:b/>
          <w:sz w:val="52"/>
          <w:szCs w:val="52"/>
        </w:rPr>
        <w:t>（服务类）</w:t>
      </w:r>
    </w:p>
    <w:p w14:paraId="535BA275">
      <w:pPr>
        <w:jc w:val="center"/>
        <w:rPr>
          <w:b/>
          <w:sz w:val="44"/>
          <w:szCs w:val="44"/>
        </w:rPr>
      </w:pPr>
    </w:p>
    <w:p w14:paraId="5B0B1DD9">
      <w:pPr>
        <w:jc w:val="center"/>
        <w:rPr>
          <w:b/>
          <w:sz w:val="44"/>
          <w:szCs w:val="44"/>
        </w:rPr>
      </w:pPr>
    </w:p>
    <w:p w14:paraId="567AFFA4">
      <w:pPr>
        <w:jc w:val="center"/>
        <w:rPr>
          <w:b/>
          <w:sz w:val="44"/>
          <w:szCs w:val="44"/>
        </w:rPr>
      </w:pPr>
    </w:p>
    <w:p w14:paraId="3DC72F2E">
      <w:pPr>
        <w:jc w:val="center"/>
        <w:rPr>
          <w:b/>
          <w:sz w:val="44"/>
          <w:szCs w:val="44"/>
        </w:rPr>
      </w:pPr>
    </w:p>
    <w:p w14:paraId="0E471BD6">
      <w:pPr>
        <w:jc w:val="center"/>
        <w:rPr>
          <w:b/>
          <w:sz w:val="44"/>
          <w:szCs w:val="44"/>
        </w:rPr>
      </w:pPr>
    </w:p>
    <w:p w14:paraId="5A288033">
      <w:pPr>
        <w:jc w:val="center"/>
        <w:rPr>
          <w:b/>
          <w:sz w:val="44"/>
          <w:szCs w:val="44"/>
        </w:rPr>
      </w:pPr>
    </w:p>
    <w:p w14:paraId="0DBEB4D5">
      <w:pPr>
        <w:jc w:val="center"/>
        <w:rPr>
          <w:b/>
          <w:sz w:val="44"/>
          <w:szCs w:val="44"/>
        </w:rPr>
      </w:pPr>
    </w:p>
    <w:p w14:paraId="46DFDD30">
      <w:pPr>
        <w:jc w:val="center"/>
        <w:rPr>
          <w:b/>
          <w:sz w:val="44"/>
          <w:szCs w:val="44"/>
        </w:rPr>
      </w:pPr>
    </w:p>
    <w:p w14:paraId="6D2B6625">
      <w:pPr>
        <w:jc w:val="center"/>
        <w:rPr>
          <w:b/>
          <w:sz w:val="44"/>
          <w:szCs w:val="44"/>
        </w:rPr>
      </w:pPr>
      <w:bookmarkStart w:id="3" w:name="_Hlk71465316"/>
      <w:r>
        <w:rPr>
          <w:rFonts w:hint="eastAsia"/>
          <w:b/>
          <w:sz w:val="44"/>
          <w:szCs w:val="44"/>
        </w:rPr>
        <w:t>深圳公共资源交易中心</w:t>
      </w:r>
    </w:p>
    <w:p w14:paraId="3E485228">
      <w:pPr>
        <w:jc w:val="center"/>
        <w:rPr>
          <w:sz w:val="28"/>
          <w:szCs w:val="28"/>
        </w:rPr>
      </w:pPr>
      <w:r>
        <w:rPr>
          <w:rFonts w:hint="eastAsia"/>
          <w:b/>
          <w:sz w:val="28"/>
          <w:szCs w:val="28"/>
        </w:rPr>
        <w:t>（</w:t>
      </w:r>
      <w:r>
        <w:rPr>
          <w:b/>
          <w:sz w:val="28"/>
          <w:szCs w:val="28"/>
        </w:rPr>
        <w:t>20</w:t>
      </w:r>
      <w:r>
        <w:rPr>
          <w:rFonts w:hint="eastAsia"/>
          <w:b/>
          <w:sz w:val="28"/>
          <w:szCs w:val="28"/>
        </w:rPr>
        <w:t>25）</w:t>
      </w:r>
      <w:bookmarkEnd w:id="3"/>
    </w:p>
    <w:p w14:paraId="39B194A9">
      <w:pPr>
        <w:ind w:firstLine="420" w:firstLineChars="200"/>
        <w:sectPr>
          <w:pgSz w:w="11907" w:h="16840"/>
          <w:pgMar w:top="1440" w:right="1797" w:bottom="1440" w:left="1797" w:header="851" w:footer="992" w:gutter="0"/>
          <w:cols w:space="425" w:num="1"/>
          <w:titlePg/>
          <w:docGrid w:linePitch="462" w:charSpace="0"/>
        </w:sectPr>
      </w:pPr>
    </w:p>
    <w:p w14:paraId="3599FA4D">
      <w:pPr>
        <w:jc w:val="center"/>
        <w:rPr>
          <w:rFonts w:ascii="黑体" w:hAnsi="黑体" w:eastAsia="黑体"/>
          <w:b/>
          <w:sz w:val="28"/>
        </w:rPr>
      </w:pPr>
      <w:r>
        <w:rPr>
          <w:rFonts w:hint="eastAsia" w:ascii="黑体" w:hAnsi="黑体" w:eastAsia="黑体"/>
          <w:b/>
          <w:sz w:val="28"/>
        </w:rPr>
        <w:t>目   录</w:t>
      </w:r>
    </w:p>
    <w:p w14:paraId="27CC4024">
      <w:pPr>
        <w:rPr>
          <w:b/>
        </w:rPr>
      </w:pPr>
      <w:r>
        <w:rPr>
          <w:rFonts w:hint="eastAsia"/>
          <w:b/>
        </w:rPr>
        <w:t>第一册  专用条款</w:t>
      </w:r>
    </w:p>
    <w:p w14:paraId="68250858">
      <w:pPr>
        <w:ind w:firstLine="960" w:firstLineChars="400"/>
        <w:rPr>
          <w:sz w:val="24"/>
        </w:rPr>
      </w:pPr>
      <w:r>
        <w:rPr>
          <w:rFonts w:hint="eastAsia"/>
          <w:sz w:val="24"/>
        </w:rPr>
        <w:t>关键信息</w:t>
      </w:r>
    </w:p>
    <w:p w14:paraId="005FEEB6">
      <w:pPr>
        <w:ind w:left="630" w:leftChars="300" w:firstLine="630" w:firstLineChars="300"/>
        <w:rPr>
          <w:rFonts w:ascii="宋体" w:hAnsi="宋体"/>
          <w:szCs w:val="21"/>
        </w:rPr>
      </w:pPr>
      <w:r>
        <w:rPr>
          <w:rFonts w:hint="eastAsia" w:ascii="宋体" w:hAnsi="宋体"/>
          <w:szCs w:val="21"/>
        </w:rPr>
        <w:t>第一章  招标公告</w:t>
      </w:r>
    </w:p>
    <w:p w14:paraId="4B481BFF">
      <w:pPr>
        <w:ind w:left="630" w:leftChars="300" w:firstLine="630" w:firstLineChars="300"/>
        <w:rPr>
          <w:rFonts w:ascii="宋体" w:hAnsi="宋体"/>
          <w:szCs w:val="21"/>
        </w:rPr>
      </w:pPr>
      <w:r>
        <w:rPr>
          <w:rFonts w:hint="eastAsia" w:ascii="宋体" w:hAnsi="宋体"/>
          <w:szCs w:val="21"/>
        </w:rPr>
        <w:t xml:space="preserve">第二章  </w:t>
      </w:r>
      <w:bookmarkStart w:id="4" w:name="_Hlk71994379"/>
      <w:r>
        <w:rPr>
          <w:rFonts w:hint="eastAsia" w:ascii="宋体" w:hAnsi="宋体"/>
          <w:szCs w:val="21"/>
        </w:rPr>
        <w:t>对通用条款的补充内容及其他关键信息</w:t>
      </w:r>
      <w:bookmarkEnd w:id="4"/>
    </w:p>
    <w:p w14:paraId="73DD498A">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352C260">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05DEAEF2">
      <w:pPr>
        <w:ind w:left="630" w:leftChars="300" w:firstLine="630" w:firstLineChars="300"/>
        <w:rPr>
          <w:rFonts w:ascii="宋体" w:hAnsi="宋体"/>
          <w:szCs w:val="21"/>
        </w:rPr>
      </w:pPr>
      <w:r>
        <w:rPr>
          <w:rFonts w:hint="eastAsia" w:ascii="宋体" w:hAnsi="宋体"/>
          <w:szCs w:val="21"/>
        </w:rPr>
        <w:t>第五章  合同条款及格式</w:t>
      </w:r>
    </w:p>
    <w:p w14:paraId="53A3D66B">
      <w:pPr>
        <w:rPr>
          <w:b/>
          <w:sz w:val="24"/>
        </w:rPr>
      </w:pPr>
    </w:p>
    <w:p w14:paraId="31A11286">
      <w:pPr>
        <w:rPr>
          <w:b/>
        </w:rPr>
      </w:pPr>
      <w:r>
        <w:rPr>
          <w:rFonts w:hint="eastAsia"/>
          <w:b/>
        </w:rPr>
        <w:t>第二册  通用条款</w:t>
      </w:r>
    </w:p>
    <w:p w14:paraId="4BCD8C50">
      <w:pPr>
        <w:ind w:left="630" w:leftChars="300" w:firstLine="411" w:firstLineChars="196"/>
        <w:rPr>
          <w:rFonts w:ascii="宋体" w:hAnsi="宋体"/>
          <w:szCs w:val="21"/>
        </w:rPr>
      </w:pPr>
      <w:r>
        <w:rPr>
          <w:rFonts w:hint="eastAsia" w:ascii="宋体" w:hAnsi="宋体"/>
          <w:szCs w:val="21"/>
        </w:rPr>
        <w:t>第一章  总则</w:t>
      </w:r>
    </w:p>
    <w:p w14:paraId="4F288D70">
      <w:pPr>
        <w:ind w:left="630" w:leftChars="300" w:firstLine="411" w:firstLineChars="196"/>
        <w:rPr>
          <w:rFonts w:ascii="宋体" w:hAnsi="宋体"/>
          <w:szCs w:val="21"/>
        </w:rPr>
      </w:pPr>
      <w:r>
        <w:rPr>
          <w:rFonts w:hint="eastAsia" w:ascii="宋体" w:hAnsi="宋体"/>
          <w:szCs w:val="21"/>
        </w:rPr>
        <w:t>第二章  招标文件</w:t>
      </w:r>
    </w:p>
    <w:p w14:paraId="1F72C2EE">
      <w:pPr>
        <w:ind w:left="630" w:leftChars="300" w:firstLine="411" w:firstLineChars="196"/>
        <w:rPr>
          <w:rFonts w:ascii="宋体" w:hAnsi="宋体"/>
          <w:szCs w:val="21"/>
        </w:rPr>
      </w:pPr>
      <w:r>
        <w:rPr>
          <w:rFonts w:hint="eastAsia" w:ascii="宋体" w:hAnsi="宋体"/>
          <w:szCs w:val="21"/>
        </w:rPr>
        <w:t>第三章  投标文件的编制</w:t>
      </w:r>
    </w:p>
    <w:p w14:paraId="379F3A32">
      <w:pPr>
        <w:ind w:left="630" w:leftChars="300" w:firstLine="411" w:firstLineChars="196"/>
        <w:rPr>
          <w:rFonts w:ascii="宋体" w:hAnsi="宋体"/>
          <w:szCs w:val="21"/>
        </w:rPr>
      </w:pPr>
      <w:r>
        <w:rPr>
          <w:rFonts w:hint="eastAsia" w:ascii="宋体" w:hAnsi="宋体"/>
          <w:szCs w:val="21"/>
        </w:rPr>
        <w:t>第四章  投标文件的递交</w:t>
      </w:r>
    </w:p>
    <w:p w14:paraId="440FB000">
      <w:pPr>
        <w:ind w:left="630" w:leftChars="300" w:firstLine="411" w:firstLineChars="196"/>
        <w:rPr>
          <w:rFonts w:ascii="宋体" w:hAnsi="宋体"/>
          <w:szCs w:val="21"/>
        </w:rPr>
      </w:pPr>
      <w:r>
        <w:rPr>
          <w:rFonts w:hint="eastAsia" w:ascii="宋体" w:hAnsi="宋体"/>
          <w:szCs w:val="21"/>
        </w:rPr>
        <w:t>第五章  开标</w:t>
      </w:r>
    </w:p>
    <w:p w14:paraId="7681EAC7">
      <w:pPr>
        <w:ind w:left="630" w:leftChars="300" w:firstLine="411" w:firstLineChars="196"/>
        <w:rPr>
          <w:rFonts w:ascii="宋体" w:hAnsi="宋体"/>
          <w:szCs w:val="21"/>
        </w:rPr>
      </w:pPr>
      <w:r>
        <w:rPr>
          <w:rFonts w:hint="eastAsia" w:ascii="宋体" w:hAnsi="宋体"/>
          <w:szCs w:val="21"/>
        </w:rPr>
        <w:t>第六章  评审要求</w:t>
      </w:r>
    </w:p>
    <w:p w14:paraId="055C0582">
      <w:pPr>
        <w:ind w:left="630" w:leftChars="300" w:firstLine="411" w:firstLineChars="196"/>
        <w:rPr>
          <w:rFonts w:ascii="宋体" w:hAnsi="宋体"/>
          <w:szCs w:val="21"/>
        </w:rPr>
      </w:pPr>
      <w:r>
        <w:rPr>
          <w:rFonts w:hint="eastAsia" w:ascii="宋体" w:hAnsi="宋体"/>
          <w:szCs w:val="21"/>
        </w:rPr>
        <w:t>第七章  评审程序及评审方法</w:t>
      </w:r>
    </w:p>
    <w:p w14:paraId="44B9ED53">
      <w:pPr>
        <w:ind w:left="630" w:leftChars="300" w:firstLine="411" w:firstLineChars="196"/>
        <w:rPr>
          <w:rFonts w:ascii="宋体" w:hAnsi="宋体"/>
          <w:szCs w:val="21"/>
        </w:rPr>
      </w:pPr>
      <w:r>
        <w:rPr>
          <w:rFonts w:hint="eastAsia" w:ascii="宋体" w:hAnsi="宋体"/>
          <w:szCs w:val="21"/>
        </w:rPr>
        <w:t>第八章  定标及公示</w:t>
      </w:r>
    </w:p>
    <w:p w14:paraId="22CA4835">
      <w:pPr>
        <w:ind w:left="630" w:leftChars="300" w:firstLine="411" w:firstLineChars="196"/>
        <w:rPr>
          <w:rFonts w:ascii="宋体" w:hAnsi="宋体"/>
          <w:szCs w:val="21"/>
        </w:rPr>
      </w:pPr>
      <w:r>
        <w:rPr>
          <w:rFonts w:hint="eastAsia" w:ascii="宋体" w:hAnsi="宋体"/>
          <w:szCs w:val="21"/>
        </w:rPr>
        <w:t>第九章  公开招标失败的后续处理</w:t>
      </w:r>
    </w:p>
    <w:p w14:paraId="5DC290D2">
      <w:pPr>
        <w:ind w:left="630" w:leftChars="300" w:firstLine="411" w:firstLineChars="196"/>
        <w:rPr>
          <w:rFonts w:ascii="宋体" w:hAnsi="宋体"/>
          <w:szCs w:val="21"/>
        </w:rPr>
      </w:pPr>
      <w:r>
        <w:rPr>
          <w:rFonts w:hint="eastAsia" w:ascii="宋体" w:hAnsi="宋体"/>
          <w:szCs w:val="21"/>
        </w:rPr>
        <w:t>第十章  合同的授予与备案</w:t>
      </w:r>
    </w:p>
    <w:p w14:paraId="4863878E">
      <w:pPr>
        <w:ind w:firstLine="1050" w:firstLineChars="500"/>
        <w:rPr>
          <w:b/>
          <w:sz w:val="24"/>
        </w:rPr>
      </w:pPr>
      <w:r>
        <w:rPr>
          <w:rFonts w:hint="eastAsia"/>
        </w:rPr>
        <w:t>第十一章  质疑处理</w:t>
      </w:r>
    </w:p>
    <w:p w14:paraId="2BFDB4C6">
      <w:pPr>
        <w:spacing w:line="360" w:lineRule="auto"/>
        <w:ind w:firstLine="420" w:firstLineChars="200"/>
        <w:jc w:val="left"/>
        <w:rPr>
          <w:rFonts w:ascii="宋体" w:hAnsi="宋体"/>
          <w:szCs w:val="21"/>
        </w:rPr>
      </w:pPr>
    </w:p>
    <w:p w14:paraId="5856D5F8">
      <w:pPr>
        <w:pStyle w:val="3"/>
        <w:rPr>
          <w:sz w:val="24"/>
        </w:rPr>
      </w:pPr>
      <w:r>
        <w:br w:type="page"/>
      </w:r>
      <w:bookmarkStart w:id="5" w:name="bt其他资料2"/>
      <w:bookmarkEnd w:id="5"/>
      <w:bookmarkStart w:id="6" w:name="bt项目管理班子配备情况"/>
      <w:bookmarkEnd w:id="6"/>
      <w:bookmarkStart w:id="7" w:name="bt合同条款及格式"/>
      <w:bookmarkEnd w:id="7"/>
      <w:bookmarkStart w:id="8" w:name="bt合同条款"/>
      <w:bookmarkEnd w:id="8"/>
      <w:bookmarkStart w:id="9" w:name="bt投标函"/>
      <w:bookmarkEnd w:id="9"/>
      <w:bookmarkStart w:id="10" w:name="bt技术标投标文件格式"/>
      <w:bookmarkEnd w:id="10"/>
      <w:bookmarkStart w:id="11" w:name="bt其他资料由投标人自定"/>
      <w:bookmarkEnd w:id="11"/>
      <w:bookmarkStart w:id="12" w:name="bt投标文件签署授权委托书"/>
      <w:bookmarkEnd w:id="12"/>
      <w:bookmarkStart w:id="13" w:name="bt投标报价汇总表"/>
      <w:bookmarkEnd w:id="13"/>
      <w:bookmarkStart w:id="14" w:name="bt开标一览表"/>
      <w:bookmarkEnd w:id="14"/>
      <w:bookmarkStart w:id="15" w:name="bt商务标投标文件格式"/>
      <w:bookmarkEnd w:id="15"/>
      <w:bookmarkStart w:id="16" w:name="bt投标人情况介绍"/>
      <w:bookmarkEnd w:id="16"/>
      <w:bookmarkStart w:id="17" w:name="bt说明"/>
      <w:bookmarkEnd w:id="17"/>
      <w:bookmarkStart w:id="18" w:name="bt本工程承诺书"/>
      <w:bookmarkEnd w:id="18"/>
      <w:bookmarkStart w:id="19" w:name="bt合同格式"/>
      <w:bookmarkEnd w:id="19"/>
      <w:bookmarkStart w:id="20" w:name="合同格式"/>
      <w:bookmarkEnd w:id="20"/>
      <w:bookmarkStart w:id="21" w:name="bt投标人须知"/>
      <w:bookmarkEnd w:id="21"/>
      <w:r>
        <w:rPr>
          <w:rFonts w:hint="eastAsia"/>
        </w:rPr>
        <w:t>第一册  专用条款</w:t>
      </w:r>
    </w:p>
    <w:p w14:paraId="126D8A42">
      <w:pPr>
        <w:pStyle w:val="6"/>
        <w:rPr>
          <w:sz w:val="28"/>
          <w:szCs w:val="28"/>
        </w:rPr>
      </w:pPr>
      <w:r>
        <w:rPr>
          <w:rFonts w:hint="eastAsia"/>
          <w:sz w:val="28"/>
          <w:szCs w:val="28"/>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1676B81E">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3CB414B9">
              <w:tblPrEx>
                <w:tblCellMar>
                  <w:top w:w="30" w:type="dxa"/>
                  <w:left w:w="30" w:type="dxa"/>
                  <w:bottom w:w="30" w:type="dxa"/>
                  <w:right w:w="30" w:type="dxa"/>
                </w:tblCellMar>
              </w:tblPrEx>
              <w:trPr>
                <w:tblCellSpacing w:w="0" w:type="dxa"/>
                <w:jc w:val="center"/>
              </w:trPr>
              <w:tc>
                <w:tcPr>
                  <w:tcW w:w="8147" w:type="dxa"/>
                </w:tcPr>
                <w:p w14:paraId="16EE1E2C">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0AAC2820">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2"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22"/>
                  <w:r>
                    <w:rPr>
                      <w:rFonts w:hint="eastAsia"/>
                    </w:rPr>
                    <w:t>；</w:t>
                  </w:r>
                </w:p>
                <w:p w14:paraId="65FF687F">
                  <w:pPr>
                    <w:ind w:firstLine="630" w:firstLineChars="300"/>
                    <w:rPr>
                      <w:rFonts w:ascii="宋体" w:hAnsi="宋体" w:cs="宋体"/>
                      <w:kern w:val="0"/>
                      <w:szCs w:val="21"/>
                    </w:rPr>
                  </w:pPr>
                  <w:r>
                    <w:rPr>
                      <w:rFonts w:hint="eastAsia" w:ascii="宋体" w:hAnsi="宋体" w:cs="宋体"/>
                      <w:color w:val="FF0000"/>
                      <w:kern w:val="0"/>
                      <w:szCs w:val="21"/>
                    </w:rPr>
                    <w:t>2.本项目不接受联合体投标，不接受投标人选用进口产品参与投标，详见招标文件“第三章 用户需求书”；</w:t>
                  </w:r>
                </w:p>
                <w:p w14:paraId="2C78FD29">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1FAE2822">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4ED7CC8B">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0099D60E">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6D93C542">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6EC9E736">
                  <w:pPr>
                    <w:ind w:firstLine="630" w:firstLineChars="300"/>
                    <w:rPr>
                      <w:rFonts w:ascii="宋体" w:hAnsi="宋体"/>
                      <w:color w:val="FF0000"/>
                      <w:kern w:val="0"/>
                    </w:rPr>
                  </w:pPr>
                  <w:r>
                    <w:rPr>
                      <w:rFonts w:hint="eastAsia" w:ascii="宋体" w:hAnsi="宋体"/>
                      <w:color w:val="FF0000"/>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olor w:val="FF0000"/>
                      <w:kern w:val="0"/>
                      <w:highlight w:val="yellow"/>
                    </w:rPr>
                    <w:t>由供应商填写《供应商基本情况表》相关信息</w:t>
                  </w:r>
                  <w:r>
                    <w:rPr>
                      <w:rFonts w:hint="eastAsia" w:ascii="宋体" w:hAnsi="宋体"/>
                      <w:color w:val="FF0000"/>
                      <w:kern w:val="0"/>
                    </w:rPr>
                    <w:t>）；</w:t>
                  </w:r>
                </w:p>
                <w:p w14:paraId="62775FBF">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9.本项目是（否）专门面向中小企业采购：否。</w:t>
                  </w:r>
                </w:p>
                <w:p w14:paraId="5354DA07">
                  <w:pPr>
                    <w:ind w:firstLine="630" w:firstLineChars="300"/>
                    <w:rPr>
                      <w:rFonts w:hint="eastAsia" w:ascii="宋体" w:hAnsi="宋体" w:cs="宋体"/>
                      <w:color w:val="FF0000"/>
                      <w:kern w:val="0"/>
                      <w:szCs w:val="21"/>
                    </w:rPr>
                  </w:pPr>
                  <w:r>
                    <w:rPr>
                      <w:rFonts w:hint="eastAsia" w:ascii="宋体" w:hAnsi="宋体" w:cs="宋体"/>
                      <w:color w:val="FF0000"/>
                      <w:kern w:val="0"/>
                      <w:szCs w:val="21"/>
                    </w:rPr>
                    <w:t>10. 投标人必须具有主管部门颁发在有效期内的《食品经营许可证》或《食品生产许可证》(提供相关证明扫描件，原件备查)。</w:t>
                  </w:r>
                </w:p>
                <w:p w14:paraId="133A63F2">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5747A2BD">
                  <w:pPr>
                    <w:ind w:firstLine="420" w:firstLineChars="200"/>
                    <w:rPr>
                      <w:rFonts w:ascii="宋体" w:hAnsi="宋体"/>
                    </w:rPr>
                  </w:pPr>
                  <w:r>
                    <w:rPr>
                      <w:rFonts w:hint="eastAsia" w:ascii="宋体" w:hAnsi="宋体"/>
                    </w:rPr>
                    <w:t>（2）供应商投标（上传投标文件）必须先行办理注册手续。</w:t>
                  </w:r>
                </w:p>
                <w:p w14:paraId="33A6E14A">
                  <w:pPr>
                    <w:spacing w:beforeAutospacing="1" w:afterAutospacing="1"/>
                    <w:ind w:firstLine="442" w:firstLineChars="200"/>
                    <w:rPr>
                      <w:rFonts w:ascii="宋体" w:hAnsi="宋体" w:cs="宋体"/>
                      <w:sz w:val="24"/>
                    </w:rPr>
                  </w:pPr>
                  <w:r>
                    <w:rPr>
                      <w:rFonts w:hint="eastAsia"/>
                      <w:b/>
                      <w:sz w:val="22"/>
                      <w:szCs w:val="18"/>
                    </w:rPr>
                    <w:t>完整公告内容详见：深圳公共资源交易网（</w:t>
                  </w:r>
                  <w:r>
                    <w:rPr>
                      <w:b/>
                      <w:sz w:val="22"/>
                      <w:szCs w:val="18"/>
                    </w:rPr>
                    <w:t>https://www.szggzy.com</w:t>
                  </w:r>
                  <w:r>
                    <w:rPr>
                      <w:rFonts w:hint="eastAsia"/>
                      <w:b/>
                      <w:sz w:val="22"/>
                      <w:szCs w:val="18"/>
                    </w:rPr>
                    <w:t>）</w:t>
                  </w:r>
                </w:p>
              </w:tc>
            </w:tr>
          </w:tbl>
          <w:p w14:paraId="1565BCA1">
            <w:pPr>
              <w:rPr>
                <w:rFonts w:ascii="宋体" w:hAnsi="宋体" w:cs="宋体"/>
                <w:sz w:val="24"/>
              </w:rPr>
            </w:pPr>
          </w:p>
        </w:tc>
      </w:tr>
    </w:tbl>
    <w:p w14:paraId="3533453D">
      <w:r>
        <w:rPr>
          <w:rFonts w:hint="eastAsia"/>
        </w:rPr>
        <w:br w:type="page"/>
      </w:r>
    </w:p>
    <w:p w14:paraId="4AE7B423">
      <w:pPr>
        <w:pStyle w:val="6"/>
        <w:rPr>
          <w:sz w:val="28"/>
          <w:szCs w:val="28"/>
        </w:rPr>
      </w:pPr>
      <w:r>
        <w:rPr>
          <w:rFonts w:hint="eastAsia"/>
          <w:sz w:val="28"/>
          <w:szCs w:val="28"/>
        </w:rPr>
        <w:t>第二章 对通用条款的补充内容及其他关键信息</w:t>
      </w:r>
    </w:p>
    <w:p w14:paraId="5E4DE36C">
      <w:pPr>
        <w:pStyle w:val="6"/>
        <w:spacing w:before="120" w:beforeLines="50" w:after="120" w:afterLines="50"/>
        <w:rPr>
          <w:sz w:val="28"/>
          <w:szCs w:val="28"/>
        </w:rPr>
      </w:pPr>
      <w:bookmarkStart w:id="23" w:name="_Toc60560625"/>
      <w:bookmarkStart w:id="24" w:name="_Toc60631620"/>
      <w:bookmarkStart w:id="25" w:name="_Toc100052364"/>
      <w:bookmarkStart w:id="26" w:name="_Toc73518117"/>
      <w:bookmarkStart w:id="27" w:name="_Toc73521635"/>
      <w:bookmarkStart w:id="28" w:name="_Toc101074876"/>
      <w:bookmarkStart w:id="29" w:name="_Toc73517639"/>
      <w:bookmarkStart w:id="30" w:name="_Toc73521547"/>
      <w:r>
        <w:rPr>
          <w:rFonts w:hint="eastAsia"/>
          <w:szCs w:val="24"/>
        </w:rPr>
        <w:t>一、对通用条款的补充内容</w:t>
      </w:r>
    </w:p>
    <w:bookmarkEnd w:id="23"/>
    <w:bookmarkEnd w:id="24"/>
    <w:bookmarkEnd w:id="25"/>
    <w:bookmarkEnd w:id="26"/>
    <w:bookmarkEnd w:id="27"/>
    <w:bookmarkEnd w:id="28"/>
    <w:bookmarkEnd w:id="29"/>
    <w:bookmarkEnd w:id="30"/>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0FB565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1823D0D">
            <w:pPr>
              <w:jc w:val="center"/>
              <w:rPr>
                <w:rFonts w:ascii="宋体" w:hAnsi="宋体"/>
                <w:b/>
                <w:bCs/>
              </w:rPr>
            </w:pPr>
            <w:r>
              <w:rPr>
                <w:rFonts w:hint="eastAsia" w:ascii="宋体" w:hAnsi="宋体"/>
                <w:b/>
                <w:bCs/>
              </w:rPr>
              <w:t>通用条款序号</w:t>
            </w:r>
          </w:p>
        </w:tc>
        <w:tc>
          <w:tcPr>
            <w:tcW w:w="2409" w:type="dxa"/>
            <w:vAlign w:val="center"/>
          </w:tcPr>
          <w:p w14:paraId="667AA0C0">
            <w:pPr>
              <w:jc w:val="center"/>
              <w:rPr>
                <w:rFonts w:ascii="宋体" w:hAnsi="宋体"/>
                <w:b/>
                <w:bCs/>
              </w:rPr>
            </w:pPr>
            <w:r>
              <w:rPr>
                <w:rFonts w:hint="eastAsia" w:ascii="宋体" w:hAnsi="宋体"/>
                <w:b/>
                <w:bCs/>
              </w:rPr>
              <w:t>涉及事项</w:t>
            </w:r>
          </w:p>
        </w:tc>
        <w:tc>
          <w:tcPr>
            <w:tcW w:w="4980" w:type="dxa"/>
            <w:vAlign w:val="center"/>
          </w:tcPr>
          <w:p w14:paraId="3A445481">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3334C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8E28374">
            <w:pPr>
              <w:jc w:val="center"/>
              <w:rPr>
                <w:rFonts w:ascii="宋体" w:hAnsi="宋体"/>
              </w:rPr>
            </w:pPr>
            <w:r>
              <w:rPr>
                <w:rFonts w:hint="eastAsia" w:ascii="宋体" w:hAnsi="宋体"/>
              </w:rPr>
              <w:t>3</w:t>
            </w:r>
            <w:r>
              <w:rPr>
                <w:rFonts w:ascii="宋体" w:hAnsi="宋体"/>
              </w:rPr>
              <w:t>.1</w:t>
            </w:r>
          </w:p>
        </w:tc>
        <w:tc>
          <w:tcPr>
            <w:tcW w:w="2409" w:type="dxa"/>
            <w:vAlign w:val="center"/>
          </w:tcPr>
          <w:p w14:paraId="20B80FB5">
            <w:pPr>
              <w:jc w:val="center"/>
            </w:pPr>
            <w:r>
              <w:rPr>
                <w:rFonts w:hint="eastAsia"/>
              </w:rPr>
              <w:t>采购人</w:t>
            </w:r>
          </w:p>
        </w:tc>
        <w:tc>
          <w:tcPr>
            <w:tcW w:w="4980" w:type="dxa"/>
            <w:vAlign w:val="center"/>
          </w:tcPr>
          <w:p w14:paraId="4C5BA751">
            <w:pPr>
              <w:jc w:val="left"/>
              <w:rPr>
                <w:rFonts w:ascii="宋体" w:hAnsi="宋体"/>
              </w:rPr>
            </w:pPr>
            <w:r>
              <w:rPr>
                <w:rFonts w:hint="eastAsia" w:ascii="宋体" w:hAnsi="宋体"/>
              </w:rPr>
              <w:t>深圳市盐田区教育局</w:t>
            </w:r>
          </w:p>
        </w:tc>
      </w:tr>
      <w:tr w14:paraId="4682A6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1444980">
            <w:pPr>
              <w:jc w:val="center"/>
              <w:rPr>
                <w:rFonts w:ascii="宋体" w:hAnsi="宋体"/>
              </w:rPr>
            </w:pPr>
            <w:r>
              <w:rPr>
                <w:rFonts w:hint="eastAsia" w:ascii="宋体" w:hAnsi="宋体"/>
              </w:rPr>
              <w:t>3</w:t>
            </w:r>
            <w:r>
              <w:rPr>
                <w:rFonts w:ascii="宋体" w:hAnsi="宋体"/>
              </w:rPr>
              <w:t>.2</w:t>
            </w:r>
          </w:p>
        </w:tc>
        <w:tc>
          <w:tcPr>
            <w:tcW w:w="2409" w:type="dxa"/>
            <w:vAlign w:val="center"/>
          </w:tcPr>
          <w:p w14:paraId="7E04DD34">
            <w:pPr>
              <w:jc w:val="center"/>
              <w:rPr>
                <w:rFonts w:ascii="宋体" w:hAnsi="宋体"/>
              </w:rPr>
            </w:pPr>
            <w:r>
              <w:rPr>
                <w:rFonts w:hint="eastAsia" w:ascii="宋体" w:hAnsi="宋体"/>
              </w:rPr>
              <w:t>政府集中采购机构</w:t>
            </w:r>
          </w:p>
        </w:tc>
        <w:tc>
          <w:tcPr>
            <w:tcW w:w="4980" w:type="dxa"/>
            <w:vAlign w:val="center"/>
          </w:tcPr>
          <w:p w14:paraId="6DB9F8F3">
            <w:pPr>
              <w:jc w:val="left"/>
              <w:rPr>
                <w:rFonts w:ascii="宋体" w:hAnsi="宋体" w:cs="宋体"/>
                <w:kern w:val="0"/>
                <w:szCs w:val="21"/>
              </w:rPr>
            </w:pPr>
            <w:r>
              <w:rPr>
                <w:rFonts w:hint="eastAsia" w:ascii="宋体" w:hAnsi="宋体" w:cs="宋体"/>
                <w:kern w:val="0"/>
                <w:szCs w:val="21"/>
              </w:rPr>
              <w:t>深圳公共资源交易中心</w:t>
            </w:r>
          </w:p>
          <w:p w14:paraId="2ADC6B9D">
            <w:pPr>
              <w:jc w:val="left"/>
              <w:rPr>
                <w:rFonts w:ascii="宋体" w:hAnsi="宋体"/>
              </w:rPr>
            </w:pPr>
            <w:r>
              <w:rPr>
                <w:rFonts w:hint="eastAsia" w:ascii="宋体" w:hAnsi="宋体" w:cs="宋体"/>
                <w:kern w:val="0"/>
                <w:szCs w:val="21"/>
              </w:rPr>
              <w:t>（深圳交易集团有限公司</w:t>
            </w:r>
            <w:r>
              <w:rPr>
                <w:rFonts w:hint="eastAsia" w:ascii="宋体" w:hAnsi="宋体" w:cs="宋体"/>
                <w:kern w:val="0"/>
                <w:szCs w:val="21"/>
                <w:lang w:val="en-US" w:eastAsia="zh-CN"/>
              </w:rPr>
              <w:t>盐田</w:t>
            </w:r>
            <w:r>
              <w:rPr>
                <w:rFonts w:hint="eastAsia" w:ascii="宋体" w:hAnsi="宋体" w:cs="宋体"/>
                <w:kern w:val="0"/>
                <w:szCs w:val="21"/>
              </w:rPr>
              <w:t>分公司）</w:t>
            </w:r>
          </w:p>
        </w:tc>
      </w:tr>
      <w:tr w14:paraId="746349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F3E98C6">
            <w:pPr>
              <w:jc w:val="center"/>
              <w:rPr>
                <w:rFonts w:ascii="宋体" w:hAnsi="宋体"/>
              </w:rPr>
            </w:pPr>
            <w:r>
              <w:rPr>
                <w:rFonts w:hint="eastAsia" w:ascii="宋体" w:hAnsi="宋体"/>
              </w:rPr>
              <w:t>9</w:t>
            </w:r>
          </w:p>
        </w:tc>
        <w:tc>
          <w:tcPr>
            <w:tcW w:w="2409" w:type="dxa"/>
            <w:vAlign w:val="center"/>
          </w:tcPr>
          <w:p w14:paraId="0EC26664">
            <w:pPr>
              <w:jc w:val="center"/>
              <w:rPr>
                <w:rFonts w:ascii="宋体" w:hAnsi="宋体"/>
              </w:rPr>
            </w:pPr>
            <w:r>
              <w:rPr>
                <w:rFonts w:hint="eastAsia" w:ascii="宋体" w:hAnsi="宋体"/>
              </w:rPr>
              <w:t>踏勘现场</w:t>
            </w:r>
          </w:p>
        </w:tc>
        <w:tc>
          <w:tcPr>
            <w:tcW w:w="4980" w:type="dxa"/>
            <w:vAlign w:val="center"/>
          </w:tcPr>
          <w:p w14:paraId="2A9B7D30">
            <w:pPr>
              <w:jc w:val="left"/>
              <w:rPr>
                <w:rFonts w:ascii="宋体" w:hAnsi="宋体"/>
              </w:rPr>
            </w:pPr>
            <w:r>
              <w:rPr>
                <w:rFonts w:ascii="宋体" w:hAnsi="宋体"/>
              </w:rPr>
              <w:t>不组织</w:t>
            </w:r>
          </w:p>
        </w:tc>
      </w:tr>
      <w:tr w14:paraId="77AE96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A4C3F9D">
            <w:pPr>
              <w:jc w:val="center"/>
              <w:rPr>
                <w:rFonts w:ascii="宋体" w:hAnsi="宋体"/>
              </w:rPr>
            </w:pPr>
            <w:r>
              <w:rPr>
                <w:rFonts w:hint="eastAsia" w:ascii="宋体" w:hAnsi="宋体"/>
              </w:rPr>
              <w:t>1</w:t>
            </w:r>
            <w:r>
              <w:rPr>
                <w:rFonts w:ascii="宋体" w:hAnsi="宋体"/>
              </w:rPr>
              <w:t>0</w:t>
            </w:r>
          </w:p>
        </w:tc>
        <w:tc>
          <w:tcPr>
            <w:tcW w:w="2409" w:type="dxa"/>
            <w:vAlign w:val="center"/>
          </w:tcPr>
          <w:p w14:paraId="067A6A56">
            <w:pPr>
              <w:jc w:val="center"/>
              <w:rPr>
                <w:rFonts w:ascii="宋体" w:hAnsi="宋体"/>
              </w:rPr>
            </w:pPr>
            <w:r>
              <w:rPr>
                <w:rFonts w:hint="eastAsia" w:ascii="宋体" w:hAnsi="宋体"/>
              </w:rPr>
              <w:t>标前会议</w:t>
            </w:r>
          </w:p>
        </w:tc>
        <w:tc>
          <w:tcPr>
            <w:tcW w:w="4980" w:type="dxa"/>
            <w:vAlign w:val="center"/>
          </w:tcPr>
          <w:p w14:paraId="2B8EB7CF">
            <w:pPr>
              <w:jc w:val="left"/>
              <w:rPr>
                <w:rFonts w:ascii="宋体" w:hAnsi="宋体"/>
              </w:rPr>
            </w:pPr>
            <w:r>
              <w:rPr>
                <w:rFonts w:ascii="宋体" w:hAnsi="宋体"/>
              </w:rPr>
              <w:t>不组织</w:t>
            </w:r>
          </w:p>
        </w:tc>
      </w:tr>
      <w:tr w14:paraId="7A0065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31922B7">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21F4181C">
            <w:pPr>
              <w:jc w:val="center"/>
              <w:rPr>
                <w:rFonts w:ascii="宋体" w:hAnsi="宋体"/>
              </w:rPr>
            </w:pPr>
            <w:r>
              <w:rPr>
                <w:rFonts w:hint="eastAsia" w:ascii="宋体" w:hAnsi="宋体"/>
              </w:rPr>
              <w:t>招标文件的澄清和修改</w:t>
            </w:r>
          </w:p>
        </w:tc>
        <w:tc>
          <w:tcPr>
            <w:tcW w:w="4980" w:type="dxa"/>
            <w:vAlign w:val="center"/>
          </w:tcPr>
          <w:p w14:paraId="29643824">
            <w:pPr>
              <w:jc w:val="left"/>
              <w:rPr>
                <w:rFonts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42C6B0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4F4EF08">
            <w:pPr>
              <w:jc w:val="center"/>
              <w:rPr>
                <w:rFonts w:ascii="宋体" w:hAnsi="宋体"/>
              </w:rPr>
            </w:pPr>
            <w:r>
              <w:rPr>
                <w:rFonts w:hint="eastAsia" w:ascii="宋体" w:hAnsi="宋体"/>
              </w:rPr>
              <w:t>2</w:t>
            </w:r>
            <w:r>
              <w:rPr>
                <w:rFonts w:ascii="宋体" w:hAnsi="宋体"/>
              </w:rPr>
              <w:t>0</w:t>
            </w:r>
          </w:p>
        </w:tc>
        <w:tc>
          <w:tcPr>
            <w:tcW w:w="2409" w:type="dxa"/>
            <w:vAlign w:val="center"/>
          </w:tcPr>
          <w:p w14:paraId="6FA49967">
            <w:pPr>
              <w:jc w:val="center"/>
              <w:rPr>
                <w:rFonts w:ascii="宋体" w:hAnsi="宋体"/>
              </w:rPr>
            </w:pPr>
            <w:r>
              <w:rPr>
                <w:rFonts w:hint="eastAsia" w:ascii="宋体" w:hAnsi="宋体"/>
              </w:rPr>
              <w:t>投标有效期</w:t>
            </w:r>
          </w:p>
        </w:tc>
        <w:tc>
          <w:tcPr>
            <w:tcW w:w="4980" w:type="dxa"/>
            <w:vAlign w:val="center"/>
          </w:tcPr>
          <w:p w14:paraId="3F7A70E5">
            <w:pPr>
              <w:jc w:val="left"/>
              <w:rPr>
                <w:rFonts w:ascii="宋体" w:hAnsi="宋体"/>
              </w:rPr>
            </w:pPr>
            <w:r>
              <w:rPr>
                <w:rFonts w:hint="eastAsia" w:ascii="宋体" w:hAnsi="宋体"/>
              </w:rPr>
              <w:t>120个日历日</w:t>
            </w:r>
          </w:p>
        </w:tc>
      </w:tr>
      <w:tr w14:paraId="73B274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ED9AE26">
            <w:pPr>
              <w:jc w:val="center"/>
              <w:rPr>
                <w:rFonts w:ascii="宋体" w:hAnsi="宋体"/>
              </w:rPr>
            </w:pPr>
            <w:r>
              <w:rPr>
                <w:rFonts w:hint="eastAsia" w:ascii="宋体" w:hAnsi="宋体"/>
              </w:rPr>
              <w:t>2</w:t>
            </w:r>
            <w:r>
              <w:rPr>
                <w:rFonts w:ascii="宋体" w:hAnsi="宋体"/>
              </w:rPr>
              <w:t>2</w:t>
            </w:r>
          </w:p>
        </w:tc>
        <w:tc>
          <w:tcPr>
            <w:tcW w:w="2409" w:type="dxa"/>
            <w:vAlign w:val="center"/>
          </w:tcPr>
          <w:p w14:paraId="137C5C91">
            <w:pPr>
              <w:jc w:val="center"/>
              <w:rPr>
                <w:rFonts w:ascii="宋体" w:hAnsi="宋体"/>
              </w:rPr>
            </w:pPr>
            <w:r>
              <w:rPr>
                <w:rFonts w:hint="eastAsia" w:ascii="宋体" w:hAnsi="宋体"/>
              </w:rPr>
              <w:t>投标人的替代方案</w:t>
            </w:r>
          </w:p>
        </w:tc>
        <w:tc>
          <w:tcPr>
            <w:tcW w:w="4980" w:type="dxa"/>
            <w:vAlign w:val="center"/>
          </w:tcPr>
          <w:p w14:paraId="1B6B756E">
            <w:pPr>
              <w:jc w:val="left"/>
              <w:rPr>
                <w:rFonts w:ascii="宋体" w:hAnsi="宋体"/>
              </w:rPr>
            </w:pPr>
            <w:r>
              <w:rPr>
                <w:rFonts w:hint="eastAsia" w:ascii="宋体" w:hAnsi="宋体"/>
              </w:rPr>
              <w:t>不接受</w:t>
            </w:r>
          </w:p>
        </w:tc>
      </w:tr>
      <w:tr w14:paraId="69DC3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16CD706">
            <w:pPr>
              <w:jc w:val="center"/>
              <w:rPr>
                <w:rFonts w:ascii="宋体" w:hAnsi="宋体"/>
              </w:rPr>
            </w:pPr>
            <w:r>
              <w:rPr>
                <w:rFonts w:hint="eastAsia" w:ascii="宋体" w:hAnsi="宋体"/>
              </w:rPr>
              <w:t>2</w:t>
            </w:r>
            <w:r>
              <w:rPr>
                <w:rFonts w:ascii="宋体" w:hAnsi="宋体"/>
              </w:rPr>
              <w:t>5</w:t>
            </w:r>
          </w:p>
        </w:tc>
        <w:tc>
          <w:tcPr>
            <w:tcW w:w="2409" w:type="dxa"/>
            <w:vAlign w:val="center"/>
          </w:tcPr>
          <w:p w14:paraId="65F518CD">
            <w:pPr>
              <w:jc w:val="center"/>
              <w:rPr>
                <w:rFonts w:ascii="宋体" w:hAnsi="宋体"/>
              </w:rPr>
            </w:pPr>
            <w:r>
              <w:rPr>
                <w:rFonts w:hint="eastAsia" w:ascii="宋体" w:hAnsi="宋体"/>
              </w:rPr>
              <w:t>投标文件的大小</w:t>
            </w:r>
          </w:p>
        </w:tc>
        <w:tc>
          <w:tcPr>
            <w:tcW w:w="4980" w:type="dxa"/>
            <w:vAlign w:val="center"/>
          </w:tcPr>
          <w:p w14:paraId="5AFDD8A1">
            <w:pPr>
              <w:jc w:val="left"/>
              <w:rPr>
                <w:rFonts w:ascii="宋体" w:hAnsi="宋体"/>
              </w:rPr>
            </w:pPr>
            <w:r>
              <w:rPr>
                <w:rFonts w:hint="eastAsia" w:ascii="宋体" w:hAnsi="宋体"/>
              </w:rPr>
              <w:t>投标文件大小不得超过100MB</w:t>
            </w:r>
          </w:p>
        </w:tc>
      </w:tr>
      <w:tr w14:paraId="02FDD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756D0FD">
            <w:pPr>
              <w:jc w:val="center"/>
              <w:rPr>
                <w:rFonts w:ascii="宋体" w:hAnsi="宋体"/>
              </w:rPr>
            </w:pPr>
            <w:r>
              <w:rPr>
                <w:rFonts w:hint="eastAsia" w:ascii="宋体" w:hAnsi="宋体"/>
              </w:rPr>
              <w:t>2</w:t>
            </w:r>
            <w:r>
              <w:rPr>
                <w:rFonts w:ascii="宋体" w:hAnsi="宋体"/>
              </w:rPr>
              <w:t>6</w:t>
            </w:r>
          </w:p>
        </w:tc>
        <w:tc>
          <w:tcPr>
            <w:tcW w:w="2409" w:type="dxa"/>
            <w:vAlign w:val="center"/>
          </w:tcPr>
          <w:p w14:paraId="1A37596B">
            <w:pPr>
              <w:jc w:val="center"/>
              <w:rPr>
                <w:rFonts w:ascii="宋体" w:hAnsi="宋体"/>
              </w:rPr>
            </w:pPr>
            <w:bookmarkStart w:id="31" w:name="_Hlk71664860"/>
            <w:r>
              <w:rPr>
                <w:rFonts w:hint="eastAsia" w:ascii="宋体" w:hAnsi="宋体"/>
              </w:rPr>
              <w:t>样品、现场演示、方案讲解</w:t>
            </w:r>
            <w:bookmarkEnd w:id="31"/>
          </w:p>
        </w:tc>
        <w:tc>
          <w:tcPr>
            <w:tcW w:w="4980" w:type="dxa"/>
            <w:vAlign w:val="center"/>
          </w:tcPr>
          <w:p w14:paraId="42AB1800">
            <w:pPr>
              <w:jc w:val="left"/>
              <w:rPr>
                <w:rFonts w:ascii="宋体" w:hAnsi="宋体"/>
              </w:rPr>
            </w:pPr>
            <w:r>
              <w:rPr>
                <w:rFonts w:hint="eastAsia" w:ascii="宋体" w:hAnsi="宋体"/>
              </w:rPr>
              <w:t>无</w:t>
            </w:r>
          </w:p>
        </w:tc>
      </w:tr>
      <w:tr w14:paraId="489A3C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7B73A8A">
            <w:pPr>
              <w:jc w:val="center"/>
              <w:rPr>
                <w:rFonts w:ascii="宋体" w:hAnsi="宋体"/>
              </w:rPr>
            </w:pPr>
            <w:r>
              <w:rPr>
                <w:rFonts w:hint="eastAsia" w:ascii="宋体" w:hAnsi="宋体"/>
              </w:rPr>
              <w:t>3</w:t>
            </w:r>
            <w:r>
              <w:rPr>
                <w:rFonts w:ascii="宋体" w:hAnsi="宋体"/>
              </w:rPr>
              <w:t>7</w:t>
            </w:r>
          </w:p>
        </w:tc>
        <w:tc>
          <w:tcPr>
            <w:tcW w:w="2409" w:type="dxa"/>
            <w:vAlign w:val="center"/>
          </w:tcPr>
          <w:p w14:paraId="39DC52E1">
            <w:pPr>
              <w:jc w:val="center"/>
              <w:rPr>
                <w:rFonts w:ascii="宋体" w:hAnsi="宋体"/>
              </w:rPr>
            </w:pPr>
            <w:r>
              <w:rPr>
                <w:rFonts w:hint="eastAsia" w:ascii="宋体" w:hAnsi="宋体"/>
              </w:rPr>
              <w:t>评审方法</w:t>
            </w:r>
          </w:p>
        </w:tc>
        <w:tc>
          <w:tcPr>
            <w:tcW w:w="4980" w:type="dxa"/>
            <w:vAlign w:val="center"/>
          </w:tcPr>
          <w:p w14:paraId="6178F5F6">
            <w:pPr>
              <w:jc w:val="left"/>
              <w:rPr>
                <w:rFonts w:ascii="宋体" w:hAnsi="宋体"/>
              </w:rPr>
            </w:pPr>
            <w:r>
              <w:rPr>
                <w:rFonts w:ascii="宋体" w:hAnsi="宋体"/>
              </w:rPr>
              <w:t>综合评分法</w:t>
            </w:r>
          </w:p>
        </w:tc>
      </w:tr>
      <w:tr w14:paraId="3F89A3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40" w:hRule="atLeast"/>
          <w:jc w:val="center"/>
        </w:trPr>
        <w:tc>
          <w:tcPr>
            <w:tcW w:w="978" w:type="dxa"/>
            <w:vAlign w:val="center"/>
          </w:tcPr>
          <w:p w14:paraId="5D169463">
            <w:pPr>
              <w:jc w:val="center"/>
              <w:rPr>
                <w:rFonts w:ascii="宋体" w:hAnsi="宋体"/>
              </w:rPr>
            </w:pPr>
            <w:r>
              <w:rPr>
                <w:rFonts w:hint="eastAsia" w:ascii="宋体" w:hAnsi="宋体"/>
              </w:rPr>
              <w:t>3</w:t>
            </w:r>
            <w:r>
              <w:rPr>
                <w:rFonts w:ascii="宋体" w:hAnsi="宋体"/>
              </w:rPr>
              <w:t>8</w:t>
            </w:r>
          </w:p>
        </w:tc>
        <w:tc>
          <w:tcPr>
            <w:tcW w:w="2409" w:type="dxa"/>
            <w:vAlign w:val="center"/>
          </w:tcPr>
          <w:p w14:paraId="61847FD8">
            <w:pPr>
              <w:jc w:val="center"/>
              <w:rPr>
                <w:rFonts w:ascii="宋体" w:hAnsi="宋体"/>
              </w:rPr>
            </w:pPr>
            <w:r>
              <w:rPr>
                <w:rFonts w:hint="eastAsia" w:ascii="宋体" w:hAnsi="宋体"/>
              </w:rPr>
              <w:t>定标方法</w:t>
            </w:r>
          </w:p>
        </w:tc>
        <w:tc>
          <w:tcPr>
            <w:tcW w:w="4980" w:type="dxa"/>
            <w:vAlign w:val="center"/>
          </w:tcPr>
          <w:p w14:paraId="74C2F492">
            <w:pPr>
              <w:jc w:val="left"/>
              <w:rPr>
                <w:rFonts w:ascii="宋体" w:hAnsi="宋体"/>
              </w:rPr>
            </w:pPr>
            <w:r>
              <w:rPr>
                <w:rFonts w:ascii="宋体" w:hAnsi="宋体"/>
              </w:rPr>
              <w:t>评定分离</w:t>
            </w:r>
            <w:r>
              <w:rPr>
                <w:rFonts w:hint="eastAsia" w:ascii="宋体" w:hAnsi="宋体"/>
              </w:rPr>
              <w:t>，定标方法为自定法</w:t>
            </w:r>
          </w:p>
        </w:tc>
      </w:tr>
      <w:tr w14:paraId="025112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B8A870E">
            <w:pPr>
              <w:jc w:val="center"/>
              <w:rPr>
                <w:rFonts w:ascii="宋体" w:hAnsi="宋体"/>
              </w:rPr>
            </w:pPr>
            <w:r>
              <w:rPr>
                <w:rFonts w:hint="eastAsia" w:ascii="宋体" w:hAnsi="宋体"/>
              </w:rPr>
              <w:t>4</w:t>
            </w:r>
            <w:r>
              <w:rPr>
                <w:rFonts w:ascii="宋体" w:hAnsi="宋体"/>
              </w:rPr>
              <w:t>6</w:t>
            </w:r>
          </w:p>
        </w:tc>
        <w:tc>
          <w:tcPr>
            <w:tcW w:w="2409" w:type="dxa"/>
            <w:vAlign w:val="center"/>
          </w:tcPr>
          <w:p w14:paraId="5C6A6FEE">
            <w:pPr>
              <w:jc w:val="center"/>
              <w:rPr>
                <w:rFonts w:ascii="宋体" w:hAnsi="宋体"/>
              </w:rPr>
            </w:pPr>
            <w:r>
              <w:rPr>
                <w:rFonts w:hint="eastAsia" w:ascii="宋体" w:hAnsi="宋体"/>
              </w:rPr>
              <w:t>履约担保</w:t>
            </w:r>
          </w:p>
        </w:tc>
        <w:tc>
          <w:tcPr>
            <w:tcW w:w="4980" w:type="dxa"/>
            <w:vAlign w:val="center"/>
          </w:tcPr>
          <w:p w14:paraId="6BEAF7E0">
            <w:pPr>
              <w:jc w:val="left"/>
              <w:rPr>
                <w:rFonts w:ascii="宋体" w:hAnsi="宋体"/>
              </w:rPr>
            </w:pPr>
            <w:r>
              <w:rPr>
                <w:rFonts w:hint="eastAsia" w:ascii="宋体" w:hAnsi="宋体"/>
                <w:color w:val="0000FF"/>
              </w:rPr>
              <w:t>本项目无需提供履约保证金。</w:t>
            </w:r>
          </w:p>
        </w:tc>
      </w:tr>
    </w:tbl>
    <w:p w14:paraId="568FB0E9">
      <w:pPr>
        <w:rPr>
          <w:b/>
        </w:rPr>
      </w:pPr>
      <w:r>
        <w:rPr>
          <w:rFonts w:hint="eastAsia"/>
          <w:szCs w:val="21"/>
        </w:rPr>
        <w:t>备注：本表是通用条款相关条款的补充和明确，如与通用条款内容相冲突的，以本表为准。</w:t>
      </w:r>
    </w:p>
    <w:p w14:paraId="6422B705">
      <w:pPr>
        <w:rPr>
          <w:b/>
        </w:rPr>
      </w:pPr>
    </w:p>
    <w:p w14:paraId="766519F7">
      <w:pPr>
        <w:pStyle w:val="6"/>
        <w:spacing w:before="120" w:beforeLines="50" w:after="120" w:afterLines="50"/>
        <w:rPr>
          <w:szCs w:val="24"/>
        </w:rPr>
      </w:pPr>
      <w:r>
        <w:rPr>
          <w:rFonts w:hint="eastAsia"/>
          <w:szCs w:val="24"/>
        </w:rPr>
        <w:t>二、其他关键信息</w:t>
      </w:r>
    </w:p>
    <w:p w14:paraId="285AB51B">
      <w:pPr>
        <w:ind w:firstLine="422" w:firstLineChars="200"/>
        <w:rPr>
          <w:b/>
          <w:bCs/>
        </w:rPr>
      </w:pPr>
      <w:r>
        <w:rPr>
          <w:rFonts w:hint="eastAsia"/>
          <w:b/>
          <w:bCs/>
        </w:rPr>
        <w:t>（一）与“对通用条款的补充内容”章节相关的事项</w:t>
      </w:r>
    </w:p>
    <w:p w14:paraId="66BEFC13">
      <w:pPr>
        <w:spacing w:line="276" w:lineRule="auto"/>
        <w:ind w:firstLine="422" w:firstLineChars="200"/>
        <w:jc w:val="left"/>
        <w:rPr>
          <w:rFonts w:asciiTheme="minorEastAsia" w:hAnsiTheme="minorEastAsia" w:eastAsiaTheme="minorEastAsia"/>
          <w:b/>
          <w:kern w:val="0"/>
          <w:szCs w:val="20"/>
        </w:rPr>
      </w:pPr>
      <w:bookmarkStart w:id="32" w:name="_Hlk72579465"/>
      <w:r>
        <w:rPr>
          <w:rFonts w:hint="eastAsia" w:asciiTheme="minorEastAsia" w:hAnsiTheme="minorEastAsia" w:eastAsiaTheme="minorEastAsia"/>
          <w:b/>
          <w:kern w:val="0"/>
          <w:szCs w:val="20"/>
        </w:rPr>
        <w:t>1、评标定标信息</w:t>
      </w:r>
    </w:p>
    <w:p w14:paraId="1F6C4EB1">
      <w:pPr>
        <w:jc w:val="center"/>
        <w:rPr>
          <w:b/>
        </w:rPr>
      </w:pPr>
      <w:r>
        <w:rPr>
          <w:rFonts w:hint="eastAsia"/>
          <w:b/>
        </w:rPr>
        <w:t>评定分离项目</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4397"/>
      </w:tblGrid>
      <w:tr w14:paraId="3CB7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2" w:type="dxa"/>
          </w:tcPr>
          <w:p w14:paraId="698FFF34">
            <w:pPr>
              <w:jc w:val="center"/>
            </w:pPr>
            <w:r>
              <w:rPr>
                <w:rFonts w:hint="eastAsia"/>
              </w:rPr>
              <w:t>评标方法</w:t>
            </w:r>
          </w:p>
        </w:tc>
        <w:tc>
          <w:tcPr>
            <w:tcW w:w="4397" w:type="dxa"/>
          </w:tcPr>
          <w:p w14:paraId="37DD5794">
            <w:pPr>
              <w:jc w:val="center"/>
            </w:pPr>
            <w:r>
              <w:rPr>
                <w:rFonts w:hint="eastAsia"/>
              </w:rPr>
              <w:t>综合评分法</w:t>
            </w:r>
          </w:p>
        </w:tc>
      </w:tr>
      <w:tr w14:paraId="6FDB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2" w:type="dxa"/>
          </w:tcPr>
          <w:p w14:paraId="30D0E45D">
            <w:pPr>
              <w:jc w:val="center"/>
            </w:pPr>
            <w:r>
              <w:rPr>
                <w:rFonts w:hint="eastAsia"/>
              </w:rPr>
              <w:t>定标方法</w:t>
            </w:r>
          </w:p>
        </w:tc>
        <w:tc>
          <w:tcPr>
            <w:tcW w:w="4397" w:type="dxa"/>
          </w:tcPr>
          <w:p w14:paraId="2B296C55">
            <w:pPr>
              <w:jc w:val="center"/>
            </w:pPr>
            <w:r>
              <w:rPr>
                <w:rFonts w:hint="eastAsia"/>
              </w:rPr>
              <w:t>自定法</w:t>
            </w:r>
          </w:p>
        </w:tc>
      </w:tr>
      <w:tr w14:paraId="3B5C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32" w:type="dxa"/>
          </w:tcPr>
          <w:p w14:paraId="0E9AE7E7">
            <w:pPr>
              <w:jc w:val="center"/>
            </w:pPr>
            <w:r>
              <w:rPr>
                <w:rFonts w:hint="eastAsia"/>
              </w:rPr>
              <w:t>推荐候选中标供应商家数</w:t>
            </w:r>
          </w:p>
        </w:tc>
        <w:tc>
          <w:tcPr>
            <w:tcW w:w="4397" w:type="dxa"/>
          </w:tcPr>
          <w:p w14:paraId="2B9155E3">
            <w:pPr>
              <w:jc w:val="center"/>
            </w:pPr>
            <w:r>
              <w:rPr>
                <w:rFonts w:hint="eastAsia"/>
              </w:rPr>
              <w:t>3</w:t>
            </w:r>
          </w:p>
        </w:tc>
      </w:tr>
      <w:tr w14:paraId="03AF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2" w:type="dxa"/>
          </w:tcPr>
          <w:p w14:paraId="552F3E6E">
            <w:pPr>
              <w:jc w:val="center"/>
            </w:pPr>
            <w:r>
              <w:rPr>
                <w:rFonts w:hint="eastAsia"/>
              </w:rPr>
              <w:t>中标供应商家数</w:t>
            </w:r>
          </w:p>
        </w:tc>
        <w:tc>
          <w:tcPr>
            <w:tcW w:w="4397" w:type="dxa"/>
          </w:tcPr>
          <w:p w14:paraId="680D32EB">
            <w:pPr>
              <w:jc w:val="center"/>
            </w:pPr>
            <w:r>
              <w:rPr>
                <w:rFonts w:hint="eastAsia"/>
              </w:rPr>
              <w:t>1</w:t>
            </w:r>
          </w:p>
        </w:tc>
      </w:tr>
    </w:tbl>
    <w:p w14:paraId="0B7AA03F">
      <w:pPr>
        <w:rPr>
          <w:rFonts w:ascii="宋体" w:hAnsi="宋体"/>
          <w:b/>
        </w:rPr>
      </w:pPr>
    </w:p>
    <w:bookmarkEnd w:id="32"/>
    <w:p w14:paraId="4FF75CE2">
      <w:pPr>
        <w:ind w:firstLine="422" w:firstLineChars="200"/>
        <w:rPr>
          <w:b/>
        </w:rPr>
      </w:pPr>
      <w:r>
        <w:rPr>
          <w:rFonts w:hint="eastAsia"/>
          <w:b/>
        </w:rPr>
        <w:t>（二）其他事项</w:t>
      </w:r>
    </w:p>
    <w:p w14:paraId="4F2FF893">
      <w:pPr>
        <w:ind w:firstLine="420" w:firstLineChars="200"/>
      </w:pPr>
      <w:r>
        <w:t>1</w:t>
      </w:r>
      <w:r>
        <w:rPr>
          <w:rFonts w:hint="eastAsia"/>
        </w:rPr>
        <w:t>、关于享受优惠政策的主体及价格扣除比例</w:t>
      </w:r>
    </w:p>
    <w:p w14:paraId="0F78D320">
      <w:pPr>
        <w:ind w:firstLine="420" w:firstLineChars="200"/>
      </w:pPr>
      <w:r>
        <w:rPr>
          <w:rFonts w:hint="eastAsia"/>
        </w:rPr>
        <w:t>（1）专门面向中小企业采购的项目，不再执行价格扣除比例。</w:t>
      </w:r>
    </w:p>
    <w:p w14:paraId="4B072279">
      <w:pPr>
        <w:ind w:firstLine="420" w:firstLineChars="200"/>
      </w:pPr>
      <w:r>
        <w:rPr>
          <w:rFonts w:hint="eastAsia"/>
        </w:rPr>
        <w:t>（2）非专门面向中小企业采购的项目，应执行价格扣除比例：供应商提供的服务全部由优惠主体承接，则对其投标总价给予</w:t>
      </w:r>
      <w:r>
        <w:rPr>
          <w:rFonts w:hint="eastAsia"/>
          <w:color w:val="FF0000"/>
          <w:u w:val="single"/>
          <w:lang w:val="en-US" w:eastAsia="zh-CN"/>
        </w:rPr>
        <w:t>10</w:t>
      </w:r>
      <w:r>
        <w:rPr>
          <w:color w:val="FF0000"/>
          <w:u w:val="single"/>
        </w:rPr>
        <w:t>%</w:t>
      </w:r>
      <w:r>
        <w:rPr>
          <w:rFonts w:hint="eastAsia"/>
        </w:rPr>
        <w:t>的扣除，用扣除后的价格参与评审。满足多项优惠政策的企业，不重复享受多项价格扣除政策。</w:t>
      </w:r>
    </w:p>
    <w:p w14:paraId="43AD83DC">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79719A67">
      <w:pPr>
        <w:numPr>
          <w:ilvl w:val="0"/>
          <w:numId w:val="8"/>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48B33D4B">
      <w:pPr>
        <w:numPr>
          <w:ilvl w:val="0"/>
          <w:numId w:val="8"/>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3DBA4126">
      <w:pPr>
        <w:numPr>
          <w:ilvl w:val="0"/>
          <w:numId w:val="8"/>
        </w:numPr>
        <w:ind w:firstLine="420" w:firstLineChars="200"/>
      </w:pPr>
      <w:r>
        <w:rPr>
          <w:rFonts w:hint="eastAsia"/>
        </w:rPr>
        <w:t>享受价格扣除获得政府采购合同的，小微企业不得将合同分包给大中型企业。</w:t>
      </w:r>
    </w:p>
    <w:p w14:paraId="44C8928B">
      <w:pPr>
        <w:numPr>
          <w:ilvl w:val="0"/>
          <w:numId w:val="8"/>
        </w:numPr>
        <w:ind w:firstLine="420" w:firstLineChars="200"/>
      </w:pPr>
      <w:r>
        <w:rPr>
          <w:rFonts w:hint="eastAsia"/>
        </w:rPr>
        <w:t>（不接受联合体投标的项目，本条不适用）联合体投标的情况下：1、联合体各方均为优惠主体的，该联合体视同为优惠主体享受同比例价格扣除；2、联合体共同投标协议中明确注明约定优惠主体的协议合同金额占到联合体协议总金额30%以上的，对该联合体的投标总价给予</w:t>
      </w:r>
      <w:r>
        <w:rPr>
          <w:rFonts w:hint="eastAsia"/>
          <w:u w:val="single"/>
        </w:rPr>
        <w:t xml:space="preserve">    </w:t>
      </w:r>
      <w:r>
        <w:rPr>
          <w:rFonts w:hint="eastAsia"/>
          <w:u w:val="single"/>
          <w:lang w:val="en-US" w:eastAsia="zh-CN"/>
        </w:rPr>
        <w:t>/</w:t>
      </w:r>
      <w:r>
        <w:rPr>
          <w:rFonts w:hint="eastAsia"/>
          <w:u w:val="single"/>
        </w:rPr>
        <w:t xml:space="preserve">  %</w:t>
      </w:r>
      <w:r>
        <w:rPr>
          <w:rFonts w:hint="eastAsia"/>
        </w:rPr>
        <w:t xml:space="preserve"> 的扣除，用扣除后的价格参与评审。</w:t>
      </w:r>
    </w:p>
    <w:p w14:paraId="5643DDAE">
      <w:pPr>
        <w:ind w:firstLine="422" w:firstLineChars="200"/>
        <w:rPr>
          <w:b/>
        </w:rPr>
      </w:pPr>
      <w:bookmarkStart w:id="33" w:name="_Hlk72594729"/>
      <w:bookmarkStart w:id="34" w:name="_Hlk76855768"/>
      <w:r>
        <w:rPr>
          <w:rFonts w:hint="eastAsia"/>
          <w:b/>
        </w:rPr>
        <w:t>2、本项目为代理服务项目，将向中标（成交）供应商收取代理服务费。</w:t>
      </w:r>
    </w:p>
    <w:bookmarkEnd w:id="33"/>
    <w:bookmarkEnd w:id="34"/>
    <w:p w14:paraId="30D7788B">
      <w:pPr>
        <w:ind w:firstLine="420" w:firstLineChars="200"/>
      </w:pPr>
      <w:r>
        <w:rPr>
          <w:rFonts w:hint="eastAsia"/>
        </w:rPr>
        <w:t>中标（成交）供应商在领取《中标（成交）通知书》之前须向深圳公共资源交易中心（</w:t>
      </w:r>
      <w:r>
        <w:rPr>
          <w:rFonts w:hint="eastAsia"/>
          <w:lang w:eastAsia="zh-CN"/>
        </w:rPr>
        <w:t>深圳交易集团有限公司盐田分公司</w:t>
      </w:r>
      <w:r>
        <w:rPr>
          <w:rFonts w:hint="eastAsia"/>
        </w:rPr>
        <w:t>）交纳代理服务费。若因中标（成交）供应商交纳代理服务费所产生的时间影响到合同签订的，由中标（成交）供应商自行承担责任。代理服务费标准参照下列标准收取。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69461332">
      <w:pPr>
        <w:ind w:firstLine="420" w:firstLineChars="200"/>
      </w:pPr>
      <w:r>
        <w:rPr>
          <w:rFonts w:hint="eastAsia"/>
        </w:rPr>
        <w:t>（1）代理服务费以《中标（成交）通知书》确定的中标（成交）金额作为计算基数，按差额定率累进法计算。</w:t>
      </w:r>
    </w:p>
    <w:p w14:paraId="7036B4D0">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C21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F64E935">
            <w:pPr>
              <w:widowControl/>
              <w:spacing w:line="360" w:lineRule="auto"/>
              <w:jc w:val="center"/>
            </w:pPr>
            <w:r>
              <w:rPr>
                <w:rFonts w:hint="eastAsia"/>
              </w:rPr>
              <w:t>中标（成交）金额</w:t>
            </w:r>
          </w:p>
        </w:tc>
        <w:tc>
          <w:tcPr>
            <w:tcW w:w="1799" w:type="dxa"/>
            <w:vAlign w:val="center"/>
          </w:tcPr>
          <w:p w14:paraId="0B22B9EC">
            <w:pPr>
              <w:widowControl/>
              <w:spacing w:line="360" w:lineRule="auto"/>
              <w:jc w:val="center"/>
            </w:pPr>
            <w:r>
              <w:rPr>
                <w:rFonts w:hint="eastAsia"/>
              </w:rPr>
              <w:t>货物采购</w:t>
            </w:r>
          </w:p>
        </w:tc>
        <w:tc>
          <w:tcPr>
            <w:tcW w:w="1799" w:type="dxa"/>
            <w:vAlign w:val="center"/>
          </w:tcPr>
          <w:p w14:paraId="10FA7FF8">
            <w:pPr>
              <w:widowControl/>
              <w:spacing w:line="360" w:lineRule="auto"/>
              <w:jc w:val="center"/>
            </w:pPr>
            <w:r>
              <w:rPr>
                <w:rFonts w:hint="eastAsia"/>
              </w:rPr>
              <w:t>服务采购</w:t>
            </w:r>
          </w:p>
        </w:tc>
        <w:tc>
          <w:tcPr>
            <w:tcW w:w="1799" w:type="dxa"/>
            <w:vAlign w:val="center"/>
          </w:tcPr>
          <w:p w14:paraId="2C0F8532">
            <w:pPr>
              <w:widowControl/>
              <w:spacing w:line="360" w:lineRule="auto"/>
              <w:jc w:val="center"/>
            </w:pPr>
            <w:r>
              <w:rPr>
                <w:rFonts w:hint="eastAsia"/>
              </w:rPr>
              <w:t>工程采购</w:t>
            </w:r>
          </w:p>
        </w:tc>
      </w:tr>
      <w:tr w14:paraId="342E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D7C694A">
            <w:pPr>
              <w:widowControl/>
              <w:spacing w:line="360" w:lineRule="auto"/>
              <w:jc w:val="center"/>
            </w:pPr>
            <w:r>
              <w:rPr>
                <w:rFonts w:hint="eastAsia"/>
              </w:rPr>
              <w:t>100万元以下</w:t>
            </w:r>
          </w:p>
        </w:tc>
        <w:tc>
          <w:tcPr>
            <w:tcW w:w="1799" w:type="dxa"/>
            <w:vAlign w:val="center"/>
          </w:tcPr>
          <w:p w14:paraId="4DC599EC">
            <w:pPr>
              <w:widowControl/>
              <w:spacing w:line="360" w:lineRule="auto"/>
              <w:jc w:val="center"/>
            </w:pPr>
            <w:r>
              <w:rPr>
                <w:rFonts w:hint="eastAsia"/>
              </w:rPr>
              <w:t>1.5%</w:t>
            </w:r>
          </w:p>
        </w:tc>
        <w:tc>
          <w:tcPr>
            <w:tcW w:w="1799" w:type="dxa"/>
            <w:vAlign w:val="center"/>
          </w:tcPr>
          <w:p w14:paraId="2E1FBC84">
            <w:pPr>
              <w:widowControl/>
              <w:spacing w:line="360" w:lineRule="auto"/>
              <w:jc w:val="center"/>
            </w:pPr>
            <w:r>
              <w:rPr>
                <w:rFonts w:hint="eastAsia"/>
              </w:rPr>
              <w:t>1.5%</w:t>
            </w:r>
          </w:p>
        </w:tc>
        <w:tc>
          <w:tcPr>
            <w:tcW w:w="1799" w:type="dxa"/>
            <w:vAlign w:val="center"/>
          </w:tcPr>
          <w:p w14:paraId="5115A36C">
            <w:pPr>
              <w:widowControl/>
              <w:spacing w:line="360" w:lineRule="auto"/>
              <w:jc w:val="center"/>
            </w:pPr>
            <w:r>
              <w:rPr>
                <w:rFonts w:hint="eastAsia"/>
              </w:rPr>
              <w:t>1.0%</w:t>
            </w:r>
          </w:p>
        </w:tc>
      </w:tr>
      <w:tr w14:paraId="6366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74D39F1">
            <w:pPr>
              <w:widowControl/>
              <w:spacing w:line="360" w:lineRule="auto"/>
              <w:jc w:val="center"/>
            </w:pPr>
            <w:r>
              <w:rPr>
                <w:rFonts w:hint="eastAsia"/>
              </w:rPr>
              <w:t>100万元（含）-500万元</w:t>
            </w:r>
          </w:p>
        </w:tc>
        <w:tc>
          <w:tcPr>
            <w:tcW w:w="1799" w:type="dxa"/>
            <w:vAlign w:val="center"/>
          </w:tcPr>
          <w:p w14:paraId="7F58F84E">
            <w:pPr>
              <w:widowControl/>
              <w:spacing w:line="360" w:lineRule="auto"/>
              <w:jc w:val="center"/>
            </w:pPr>
            <w:r>
              <w:rPr>
                <w:rFonts w:hint="eastAsia"/>
              </w:rPr>
              <w:t>1.1%</w:t>
            </w:r>
          </w:p>
        </w:tc>
        <w:tc>
          <w:tcPr>
            <w:tcW w:w="1799" w:type="dxa"/>
            <w:vAlign w:val="center"/>
          </w:tcPr>
          <w:p w14:paraId="6C7EA778">
            <w:pPr>
              <w:widowControl/>
              <w:spacing w:line="360" w:lineRule="auto"/>
              <w:jc w:val="center"/>
            </w:pPr>
            <w:r>
              <w:rPr>
                <w:rFonts w:hint="eastAsia"/>
              </w:rPr>
              <w:t>0.8%</w:t>
            </w:r>
          </w:p>
        </w:tc>
        <w:tc>
          <w:tcPr>
            <w:tcW w:w="1799" w:type="dxa"/>
            <w:vAlign w:val="center"/>
          </w:tcPr>
          <w:p w14:paraId="261A13FC">
            <w:pPr>
              <w:widowControl/>
              <w:spacing w:line="360" w:lineRule="auto"/>
              <w:jc w:val="center"/>
            </w:pPr>
            <w:r>
              <w:rPr>
                <w:rFonts w:hint="eastAsia"/>
              </w:rPr>
              <w:t>0.7%</w:t>
            </w:r>
          </w:p>
        </w:tc>
      </w:tr>
      <w:tr w14:paraId="7145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3BE54B4">
            <w:pPr>
              <w:widowControl/>
              <w:spacing w:line="360" w:lineRule="auto"/>
              <w:jc w:val="center"/>
            </w:pPr>
            <w:r>
              <w:rPr>
                <w:rFonts w:hint="eastAsia"/>
              </w:rPr>
              <w:t>500万元（含）-1000万元</w:t>
            </w:r>
          </w:p>
        </w:tc>
        <w:tc>
          <w:tcPr>
            <w:tcW w:w="1799" w:type="dxa"/>
            <w:vAlign w:val="center"/>
          </w:tcPr>
          <w:p w14:paraId="4B55FA00">
            <w:pPr>
              <w:widowControl/>
              <w:spacing w:line="360" w:lineRule="auto"/>
              <w:jc w:val="center"/>
            </w:pPr>
            <w:r>
              <w:rPr>
                <w:rFonts w:hint="eastAsia"/>
              </w:rPr>
              <w:t>0.8%</w:t>
            </w:r>
          </w:p>
        </w:tc>
        <w:tc>
          <w:tcPr>
            <w:tcW w:w="1799" w:type="dxa"/>
            <w:vAlign w:val="center"/>
          </w:tcPr>
          <w:p w14:paraId="76D4FC79">
            <w:pPr>
              <w:widowControl/>
              <w:spacing w:line="360" w:lineRule="auto"/>
              <w:jc w:val="center"/>
            </w:pPr>
            <w:r>
              <w:rPr>
                <w:rFonts w:hint="eastAsia"/>
              </w:rPr>
              <w:t>0.45%</w:t>
            </w:r>
          </w:p>
        </w:tc>
        <w:tc>
          <w:tcPr>
            <w:tcW w:w="1799" w:type="dxa"/>
            <w:vAlign w:val="center"/>
          </w:tcPr>
          <w:p w14:paraId="0543786D">
            <w:pPr>
              <w:widowControl/>
              <w:spacing w:line="360" w:lineRule="auto"/>
              <w:jc w:val="center"/>
            </w:pPr>
            <w:r>
              <w:rPr>
                <w:rFonts w:hint="eastAsia"/>
              </w:rPr>
              <w:t>0.55%</w:t>
            </w:r>
          </w:p>
        </w:tc>
      </w:tr>
      <w:tr w14:paraId="6E14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3DFF9B0">
            <w:pPr>
              <w:widowControl/>
              <w:spacing w:line="360" w:lineRule="auto"/>
              <w:jc w:val="center"/>
            </w:pPr>
            <w:r>
              <w:rPr>
                <w:rFonts w:hint="eastAsia"/>
              </w:rPr>
              <w:t>1000万元（含）-5000万元</w:t>
            </w:r>
          </w:p>
        </w:tc>
        <w:tc>
          <w:tcPr>
            <w:tcW w:w="1799" w:type="dxa"/>
            <w:vAlign w:val="center"/>
          </w:tcPr>
          <w:p w14:paraId="0B213CD4">
            <w:pPr>
              <w:widowControl/>
              <w:spacing w:line="360" w:lineRule="auto"/>
              <w:jc w:val="center"/>
            </w:pPr>
            <w:r>
              <w:rPr>
                <w:rFonts w:hint="eastAsia"/>
              </w:rPr>
              <w:t>0.5%</w:t>
            </w:r>
          </w:p>
        </w:tc>
        <w:tc>
          <w:tcPr>
            <w:tcW w:w="1799" w:type="dxa"/>
            <w:vAlign w:val="center"/>
          </w:tcPr>
          <w:p w14:paraId="41BB9A33">
            <w:pPr>
              <w:widowControl/>
              <w:spacing w:line="360" w:lineRule="auto"/>
              <w:jc w:val="center"/>
            </w:pPr>
            <w:r>
              <w:rPr>
                <w:rFonts w:hint="eastAsia"/>
              </w:rPr>
              <w:t>0.25%</w:t>
            </w:r>
          </w:p>
        </w:tc>
        <w:tc>
          <w:tcPr>
            <w:tcW w:w="1799" w:type="dxa"/>
            <w:vAlign w:val="center"/>
          </w:tcPr>
          <w:p w14:paraId="648D38CB">
            <w:pPr>
              <w:widowControl/>
              <w:spacing w:line="360" w:lineRule="auto"/>
              <w:jc w:val="center"/>
            </w:pPr>
            <w:r>
              <w:rPr>
                <w:rFonts w:hint="eastAsia"/>
              </w:rPr>
              <w:t>0.35%</w:t>
            </w:r>
          </w:p>
        </w:tc>
      </w:tr>
      <w:tr w14:paraId="43E3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101EF6">
            <w:pPr>
              <w:widowControl/>
              <w:spacing w:line="360" w:lineRule="auto"/>
              <w:jc w:val="center"/>
            </w:pPr>
            <w:r>
              <w:rPr>
                <w:rFonts w:hint="eastAsia"/>
              </w:rPr>
              <w:t>5000万元（含）-1亿元</w:t>
            </w:r>
          </w:p>
        </w:tc>
        <w:tc>
          <w:tcPr>
            <w:tcW w:w="1799" w:type="dxa"/>
            <w:vAlign w:val="center"/>
          </w:tcPr>
          <w:p w14:paraId="0572954D">
            <w:pPr>
              <w:widowControl/>
              <w:spacing w:line="360" w:lineRule="auto"/>
              <w:jc w:val="center"/>
            </w:pPr>
            <w:r>
              <w:rPr>
                <w:rFonts w:hint="eastAsia"/>
              </w:rPr>
              <w:t>0.25%</w:t>
            </w:r>
          </w:p>
        </w:tc>
        <w:tc>
          <w:tcPr>
            <w:tcW w:w="1799" w:type="dxa"/>
            <w:vAlign w:val="center"/>
          </w:tcPr>
          <w:p w14:paraId="77C2119B">
            <w:pPr>
              <w:widowControl/>
              <w:spacing w:line="360" w:lineRule="auto"/>
              <w:jc w:val="center"/>
            </w:pPr>
            <w:r>
              <w:rPr>
                <w:rFonts w:hint="eastAsia"/>
              </w:rPr>
              <w:t>0.1%</w:t>
            </w:r>
          </w:p>
        </w:tc>
        <w:tc>
          <w:tcPr>
            <w:tcW w:w="1799" w:type="dxa"/>
            <w:vAlign w:val="center"/>
          </w:tcPr>
          <w:p w14:paraId="0F23B183">
            <w:pPr>
              <w:widowControl/>
              <w:spacing w:line="360" w:lineRule="auto"/>
              <w:jc w:val="center"/>
            </w:pPr>
            <w:r>
              <w:rPr>
                <w:rFonts w:hint="eastAsia"/>
              </w:rPr>
              <w:t>0.2%</w:t>
            </w:r>
          </w:p>
        </w:tc>
      </w:tr>
      <w:tr w14:paraId="45C6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BF47ED">
            <w:pPr>
              <w:widowControl/>
              <w:spacing w:line="360" w:lineRule="auto"/>
              <w:jc w:val="center"/>
            </w:pPr>
            <w:r>
              <w:rPr>
                <w:rFonts w:hint="eastAsia"/>
              </w:rPr>
              <w:t>1亿元（含）-5亿元</w:t>
            </w:r>
          </w:p>
        </w:tc>
        <w:tc>
          <w:tcPr>
            <w:tcW w:w="1799" w:type="dxa"/>
            <w:vAlign w:val="center"/>
          </w:tcPr>
          <w:p w14:paraId="2EBAAA4E">
            <w:pPr>
              <w:widowControl/>
              <w:spacing w:line="360" w:lineRule="auto"/>
              <w:jc w:val="center"/>
            </w:pPr>
            <w:r>
              <w:rPr>
                <w:rFonts w:hint="eastAsia"/>
              </w:rPr>
              <w:t>0.05%</w:t>
            </w:r>
          </w:p>
        </w:tc>
        <w:tc>
          <w:tcPr>
            <w:tcW w:w="1799" w:type="dxa"/>
            <w:vAlign w:val="center"/>
          </w:tcPr>
          <w:p w14:paraId="726948A5">
            <w:pPr>
              <w:widowControl/>
              <w:spacing w:line="360" w:lineRule="auto"/>
              <w:jc w:val="center"/>
            </w:pPr>
            <w:r>
              <w:rPr>
                <w:rFonts w:hint="eastAsia"/>
              </w:rPr>
              <w:t>0.05%</w:t>
            </w:r>
          </w:p>
        </w:tc>
        <w:tc>
          <w:tcPr>
            <w:tcW w:w="1799" w:type="dxa"/>
            <w:vAlign w:val="center"/>
          </w:tcPr>
          <w:p w14:paraId="26D0333D">
            <w:pPr>
              <w:widowControl/>
              <w:spacing w:line="360" w:lineRule="auto"/>
              <w:jc w:val="center"/>
            </w:pPr>
            <w:r>
              <w:rPr>
                <w:rFonts w:hint="eastAsia"/>
              </w:rPr>
              <w:t>0.05%</w:t>
            </w:r>
          </w:p>
        </w:tc>
      </w:tr>
      <w:tr w14:paraId="38A3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14:paraId="1137E059">
            <w:pPr>
              <w:widowControl/>
              <w:spacing w:line="360" w:lineRule="auto"/>
              <w:jc w:val="center"/>
            </w:pPr>
            <w:r>
              <w:rPr>
                <w:rFonts w:hint="eastAsia"/>
              </w:rPr>
              <w:t>5亿元（含）-10亿元</w:t>
            </w:r>
          </w:p>
        </w:tc>
        <w:tc>
          <w:tcPr>
            <w:tcW w:w="1799" w:type="dxa"/>
            <w:vAlign w:val="center"/>
          </w:tcPr>
          <w:p w14:paraId="11320B42">
            <w:pPr>
              <w:widowControl/>
              <w:spacing w:line="360" w:lineRule="auto"/>
              <w:jc w:val="center"/>
            </w:pPr>
            <w:r>
              <w:rPr>
                <w:rFonts w:hint="eastAsia"/>
              </w:rPr>
              <w:t>0.035%</w:t>
            </w:r>
          </w:p>
        </w:tc>
        <w:tc>
          <w:tcPr>
            <w:tcW w:w="1799" w:type="dxa"/>
            <w:vAlign w:val="center"/>
          </w:tcPr>
          <w:p w14:paraId="2F5BE337">
            <w:pPr>
              <w:widowControl/>
              <w:spacing w:line="360" w:lineRule="auto"/>
              <w:jc w:val="center"/>
            </w:pPr>
            <w:r>
              <w:rPr>
                <w:rFonts w:hint="eastAsia"/>
              </w:rPr>
              <w:t>0.035%</w:t>
            </w:r>
          </w:p>
        </w:tc>
        <w:tc>
          <w:tcPr>
            <w:tcW w:w="1799" w:type="dxa"/>
            <w:vAlign w:val="center"/>
          </w:tcPr>
          <w:p w14:paraId="445928E7">
            <w:pPr>
              <w:widowControl/>
              <w:spacing w:line="360" w:lineRule="auto"/>
              <w:jc w:val="center"/>
            </w:pPr>
            <w:r>
              <w:rPr>
                <w:rFonts w:hint="eastAsia"/>
              </w:rPr>
              <w:t>0.035%</w:t>
            </w:r>
          </w:p>
        </w:tc>
      </w:tr>
      <w:tr w14:paraId="4A66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2022A07F">
            <w:pPr>
              <w:widowControl/>
              <w:spacing w:line="360" w:lineRule="auto"/>
              <w:jc w:val="center"/>
            </w:pPr>
            <w:r>
              <w:rPr>
                <w:rFonts w:hint="eastAsia"/>
              </w:rPr>
              <w:t>10亿元（含）-50亿元</w:t>
            </w:r>
          </w:p>
        </w:tc>
        <w:tc>
          <w:tcPr>
            <w:tcW w:w="1799" w:type="dxa"/>
            <w:vAlign w:val="center"/>
          </w:tcPr>
          <w:p w14:paraId="5ADC7492">
            <w:pPr>
              <w:widowControl/>
              <w:spacing w:line="360" w:lineRule="auto"/>
              <w:jc w:val="center"/>
            </w:pPr>
            <w:r>
              <w:rPr>
                <w:rFonts w:hint="eastAsia"/>
              </w:rPr>
              <w:t>0.008%</w:t>
            </w:r>
          </w:p>
        </w:tc>
        <w:tc>
          <w:tcPr>
            <w:tcW w:w="1799" w:type="dxa"/>
            <w:vAlign w:val="center"/>
          </w:tcPr>
          <w:p w14:paraId="17D17131">
            <w:pPr>
              <w:widowControl/>
              <w:spacing w:line="360" w:lineRule="auto"/>
              <w:jc w:val="center"/>
            </w:pPr>
            <w:r>
              <w:rPr>
                <w:rFonts w:hint="eastAsia"/>
              </w:rPr>
              <w:t>0.008%</w:t>
            </w:r>
          </w:p>
        </w:tc>
        <w:tc>
          <w:tcPr>
            <w:tcW w:w="1799" w:type="dxa"/>
            <w:vAlign w:val="center"/>
          </w:tcPr>
          <w:p w14:paraId="34B614EE">
            <w:pPr>
              <w:widowControl/>
              <w:spacing w:line="360" w:lineRule="auto"/>
              <w:jc w:val="center"/>
            </w:pPr>
            <w:r>
              <w:rPr>
                <w:rFonts w:hint="eastAsia"/>
              </w:rPr>
              <w:t>0.008%</w:t>
            </w:r>
          </w:p>
        </w:tc>
      </w:tr>
      <w:tr w14:paraId="5FF1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97E2CDC">
            <w:pPr>
              <w:widowControl/>
              <w:spacing w:line="360" w:lineRule="auto"/>
              <w:jc w:val="center"/>
            </w:pPr>
            <w:r>
              <w:rPr>
                <w:rFonts w:hint="eastAsia"/>
              </w:rPr>
              <w:t>50亿元（含）-100亿元</w:t>
            </w:r>
          </w:p>
        </w:tc>
        <w:tc>
          <w:tcPr>
            <w:tcW w:w="1799" w:type="dxa"/>
            <w:vAlign w:val="center"/>
          </w:tcPr>
          <w:p w14:paraId="08EA740B">
            <w:pPr>
              <w:widowControl/>
              <w:spacing w:line="360" w:lineRule="auto"/>
              <w:jc w:val="center"/>
            </w:pPr>
            <w:r>
              <w:rPr>
                <w:rFonts w:hint="eastAsia"/>
              </w:rPr>
              <w:t>0.006%</w:t>
            </w:r>
          </w:p>
        </w:tc>
        <w:tc>
          <w:tcPr>
            <w:tcW w:w="1799" w:type="dxa"/>
            <w:vAlign w:val="center"/>
          </w:tcPr>
          <w:p w14:paraId="28B43DB6">
            <w:pPr>
              <w:widowControl/>
              <w:spacing w:line="360" w:lineRule="auto"/>
              <w:jc w:val="center"/>
            </w:pPr>
            <w:r>
              <w:rPr>
                <w:rFonts w:hint="eastAsia"/>
              </w:rPr>
              <w:t>0.006%</w:t>
            </w:r>
          </w:p>
        </w:tc>
        <w:tc>
          <w:tcPr>
            <w:tcW w:w="1799" w:type="dxa"/>
            <w:vAlign w:val="center"/>
          </w:tcPr>
          <w:p w14:paraId="285D42DA">
            <w:pPr>
              <w:widowControl/>
              <w:spacing w:line="360" w:lineRule="auto"/>
              <w:jc w:val="center"/>
            </w:pPr>
            <w:r>
              <w:rPr>
                <w:rFonts w:hint="eastAsia"/>
              </w:rPr>
              <w:t>0.006%</w:t>
            </w:r>
          </w:p>
        </w:tc>
      </w:tr>
      <w:tr w14:paraId="6A45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424AF6">
            <w:pPr>
              <w:widowControl/>
              <w:spacing w:line="360" w:lineRule="auto"/>
              <w:jc w:val="center"/>
            </w:pPr>
            <w:r>
              <w:rPr>
                <w:rFonts w:hint="eastAsia"/>
              </w:rPr>
              <w:t>100亿元（含）以上</w:t>
            </w:r>
          </w:p>
        </w:tc>
        <w:tc>
          <w:tcPr>
            <w:tcW w:w="1799" w:type="dxa"/>
            <w:vAlign w:val="center"/>
          </w:tcPr>
          <w:p w14:paraId="3E6F5FCD">
            <w:pPr>
              <w:widowControl/>
              <w:spacing w:line="360" w:lineRule="auto"/>
              <w:jc w:val="center"/>
            </w:pPr>
            <w:r>
              <w:rPr>
                <w:rFonts w:hint="eastAsia"/>
              </w:rPr>
              <w:t>0.004%</w:t>
            </w:r>
          </w:p>
        </w:tc>
        <w:tc>
          <w:tcPr>
            <w:tcW w:w="1799" w:type="dxa"/>
            <w:vAlign w:val="center"/>
          </w:tcPr>
          <w:p w14:paraId="34FC9903">
            <w:pPr>
              <w:widowControl/>
              <w:spacing w:line="360" w:lineRule="auto"/>
              <w:jc w:val="center"/>
            </w:pPr>
            <w:r>
              <w:rPr>
                <w:rFonts w:hint="eastAsia"/>
              </w:rPr>
              <w:t>0.004%</w:t>
            </w:r>
          </w:p>
        </w:tc>
        <w:tc>
          <w:tcPr>
            <w:tcW w:w="1799" w:type="dxa"/>
            <w:vAlign w:val="center"/>
          </w:tcPr>
          <w:p w14:paraId="2F4B6012">
            <w:pPr>
              <w:widowControl/>
              <w:spacing w:line="360" w:lineRule="auto"/>
              <w:jc w:val="center"/>
            </w:pPr>
            <w:r>
              <w:rPr>
                <w:rFonts w:hint="eastAsia"/>
              </w:rPr>
              <w:t>0.004%</w:t>
            </w:r>
          </w:p>
        </w:tc>
      </w:tr>
    </w:tbl>
    <w:p w14:paraId="30122B27">
      <w:pPr>
        <w:ind w:firstLine="420" w:firstLineChars="200"/>
      </w:pPr>
      <w:r>
        <w:rPr>
          <w:rFonts w:hint="eastAsia"/>
        </w:rPr>
        <w:t>备注：1.每宗交易代理服务费不低于 5000 元；</w:t>
      </w:r>
    </w:p>
    <w:p w14:paraId="34226921">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2AE80A56">
      <w:pPr>
        <w:ind w:firstLine="420" w:firstLineChars="200"/>
      </w:pPr>
    </w:p>
    <w:p w14:paraId="6B3A0E03">
      <w:pPr>
        <w:ind w:firstLine="420" w:firstLineChars="200"/>
      </w:pPr>
      <w:r>
        <w:rPr>
          <w:rFonts w:hint="eastAsia"/>
        </w:rPr>
        <w:t>如某货物采购项目，中标（成交）金额为600万元，总共交纳的代理服务费的具体计算过程如下：</w:t>
      </w:r>
    </w:p>
    <w:p w14:paraId="741386DC">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781C415D">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0F6C970A">
      <w:pPr>
        <w:pStyle w:val="2"/>
      </w:pPr>
    </w:p>
    <w:p w14:paraId="5544E02F">
      <w:pPr>
        <w:pStyle w:val="35"/>
        <w:rPr>
          <w:b/>
        </w:rPr>
      </w:pPr>
    </w:p>
    <w:p w14:paraId="07CB95C5">
      <w:pPr>
        <w:rPr>
          <w:b/>
        </w:rPr>
        <w:sectPr>
          <w:pgSz w:w="11907" w:h="16840"/>
          <w:pgMar w:top="1440" w:right="1797" w:bottom="1440" w:left="1797" w:header="851" w:footer="992" w:gutter="0"/>
          <w:cols w:space="425" w:num="1"/>
          <w:titlePg/>
          <w:docGrid w:linePitch="462" w:charSpace="0"/>
        </w:sectPr>
      </w:pPr>
    </w:p>
    <w:p w14:paraId="20156A7D">
      <w:pPr>
        <w:pStyle w:val="6"/>
        <w:rPr>
          <w:sz w:val="28"/>
          <w:szCs w:val="28"/>
        </w:rPr>
      </w:pPr>
      <w:bookmarkStart w:id="35" w:name="_Toc128884461"/>
      <w:r>
        <w:rPr>
          <w:rFonts w:hint="eastAsia"/>
          <w:sz w:val="28"/>
          <w:szCs w:val="28"/>
        </w:rPr>
        <w:t>第三章 用户需求书</w:t>
      </w:r>
    </w:p>
    <w:p w14:paraId="18027F29">
      <w:pPr>
        <w:pStyle w:val="6"/>
        <w:spacing w:before="120" w:beforeLines="50" w:after="120" w:afterLines="50"/>
        <w:rPr>
          <w:szCs w:val="24"/>
        </w:rPr>
      </w:pPr>
      <w:r>
        <w:rPr>
          <w:rFonts w:hint="eastAsia"/>
          <w:szCs w:val="24"/>
        </w:rPr>
        <w:t>一、项目基本信息</w:t>
      </w:r>
    </w:p>
    <w:p w14:paraId="5A055210">
      <w:pPr>
        <w:rPr>
          <w:rFonts w:ascii="宋体" w:hAnsi="宋体"/>
          <w:b/>
          <w:color w:val="FF0000"/>
          <w:szCs w:val="21"/>
        </w:rPr>
      </w:pPr>
    </w:p>
    <w:tbl>
      <w:tblPr>
        <w:tblStyle w:val="42"/>
        <w:tblpPr w:leftFromText="180" w:rightFromText="180" w:vertAnchor="text" w:horzAnchor="margin" w:tblpY="17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2195"/>
        <w:gridCol w:w="1701"/>
        <w:gridCol w:w="1701"/>
      </w:tblGrid>
      <w:tr w14:paraId="2AB5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13" w:type="dxa"/>
            <w:vAlign w:val="center"/>
          </w:tcPr>
          <w:p w14:paraId="6BFC595D">
            <w:pPr>
              <w:jc w:val="center"/>
              <w:rPr>
                <w:bCs/>
                <w:szCs w:val="21"/>
              </w:rPr>
            </w:pPr>
            <w:r>
              <w:rPr>
                <w:rFonts w:hint="eastAsia"/>
                <w:bCs/>
                <w:szCs w:val="21"/>
              </w:rPr>
              <w:t>序号</w:t>
            </w:r>
          </w:p>
        </w:tc>
        <w:tc>
          <w:tcPr>
            <w:tcW w:w="2603" w:type="dxa"/>
            <w:vAlign w:val="center"/>
          </w:tcPr>
          <w:p w14:paraId="73BA8CAD">
            <w:pPr>
              <w:jc w:val="center"/>
              <w:rPr>
                <w:bCs/>
                <w:szCs w:val="21"/>
              </w:rPr>
            </w:pPr>
            <w:r>
              <w:rPr>
                <w:rFonts w:hint="eastAsia"/>
                <w:szCs w:val="21"/>
              </w:rPr>
              <w:t>采购计划编号</w:t>
            </w:r>
          </w:p>
        </w:tc>
        <w:tc>
          <w:tcPr>
            <w:tcW w:w="2195" w:type="dxa"/>
            <w:vAlign w:val="center"/>
          </w:tcPr>
          <w:p w14:paraId="12B93A66">
            <w:pPr>
              <w:jc w:val="center"/>
              <w:rPr>
                <w:bCs/>
                <w:szCs w:val="21"/>
              </w:rPr>
            </w:pPr>
            <w:r>
              <w:rPr>
                <w:rFonts w:hint="eastAsia"/>
                <w:bCs/>
                <w:szCs w:val="21"/>
              </w:rPr>
              <w:t>采购项目名称</w:t>
            </w:r>
          </w:p>
        </w:tc>
        <w:tc>
          <w:tcPr>
            <w:tcW w:w="1701" w:type="dxa"/>
            <w:vAlign w:val="center"/>
          </w:tcPr>
          <w:p w14:paraId="169EAC2F">
            <w:pPr>
              <w:jc w:val="center"/>
              <w:rPr>
                <w:b/>
                <w:bCs/>
                <w:color w:val="FF0000"/>
                <w:szCs w:val="21"/>
              </w:rPr>
            </w:pPr>
            <w:r>
              <w:rPr>
                <w:rFonts w:hint="eastAsia"/>
                <w:b/>
                <w:bCs/>
                <w:color w:val="FF0000"/>
                <w:szCs w:val="21"/>
                <w:lang w:val="en-US" w:eastAsia="zh-CN"/>
              </w:rPr>
              <w:t>支付上限</w:t>
            </w:r>
            <w:r>
              <w:rPr>
                <w:rFonts w:hint="eastAsia"/>
                <w:b/>
                <w:bCs/>
                <w:color w:val="FF0000"/>
                <w:szCs w:val="21"/>
              </w:rPr>
              <w:t>（元）</w:t>
            </w:r>
          </w:p>
        </w:tc>
        <w:tc>
          <w:tcPr>
            <w:tcW w:w="1701" w:type="dxa"/>
            <w:vAlign w:val="center"/>
          </w:tcPr>
          <w:p w14:paraId="3737C4A0">
            <w:pPr>
              <w:jc w:val="center"/>
              <w:rPr>
                <w:b/>
                <w:bCs/>
                <w:color w:val="FF0000"/>
                <w:szCs w:val="21"/>
              </w:rPr>
            </w:pPr>
            <w:r>
              <w:rPr>
                <w:rFonts w:hint="eastAsia" w:ascii="宋体" w:hAnsi="宋体"/>
                <w:b/>
                <w:snapToGrid w:val="0"/>
                <w:color w:val="FF0000"/>
                <w:kern w:val="0"/>
                <w:highlight w:val="yellow"/>
              </w:rPr>
              <w:t>最高限价（元）</w:t>
            </w:r>
          </w:p>
        </w:tc>
      </w:tr>
      <w:tr w14:paraId="1A68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13" w:type="dxa"/>
            <w:vAlign w:val="center"/>
          </w:tcPr>
          <w:p w14:paraId="4F76C7A8">
            <w:pPr>
              <w:jc w:val="center"/>
              <w:rPr>
                <w:bCs/>
                <w:color w:val="FF0000"/>
                <w:szCs w:val="21"/>
              </w:rPr>
            </w:pPr>
            <w:r>
              <w:rPr>
                <w:rFonts w:hint="eastAsia"/>
                <w:bCs/>
                <w:color w:val="FF0000"/>
                <w:szCs w:val="21"/>
              </w:rPr>
              <w:t>1</w:t>
            </w:r>
          </w:p>
        </w:tc>
        <w:tc>
          <w:tcPr>
            <w:tcW w:w="2603" w:type="dxa"/>
            <w:vAlign w:val="center"/>
          </w:tcPr>
          <w:p w14:paraId="5F412EE2">
            <w:pPr>
              <w:jc w:val="center"/>
              <w:rPr>
                <w:rFonts w:hint="eastAsia" w:eastAsia="宋体"/>
                <w:bCs/>
                <w:color w:val="FF0000"/>
                <w:szCs w:val="21"/>
                <w:lang w:val="en-US" w:eastAsia="zh-CN"/>
              </w:rPr>
            </w:pPr>
            <w:r>
              <w:rPr>
                <w:rFonts w:hint="eastAsia"/>
                <w:bCs/>
                <w:color w:val="FF0000"/>
                <w:szCs w:val="21"/>
                <w:lang w:val="en-US" w:eastAsia="zh-CN"/>
              </w:rPr>
              <w:t>/</w:t>
            </w:r>
          </w:p>
        </w:tc>
        <w:tc>
          <w:tcPr>
            <w:tcW w:w="2195" w:type="dxa"/>
            <w:vAlign w:val="center"/>
          </w:tcPr>
          <w:p w14:paraId="59DDC5F3">
            <w:pPr>
              <w:jc w:val="center"/>
              <w:rPr>
                <w:b/>
                <w:bCs/>
                <w:color w:val="FF0000"/>
                <w:szCs w:val="21"/>
              </w:rPr>
            </w:pPr>
            <w:r>
              <w:rPr>
                <w:rFonts w:hint="eastAsia"/>
                <w:b/>
                <w:bCs/>
                <w:color w:val="FF0000"/>
                <w:szCs w:val="21"/>
              </w:rPr>
              <w:t>深圳市盐田区区属学校（幼儿园）大宗食材补充采购</w:t>
            </w:r>
          </w:p>
        </w:tc>
        <w:tc>
          <w:tcPr>
            <w:tcW w:w="1701" w:type="dxa"/>
            <w:vAlign w:val="center"/>
          </w:tcPr>
          <w:p w14:paraId="2908307D">
            <w:pPr>
              <w:jc w:val="center"/>
              <w:rPr>
                <w:rFonts w:hint="default" w:eastAsia="宋体"/>
                <w:bCs/>
                <w:color w:val="FF0000"/>
                <w:szCs w:val="21"/>
                <w:lang w:val="en-US" w:eastAsia="zh-CN"/>
              </w:rPr>
            </w:pPr>
            <w:r>
              <w:rPr>
                <w:rFonts w:hint="eastAsia"/>
                <w:bCs/>
                <w:color w:val="FF0000"/>
                <w:szCs w:val="21"/>
              </w:rPr>
              <w:t>26150000</w:t>
            </w:r>
            <w:r>
              <w:rPr>
                <w:rFonts w:hint="eastAsia"/>
                <w:bCs/>
                <w:color w:val="FF0000"/>
                <w:szCs w:val="21"/>
                <w:lang w:val="en-US" w:eastAsia="zh-CN"/>
              </w:rPr>
              <w:t>.00</w:t>
            </w:r>
          </w:p>
        </w:tc>
        <w:tc>
          <w:tcPr>
            <w:tcW w:w="1701" w:type="dxa"/>
            <w:vMerge w:val="restart"/>
            <w:vAlign w:val="center"/>
          </w:tcPr>
          <w:p w14:paraId="133590DF">
            <w:pPr>
              <w:jc w:val="center"/>
              <w:rPr>
                <w:bCs/>
                <w:color w:val="FF0000"/>
                <w:szCs w:val="21"/>
              </w:rPr>
            </w:pPr>
            <w:r>
              <w:rPr>
                <w:rFonts w:hint="eastAsia"/>
                <w:bCs/>
                <w:color w:val="FF0000"/>
                <w:szCs w:val="21"/>
              </w:rPr>
              <w:t>/</w:t>
            </w:r>
          </w:p>
        </w:tc>
      </w:tr>
      <w:tr w14:paraId="75FB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211" w:type="dxa"/>
            <w:gridSpan w:val="3"/>
            <w:vAlign w:val="center"/>
          </w:tcPr>
          <w:p w14:paraId="4EEA2B58">
            <w:pPr>
              <w:jc w:val="center"/>
              <w:rPr>
                <w:b/>
                <w:bCs/>
                <w:color w:val="FF0000"/>
                <w:szCs w:val="21"/>
              </w:rPr>
            </w:pPr>
            <w:r>
              <w:rPr>
                <w:b/>
                <w:bCs/>
                <w:color w:val="FF0000"/>
                <w:szCs w:val="21"/>
              </w:rPr>
              <w:t>合计</w:t>
            </w:r>
          </w:p>
        </w:tc>
        <w:tc>
          <w:tcPr>
            <w:tcW w:w="1701" w:type="dxa"/>
            <w:vAlign w:val="center"/>
          </w:tcPr>
          <w:p w14:paraId="48E14B14">
            <w:pPr>
              <w:jc w:val="center"/>
              <w:rPr>
                <w:bCs/>
                <w:color w:val="FF0000"/>
                <w:szCs w:val="21"/>
              </w:rPr>
            </w:pPr>
            <w:r>
              <w:rPr>
                <w:rFonts w:hint="eastAsia"/>
                <w:bCs/>
                <w:color w:val="FF0000"/>
                <w:szCs w:val="21"/>
              </w:rPr>
              <w:t>26150000</w:t>
            </w:r>
            <w:r>
              <w:rPr>
                <w:rFonts w:hint="eastAsia"/>
                <w:bCs/>
                <w:color w:val="FF0000"/>
                <w:szCs w:val="21"/>
                <w:lang w:val="en-US" w:eastAsia="zh-CN"/>
              </w:rPr>
              <w:t>.00</w:t>
            </w:r>
          </w:p>
        </w:tc>
        <w:tc>
          <w:tcPr>
            <w:tcW w:w="1701" w:type="dxa"/>
            <w:vMerge w:val="continue"/>
          </w:tcPr>
          <w:p w14:paraId="7FD0BFB7">
            <w:pPr>
              <w:jc w:val="center"/>
              <w:rPr>
                <w:bCs/>
                <w:color w:val="FF0000"/>
                <w:szCs w:val="21"/>
              </w:rPr>
            </w:pPr>
          </w:p>
        </w:tc>
      </w:tr>
    </w:tbl>
    <w:p w14:paraId="44C0C06A">
      <w:pPr>
        <w:rPr>
          <w:rFonts w:ascii="宋体" w:hAnsi="宋体"/>
          <w:b/>
          <w:color w:val="FF0000"/>
          <w:szCs w:val="21"/>
        </w:rPr>
      </w:pPr>
    </w:p>
    <w:p w14:paraId="2D6F4585">
      <w:pPr>
        <w:rPr>
          <w:rFonts w:ascii="宋体" w:hAnsi="宋体"/>
          <w:b/>
          <w:color w:val="FF0000"/>
          <w:szCs w:val="21"/>
        </w:rPr>
      </w:pPr>
    </w:p>
    <w:p w14:paraId="60AF73F1">
      <w:pPr>
        <w:pStyle w:val="6"/>
        <w:spacing w:before="120" w:beforeLines="50" w:after="120" w:afterLines="50"/>
        <w:rPr>
          <w:szCs w:val="24"/>
        </w:rPr>
      </w:pPr>
      <w:r>
        <w:rPr>
          <w:rFonts w:hint="eastAsia"/>
          <w:szCs w:val="24"/>
        </w:rPr>
        <w:t>二、项目概况</w:t>
      </w:r>
    </w:p>
    <w:p w14:paraId="02C35D41">
      <w:pPr>
        <w:spacing w:line="360" w:lineRule="auto"/>
        <w:ind w:firstLine="420" w:firstLineChars="200"/>
      </w:pPr>
      <w:r>
        <w:rPr>
          <w:rFonts w:hint="eastAsia"/>
        </w:rPr>
        <w:t>为深入推进全市教育领域食堂管理问题专项整治工作，加强大宗食材批量集中采购管理，切实发挥集采集配源头管控作用，确保食材安全优质可靠，保障学校食品安全和健康，在我局原或后续产生的大宗食材批量集中采购合同基础上形成本学生部分食材补充采购项目，项目包组共包含40所学校（幼儿园），2025年7月-8月31日预算金额为2615万元，2025年9月1日-2026年8月31日预算金额为2615万元，共包含40所学校（幼儿园）；2026</w:t>
      </w:r>
      <w:bookmarkStart w:id="105" w:name="_GoBack"/>
      <w:bookmarkEnd w:id="105"/>
      <w:r>
        <w:rPr>
          <w:rFonts w:hint="eastAsia"/>
        </w:rPr>
        <w:t>年9月1日-2027年8月31日预算金额为1306万元/学年（共包含19所学校（幼儿园）），经费来源为学生餐费（非财政性资金），采购范围为米、面、油、乳制品、蛋类、调味品、生鲜肉、冻品八类目，如上级部门对食材集采集配种类有新要求，根据最新要求实施。投标人需明确知悉本项目预算金额为学校（幼儿园）的最高支付上限，具体以实际发生费用为准。</w:t>
      </w:r>
    </w:p>
    <w:p w14:paraId="492D7BC0">
      <w:pPr>
        <w:spacing w:line="360" w:lineRule="auto"/>
        <w:ind w:firstLine="420" w:firstLineChars="200"/>
      </w:pPr>
      <w:r>
        <w:rPr>
          <w:rFonts w:hint="eastAsia"/>
        </w:rPr>
        <w:t>学校（幼儿园）名单如下：</w:t>
      </w:r>
    </w:p>
    <w:tbl>
      <w:tblPr>
        <w:tblStyle w:val="42"/>
        <w:tblW w:w="7841"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00"/>
        <w:gridCol w:w="4493"/>
        <w:gridCol w:w="2548"/>
      </w:tblGrid>
      <w:tr w14:paraId="2F32CF1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00" w:type="dxa"/>
            <w:vMerge w:val="restart"/>
            <w:shd w:val="clear" w:color="auto" w:fill="auto"/>
            <w:noWrap/>
            <w:vAlign w:val="center"/>
          </w:tcPr>
          <w:p w14:paraId="7AC30F59">
            <w:pPr>
              <w:widowControl/>
              <w:jc w:val="center"/>
              <w:textAlignment w:val="center"/>
              <w:rPr>
                <w:rFonts w:ascii="宋体" w:hAnsi="宋体" w:cs="宋体"/>
                <w:kern w:val="0"/>
                <w:sz w:val="22"/>
              </w:rPr>
            </w:pPr>
            <w:r>
              <w:rPr>
                <w:rFonts w:hint="eastAsia" w:ascii="宋体" w:hAnsi="宋体" w:cs="宋体"/>
                <w:kern w:val="0"/>
                <w:sz w:val="22"/>
              </w:rPr>
              <w:t>序号</w:t>
            </w:r>
          </w:p>
        </w:tc>
        <w:tc>
          <w:tcPr>
            <w:tcW w:w="4493" w:type="dxa"/>
            <w:vMerge w:val="restart"/>
            <w:shd w:val="clear" w:color="auto" w:fill="auto"/>
            <w:noWrap/>
            <w:vAlign w:val="center"/>
          </w:tcPr>
          <w:p w14:paraId="0317B5DA">
            <w:pPr>
              <w:widowControl/>
              <w:jc w:val="center"/>
              <w:textAlignment w:val="center"/>
              <w:rPr>
                <w:rFonts w:ascii="宋体" w:hAnsi="宋体" w:cs="宋体"/>
                <w:kern w:val="0"/>
                <w:sz w:val="22"/>
              </w:rPr>
            </w:pPr>
            <w:r>
              <w:rPr>
                <w:rFonts w:hint="eastAsia" w:ascii="宋体" w:hAnsi="宋体" w:cs="宋体"/>
                <w:kern w:val="0"/>
                <w:sz w:val="22"/>
              </w:rPr>
              <w:t>学校名称</w:t>
            </w:r>
          </w:p>
        </w:tc>
        <w:tc>
          <w:tcPr>
            <w:tcW w:w="2548" w:type="dxa"/>
            <w:vMerge w:val="restart"/>
            <w:shd w:val="clear" w:color="auto" w:fill="auto"/>
            <w:noWrap/>
            <w:vAlign w:val="center"/>
          </w:tcPr>
          <w:p w14:paraId="0791E9DA">
            <w:pPr>
              <w:widowControl/>
              <w:jc w:val="center"/>
              <w:textAlignment w:val="center"/>
              <w:rPr>
                <w:rFonts w:ascii="宋体" w:hAnsi="宋体" w:cs="宋体"/>
                <w:kern w:val="0"/>
                <w:sz w:val="22"/>
              </w:rPr>
            </w:pPr>
            <w:r>
              <w:rPr>
                <w:rFonts w:hint="eastAsia" w:ascii="宋体" w:hAnsi="宋体" w:cs="宋体"/>
                <w:kern w:val="0"/>
                <w:sz w:val="22"/>
              </w:rPr>
              <w:t>预算金额</w:t>
            </w:r>
          </w:p>
          <w:p w14:paraId="2A33FB15">
            <w:pPr>
              <w:widowControl/>
              <w:jc w:val="center"/>
              <w:textAlignment w:val="center"/>
              <w:rPr>
                <w:rFonts w:ascii="宋体" w:hAnsi="宋体" w:cs="宋体"/>
                <w:kern w:val="0"/>
                <w:sz w:val="22"/>
              </w:rPr>
            </w:pPr>
            <w:r>
              <w:rPr>
                <w:rFonts w:hint="eastAsia" w:ascii="宋体" w:hAnsi="宋体" w:cs="宋体"/>
                <w:kern w:val="0"/>
                <w:sz w:val="22"/>
              </w:rPr>
              <w:t>（万/年）</w:t>
            </w:r>
          </w:p>
        </w:tc>
      </w:tr>
      <w:tr w14:paraId="2126F78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00" w:type="dxa"/>
            <w:vMerge w:val="continue"/>
            <w:shd w:val="clear" w:color="auto" w:fill="auto"/>
            <w:noWrap/>
            <w:vAlign w:val="center"/>
          </w:tcPr>
          <w:p w14:paraId="24A5AC79">
            <w:pPr>
              <w:jc w:val="center"/>
              <w:rPr>
                <w:rFonts w:ascii="宋体" w:hAnsi="宋体" w:cs="宋体"/>
                <w:sz w:val="22"/>
              </w:rPr>
            </w:pPr>
          </w:p>
        </w:tc>
        <w:tc>
          <w:tcPr>
            <w:tcW w:w="4493" w:type="dxa"/>
            <w:vMerge w:val="continue"/>
            <w:shd w:val="clear" w:color="auto" w:fill="auto"/>
            <w:noWrap/>
            <w:vAlign w:val="center"/>
          </w:tcPr>
          <w:p w14:paraId="5E306913">
            <w:pPr>
              <w:jc w:val="center"/>
              <w:rPr>
                <w:rFonts w:ascii="宋体" w:hAnsi="宋体" w:cs="宋体"/>
                <w:sz w:val="22"/>
              </w:rPr>
            </w:pPr>
          </w:p>
        </w:tc>
        <w:tc>
          <w:tcPr>
            <w:tcW w:w="2548" w:type="dxa"/>
            <w:vMerge w:val="continue"/>
            <w:shd w:val="clear" w:color="auto" w:fill="auto"/>
            <w:noWrap/>
            <w:vAlign w:val="center"/>
          </w:tcPr>
          <w:p w14:paraId="51D4B0B4">
            <w:pPr>
              <w:jc w:val="center"/>
              <w:rPr>
                <w:rFonts w:ascii="宋体" w:hAnsi="宋体" w:cs="宋体"/>
                <w:sz w:val="22"/>
              </w:rPr>
            </w:pPr>
          </w:p>
        </w:tc>
      </w:tr>
      <w:tr w14:paraId="6B8F6A4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5293" w:type="dxa"/>
            <w:gridSpan w:val="2"/>
            <w:shd w:val="clear" w:color="auto" w:fill="auto"/>
            <w:noWrap/>
            <w:vAlign w:val="center"/>
          </w:tcPr>
          <w:p w14:paraId="4682C5EB">
            <w:pPr>
              <w:widowControl/>
              <w:jc w:val="left"/>
              <w:textAlignment w:val="center"/>
              <w:rPr>
                <w:rFonts w:ascii="宋体" w:hAnsi="宋体" w:cs="宋体"/>
                <w:kern w:val="0"/>
                <w:sz w:val="22"/>
              </w:rPr>
            </w:pPr>
            <w:r>
              <w:rPr>
                <w:rFonts w:hint="eastAsia" w:ascii="宋体" w:hAnsi="宋体" w:cs="宋体"/>
                <w:kern w:val="0"/>
                <w:sz w:val="22"/>
              </w:rPr>
              <w:t>分组1</w:t>
            </w:r>
          </w:p>
        </w:tc>
        <w:tc>
          <w:tcPr>
            <w:tcW w:w="2548" w:type="dxa"/>
            <w:shd w:val="clear" w:color="auto" w:fill="auto"/>
            <w:vAlign w:val="center"/>
          </w:tcPr>
          <w:p w14:paraId="57D58276">
            <w:pPr>
              <w:widowControl/>
              <w:jc w:val="left"/>
              <w:textAlignment w:val="center"/>
              <w:rPr>
                <w:rFonts w:ascii="宋体" w:hAnsi="宋体" w:cs="宋体"/>
                <w:kern w:val="0"/>
                <w:sz w:val="22"/>
              </w:rPr>
            </w:pPr>
          </w:p>
        </w:tc>
      </w:tr>
      <w:tr w14:paraId="68E3D56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800" w:type="dxa"/>
            <w:shd w:val="clear" w:color="auto" w:fill="auto"/>
            <w:noWrap/>
            <w:vAlign w:val="center"/>
          </w:tcPr>
          <w:p w14:paraId="70A2C105">
            <w:pPr>
              <w:widowControl/>
              <w:jc w:val="center"/>
              <w:textAlignment w:val="center"/>
              <w:rPr>
                <w:rFonts w:ascii="宋体" w:hAnsi="宋体" w:cs="宋体"/>
                <w:sz w:val="22"/>
              </w:rPr>
            </w:pPr>
            <w:r>
              <w:rPr>
                <w:rFonts w:hint="eastAsia" w:ascii="宋体" w:hAnsi="宋体" w:cs="宋体"/>
                <w:kern w:val="0"/>
                <w:sz w:val="22"/>
              </w:rPr>
              <w:t>1</w:t>
            </w:r>
          </w:p>
        </w:tc>
        <w:tc>
          <w:tcPr>
            <w:tcW w:w="4493" w:type="dxa"/>
            <w:shd w:val="clear" w:color="auto" w:fill="auto"/>
            <w:vAlign w:val="center"/>
          </w:tcPr>
          <w:p w14:paraId="39142A9A">
            <w:pPr>
              <w:widowControl/>
              <w:jc w:val="center"/>
              <w:textAlignment w:val="center"/>
              <w:rPr>
                <w:rFonts w:ascii="宋体" w:hAnsi="宋体" w:cs="宋体"/>
                <w:kern w:val="0"/>
                <w:sz w:val="22"/>
              </w:rPr>
            </w:pPr>
            <w:r>
              <w:rPr>
                <w:rFonts w:hint="eastAsia" w:ascii="宋体" w:hAnsi="宋体" w:cs="宋体"/>
                <w:kern w:val="0"/>
                <w:sz w:val="22"/>
              </w:rPr>
              <w:t>深圳市高级中学盐田学校</w:t>
            </w:r>
          </w:p>
        </w:tc>
        <w:tc>
          <w:tcPr>
            <w:tcW w:w="2548" w:type="dxa"/>
            <w:vMerge w:val="restart"/>
            <w:shd w:val="clear" w:color="auto" w:fill="auto"/>
            <w:noWrap/>
            <w:vAlign w:val="center"/>
          </w:tcPr>
          <w:p w14:paraId="62F33A49">
            <w:pPr>
              <w:widowControl/>
              <w:jc w:val="center"/>
              <w:textAlignment w:val="center"/>
              <w:rPr>
                <w:rFonts w:ascii="宋体" w:hAnsi="宋体" w:cs="宋体"/>
                <w:sz w:val="22"/>
              </w:rPr>
            </w:pPr>
            <w:r>
              <w:rPr>
                <w:rFonts w:hint="eastAsia"/>
              </w:rPr>
              <w:t>各校预算额度由区教育局统一分配，合计不超过1309万元/学年。</w:t>
            </w:r>
          </w:p>
        </w:tc>
      </w:tr>
      <w:tr w14:paraId="68C1E1B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800" w:type="dxa"/>
            <w:shd w:val="clear" w:color="auto" w:fill="auto"/>
            <w:noWrap/>
            <w:vAlign w:val="center"/>
          </w:tcPr>
          <w:p w14:paraId="10653036">
            <w:pPr>
              <w:widowControl/>
              <w:jc w:val="center"/>
              <w:textAlignment w:val="center"/>
              <w:rPr>
                <w:rFonts w:ascii="宋体" w:hAnsi="宋体" w:cs="宋体"/>
                <w:sz w:val="22"/>
              </w:rPr>
            </w:pPr>
            <w:r>
              <w:rPr>
                <w:rFonts w:hint="eastAsia" w:ascii="宋体" w:hAnsi="宋体" w:cs="宋体"/>
                <w:kern w:val="0"/>
                <w:sz w:val="22"/>
              </w:rPr>
              <w:t>2</w:t>
            </w:r>
          </w:p>
        </w:tc>
        <w:tc>
          <w:tcPr>
            <w:tcW w:w="4493" w:type="dxa"/>
            <w:shd w:val="clear" w:color="auto" w:fill="auto"/>
            <w:vAlign w:val="center"/>
          </w:tcPr>
          <w:p w14:paraId="22FB6DAF">
            <w:pPr>
              <w:widowControl/>
              <w:jc w:val="center"/>
              <w:textAlignment w:val="center"/>
              <w:rPr>
                <w:rFonts w:ascii="宋体" w:hAnsi="宋体" w:cs="宋体"/>
                <w:kern w:val="0"/>
                <w:sz w:val="22"/>
              </w:rPr>
            </w:pPr>
            <w:r>
              <w:rPr>
                <w:rFonts w:hint="eastAsia" w:ascii="宋体" w:hAnsi="宋体" w:cs="宋体"/>
                <w:kern w:val="0"/>
                <w:sz w:val="22"/>
              </w:rPr>
              <w:t>深圳市田东中学</w:t>
            </w:r>
          </w:p>
        </w:tc>
        <w:tc>
          <w:tcPr>
            <w:tcW w:w="2548" w:type="dxa"/>
            <w:vMerge w:val="continue"/>
            <w:shd w:val="clear" w:color="auto" w:fill="auto"/>
            <w:noWrap/>
            <w:vAlign w:val="center"/>
          </w:tcPr>
          <w:p w14:paraId="303CAEBD">
            <w:pPr>
              <w:widowControl/>
              <w:jc w:val="center"/>
              <w:textAlignment w:val="center"/>
              <w:rPr>
                <w:rFonts w:ascii="宋体" w:hAnsi="宋体" w:cs="宋体"/>
                <w:sz w:val="22"/>
              </w:rPr>
            </w:pPr>
          </w:p>
        </w:tc>
      </w:tr>
      <w:tr w14:paraId="43A4B71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0" w:type="dxa"/>
            <w:shd w:val="clear" w:color="auto" w:fill="auto"/>
            <w:noWrap/>
            <w:vAlign w:val="center"/>
          </w:tcPr>
          <w:p w14:paraId="5144C0BE">
            <w:pPr>
              <w:widowControl/>
              <w:jc w:val="center"/>
              <w:textAlignment w:val="center"/>
              <w:rPr>
                <w:rFonts w:ascii="宋体" w:hAnsi="宋体" w:cs="宋体"/>
                <w:sz w:val="22"/>
              </w:rPr>
            </w:pPr>
            <w:r>
              <w:rPr>
                <w:rFonts w:hint="eastAsia" w:ascii="宋体" w:hAnsi="宋体" w:cs="宋体"/>
                <w:kern w:val="0"/>
                <w:sz w:val="22"/>
              </w:rPr>
              <w:t>3</w:t>
            </w:r>
          </w:p>
        </w:tc>
        <w:tc>
          <w:tcPr>
            <w:tcW w:w="4493" w:type="dxa"/>
            <w:shd w:val="clear" w:color="auto" w:fill="auto"/>
            <w:vAlign w:val="center"/>
          </w:tcPr>
          <w:p w14:paraId="0B56A139">
            <w:pPr>
              <w:widowControl/>
              <w:jc w:val="center"/>
              <w:textAlignment w:val="center"/>
              <w:rPr>
                <w:rFonts w:ascii="宋体" w:hAnsi="宋体" w:cs="宋体"/>
                <w:kern w:val="0"/>
                <w:sz w:val="22"/>
              </w:rPr>
            </w:pPr>
            <w:r>
              <w:rPr>
                <w:rFonts w:hint="eastAsia" w:ascii="宋体" w:hAnsi="宋体" w:cs="宋体"/>
                <w:kern w:val="0"/>
                <w:sz w:val="22"/>
              </w:rPr>
              <w:t>深圳市盐田区林园小学</w:t>
            </w:r>
          </w:p>
        </w:tc>
        <w:tc>
          <w:tcPr>
            <w:tcW w:w="2548" w:type="dxa"/>
            <w:vMerge w:val="continue"/>
            <w:shd w:val="clear" w:color="auto" w:fill="auto"/>
            <w:noWrap/>
            <w:vAlign w:val="center"/>
          </w:tcPr>
          <w:p w14:paraId="77856A07">
            <w:pPr>
              <w:widowControl/>
              <w:jc w:val="center"/>
              <w:textAlignment w:val="center"/>
              <w:rPr>
                <w:rFonts w:ascii="宋体" w:hAnsi="宋体" w:cs="宋体"/>
                <w:sz w:val="22"/>
              </w:rPr>
            </w:pPr>
          </w:p>
        </w:tc>
      </w:tr>
      <w:tr w14:paraId="360C8A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800" w:type="dxa"/>
            <w:shd w:val="clear" w:color="auto" w:fill="auto"/>
            <w:noWrap/>
            <w:vAlign w:val="center"/>
          </w:tcPr>
          <w:p w14:paraId="27BEAA1A">
            <w:pPr>
              <w:widowControl/>
              <w:jc w:val="center"/>
              <w:textAlignment w:val="center"/>
              <w:rPr>
                <w:rFonts w:ascii="宋体" w:hAnsi="宋体" w:cs="宋体"/>
                <w:sz w:val="22"/>
              </w:rPr>
            </w:pPr>
            <w:r>
              <w:rPr>
                <w:rFonts w:hint="eastAsia" w:ascii="宋体" w:hAnsi="宋体" w:cs="宋体"/>
                <w:kern w:val="0"/>
                <w:sz w:val="22"/>
              </w:rPr>
              <w:t>4</w:t>
            </w:r>
          </w:p>
        </w:tc>
        <w:tc>
          <w:tcPr>
            <w:tcW w:w="4493" w:type="dxa"/>
            <w:shd w:val="clear" w:color="auto" w:fill="auto"/>
            <w:vAlign w:val="center"/>
          </w:tcPr>
          <w:p w14:paraId="433BB0B3">
            <w:pPr>
              <w:widowControl/>
              <w:jc w:val="center"/>
              <w:textAlignment w:val="center"/>
              <w:rPr>
                <w:rFonts w:ascii="宋体" w:hAnsi="宋体" w:cs="宋体"/>
                <w:kern w:val="0"/>
                <w:sz w:val="22"/>
              </w:rPr>
            </w:pPr>
            <w:r>
              <w:rPr>
                <w:rFonts w:hint="eastAsia" w:ascii="宋体" w:hAnsi="宋体" w:cs="宋体"/>
                <w:kern w:val="0"/>
                <w:sz w:val="22"/>
              </w:rPr>
              <w:t>深圳市盐田区教科院附属田东小学</w:t>
            </w:r>
          </w:p>
        </w:tc>
        <w:tc>
          <w:tcPr>
            <w:tcW w:w="2548" w:type="dxa"/>
            <w:vMerge w:val="continue"/>
            <w:shd w:val="clear" w:color="auto" w:fill="auto"/>
            <w:noWrap/>
            <w:vAlign w:val="center"/>
          </w:tcPr>
          <w:p w14:paraId="7BA21C98">
            <w:pPr>
              <w:widowControl/>
              <w:jc w:val="center"/>
              <w:textAlignment w:val="center"/>
              <w:rPr>
                <w:rFonts w:ascii="宋体" w:hAnsi="宋体" w:cs="宋体"/>
                <w:sz w:val="22"/>
              </w:rPr>
            </w:pPr>
          </w:p>
        </w:tc>
      </w:tr>
      <w:tr w14:paraId="384494C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00" w:type="dxa"/>
            <w:shd w:val="clear" w:color="auto" w:fill="auto"/>
            <w:noWrap/>
            <w:vAlign w:val="center"/>
          </w:tcPr>
          <w:p w14:paraId="5DF33FC4">
            <w:pPr>
              <w:widowControl/>
              <w:jc w:val="center"/>
              <w:textAlignment w:val="center"/>
              <w:rPr>
                <w:rFonts w:ascii="宋体" w:hAnsi="宋体" w:cs="宋体"/>
                <w:sz w:val="22"/>
              </w:rPr>
            </w:pPr>
            <w:r>
              <w:rPr>
                <w:rFonts w:hint="eastAsia" w:ascii="宋体" w:hAnsi="宋体" w:cs="宋体"/>
                <w:kern w:val="0"/>
                <w:sz w:val="22"/>
              </w:rPr>
              <w:t>5</w:t>
            </w:r>
          </w:p>
        </w:tc>
        <w:tc>
          <w:tcPr>
            <w:tcW w:w="4493" w:type="dxa"/>
            <w:shd w:val="clear" w:color="auto" w:fill="auto"/>
            <w:vAlign w:val="center"/>
          </w:tcPr>
          <w:p w14:paraId="6F307D48">
            <w:pPr>
              <w:widowControl/>
              <w:jc w:val="center"/>
              <w:textAlignment w:val="center"/>
              <w:rPr>
                <w:rFonts w:ascii="宋体" w:hAnsi="宋体" w:cs="宋体"/>
                <w:sz w:val="22"/>
              </w:rPr>
            </w:pPr>
            <w:r>
              <w:rPr>
                <w:rFonts w:hint="eastAsia" w:ascii="宋体" w:hAnsi="宋体" w:cs="宋体"/>
                <w:kern w:val="0"/>
                <w:sz w:val="22"/>
              </w:rPr>
              <w:t>深圳市盐田区田心小学</w:t>
            </w:r>
          </w:p>
        </w:tc>
        <w:tc>
          <w:tcPr>
            <w:tcW w:w="2548" w:type="dxa"/>
            <w:vMerge w:val="continue"/>
            <w:shd w:val="clear" w:color="auto" w:fill="auto"/>
            <w:noWrap/>
            <w:vAlign w:val="center"/>
          </w:tcPr>
          <w:p w14:paraId="49FFF46F">
            <w:pPr>
              <w:widowControl/>
              <w:jc w:val="center"/>
              <w:textAlignment w:val="center"/>
              <w:rPr>
                <w:rFonts w:ascii="宋体" w:hAnsi="宋体" w:cs="宋体"/>
                <w:sz w:val="22"/>
              </w:rPr>
            </w:pPr>
          </w:p>
        </w:tc>
      </w:tr>
      <w:tr w14:paraId="2A81208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00" w:type="dxa"/>
            <w:shd w:val="clear" w:color="auto" w:fill="auto"/>
            <w:noWrap/>
            <w:vAlign w:val="center"/>
          </w:tcPr>
          <w:p w14:paraId="4E3A05FF">
            <w:pPr>
              <w:widowControl/>
              <w:jc w:val="center"/>
              <w:textAlignment w:val="center"/>
              <w:rPr>
                <w:rFonts w:ascii="宋体" w:hAnsi="宋体" w:cs="宋体"/>
                <w:sz w:val="22"/>
              </w:rPr>
            </w:pPr>
            <w:r>
              <w:rPr>
                <w:rFonts w:hint="eastAsia" w:ascii="宋体" w:hAnsi="宋体" w:cs="宋体"/>
                <w:kern w:val="0"/>
                <w:sz w:val="22"/>
              </w:rPr>
              <w:t>6</w:t>
            </w:r>
          </w:p>
        </w:tc>
        <w:tc>
          <w:tcPr>
            <w:tcW w:w="4493" w:type="dxa"/>
            <w:shd w:val="clear" w:color="auto" w:fill="auto"/>
            <w:vAlign w:val="center"/>
          </w:tcPr>
          <w:p w14:paraId="4A4EFE4C">
            <w:pPr>
              <w:widowControl/>
              <w:jc w:val="center"/>
              <w:textAlignment w:val="center"/>
              <w:rPr>
                <w:rFonts w:ascii="宋体" w:hAnsi="宋体" w:cs="宋体"/>
                <w:sz w:val="22"/>
              </w:rPr>
            </w:pPr>
            <w:r>
              <w:rPr>
                <w:rFonts w:hint="eastAsia" w:ascii="宋体" w:hAnsi="宋体" w:cs="宋体"/>
                <w:kern w:val="0"/>
                <w:sz w:val="22"/>
              </w:rPr>
              <w:t>深圳市盐田区外国语小学</w:t>
            </w:r>
          </w:p>
        </w:tc>
        <w:tc>
          <w:tcPr>
            <w:tcW w:w="2548" w:type="dxa"/>
            <w:vMerge w:val="continue"/>
            <w:shd w:val="clear" w:color="auto" w:fill="auto"/>
            <w:noWrap/>
            <w:vAlign w:val="center"/>
          </w:tcPr>
          <w:p w14:paraId="673DF148">
            <w:pPr>
              <w:widowControl/>
              <w:jc w:val="center"/>
              <w:textAlignment w:val="center"/>
              <w:rPr>
                <w:rFonts w:ascii="宋体" w:hAnsi="宋体" w:cs="宋体"/>
                <w:sz w:val="22"/>
              </w:rPr>
            </w:pPr>
          </w:p>
        </w:tc>
      </w:tr>
      <w:tr w14:paraId="461498E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800" w:type="dxa"/>
            <w:shd w:val="clear" w:color="auto" w:fill="auto"/>
            <w:noWrap/>
            <w:vAlign w:val="center"/>
          </w:tcPr>
          <w:p w14:paraId="15D6FFE7">
            <w:pPr>
              <w:widowControl/>
              <w:jc w:val="center"/>
              <w:textAlignment w:val="center"/>
              <w:rPr>
                <w:rFonts w:ascii="宋体" w:hAnsi="宋体" w:cs="宋体"/>
                <w:sz w:val="22"/>
              </w:rPr>
            </w:pPr>
            <w:r>
              <w:rPr>
                <w:rFonts w:hint="eastAsia" w:ascii="宋体" w:hAnsi="宋体" w:cs="宋体"/>
                <w:kern w:val="0"/>
                <w:sz w:val="22"/>
              </w:rPr>
              <w:t>7</w:t>
            </w:r>
          </w:p>
        </w:tc>
        <w:tc>
          <w:tcPr>
            <w:tcW w:w="4493" w:type="dxa"/>
            <w:shd w:val="clear" w:color="auto" w:fill="auto"/>
            <w:vAlign w:val="center"/>
          </w:tcPr>
          <w:p w14:paraId="7887B1C7">
            <w:pPr>
              <w:widowControl/>
              <w:jc w:val="center"/>
              <w:textAlignment w:val="center"/>
              <w:rPr>
                <w:rFonts w:ascii="宋体" w:hAnsi="宋体" w:cs="宋体"/>
                <w:sz w:val="22"/>
              </w:rPr>
            </w:pPr>
            <w:r>
              <w:rPr>
                <w:rFonts w:hint="eastAsia" w:ascii="宋体" w:hAnsi="宋体" w:cs="宋体"/>
                <w:kern w:val="0"/>
                <w:sz w:val="22"/>
              </w:rPr>
              <w:t>深圳市盐田区外国语小学海涛分校</w:t>
            </w:r>
          </w:p>
        </w:tc>
        <w:tc>
          <w:tcPr>
            <w:tcW w:w="2548" w:type="dxa"/>
            <w:vMerge w:val="continue"/>
            <w:shd w:val="clear" w:color="auto" w:fill="auto"/>
            <w:noWrap/>
            <w:vAlign w:val="center"/>
          </w:tcPr>
          <w:p w14:paraId="20A893EC">
            <w:pPr>
              <w:widowControl/>
              <w:jc w:val="center"/>
              <w:textAlignment w:val="center"/>
              <w:rPr>
                <w:rFonts w:ascii="宋体" w:hAnsi="宋体" w:cs="宋体"/>
                <w:sz w:val="22"/>
              </w:rPr>
            </w:pPr>
          </w:p>
        </w:tc>
      </w:tr>
      <w:tr w14:paraId="58F66E8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00" w:type="dxa"/>
            <w:shd w:val="clear" w:color="auto" w:fill="auto"/>
            <w:noWrap/>
            <w:vAlign w:val="center"/>
          </w:tcPr>
          <w:p w14:paraId="16A40233">
            <w:pPr>
              <w:widowControl/>
              <w:jc w:val="center"/>
              <w:textAlignment w:val="center"/>
              <w:rPr>
                <w:rFonts w:ascii="宋体" w:hAnsi="宋体" w:cs="宋体"/>
                <w:sz w:val="22"/>
              </w:rPr>
            </w:pPr>
            <w:r>
              <w:rPr>
                <w:rFonts w:hint="eastAsia" w:ascii="宋体" w:hAnsi="宋体" w:cs="宋体"/>
                <w:kern w:val="0"/>
                <w:sz w:val="22"/>
              </w:rPr>
              <w:t>8</w:t>
            </w:r>
          </w:p>
        </w:tc>
        <w:tc>
          <w:tcPr>
            <w:tcW w:w="4493" w:type="dxa"/>
            <w:shd w:val="clear" w:color="auto" w:fill="auto"/>
            <w:vAlign w:val="center"/>
          </w:tcPr>
          <w:p w14:paraId="5136ADC9">
            <w:pPr>
              <w:widowControl/>
              <w:jc w:val="center"/>
              <w:textAlignment w:val="center"/>
              <w:rPr>
                <w:rFonts w:ascii="宋体" w:hAnsi="宋体" w:cs="宋体"/>
                <w:sz w:val="22"/>
              </w:rPr>
            </w:pPr>
            <w:r>
              <w:rPr>
                <w:rFonts w:hint="eastAsia" w:ascii="宋体" w:hAnsi="宋体" w:cs="宋体"/>
                <w:kern w:val="0"/>
                <w:sz w:val="22"/>
              </w:rPr>
              <w:t>深圳市盐田区外国语小学东和分校</w:t>
            </w:r>
          </w:p>
        </w:tc>
        <w:tc>
          <w:tcPr>
            <w:tcW w:w="2548" w:type="dxa"/>
            <w:vMerge w:val="continue"/>
            <w:shd w:val="clear" w:color="auto" w:fill="auto"/>
            <w:noWrap/>
            <w:vAlign w:val="center"/>
          </w:tcPr>
          <w:p w14:paraId="58285BDD">
            <w:pPr>
              <w:widowControl/>
              <w:jc w:val="center"/>
              <w:textAlignment w:val="center"/>
              <w:rPr>
                <w:rFonts w:ascii="宋体" w:hAnsi="宋体" w:cs="宋体"/>
                <w:sz w:val="22"/>
              </w:rPr>
            </w:pPr>
          </w:p>
        </w:tc>
      </w:tr>
      <w:tr w14:paraId="0B5D104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00" w:type="dxa"/>
            <w:shd w:val="clear" w:color="auto" w:fill="auto"/>
            <w:noWrap/>
            <w:vAlign w:val="center"/>
          </w:tcPr>
          <w:p w14:paraId="2DACCCCA">
            <w:pPr>
              <w:widowControl/>
              <w:jc w:val="center"/>
              <w:textAlignment w:val="center"/>
              <w:rPr>
                <w:rFonts w:ascii="宋体" w:hAnsi="宋体" w:cs="宋体"/>
                <w:sz w:val="22"/>
              </w:rPr>
            </w:pPr>
            <w:r>
              <w:rPr>
                <w:rFonts w:hint="eastAsia" w:ascii="宋体" w:hAnsi="宋体" w:cs="宋体"/>
                <w:kern w:val="0"/>
                <w:sz w:val="22"/>
              </w:rPr>
              <w:t>9</w:t>
            </w:r>
          </w:p>
        </w:tc>
        <w:tc>
          <w:tcPr>
            <w:tcW w:w="4493" w:type="dxa"/>
            <w:shd w:val="clear" w:color="auto" w:fill="auto"/>
            <w:vAlign w:val="center"/>
          </w:tcPr>
          <w:p w14:paraId="238E410F">
            <w:pPr>
              <w:widowControl/>
              <w:jc w:val="center"/>
              <w:textAlignment w:val="center"/>
              <w:rPr>
                <w:rFonts w:ascii="宋体" w:hAnsi="宋体" w:cs="宋体"/>
                <w:sz w:val="22"/>
              </w:rPr>
            </w:pPr>
            <w:r>
              <w:rPr>
                <w:rFonts w:hint="eastAsia" w:ascii="宋体" w:hAnsi="宋体" w:cs="宋体"/>
                <w:kern w:val="0"/>
                <w:sz w:val="22"/>
              </w:rPr>
              <w:t>深圳市盐田区乐群实验小学</w:t>
            </w:r>
          </w:p>
        </w:tc>
        <w:tc>
          <w:tcPr>
            <w:tcW w:w="2548" w:type="dxa"/>
            <w:vMerge w:val="continue"/>
            <w:shd w:val="clear" w:color="auto" w:fill="auto"/>
            <w:noWrap/>
            <w:vAlign w:val="center"/>
          </w:tcPr>
          <w:p w14:paraId="1E28DA42">
            <w:pPr>
              <w:widowControl/>
              <w:jc w:val="center"/>
              <w:textAlignment w:val="center"/>
              <w:rPr>
                <w:rFonts w:ascii="宋体" w:hAnsi="宋体" w:cs="宋体"/>
                <w:sz w:val="22"/>
              </w:rPr>
            </w:pPr>
          </w:p>
        </w:tc>
      </w:tr>
      <w:tr w14:paraId="1F0677C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800" w:type="dxa"/>
            <w:shd w:val="clear" w:color="auto" w:fill="auto"/>
            <w:noWrap/>
            <w:vAlign w:val="center"/>
          </w:tcPr>
          <w:p w14:paraId="6F863351">
            <w:pPr>
              <w:widowControl/>
              <w:jc w:val="center"/>
              <w:textAlignment w:val="center"/>
              <w:rPr>
                <w:rFonts w:ascii="宋体" w:hAnsi="宋体" w:cs="宋体"/>
                <w:sz w:val="22"/>
              </w:rPr>
            </w:pPr>
            <w:r>
              <w:rPr>
                <w:rFonts w:hint="eastAsia" w:ascii="宋体" w:hAnsi="宋体" w:cs="宋体"/>
                <w:kern w:val="0"/>
                <w:sz w:val="22"/>
              </w:rPr>
              <w:t>10</w:t>
            </w:r>
          </w:p>
        </w:tc>
        <w:tc>
          <w:tcPr>
            <w:tcW w:w="4493" w:type="dxa"/>
            <w:shd w:val="clear" w:color="auto" w:fill="auto"/>
            <w:vAlign w:val="center"/>
          </w:tcPr>
          <w:p w14:paraId="56984D66">
            <w:pPr>
              <w:widowControl/>
              <w:jc w:val="center"/>
              <w:textAlignment w:val="center"/>
              <w:rPr>
                <w:rFonts w:ascii="宋体" w:hAnsi="宋体" w:cs="宋体"/>
                <w:sz w:val="22"/>
              </w:rPr>
            </w:pPr>
            <w:r>
              <w:rPr>
                <w:rFonts w:hint="eastAsia" w:ascii="宋体" w:hAnsi="宋体" w:cs="宋体"/>
                <w:kern w:val="0"/>
                <w:sz w:val="22"/>
              </w:rPr>
              <w:t>深圳市盐田区庚子革命首义中山纪念学校</w:t>
            </w:r>
          </w:p>
        </w:tc>
        <w:tc>
          <w:tcPr>
            <w:tcW w:w="2548" w:type="dxa"/>
            <w:vMerge w:val="continue"/>
            <w:shd w:val="clear" w:color="auto" w:fill="auto"/>
            <w:noWrap/>
            <w:vAlign w:val="center"/>
          </w:tcPr>
          <w:p w14:paraId="1FA42400">
            <w:pPr>
              <w:widowControl/>
              <w:jc w:val="center"/>
              <w:textAlignment w:val="center"/>
              <w:rPr>
                <w:rFonts w:ascii="宋体" w:hAnsi="宋体" w:cs="宋体"/>
                <w:sz w:val="22"/>
              </w:rPr>
            </w:pPr>
          </w:p>
        </w:tc>
      </w:tr>
      <w:tr w14:paraId="1B710E5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800" w:type="dxa"/>
            <w:shd w:val="clear" w:color="auto" w:fill="auto"/>
            <w:noWrap/>
            <w:vAlign w:val="center"/>
          </w:tcPr>
          <w:p w14:paraId="5F103075">
            <w:pPr>
              <w:widowControl/>
              <w:jc w:val="center"/>
              <w:textAlignment w:val="center"/>
              <w:rPr>
                <w:rFonts w:ascii="宋体" w:hAnsi="宋体" w:cs="宋体"/>
                <w:sz w:val="22"/>
              </w:rPr>
            </w:pPr>
            <w:r>
              <w:rPr>
                <w:rFonts w:hint="eastAsia" w:ascii="宋体" w:hAnsi="宋体" w:cs="宋体"/>
                <w:kern w:val="0"/>
                <w:sz w:val="22"/>
              </w:rPr>
              <w:t>11</w:t>
            </w:r>
          </w:p>
        </w:tc>
        <w:tc>
          <w:tcPr>
            <w:tcW w:w="4493" w:type="dxa"/>
            <w:shd w:val="clear" w:color="auto" w:fill="auto"/>
            <w:noWrap/>
            <w:vAlign w:val="center"/>
          </w:tcPr>
          <w:p w14:paraId="5C6E9F9E">
            <w:pPr>
              <w:widowControl/>
              <w:jc w:val="center"/>
              <w:textAlignment w:val="center"/>
              <w:rPr>
                <w:rFonts w:ascii="宋体" w:hAnsi="宋体" w:cs="宋体"/>
                <w:sz w:val="22"/>
              </w:rPr>
            </w:pPr>
            <w:r>
              <w:rPr>
                <w:rFonts w:hint="eastAsia" w:ascii="宋体" w:hAnsi="宋体" w:cs="宋体"/>
                <w:kern w:val="0"/>
                <w:sz w:val="22"/>
              </w:rPr>
              <w:t>湖南师范大学附属深圳盐田山海学校</w:t>
            </w:r>
          </w:p>
        </w:tc>
        <w:tc>
          <w:tcPr>
            <w:tcW w:w="2548" w:type="dxa"/>
            <w:vMerge w:val="continue"/>
            <w:shd w:val="clear" w:color="auto" w:fill="auto"/>
            <w:noWrap/>
            <w:vAlign w:val="center"/>
          </w:tcPr>
          <w:p w14:paraId="16F57336">
            <w:pPr>
              <w:widowControl/>
              <w:jc w:val="center"/>
              <w:textAlignment w:val="center"/>
              <w:rPr>
                <w:rFonts w:ascii="宋体" w:hAnsi="宋体" w:cs="宋体"/>
                <w:sz w:val="22"/>
              </w:rPr>
            </w:pPr>
          </w:p>
        </w:tc>
      </w:tr>
      <w:tr w14:paraId="1FC4302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800" w:type="dxa"/>
            <w:shd w:val="clear" w:color="auto" w:fill="auto"/>
            <w:noWrap/>
            <w:vAlign w:val="center"/>
          </w:tcPr>
          <w:p w14:paraId="04B92640">
            <w:pPr>
              <w:widowControl/>
              <w:jc w:val="center"/>
              <w:textAlignment w:val="center"/>
              <w:rPr>
                <w:rFonts w:ascii="宋体" w:hAnsi="宋体" w:cs="宋体"/>
                <w:sz w:val="22"/>
              </w:rPr>
            </w:pPr>
            <w:r>
              <w:rPr>
                <w:rFonts w:hint="eastAsia" w:ascii="宋体" w:hAnsi="宋体" w:cs="宋体"/>
                <w:kern w:val="0"/>
                <w:sz w:val="22"/>
              </w:rPr>
              <w:t>12</w:t>
            </w:r>
          </w:p>
        </w:tc>
        <w:tc>
          <w:tcPr>
            <w:tcW w:w="4493" w:type="dxa"/>
            <w:shd w:val="clear" w:color="auto" w:fill="auto"/>
            <w:vAlign w:val="center"/>
          </w:tcPr>
          <w:p w14:paraId="7C5B8CA9">
            <w:pPr>
              <w:widowControl/>
              <w:jc w:val="center"/>
              <w:textAlignment w:val="center"/>
              <w:rPr>
                <w:rFonts w:ascii="宋体" w:hAnsi="宋体" w:cs="宋体"/>
                <w:sz w:val="22"/>
              </w:rPr>
            </w:pPr>
            <w:r>
              <w:rPr>
                <w:rFonts w:hint="eastAsia" w:ascii="宋体" w:hAnsi="宋体" w:cs="宋体"/>
                <w:kern w:val="0"/>
                <w:sz w:val="22"/>
              </w:rPr>
              <w:t>深圳市盐田区教科院附属永安小学</w:t>
            </w:r>
          </w:p>
        </w:tc>
        <w:tc>
          <w:tcPr>
            <w:tcW w:w="2548" w:type="dxa"/>
            <w:vMerge w:val="continue"/>
            <w:shd w:val="clear" w:color="auto" w:fill="auto"/>
            <w:noWrap/>
            <w:vAlign w:val="center"/>
          </w:tcPr>
          <w:p w14:paraId="37B9781F">
            <w:pPr>
              <w:widowControl/>
              <w:jc w:val="center"/>
              <w:textAlignment w:val="center"/>
              <w:rPr>
                <w:rFonts w:ascii="宋体" w:hAnsi="宋体" w:cs="宋体"/>
                <w:sz w:val="22"/>
              </w:rPr>
            </w:pPr>
          </w:p>
        </w:tc>
      </w:tr>
      <w:tr w14:paraId="6B08246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800" w:type="dxa"/>
            <w:shd w:val="clear" w:color="auto" w:fill="auto"/>
            <w:noWrap/>
            <w:vAlign w:val="center"/>
          </w:tcPr>
          <w:p w14:paraId="06B98B05">
            <w:pPr>
              <w:widowControl/>
              <w:jc w:val="center"/>
              <w:textAlignment w:val="center"/>
              <w:rPr>
                <w:rFonts w:ascii="宋体" w:hAnsi="宋体" w:cs="宋体"/>
                <w:sz w:val="22"/>
              </w:rPr>
            </w:pPr>
            <w:r>
              <w:rPr>
                <w:rFonts w:hint="eastAsia" w:ascii="宋体" w:hAnsi="宋体" w:cs="宋体"/>
                <w:kern w:val="0"/>
                <w:sz w:val="22"/>
              </w:rPr>
              <w:t>13</w:t>
            </w:r>
          </w:p>
        </w:tc>
        <w:tc>
          <w:tcPr>
            <w:tcW w:w="4493" w:type="dxa"/>
            <w:shd w:val="clear" w:color="auto" w:fill="auto"/>
            <w:noWrap/>
            <w:vAlign w:val="center"/>
          </w:tcPr>
          <w:p w14:paraId="7C8E94AD">
            <w:pPr>
              <w:widowControl/>
              <w:jc w:val="center"/>
              <w:textAlignment w:val="center"/>
              <w:rPr>
                <w:rFonts w:ascii="宋体" w:hAnsi="宋体" w:cs="宋体"/>
                <w:sz w:val="22"/>
              </w:rPr>
            </w:pPr>
            <w:r>
              <w:rPr>
                <w:rFonts w:hint="eastAsia" w:ascii="宋体" w:hAnsi="宋体" w:cs="宋体"/>
                <w:kern w:val="0"/>
                <w:sz w:val="22"/>
              </w:rPr>
              <w:t>深圳市盐田区教科院附属永安分园</w:t>
            </w:r>
          </w:p>
        </w:tc>
        <w:tc>
          <w:tcPr>
            <w:tcW w:w="2548" w:type="dxa"/>
            <w:vMerge w:val="continue"/>
            <w:shd w:val="clear" w:color="auto" w:fill="auto"/>
            <w:noWrap/>
            <w:vAlign w:val="center"/>
          </w:tcPr>
          <w:p w14:paraId="51EB0862">
            <w:pPr>
              <w:widowControl/>
              <w:jc w:val="center"/>
              <w:textAlignment w:val="center"/>
              <w:rPr>
                <w:rFonts w:ascii="宋体" w:hAnsi="宋体" w:cs="宋体"/>
                <w:sz w:val="22"/>
              </w:rPr>
            </w:pPr>
          </w:p>
        </w:tc>
      </w:tr>
      <w:tr w14:paraId="12BF176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800" w:type="dxa"/>
            <w:shd w:val="clear" w:color="auto" w:fill="auto"/>
            <w:noWrap/>
            <w:vAlign w:val="center"/>
          </w:tcPr>
          <w:p w14:paraId="08DA40B5">
            <w:pPr>
              <w:widowControl/>
              <w:jc w:val="center"/>
              <w:textAlignment w:val="center"/>
              <w:rPr>
                <w:rFonts w:ascii="宋体" w:hAnsi="宋体" w:cs="宋体"/>
                <w:sz w:val="22"/>
              </w:rPr>
            </w:pPr>
            <w:r>
              <w:rPr>
                <w:rFonts w:hint="eastAsia" w:ascii="宋体" w:hAnsi="宋体" w:cs="宋体"/>
                <w:kern w:val="0"/>
                <w:sz w:val="22"/>
              </w:rPr>
              <w:t>14</w:t>
            </w:r>
          </w:p>
        </w:tc>
        <w:tc>
          <w:tcPr>
            <w:tcW w:w="4493" w:type="dxa"/>
            <w:shd w:val="clear" w:color="auto" w:fill="auto"/>
            <w:vAlign w:val="center"/>
          </w:tcPr>
          <w:p w14:paraId="676F29B7">
            <w:pPr>
              <w:widowControl/>
              <w:jc w:val="center"/>
              <w:textAlignment w:val="center"/>
              <w:rPr>
                <w:rFonts w:ascii="宋体" w:hAnsi="宋体" w:cs="宋体"/>
                <w:sz w:val="22"/>
              </w:rPr>
            </w:pPr>
            <w:r>
              <w:rPr>
                <w:rFonts w:hint="eastAsia" w:ascii="宋体" w:hAnsi="宋体" w:cs="宋体"/>
                <w:kern w:val="0"/>
                <w:sz w:val="22"/>
              </w:rPr>
              <w:t>深圳市盐田区机关幼儿园</w:t>
            </w:r>
          </w:p>
        </w:tc>
        <w:tc>
          <w:tcPr>
            <w:tcW w:w="2548" w:type="dxa"/>
            <w:vMerge w:val="continue"/>
            <w:shd w:val="clear" w:color="auto" w:fill="auto"/>
            <w:noWrap/>
            <w:vAlign w:val="center"/>
          </w:tcPr>
          <w:p w14:paraId="73EE38F0">
            <w:pPr>
              <w:widowControl/>
              <w:jc w:val="center"/>
              <w:textAlignment w:val="center"/>
              <w:rPr>
                <w:rFonts w:ascii="宋体" w:hAnsi="宋体" w:cs="宋体"/>
                <w:sz w:val="22"/>
              </w:rPr>
            </w:pPr>
          </w:p>
        </w:tc>
      </w:tr>
      <w:tr w14:paraId="4D4F8A1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800" w:type="dxa"/>
            <w:shd w:val="clear" w:color="auto" w:fill="auto"/>
            <w:noWrap/>
            <w:vAlign w:val="center"/>
          </w:tcPr>
          <w:p w14:paraId="76379F75">
            <w:pPr>
              <w:widowControl/>
              <w:jc w:val="center"/>
              <w:textAlignment w:val="center"/>
              <w:rPr>
                <w:rFonts w:ascii="宋体" w:hAnsi="宋体" w:cs="宋体"/>
                <w:sz w:val="22"/>
              </w:rPr>
            </w:pPr>
            <w:r>
              <w:rPr>
                <w:rFonts w:hint="eastAsia" w:ascii="宋体" w:hAnsi="宋体" w:cs="宋体"/>
                <w:kern w:val="0"/>
                <w:sz w:val="22"/>
              </w:rPr>
              <w:t>15</w:t>
            </w:r>
          </w:p>
        </w:tc>
        <w:tc>
          <w:tcPr>
            <w:tcW w:w="4493" w:type="dxa"/>
            <w:shd w:val="clear" w:color="auto" w:fill="auto"/>
            <w:vAlign w:val="center"/>
          </w:tcPr>
          <w:p w14:paraId="148DD48F">
            <w:pPr>
              <w:widowControl/>
              <w:jc w:val="center"/>
              <w:textAlignment w:val="center"/>
              <w:rPr>
                <w:rFonts w:ascii="宋体" w:hAnsi="宋体" w:cs="宋体"/>
                <w:sz w:val="22"/>
              </w:rPr>
            </w:pPr>
            <w:r>
              <w:rPr>
                <w:rFonts w:hint="eastAsia" w:ascii="宋体" w:hAnsi="宋体" w:cs="宋体"/>
                <w:kern w:val="0"/>
                <w:sz w:val="22"/>
              </w:rPr>
              <w:t>深圳市盐田区机关幼儿园中英街分园</w:t>
            </w:r>
          </w:p>
        </w:tc>
        <w:tc>
          <w:tcPr>
            <w:tcW w:w="2548" w:type="dxa"/>
            <w:vMerge w:val="continue"/>
            <w:shd w:val="clear" w:color="auto" w:fill="auto"/>
            <w:noWrap/>
            <w:vAlign w:val="center"/>
          </w:tcPr>
          <w:p w14:paraId="3059E1A6">
            <w:pPr>
              <w:widowControl/>
              <w:jc w:val="center"/>
              <w:textAlignment w:val="center"/>
              <w:rPr>
                <w:rFonts w:ascii="宋体" w:hAnsi="宋体" w:cs="宋体"/>
                <w:sz w:val="22"/>
              </w:rPr>
            </w:pPr>
          </w:p>
        </w:tc>
      </w:tr>
      <w:tr w14:paraId="41AB4E6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800" w:type="dxa"/>
            <w:shd w:val="clear" w:color="auto" w:fill="auto"/>
            <w:noWrap/>
            <w:vAlign w:val="center"/>
          </w:tcPr>
          <w:p w14:paraId="2A3EA831">
            <w:pPr>
              <w:widowControl/>
              <w:jc w:val="center"/>
              <w:textAlignment w:val="center"/>
              <w:rPr>
                <w:rFonts w:ascii="宋体" w:hAnsi="宋体" w:cs="宋体"/>
                <w:sz w:val="22"/>
              </w:rPr>
            </w:pPr>
            <w:r>
              <w:rPr>
                <w:rFonts w:hint="eastAsia" w:ascii="宋体" w:hAnsi="宋体" w:cs="宋体"/>
                <w:kern w:val="0"/>
                <w:sz w:val="22"/>
              </w:rPr>
              <w:t>16</w:t>
            </w:r>
          </w:p>
        </w:tc>
        <w:tc>
          <w:tcPr>
            <w:tcW w:w="4493" w:type="dxa"/>
            <w:shd w:val="clear" w:color="auto" w:fill="auto"/>
            <w:vAlign w:val="center"/>
          </w:tcPr>
          <w:p w14:paraId="70B09C99">
            <w:pPr>
              <w:widowControl/>
              <w:jc w:val="center"/>
              <w:textAlignment w:val="center"/>
              <w:rPr>
                <w:rFonts w:ascii="宋体" w:hAnsi="宋体" w:cs="宋体"/>
                <w:sz w:val="22"/>
              </w:rPr>
            </w:pPr>
            <w:r>
              <w:rPr>
                <w:rFonts w:hint="eastAsia" w:ascii="宋体" w:hAnsi="宋体" w:cs="宋体"/>
                <w:kern w:val="0"/>
                <w:sz w:val="22"/>
              </w:rPr>
              <w:t>深圳市盐田区机关幼儿园海山分园</w:t>
            </w:r>
          </w:p>
        </w:tc>
        <w:tc>
          <w:tcPr>
            <w:tcW w:w="2548" w:type="dxa"/>
            <w:vMerge w:val="continue"/>
            <w:shd w:val="clear" w:color="auto" w:fill="auto"/>
            <w:noWrap/>
            <w:vAlign w:val="center"/>
          </w:tcPr>
          <w:p w14:paraId="45986994">
            <w:pPr>
              <w:widowControl/>
              <w:jc w:val="center"/>
              <w:textAlignment w:val="center"/>
              <w:rPr>
                <w:rFonts w:ascii="宋体" w:hAnsi="宋体" w:cs="宋体"/>
                <w:sz w:val="22"/>
              </w:rPr>
            </w:pPr>
          </w:p>
        </w:tc>
      </w:tr>
      <w:tr w14:paraId="4E928F5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800" w:type="dxa"/>
            <w:shd w:val="clear" w:color="auto" w:fill="auto"/>
            <w:noWrap/>
            <w:vAlign w:val="center"/>
          </w:tcPr>
          <w:p w14:paraId="75CC0369">
            <w:pPr>
              <w:widowControl/>
              <w:jc w:val="center"/>
              <w:textAlignment w:val="center"/>
              <w:rPr>
                <w:rFonts w:ascii="宋体" w:hAnsi="宋体" w:cs="宋体"/>
                <w:sz w:val="22"/>
              </w:rPr>
            </w:pPr>
            <w:r>
              <w:rPr>
                <w:rFonts w:hint="eastAsia" w:ascii="宋体" w:hAnsi="宋体" w:cs="宋体"/>
                <w:kern w:val="0"/>
                <w:sz w:val="22"/>
              </w:rPr>
              <w:t>17</w:t>
            </w:r>
          </w:p>
        </w:tc>
        <w:tc>
          <w:tcPr>
            <w:tcW w:w="4493" w:type="dxa"/>
            <w:shd w:val="clear" w:color="auto" w:fill="auto"/>
            <w:vAlign w:val="center"/>
          </w:tcPr>
          <w:p w14:paraId="11700F9F">
            <w:pPr>
              <w:widowControl/>
              <w:jc w:val="center"/>
              <w:textAlignment w:val="center"/>
              <w:rPr>
                <w:rFonts w:ascii="宋体" w:hAnsi="宋体" w:cs="宋体"/>
                <w:sz w:val="22"/>
              </w:rPr>
            </w:pPr>
            <w:r>
              <w:rPr>
                <w:rFonts w:hint="eastAsia" w:ascii="宋体" w:hAnsi="宋体" w:cs="宋体"/>
                <w:kern w:val="0"/>
                <w:sz w:val="22"/>
              </w:rPr>
              <w:t>深圳市盐田区实验幼儿园</w:t>
            </w:r>
          </w:p>
        </w:tc>
        <w:tc>
          <w:tcPr>
            <w:tcW w:w="2548" w:type="dxa"/>
            <w:vMerge w:val="continue"/>
            <w:shd w:val="clear" w:color="auto" w:fill="auto"/>
            <w:noWrap/>
            <w:vAlign w:val="center"/>
          </w:tcPr>
          <w:p w14:paraId="7ABBABA1">
            <w:pPr>
              <w:widowControl/>
              <w:jc w:val="center"/>
              <w:textAlignment w:val="center"/>
              <w:rPr>
                <w:rFonts w:ascii="宋体" w:hAnsi="宋体" w:cs="宋体"/>
                <w:sz w:val="22"/>
              </w:rPr>
            </w:pPr>
          </w:p>
        </w:tc>
      </w:tr>
      <w:tr w14:paraId="3ED9741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800" w:type="dxa"/>
            <w:shd w:val="clear" w:color="auto" w:fill="auto"/>
            <w:noWrap/>
            <w:vAlign w:val="center"/>
          </w:tcPr>
          <w:p w14:paraId="1F6473D8">
            <w:pPr>
              <w:widowControl/>
              <w:jc w:val="center"/>
              <w:textAlignment w:val="center"/>
              <w:rPr>
                <w:rFonts w:ascii="宋体" w:hAnsi="宋体" w:cs="宋体"/>
                <w:sz w:val="22"/>
              </w:rPr>
            </w:pPr>
            <w:r>
              <w:rPr>
                <w:rFonts w:hint="eastAsia" w:ascii="宋体" w:hAnsi="宋体" w:cs="宋体"/>
                <w:kern w:val="0"/>
                <w:sz w:val="22"/>
              </w:rPr>
              <w:t>18</w:t>
            </w:r>
          </w:p>
        </w:tc>
        <w:tc>
          <w:tcPr>
            <w:tcW w:w="4493" w:type="dxa"/>
            <w:shd w:val="clear" w:color="auto" w:fill="auto"/>
            <w:vAlign w:val="center"/>
          </w:tcPr>
          <w:p w14:paraId="31F37402">
            <w:pPr>
              <w:widowControl/>
              <w:jc w:val="center"/>
              <w:textAlignment w:val="center"/>
              <w:rPr>
                <w:rFonts w:ascii="宋体" w:hAnsi="宋体" w:cs="宋体"/>
                <w:sz w:val="22"/>
              </w:rPr>
            </w:pPr>
            <w:r>
              <w:rPr>
                <w:rFonts w:hint="eastAsia" w:ascii="宋体" w:hAnsi="宋体" w:cs="宋体"/>
                <w:kern w:val="0"/>
                <w:sz w:val="22"/>
              </w:rPr>
              <w:t>深圳市盐田区实验幼儿园倚山分园</w:t>
            </w:r>
          </w:p>
        </w:tc>
        <w:tc>
          <w:tcPr>
            <w:tcW w:w="2548" w:type="dxa"/>
            <w:vMerge w:val="continue"/>
            <w:shd w:val="clear" w:color="auto" w:fill="auto"/>
            <w:noWrap/>
            <w:vAlign w:val="center"/>
          </w:tcPr>
          <w:p w14:paraId="61928CC7">
            <w:pPr>
              <w:widowControl/>
              <w:jc w:val="center"/>
              <w:textAlignment w:val="center"/>
              <w:rPr>
                <w:rFonts w:ascii="宋体" w:hAnsi="宋体" w:cs="宋体"/>
                <w:sz w:val="22"/>
              </w:rPr>
            </w:pPr>
          </w:p>
        </w:tc>
      </w:tr>
      <w:tr w14:paraId="7B284E4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800" w:type="dxa"/>
            <w:shd w:val="clear" w:color="auto" w:fill="auto"/>
            <w:noWrap/>
            <w:vAlign w:val="center"/>
          </w:tcPr>
          <w:p w14:paraId="6DE0A7E9">
            <w:pPr>
              <w:widowControl/>
              <w:jc w:val="center"/>
              <w:textAlignment w:val="center"/>
              <w:rPr>
                <w:rFonts w:ascii="宋体" w:hAnsi="宋体" w:cs="宋体"/>
                <w:sz w:val="22"/>
              </w:rPr>
            </w:pPr>
            <w:r>
              <w:rPr>
                <w:rFonts w:hint="eastAsia" w:ascii="宋体" w:hAnsi="宋体" w:cs="宋体"/>
                <w:kern w:val="0"/>
                <w:sz w:val="22"/>
              </w:rPr>
              <w:t>19</w:t>
            </w:r>
          </w:p>
        </w:tc>
        <w:tc>
          <w:tcPr>
            <w:tcW w:w="4493" w:type="dxa"/>
            <w:shd w:val="clear" w:color="auto" w:fill="auto"/>
            <w:vAlign w:val="center"/>
          </w:tcPr>
          <w:p w14:paraId="16A0752D">
            <w:pPr>
              <w:widowControl/>
              <w:jc w:val="center"/>
              <w:textAlignment w:val="center"/>
              <w:rPr>
                <w:rFonts w:ascii="宋体" w:hAnsi="宋体" w:cs="宋体"/>
                <w:sz w:val="22"/>
              </w:rPr>
            </w:pPr>
            <w:r>
              <w:rPr>
                <w:rFonts w:hint="eastAsia" w:ascii="宋体" w:hAnsi="宋体" w:cs="宋体"/>
                <w:kern w:val="0"/>
                <w:sz w:val="22"/>
              </w:rPr>
              <w:t>深圳市盐田区教科院幼儿园</w:t>
            </w:r>
          </w:p>
        </w:tc>
        <w:tc>
          <w:tcPr>
            <w:tcW w:w="2548" w:type="dxa"/>
            <w:vMerge w:val="continue"/>
            <w:shd w:val="clear" w:color="auto" w:fill="auto"/>
            <w:noWrap/>
            <w:vAlign w:val="center"/>
          </w:tcPr>
          <w:p w14:paraId="5C808705">
            <w:pPr>
              <w:widowControl/>
              <w:jc w:val="center"/>
              <w:textAlignment w:val="center"/>
              <w:rPr>
                <w:rFonts w:ascii="宋体" w:hAnsi="宋体" w:cs="宋体"/>
                <w:sz w:val="22"/>
              </w:rPr>
            </w:pPr>
          </w:p>
        </w:tc>
      </w:tr>
      <w:tr w14:paraId="4BA6DA3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800" w:type="dxa"/>
            <w:shd w:val="clear" w:color="auto" w:fill="auto"/>
            <w:noWrap/>
            <w:vAlign w:val="center"/>
          </w:tcPr>
          <w:p w14:paraId="377E0BED">
            <w:pPr>
              <w:widowControl/>
              <w:jc w:val="center"/>
              <w:textAlignment w:val="center"/>
              <w:rPr>
                <w:rFonts w:ascii="宋体" w:hAnsi="宋体" w:cs="宋体"/>
                <w:sz w:val="22"/>
              </w:rPr>
            </w:pPr>
            <w:r>
              <w:rPr>
                <w:rFonts w:hint="eastAsia" w:ascii="宋体" w:hAnsi="宋体" w:cs="宋体"/>
                <w:kern w:val="0"/>
                <w:sz w:val="22"/>
              </w:rPr>
              <w:t>20</w:t>
            </w:r>
          </w:p>
        </w:tc>
        <w:tc>
          <w:tcPr>
            <w:tcW w:w="4493" w:type="dxa"/>
            <w:shd w:val="clear" w:color="auto" w:fill="auto"/>
            <w:vAlign w:val="center"/>
          </w:tcPr>
          <w:p w14:paraId="5D08AC0F">
            <w:pPr>
              <w:widowControl/>
              <w:jc w:val="center"/>
              <w:textAlignment w:val="center"/>
              <w:rPr>
                <w:rFonts w:ascii="宋体" w:hAnsi="宋体" w:cs="宋体"/>
                <w:sz w:val="22"/>
              </w:rPr>
            </w:pPr>
            <w:r>
              <w:rPr>
                <w:rFonts w:hint="eastAsia" w:ascii="宋体" w:hAnsi="宋体" w:cs="宋体"/>
                <w:kern w:val="0"/>
                <w:sz w:val="22"/>
              </w:rPr>
              <w:t>深圳市盐田区教科院幼儿园翠峰分园</w:t>
            </w:r>
          </w:p>
        </w:tc>
        <w:tc>
          <w:tcPr>
            <w:tcW w:w="2548" w:type="dxa"/>
            <w:vMerge w:val="continue"/>
            <w:shd w:val="clear" w:color="auto" w:fill="auto"/>
            <w:noWrap/>
            <w:vAlign w:val="center"/>
          </w:tcPr>
          <w:p w14:paraId="2791BBEF">
            <w:pPr>
              <w:widowControl/>
              <w:jc w:val="center"/>
              <w:textAlignment w:val="center"/>
              <w:rPr>
                <w:rFonts w:ascii="宋体" w:hAnsi="宋体" w:cs="宋体"/>
                <w:sz w:val="22"/>
              </w:rPr>
            </w:pPr>
          </w:p>
        </w:tc>
      </w:tr>
      <w:tr w14:paraId="5E57A0B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1BB25FE2">
            <w:pPr>
              <w:widowControl/>
              <w:jc w:val="center"/>
              <w:textAlignment w:val="center"/>
              <w:rPr>
                <w:rFonts w:ascii="宋体" w:hAnsi="宋体" w:cs="宋体"/>
                <w:sz w:val="22"/>
              </w:rPr>
            </w:pPr>
            <w:r>
              <w:rPr>
                <w:rFonts w:hint="eastAsia" w:ascii="宋体" w:hAnsi="宋体" w:cs="宋体"/>
                <w:kern w:val="0"/>
                <w:sz w:val="22"/>
              </w:rPr>
              <w:t>21</w:t>
            </w:r>
          </w:p>
        </w:tc>
        <w:tc>
          <w:tcPr>
            <w:tcW w:w="4493" w:type="dxa"/>
            <w:shd w:val="clear" w:color="auto" w:fill="auto"/>
            <w:noWrap/>
            <w:vAlign w:val="center"/>
          </w:tcPr>
          <w:p w14:paraId="109B769C">
            <w:pPr>
              <w:widowControl/>
              <w:jc w:val="center"/>
              <w:textAlignment w:val="center"/>
              <w:rPr>
                <w:rFonts w:ascii="宋体" w:hAnsi="宋体" w:cs="宋体"/>
                <w:sz w:val="22"/>
              </w:rPr>
            </w:pPr>
            <w:r>
              <w:rPr>
                <w:rFonts w:hint="eastAsia" w:ascii="宋体" w:hAnsi="宋体" w:cs="宋体"/>
                <w:kern w:val="0"/>
                <w:sz w:val="22"/>
              </w:rPr>
              <w:t>深圳市盐田区教科院幼儿园海涛分园</w:t>
            </w:r>
          </w:p>
        </w:tc>
        <w:tc>
          <w:tcPr>
            <w:tcW w:w="2548" w:type="dxa"/>
            <w:vMerge w:val="continue"/>
            <w:shd w:val="clear" w:color="auto" w:fill="auto"/>
            <w:noWrap/>
            <w:vAlign w:val="center"/>
          </w:tcPr>
          <w:p w14:paraId="6CB69A76">
            <w:pPr>
              <w:widowControl/>
              <w:jc w:val="center"/>
              <w:textAlignment w:val="center"/>
              <w:rPr>
                <w:rFonts w:ascii="宋体" w:hAnsi="宋体" w:cs="宋体"/>
                <w:sz w:val="22"/>
              </w:rPr>
            </w:pPr>
          </w:p>
        </w:tc>
      </w:tr>
      <w:tr w14:paraId="4F8BD9E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293" w:type="dxa"/>
            <w:gridSpan w:val="2"/>
            <w:shd w:val="clear" w:color="auto" w:fill="auto"/>
            <w:noWrap/>
            <w:vAlign w:val="center"/>
          </w:tcPr>
          <w:p w14:paraId="6EE8B50C">
            <w:pPr>
              <w:widowControl/>
              <w:jc w:val="left"/>
              <w:textAlignment w:val="center"/>
              <w:rPr>
                <w:rFonts w:ascii="宋体" w:hAnsi="宋体" w:cs="宋体"/>
                <w:kern w:val="0"/>
                <w:sz w:val="22"/>
              </w:rPr>
            </w:pPr>
            <w:r>
              <w:rPr>
                <w:rFonts w:hint="eastAsia" w:ascii="宋体" w:hAnsi="宋体" w:cs="宋体"/>
                <w:kern w:val="0"/>
                <w:sz w:val="22"/>
              </w:rPr>
              <w:t>分组2</w:t>
            </w:r>
          </w:p>
        </w:tc>
        <w:tc>
          <w:tcPr>
            <w:tcW w:w="2548" w:type="dxa"/>
            <w:shd w:val="clear" w:color="auto" w:fill="auto"/>
            <w:vAlign w:val="center"/>
          </w:tcPr>
          <w:p w14:paraId="4C4C326F">
            <w:pPr>
              <w:widowControl/>
              <w:jc w:val="left"/>
              <w:textAlignment w:val="center"/>
              <w:rPr>
                <w:rFonts w:ascii="宋体" w:hAnsi="宋体" w:cs="宋体"/>
                <w:kern w:val="0"/>
                <w:sz w:val="22"/>
              </w:rPr>
            </w:pPr>
          </w:p>
        </w:tc>
      </w:tr>
      <w:tr w14:paraId="0547F3D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5771041E">
            <w:pPr>
              <w:widowControl/>
              <w:jc w:val="center"/>
              <w:textAlignment w:val="center"/>
              <w:rPr>
                <w:rFonts w:ascii="宋体" w:hAnsi="宋体" w:cs="宋体"/>
                <w:szCs w:val="21"/>
              </w:rPr>
            </w:pPr>
            <w:r>
              <w:rPr>
                <w:rFonts w:hint="eastAsia" w:ascii="宋体" w:hAnsi="宋体" w:cs="宋体"/>
                <w:kern w:val="0"/>
                <w:szCs w:val="21"/>
              </w:rPr>
              <w:t>1</w:t>
            </w:r>
          </w:p>
        </w:tc>
        <w:tc>
          <w:tcPr>
            <w:tcW w:w="4493" w:type="dxa"/>
            <w:shd w:val="clear" w:color="auto" w:fill="auto"/>
            <w:noWrap/>
            <w:vAlign w:val="center"/>
          </w:tcPr>
          <w:p w14:paraId="6CC7127E">
            <w:pPr>
              <w:widowControl/>
              <w:jc w:val="center"/>
              <w:textAlignment w:val="center"/>
              <w:rPr>
                <w:rFonts w:ascii="宋体" w:hAnsi="宋体" w:cs="宋体"/>
                <w:szCs w:val="21"/>
              </w:rPr>
            </w:pPr>
            <w:r>
              <w:rPr>
                <w:rFonts w:hint="eastAsia" w:ascii="宋体" w:hAnsi="宋体" w:cs="宋体"/>
                <w:kern w:val="0"/>
                <w:szCs w:val="21"/>
              </w:rPr>
              <w:t>深圳市盐田高级中学</w:t>
            </w:r>
          </w:p>
        </w:tc>
        <w:tc>
          <w:tcPr>
            <w:tcW w:w="2548" w:type="dxa"/>
            <w:vMerge w:val="restart"/>
            <w:shd w:val="clear" w:color="auto" w:fill="auto"/>
            <w:noWrap/>
            <w:vAlign w:val="center"/>
          </w:tcPr>
          <w:p w14:paraId="31C698EE">
            <w:pPr>
              <w:widowControl/>
              <w:jc w:val="center"/>
              <w:textAlignment w:val="center"/>
              <w:rPr>
                <w:rFonts w:ascii="宋体" w:hAnsi="宋体" w:cs="宋体"/>
                <w:kern w:val="0"/>
                <w:sz w:val="22"/>
              </w:rPr>
            </w:pPr>
            <w:r>
              <w:rPr>
                <w:rFonts w:hint="eastAsia"/>
              </w:rPr>
              <w:t>各校预算额度由区教育局统一分配，合计不超过1306万元/学年。</w:t>
            </w:r>
          </w:p>
        </w:tc>
      </w:tr>
      <w:tr w14:paraId="46C7AA3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3C97AE4E">
            <w:pPr>
              <w:widowControl/>
              <w:jc w:val="center"/>
              <w:textAlignment w:val="center"/>
              <w:rPr>
                <w:rFonts w:ascii="宋体" w:hAnsi="宋体" w:cs="宋体"/>
                <w:szCs w:val="21"/>
              </w:rPr>
            </w:pPr>
            <w:r>
              <w:rPr>
                <w:rFonts w:hint="eastAsia" w:ascii="宋体" w:hAnsi="宋体" w:cs="宋体"/>
                <w:kern w:val="0"/>
                <w:szCs w:val="21"/>
              </w:rPr>
              <w:t>2</w:t>
            </w:r>
          </w:p>
        </w:tc>
        <w:tc>
          <w:tcPr>
            <w:tcW w:w="4493" w:type="dxa"/>
            <w:shd w:val="clear" w:color="auto" w:fill="auto"/>
            <w:noWrap/>
            <w:vAlign w:val="center"/>
          </w:tcPr>
          <w:p w14:paraId="2FB08092">
            <w:pPr>
              <w:widowControl/>
              <w:jc w:val="center"/>
              <w:textAlignment w:val="center"/>
              <w:rPr>
                <w:rFonts w:ascii="宋体" w:hAnsi="宋体" w:cs="宋体"/>
                <w:szCs w:val="21"/>
              </w:rPr>
            </w:pPr>
            <w:r>
              <w:rPr>
                <w:rFonts w:hint="eastAsia" w:ascii="宋体" w:hAnsi="宋体" w:cs="宋体"/>
                <w:kern w:val="0"/>
                <w:szCs w:val="21"/>
              </w:rPr>
              <w:t>深圳市盐港中学</w:t>
            </w:r>
          </w:p>
        </w:tc>
        <w:tc>
          <w:tcPr>
            <w:tcW w:w="2548" w:type="dxa"/>
            <w:vMerge w:val="continue"/>
            <w:shd w:val="clear" w:color="auto" w:fill="auto"/>
            <w:noWrap/>
            <w:vAlign w:val="center"/>
          </w:tcPr>
          <w:p w14:paraId="20C22ED4">
            <w:pPr>
              <w:widowControl/>
              <w:jc w:val="center"/>
              <w:textAlignment w:val="center"/>
              <w:rPr>
                <w:rFonts w:ascii="宋体" w:hAnsi="宋体" w:cs="宋体"/>
                <w:kern w:val="0"/>
                <w:sz w:val="22"/>
              </w:rPr>
            </w:pPr>
          </w:p>
        </w:tc>
      </w:tr>
      <w:tr w14:paraId="0E07C44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4ABDDA88">
            <w:pPr>
              <w:widowControl/>
              <w:jc w:val="center"/>
              <w:textAlignment w:val="center"/>
              <w:rPr>
                <w:rFonts w:ascii="宋体" w:hAnsi="宋体" w:cs="宋体"/>
                <w:szCs w:val="21"/>
              </w:rPr>
            </w:pPr>
            <w:r>
              <w:rPr>
                <w:rFonts w:hint="eastAsia" w:ascii="宋体" w:hAnsi="宋体" w:cs="宋体"/>
                <w:kern w:val="0"/>
                <w:szCs w:val="21"/>
              </w:rPr>
              <w:t>3</w:t>
            </w:r>
          </w:p>
        </w:tc>
        <w:tc>
          <w:tcPr>
            <w:tcW w:w="4493" w:type="dxa"/>
            <w:shd w:val="clear" w:color="auto" w:fill="auto"/>
            <w:noWrap/>
            <w:vAlign w:val="center"/>
          </w:tcPr>
          <w:p w14:paraId="08FF8411">
            <w:pPr>
              <w:widowControl/>
              <w:jc w:val="center"/>
              <w:textAlignment w:val="center"/>
              <w:rPr>
                <w:rFonts w:ascii="宋体" w:hAnsi="宋体" w:cs="宋体"/>
                <w:szCs w:val="21"/>
              </w:rPr>
            </w:pPr>
            <w:r>
              <w:rPr>
                <w:rFonts w:hint="eastAsia" w:ascii="宋体" w:hAnsi="宋体" w:cs="宋体"/>
                <w:kern w:val="0"/>
                <w:szCs w:val="21"/>
              </w:rPr>
              <w:t>深圳市盐田实验学校</w:t>
            </w:r>
          </w:p>
        </w:tc>
        <w:tc>
          <w:tcPr>
            <w:tcW w:w="2548" w:type="dxa"/>
            <w:vMerge w:val="continue"/>
            <w:shd w:val="clear" w:color="auto" w:fill="auto"/>
            <w:noWrap/>
            <w:vAlign w:val="center"/>
          </w:tcPr>
          <w:p w14:paraId="5F0DB3F8">
            <w:pPr>
              <w:widowControl/>
              <w:jc w:val="center"/>
              <w:textAlignment w:val="center"/>
              <w:rPr>
                <w:rFonts w:ascii="宋体" w:hAnsi="宋体" w:cs="宋体"/>
                <w:kern w:val="0"/>
                <w:sz w:val="22"/>
              </w:rPr>
            </w:pPr>
          </w:p>
        </w:tc>
      </w:tr>
      <w:tr w14:paraId="60058BF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49F456DA">
            <w:pPr>
              <w:widowControl/>
              <w:jc w:val="center"/>
              <w:textAlignment w:val="center"/>
              <w:rPr>
                <w:rFonts w:ascii="宋体" w:hAnsi="宋体" w:cs="宋体"/>
                <w:szCs w:val="21"/>
              </w:rPr>
            </w:pPr>
            <w:r>
              <w:rPr>
                <w:rFonts w:hint="eastAsia" w:ascii="宋体" w:hAnsi="宋体" w:cs="宋体"/>
                <w:kern w:val="0"/>
                <w:szCs w:val="21"/>
              </w:rPr>
              <w:t>4</w:t>
            </w:r>
          </w:p>
        </w:tc>
        <w:tc>
          <w:tcPr>
            <w:tcW w:w="4493" w:type="dxa"/>
            <w:shd w:val="clear" w:color="auto" w:fill="auto"/>
            <w:noWrap/>
            <w:vAlign w:val="center"/>
          </w:tcPr>
          <w:p w14:paraId="4BCDA130">
            <w:pPr>
              <w:widowControl/>
              <w:jc w:val="center"/>
              <w:textAlignment w:val="center"/>
              <w:rPr>
                <w:rFonts w:ascii="宋体" w:hAnsi="宋体" w:cs="宋体"/>
                <w:szCs w:val="21"/>
              </w:rPr>
            </w:pPr>
            <w:r>
              <w:rPr>
                <w:rFonts w:hint="eastAsia" w:ascii="宋体" w:hAnsi="宋体" w:cs="宋体"/>
                <w:kern w:val="0"/>
                <w:szCs w:val="21"/>
              </w:rPr>
              <w:t>深圳市盐田区云海学校</w:t>
            </w:r>
          </w:p>
        </w:tc>
        <w:tc>
          <w:tcPr>
            <w:tcW w:w="2548" w:type="dxa"/>
            <w:vMerge w:val="continue"/>
            <w:shd w:val="clear" w:color="auto" w:fill="auto"/>
            <w:noWrap/>
            <w:vAlign w:val="center"/>
          </w:tcPr>
          <w:p w14:paraId="72CF62D4">
            <w:pPr>
              <w:widowControl/>
              <w:jc w:val="center"/>
              <w:textAlignment w:val="center"/>
              <w:rPr>
                <w:rFonts w:ascii="宋体" w:hAnsi="宋体" w:cs="宋体"/>
                <w:kern w:val="0"/>
                <w:sz w:val="22"/>
              </w:rPr>
            </w:pPr>
          </w:p>
        </w:tc>
      </w:tr>
      <w:tr w14:paraId="7CBDE68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2F938036">
            <w:pPr>
              <w:widowControl/>
              <w:jc w:val="center"/>
              <w:textAlignment w:val="center"/>
              <w:rPr>
                <w:rFonts w:ascii="宋体" w:hAnsi="宋体" w:cs="宋体"/>
                <w:szCs w:val="21"/>
              </w:rPr>
            </w:pPr>
            <w:r>
              <w:rPr>
                <w:rFonts w:hint="eastAsia" w:ascii="宋体" w:hAnsi="宋体" w:cs="宋体"/>
                <w:kern w:val="0"/>
                <w:szCs w:val="21"/>
              </w:rPr>
              <w:t>5</w:t>
            </w:r>
          </w:p>
        </w:tc>
        <w:tc>
          <w:tcPr>
            <w:tcW w:w="4493" w:type="dxa"/>
            <w:shd w:val="clear" w:color="auto" w:fill="auto"/>
            <w:noWrap/>
            <w:vAlign w:val="center"/>
          </w:tcPr>
          <w:p w14:paraId="111267C3">
            <w:pPr>
              <w:widowControl/>
              <w:jc w:val="center"/>
              <w:textAlignment w:val="center"/>
              <w:rPr>
                <w:rFonts w:ascii="宋体" w:hAnsi="宋体" w:cs="宋体"/>
                <w:szCs w:val="21"/>
              </w:rPr>
            </w:pPr>
            <w:r>
              <w:rPr>
                <w:rFonts w:hint="eastAsia" w:ascii="宋体" w:hAnsi="宋体" w:cs="宋体"/>
                <w:kern w:val="0"/>
                <w:szCs w:val="21"/>
              </w:rPr>
              <w:t>深圳市盐田区梅沙小学</w:t>
            </w:r>
          </w:p>
        </w:tc>
        <w:tc>
          <w:tcPr>
            <w:tcW w:w="2548" w:type="dxa"/>
            <w:vMerge w:val="continue"/>
            <w:shd w:val="clear" w:color="auto" w:fill="auto"/>
            <w:noWrap/>
            <w:vAlign w:val="center"/>
          </w:tcPr>
          <w:p w14:paraId="2A3F29E3">
            <w:pPr>
              <w:widowControl/>
              <w:jc w:val="center"/>
              <w:textAlignment w:val="center"/>
              <w:rPr>
                <w:rFonts w:ascii="宋体" w:hAnsi="宋体" w:cs="宋体"/>
                <w:kern w:val="0"/>
                <w:sz w:val="22"/>
              </w:rPr>
            </w:pPr>
          </w:p>
        </w:tc>
      </w:tr>
      <w:tr w14:paraId="51FC0FD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21AB38E6">
            <w:pPr>
              <w:widowControl/>
              <w:jc w:val="center"/>
              <w:textAlignment w:val="center"/>
              <w:rPr>
                <w:rFonts w:ascii="宋体" w:hAnsi="宋体" w:cs="宋体"/>
                <w:szCs w:val="21"/>
              </w:rPr>
            </w:pPr>
            <w:r>
              <w:rPr>
                <w:rFonts w:hint="eastAsia" w:ascii="宋体" w:hAnsi="宋体" w:cs="宋体"/>
                <w:kern w:val="0"/>
                <w:szCs w:val="21"/>
              </w:rPr>
              <w:t>6</w:t>
            </w:r>
          </w:p>
        </w:tc>
        <w:tc>
          <w:tcPr>
            <w:tcW w:w="4493" w:type="dxa"/>
            <w:shd w:val="clear" w:color="auto" w:fill="auto"/>
            <w:noWrap/>
            <w:vAlign w:val="center"/>
          </w:tcPr>
          <w:p w14:paraId="19A46703">
            <w:pPr>
              <w:widowControl/>
              <w:jc w:val="center"/>
              <w:textAlignment w:val="center"/>
              <w:rPr>
                <w:rFonts w:ascii="宋体" w:hAnsi="宋体" w:cs="宋体"/>
                <w:szCs w:val="21"/>
              </w:rPr>
            </w:pPr>
            <w:r>
              <w:rPr>
                <w:rFonts w:hint="eastAsia" w:ascii="宋体" w:hAnsi="宋体" w:cs="宋体"/>
                <w:kern w:val="0"/>
                <w:szCs w:val="21"/>
              </w:rPr>
              <w:t>深圳市盐田区外国语学校</w:t>
            </w:r>
          </w:p>
        </w:tc>
        <w:tc>
          <w:tcPr>
            <w:tcW w:w="2548" w:type="dxa"/>
            <w:vMerge w:val="continue"/>
            <w:shd w:val="clear" w:color="auto" w:fill="auto"/>
            <w:noWrap/>
            <w:vAlign w:val="center"/>
          </w:tcPr>
          <w:p w14:paraId="398DCA78">
            <w:pPr>
              <w:widowControl/>
              <w:jc w:val="center"/>
              <w:textAlignment w:val="center"/>
              <w:rPr>
                <w:rFonts w:ascii="宋体" w:hAnsi="宋体" w:cs="宋体"/>
                <w:kern w:val="0"/>
                <w:sz w:val="22"/>
              </w:rPr>
            </w:pPr>
          </w:p>
        </w:tc>
      </w:tr>
      <w:tr w14:paraId="0A575B8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65B95A75">
            <w:pPr>
              <w:widowControl/>
              <w:jc w:val="center"/>
              <w:textAlignment w:val="center"/>
              <w:rPr>
                <w:rFonts w:ascii="宋体" w:hAnsi="宋体" w:cs="宋体"/>
                <w:szCs w:val="21"/>
              </w:rPr>
            </w:pPr>
            <w:r>
              <w:rPr>
                <w:rFonts w:hint="eastAsia" w:ascii="宋体" w:hAnsi="宋体" w:cs="宋体"/>
                <w:kern w:val="0"/>
                <w:szCs w:val="21"/>
              </w:rPr>
              <w:t>7</w:t>
            </w:r>
          </w:p>
        </w:tc>
        <w:tc>
          <w:tcPr>
            <w:tcW w:w="4493" w:type="dxa"/>
            <w:shd w:val="clear" w:color="auto" w:fill="auto"/>
            <w:noWrap/>
            <w:vAlign w:val="center"/>
          </w:tcPr>
          <w:p w14:paraId="59650D3D">
            <w:pPr>
              <w:widowControl/>
              <w:jc w:val="center"/>
              <w:textAlignment w:val="center"/>
              <w:rPr>
                <w:rFonts w:ascii="宋体" w:hAnsi="宋体" w:cs="宋体"/>
                <w:szCs w:val="21"/>
              </w:rPr>
            </w:pPr>
            <w:r>
              <w:rPr>
                <w:rFonts w:hint="eastAsia" w:ascii="宋体" w:hAnsi="宋体" w:cs="宋体"/>
                <w:kern w:val="0"/>
                <w:szCs w:val="21"/>
              </w:rPr>
              <w:t>深圳市盐田区盐港小学</w:t>
            </w:r>
          </w:p>
        </w:tc>
        <w:tc>
          <w:tcPr>
            <w:tcW w:w="2548" w:type="dxa"/>
            <w:vMerge w:val="continue"/>
            <w:shd w:val="clear" w:color="auto" w:fill="auto"/>
            <w:noWrap/>
            <w:vAlign w:val="center"/>
          </w:tcPr>
          <w:p w14:paraId="186D64B9">
            <w:pPr>
              <w:widowControl/>
              <w:jc w:val="center"/>
              <w:textAlignment w:val="center"/>
              <w:rPr>
                <w:rFonts w:ascii="宋体" w:hAnsi="宋体" w:cs="宋体"/>
                <w:kern w:val="0"/>
                <w:sz w:val="22"/>
              </w:rPr>
            </w:pPr>
          </w:p>
        </w:tc>
      </w:tr>
      <w:tr w14:paraId="59FD8EF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501B6E95">
            <w:pPr>
              <w:widowControl/>
              <w:jc w:val="center"/>
              <w:textAlignment w:val="center"/>
              <w:rPr>
                <w:rFonts w:ascii="宋体" w:hAnsi="宋体" w:cs="宋体"/>
                <w:szCs w:val="21"/>
              </w:rPr>
            </w:pPr>
            <w:r>
              <w:rPr>
                <w:rFonts w:hint="eastAsia" w:ascii="宋体" w:hAnsi="宋体" w:cs="宋体"/>
                <w:kern w:val="0"/>
                <w:szCs w:val="21"/>
              </w:rPr>
              <w:t>8</w:t>
            </w:r>
          </w:p>
        </w:tc>
        <w:tc>
          <w:tcPr>
            <w:tcW w:w="4493" w:type="dxa"/>
            <w:shd w:val="clear" w:color="auto" w:fill="auto"/>
            <w:noWrap/>
            <w:vAlign w:val="center"/>
          </w:tcPr>
          <w:p w14:paraId="7B6687EC">
            <w:pPr>
              <w:widowControl/>
              <w:jc w:val="center"/>
              <w:textAlignment w:val="center"/>
              <w:rPr>
                <w:rFonts w:ascii="宋体" w:hAnsi="宋体" w:cs="宋体"/>
                <w:szCs w:val="21"/>
              </w:rPr>
            </w:pPr>
            <w:r>
              <w:rPr>
                <w:rFonts w:hint="eastAsia" w:ascii="宋体" w:hAnsi="宋体" w:cs="宋体"/>
                <w:kern w:val="0"/>
                <w:szCs w:val="21"/>
              </w:rPr>
              <w:t>深圳市盐田区明珠幼儿园</w:t>
            </w:r>
          </w:p>
        </w:tc>
        <w:tc>
          <w:tcPr>
            <w:tcW w:w="2548" w:type="dxa"/>
            <w:vMerge w:val="continue"/>
            <w:shd w:val="clear" w:color="auto" w:fill="auto"/>
            <w:noWrap/>
            <w:vAlign w:val="center"/>
          </w:tcPr>
          <w:p w14:paraId="12817899">
            <w:pPr>
              <w:widowControl/>
              <w:jc w:val="center"/>
              <w:textAlignment w:val="center"/>
              <w:rPr>
                <w:rFonts w:ascii="宋体" w:hAnsi="宋体" w:cs="宋体"/>
                <w:kern w:val="0"/>
                <w:sz w:val="22"/>
              </w:rPr>
            </w:pPr>
          </w:p>
        </w:tc>
      </w:tr>
      <w:tr w14:paraId="202A62A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4BD941D2">
            <w:pPr>
              <w:widowControl/>
              <w:jc w:val="center"/>
              <w:textAlignment w:val="center"/>
              <w:rPr>
                <w:rFonts w:ascii="宋体" w:hAnsi="宋体" w:cs="宋体"/>
                <w:szCs w:val="21"/>
              </w:rPr>
            </w:pPr>
            <w:r>
              <w:rPr>
                <w:rFonts w:hint="eastAsia" w:ascii="宋体" w:hAnsi="宋体" w:cs="宋体"/>
                <w:kern w:val="0"/>
                <w:szCs w:val="21"/>
              </w:rPr>
              <w:t>9</w:t>
            </w:r>
          </w:p>
        </w:tc>
        <w:tc>
          <w:tcPr>
            <w:tcW w:w="4493" w:type="dxa"/>
            <w:shd w:val="clear" w:color="auto" w:fill="auto"/>
            <w:noWrap/>
            <w:vAlign w:val="center"/>
          </w:tcPr>
          <w:p w14:paraId="6D6CE93B">
            <w:pPr>
              <w:widowControl/>
              <w:jc w:val="center"/>
              <w:textAlignment w:val="center"/>
              <w:rPr>
                <w:rFonts w:ascii="宋体" w:hAnsi="宋体" w:cs="宋体"/>
                <w:szCs w:val="21"/>
              </w:rPr>
            </w:pPr>
            <w:r>
              <w:rPr>
                <w:rFonts w:hint="eastAsia" w:ascii="宋体" w:hAnsi="宋体" w:cs="宋体"/>
                <w:kern w:val="0"/>
                <w:szCs w:val="21"/>
              </w:rPr>
              <w:t>深圳市盐田区中海幼儿园</w:t>
            </w:r>
          </w:p>
        </w:tc>
        <w:tc>
          <w:tcPr>
            <w:tcW w:w="2548" w:type="dxa"/>
            <w:vMerge w:val="continue"/>
            <w:shd w:val="clear" w:color="auto" w:fill="auto"/>
            <w:noWrap/>
            <w:vAlign w:val="center"/>
          </w:tcPr>
          <w:p w14:paraId="4E23CCFA">
            <w:pPr>
              <w:widowControl/>
              <w:jc w:val="center"/>
              <w:textAlignment w:val="center"/>
              <w:rPr>
                <w:rFonts w:ascii="宋体" w:hAnsi="宋体" w:cs="宋体"/>
                <w:kern w:val="0"/>
                <w:sz w:val="22"/>
              </w:rPr>
            </w:pPr>
          </w:p>
        </w:tc>
      </w:tr>
      <w:tr w14:paraId="1AC2648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35F82773">
            <w:pPr>
              <w:widowControl/>
              <w:jc w:val="center"/>
              <w:textAlignment w:val="center"/>
              <w:rPr>
                <w:rFonts w:ascii="宋体" w:hAnsi="宋体" w:cs="宋体"/>
                <w:szCs w:val="21"/>
              </w:rPr>
            </w:pPr>
            <w:r>
              <w:rPr>
                <w:rFonts w:hint="eastAsia" w:ascii="宋体" w:hAnsi="宋体" w:cs="宋体"/>
                <w:kern w:val="0"/>
                <w:szCs w:val="21"/>
              </w:rPr>
              <w:t>10</w:t>
            </w:r>
          </w:p>
        </w:tc>
        <w:tc>
          <w:tcPr>
            <w:tcW w:w="4493" w:type="dxa"/>
            <w:shd w:val="clear" w:color="auto" w:fill="auto"/>
            <w:noWrap/>
            <w:vAlign w:val="center"/>
          </w:tcPr>
          <w:p w14:paraId="1E2BE344">
            <w:pPr>
              <w:widowControl/>
              <w:jc w:val="center"/>
              <w:textAlignment w:val="center"/>
              <w:rPr>
                <w:rFonts w:ascii="宋体" w:hAnsi="宋体" w:cs="宋体"/>
                <w:szCs w:val="21"/>
              </w:rPr>
            </w:pPr>
            <w:r>
              <w:rPr>
                <w:rFonts w:hint="eastAsia" w:ascii="宋体" w:hAnsi="宋体" w:cs="宋体"/>
                <w:kern w:val="0"/>
                <w:szCs w:val="21"/>
              </w:rPr>
              <w:t>深圳市盐田区海华幼儿园</w:t>
            </w:r>
          </w:p>
        </w:tc>
        <w:tc>
          <w:tcPr>
            <w:tcW w:w="2548" w:type="dxa"/>
            <w:vMerge w:val="continue"/>
            <w:shd w:val="clear" w:color="auto" w:fill="auto"/>
            <w:noWrap/>
            <w:vAlign w:val="center"/>
          </w:tcPr>
          <w:p w14:paraId="22BAB542">
            <w:pPr>
              <w:widowControl/>
              <w:jc w:val="center"/>
              <w:textAlignment w:val="center"/>
              <w:rPr>
                <w:rFonts w:ascii="宋体" w:hAnsi="宋体" w:cs="宋体"/>
                <w:kern w:val="0"/>
                <w:sz w:val="22"/>
              </w:rPr>
            </w:pPr>
          </w:p>
        </w:tc>
      </w:tr>
      <w:tr w14:paraId="6D9EFC2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72CD89A7">
            <w:pPr>
              <w:widowControl/>
              <w:jc w:val="center"/>
              <w:textAlignment w:val="center"/>
              <w:rPr>
                <w:rFonts w:ascii="宋体" w:hAnsi="宋体" w:cs="宋体"/>
                <w:szCs w:val="21"/>
              </w:rPr>
            </w:pPr>
            <w:r>
              <w:rPr>
                <w:rFonts w:hint="eastAsia" w:ascii="宋体" w:hAnsi="宋体" w:cs="宋体"/>
                <w:kern w:val="0"/>
                <w:szCs w:val="21"/>
              </w:rPr>
              <w:t>11</w:t>
            </w:r>
          </w:p>
        </w:tc>
        <w:tc>
          <w:tcPr>
            <w:tcW w:w="4493" w:type="dxa"/>
            <w:shd w:val="clear" w:color="auto" w:fill="auto"/>
            <w:noWrap/>
            <w:vAlign w:val="center"/>
          </w:tcPr>
          <w:p w14:paraId="45822E13">
            <w:pPr>
              <w:widowControl/>
              <w:jc w:val="center"/>
              <w:textAlignment w:val="center"/>
              <w:rPr>
                <w:rFonts w:ascii="宋体" w:hAnsi="宋体" w:cs="宋体"/>
                <w:szCs w:val="21"/>
              </w:rPr>
            </w:pPr>
            <w:r>
              <w:rPr>
                <w:rFonts w:hint="eastAsia" w:ascii="宋体" w:hAnsi="宋体" w:cs="宋体"/>
                <w:kern w:val="0"/>
                <w:szCs w:val="21"/>
              </w:rPr>
              <w:t>深圳市盐田区东海第一幼儿园</w:t>
            </w:r>
          </w:p>
        </w:tc>
        <w:tc>
          <w:tcPr>
            <w:tcW w:w="2548" w:type="dxa"/>
            <w:vMerge w:val="continue"/>
            <w:shd w:val="clear" w:color="auto" w:fill="auto"/>
            <w:noWrap/>
            <w:vAlign w:val="center"/>
          </w:tcPr>
          <w:p w14:paraId="44F3DD19">
            <w:pPr>
              <w:widowControl/>
              <w:jc w:val="center"/>
              <w:textAlignment w:val="center"/>
              <w:rPr>
                <w:rFonts w:ascii="宋体" w:hAnsi="宋体" w:cs="宋体"/>
                <w:kern w:val="0"/>
                <w:sz w:val="22"/>
              </w:rPr>
            </w:pPr>
          </w:p>
        </w:tc>
      </w:tr>
      <w:tr w14:paraId="4AF7C5F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2C7B7F68">
            <w:pPr>
              <w:widowControl/>
              <w:jc w:val="center"/>
              <w:textAlignment w:val="center"/>
              <w:rPr>
                <w:rFonts w:ascii="宋体" w:hAnsi="宋体" w:cs="宋体"/>
                <w:szCs w:val="21"/>
              </w:rPr>
            </w:pPr>
            <w:r>
              <w:rPr>
                <w:rFonts w:hint="eastAsia" w:ascii="宋体" w:hAnsi="宋体" w:cs="宋体"/>
                <w:kern w:val="0"/>
                <w:szCs w:val="21"/>
              </w:rPr>
              <w:t>12</w:t>
            </w:r>
          </w:p>
        </w:tc>
        <w:tc>
          <w:tcPr>
            <w:tcW w:w="4493" w:type="dxa"/>
            <w:shd w:val="clear" w:color="auto" w:fill="auto"/>
            <w:noWrap/>
            <w:vAlign w:val="center"/>
          </w:tcPr>
          <w:p w14:paraId="5EC648CB">
            <w:pPr>
              <w:widowControl/>
              <w:jc w:val="center"/>
              <w:textAlignment w:val="center"/>
              <w:rPr>
                <w:rFonts w:ascii="宋体" w:hAnsi="宋体" w:cs="宋体"/>
                <w:szCs w:val="21"/>
              </w:rPr>
            </w:pPr>
            <w:r>
              <w:rPr>
                <w:rFonts w:hint="eastAsia" w:ascii="宋体" w:hAnsi="宋体" w:cs="宋体"/>
                <w:kern w:val="0"/>
                <w:szCs w:val="21"/>
              </w:rPr>
              <w:t>深圳市盐田区盐田幼儿园</w:t>
            </w:r>
          </w:p>
        </w:tc>
        <w:tc>
          <w:tcPr>
            <w:tcW w:w="2548" w:type="dxa"/>
            <w:vMerge w:val="continue"/>
            <w:shd w:val="clear" w:color="auto" w:fill="auto"/>
            <w:noWrap/>
            <w:vAlign w:val="center"/>
          </w:tcPr>
          <w:p w14:paraId="22547E5A">
            <w:pPr>
              <w:widowControl/>
              <w:jc w:val="center"/>
              <w:textAlignment w:val="center"/>
              <w:rPr>
                <w:rFonts w:ascii="宋体" w:hAnsi="宋体" w:cs="宋体"/>
                <w:kern w:val="0"/>
                <w:sz w:val="22"/>
              </w:rPr>
            </w:pPr>
          </w:p>
        </w:tc>
      </w:tr>
      <w:tr w14:paraId="37EE8F2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2EA7089C">
            <w:pPr>
              <w:widowControl/>
              <w:jc w:val="center"/>
              <w:textAlignment w:val="center"/>
              <w:rPr>
                <w:rFonts w:ascii="宋体" w:hAnsi="宋体" w:cs="宋体"/>
                <w:szCs w:val="21"/>
              </w:rPr>
            </w:pPr>
            <w:r>
              <w:rPr>
                <w:rFonts w:hint="eastAsia" w:ascii="宋体" w:hAnsi="宋体" w:cs="宋体"/>
                <w:kern w:val="0"/>
                <w:szCs w:val="21"/>
              </w:rPr>
              <w:t>13</w:t>
            </w:r>
          </w:p>
        </w:tc>
        <w:tc>
          <w:tcPr>
            <w:tcW w:w="4493" w:type="dxa"/>
            <w:shd w:val="clear" w:color="auto" w:fill="auto"/>
            <w:noWrap/>
            <w:vAlign w:val="center"/>
          </w:tcPr>
          <w:p w14:paraId="04CDEBBE">
            <w:pPr>
              <w:widowControl/>
              <w:jc w:val="center"/>
              <w:textAlignment w:val="center"/>
              <w:rPr>
                <w:rFonts w:ascii="宋体" w:hAnsi="宋体" w:cs="宋体"/>
                <w:szCs w:val="21"/>
              </w:rPr>
            </w:pPr>
            <w:r>
              <w:rPr>
                <w:rFonts w:hint="eastAsia" w:ascii="宋体" w:hAnsi="宋体" w:cs="宋体"/>
                <w:kern w:val="0"/>
                <w:szCs w:val="21"/>
              </w:rPr>
              <w:t>深圳市盐田区梅沙幼儿园</w:t>
            </w:r>
          </w:p>
        </w:tc>
        <w:tc>
          <w:tcPr>
            <w:tcW w:w="2548" w:type="dxa"/>
            <w:vMerge w:val="continue"/>
            <w:shd w:val="clear" w:color="auto" w:fill="auto"/>
            <w:noWrap/>
            <w:vAlign w:val="center"/>
          </w:tcPr>
          <w:p w14:paraId="62F61C4B">
            <w:pPr>
              <w:widowControl/>
              <w:jc w:val="center"/>
              <w:textAlignment w:val="center"/>
              <w:rPr>
                <w:rFonts w:ascii="宋体" w:hAnsi="宋体" w:cs="宋体"/>
                <w:kern w:val="0"/>
                <w:sz w:val="22"/>
              </w:rPr>
            </w:pPr>
          </w:p>
        </w:tc>
      </w:tr>
      <w:tr w14:paraId="1C9CA3A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6D86FB29">
            <w:pPr>
              <w:widowControl/>
              <w:jc w:val="center"/>
              <w:textAlignment w:val="center"/>
              <w:rPr>
                <w:rFonts w:ascii="宋体" w:hAnsi="宋体" w:cs="宋体"/>
                <w:szCs w:val="21"/>
              </w:rPr>
            </w:pPr>
            <w:r>
              <w:rPr>
                <w:rFonts w:hint="eastAsia" w:ascii="宋体" w:hAnsi="宋体" w:cs="宋体"/>
                <w:kern w:val="0"/>
                <w:szCs w:val="21"/>
              </w:rPr>
              <w:t>14</w:t>
            </w:r>
          </w:p>
        </w:tc>
        <w:tc>
          <w:tcPr>
            <w:tcW w:w="4493" w:type="dxa"/>
            <w:shd w:val="clear" w:color="auto" w:fill="auto"/>
            <w:noWrap/>
            <w:vAlign w:val="center"/>
          </w:tcPr>
          <w:p w14:paraId="322998A5">
            <w:pPr>
              <w:widowControl/>
              <w:jc w:val="center"/>
              <w:textAlignment w:val="center"/>
              <w:rPr>
                <w:rFonts w:ascii="宋体" w:hAnsi="宋体" w:cs="宋体"/>
                <w:szCs w:val="21"/>
              </w:rPr>
            </w:pPr>
            <w:r>
              <w:rPr>
                <w:rFonts w:hint="eastAsia" w:ascii="宋体" w:hAnsi="宋体" w:cs="宋体"/>
                <w:kern w:val="0"/>
                <w:szCs w:val="21"/>
              </w:rPr>
              <w:t>深圳市盐田区梅沙幼儿园星星海分园</w:t>
            </w:r>
          </w:p>
        </w:tc>
        <w:tc>
          <w:tcPr>
            <w:tcW w:w="2548" w:type="dxa"/>
            <w:vMerge w:val="continue"/>
            <w:shd w:val="clear" w:color="auto" w:fill="auto"/>
            <w:noWrap/>
            <w:vAlign w:val="center"/>
          </w:tcPr>
          <w:p w14:paraId="4F0B2EF1">
            <w:pPr>
              <w:widowControl/>
              <w:jc w:val="center"/>
              <w:textAlignment w:val="center"/>
              <w:rPr>
                <w:rFonts w:ascii="宋体" w:hAnsi="宋体" w:cs="宋体"/>
                <w:kern w:val="0"/>
                <w:sz w:val="22"/>
              </w:rPr>
            </w:pPr>
          </w:p>
        </w:tc>
      </w:tr>
      <w:tr w14:paraId="5E4AF74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057BB9A3">
            <w:pPr>
              <w:widowControl/>
              <w:jc w:val="center"/>
              <w:textAlignment w:val="center"/>
              <w:rPr>
                <w:rFonts w:ascii="宋体" w:hAnsi="宋体" w:cs="宋体"/>
                <w:szCs w:val="21"/>
              </w:rPr>
            </w:pPr>
            <w:r>
              <w:rPr>
                <w:rFonts w:hint="eastAsia" w:ascii="宋体" w:hAnsi="宋体" w:cs="宋体"/>
                <w:kern w:val="0"/>
                <w:szCs w:val="21"/>
              </w:rPr>
              <w:t>15</w:t>
            </w:r>
          </w:p>
        </w:tc>
        <w:tc>
          <w:tcPr>
            <w:tcW w:w="4493" w:type="dxa"/>
            <w:shd w:val="clear" w:color="auto" w:fill="auto"/>
            <w:noWrap/>
            <w:vAlign w:val="center"/>
          </w:tcPr>
          <w:p w14:paraId="73D5C8DB">
            <w:pPr>
              <w:widowControl/>
              <w:jc w:val="center"/>
              <w:textAlignment w:val="center"/>
              <w:rPr>
                <w:rFonts w:ascii="宋体" w:hAnsi="宋体" w:cs="宋体"/>
                <w:szCs w:val="21"/>
              </w:rPr>
            </w:pPr>
            <w:r>
              <w:rPr>
                <w:rFonts w:hint="eastAsia" w:ascii="宋体" w:hAnsi="宋体" w:cs="宋体"/>
                <w:kern w:val="0"/>
                <w:szCs w:val="21"/>
              </w:rPr>
              <w:t>深圳市盐田区盐港幼儿园</w:t>
            </w:r>
          </w:p>
        </w:tc>
        <w:tc>
          <w:tcPr>
            <w:tcW w:w="2548" w:type="dxa"/>
            <w:vMerge w:val="continue"/>
            <w:shd w:val="clear" w:color="auto" w:fill="auto"/>
            <w:noWrap/>
            <w:vAlign w:val="center"/>
          </w:tcPr>
          <w:p w14:paraId="25AFB0E3">
            <w:pPr>
              <w:widowControl/>
              <w:jc w:val="center"/>
              <w:textAlignment w:val="center"/>
              <w:rPr>
                <w:rFonts w:ascii="宋体" w:hAnsi="宋体" w:cs="宋体"/>
                <w:kern w:val="0"/>
                <w:sz w:val="22"/>
              </w:rPr>
            </w:pPr>
          </w:p>
        </w:tc>
      </w:tr>
      <w:tr w14:paraId="03CB1F8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10CF2A32">
            <w:pPr>
              <w:widowControl/>
              <w:jc w:val="center"/>
              <w:textAlignment w:val="center"/>
              <w:rPr>
                <w:rFonts w:ascii="宋体" w:hAnsi="宋体" w:cs="宋体"/>
                <w:szCs w:val="21"/>
              </w:rPr>
            </w:pPr>
            <w:r>
              <w:rPr>
                <w:rFonts w:hint="eastAsia" w:ascii="宋体" w:hAnsi="宋体" w:cs="宋体"/>
                <w:kern w:val="0"/>
                <w:szCs w:val="21"/>
              </w:rPr>
              <w:t>16</w:t>
            </w:r>
          </w:p>
        </w:tc>
        <w:tc>
          <w:tcPr>
            <w:tcW w:w="4493" w:type="dxa"/>
            <w:shd w:val="clear" w:color="auto" w:fill="auto"/>
            <w:noWrap/>
            <w:vAlign w:val="center"/>
          </w:tcPr>
          <w:p w14:paraId="18E91CE6">
            <w:pPr>
              <w:widowControl/>
              <w:jc w:val="center"/>
              <w:textAlignment w:val="center"/>
              <w:rPr>
                <w:rFonts w:ascii="宋体" w:hAnsi="宋体" w:cs="宋体"/>
                <w:szCs w:val="21"/>
              </w:rPr>
            </w:pPr>
            <w:r>
              <w:rPr>
                <w:rFonts w:hint="eastAsia" w:ascii="宋体" w:hAnsi="宋体" w:cs="宋体"/>
                <w:kern w:val="0"/>
                <w:szCs w:val="21"/>
              </w:rPr>
              <w:t>山海四季城二期配套幼儿园</w:t>
            </w:r>
            <w:r>
              <w:rPr>
                <w:rFonts w:hint="eastAsia" w:ascii="宋体" w:hAnsi="宋体" w:cs="宋体"/>
                <w:kern w:val="0"/>
                <w:sz w:val="22"/>
                <w:szCs w:val="22"/>
              </w:rPr>
              <w:t>（暂定名）</w:t>
            </w:r>
          </w:p>
        </w:tc>
        <w:tc>
          <w:tcPr>
            <w:tcW w:w="2548" w:type="dxa"/>
            <w:vMerge w:val="continue"/>
            <w:shd w:val="clear" w:color="auto" w:fill="auto"/>
            <w:noWrap/>
            <w:vAlign w:val="center"/>
          </w:tcPr>
          <w:p w14:paraId="58CD78B0">
            <w:pPr>
              <w:widowControl/>
              <w:jc w:val="center"/>
              <w:textAlignment w:val="center"/>
              <w:rPr>
                <w:rFonts w:ascii="宋体" w:hAnsi="宋体" w:cs="宋体"/>
                <w:kern w:val="0"/>
                <w:sz w:val="22"/>
              </w:rPr>
            </w:pPr>
          </w:p>
        </w:tc>
      </w:tr>
      <w:tr w14:paraId="3098C3B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551C125B">
            <w:pPr>
              <w:widowControl/>
              <w:jc w:val="center"/>
              <w:textAlignment w:val="center"/>
              <w:rPr>
                <w:rFonts w:ascii="宋体" w:hAnsi="宋体" w:cs="宋体"/>
                <w:szCs w:val="21"/>
              </w:rPr>
            </w:pPr>
            <w:r>
              <w:rPr>
                <w:rFonts w:hint="eastAsia" w:ascii="宋体" w:hAnsi="宋体" w:cs="宋体"/>
                <w:kern w:val="0"/>
                <w:szCs w:val="21"/>
              </w:rPr>
              <w:t>17</w:t>
            </w:r>
          </w:p>
        </w:tc>
        <w:tc>
          <w:tcPr>
            <w:tcW w:w="4493" w:type="dxa"/>
            <w:shd w:val="clear" w:color="auto" w:fill="auto"/>
            <w:noWrap/>
            <w:vAlign w:val="center"/>
          </w:tcPr>
          <w:p w14:paraId="0B179EF4">
            <w:pPr>
              <w:widowControl/>
              <w:jc w:val="center"/>
              <w:textAlignment w:val="center"/>
              <w:rPr>
                <w:rFonts w:ascii="宋体" w:hAnsi="宋体" w:cs="宋体"/>
                <w:szCs w:val="21"/>
              </w:rPr>
            </w:pPr>
            <w:r>
              <w:rPr>
                <w:rFonts w:hint="eastAsia" w:ascii="宋体" w:hAnsi="宋体" w:cs="宋体"/>
                <w:kern w:val="0"/>
                <w:szCs w:val="21"/>
              </w:rPr>
              <w:t>鹏瑞尚府配套幼儿园</w:t>
            </w:r>
            <w:r>
              <w:rPr>
                <w:rFonts w:hint="eastAsia" w:ascii="宋体" w:hAnsi="宋体" w:cs="宋体"/>
                <w:kern w:val="0"/>
                <w:sz w:val="22"/>
                <w:szCs w:val="22"/>
              </w:rPr>
              <w:t>（暂定名）</w:t>
            </w:r>
          </w:p>
        </w:tc>
        <w:tc>
          <w:tcPr>
            <w:tcW w:w="2548" w:type="dxa"/>
            <w:vMerge w:val="continue"/>
            <w:shd w:val="clear" w:color="auto" w:fill="auto"/>
            <w:noWrap/>
            <w:vAlign w:val="center"/>
          </w:tcPr>
          <w:p w14:paraId="02175630">
            <w:pPr>
              <w:widowControl/>
              <w:jc w:val="center"/>
              <w:textAlignment w:val="center"/>
              <w:rPr>
                <w:rFonts w:ascii="宋体" w:hAnsi="宋体" w:cs="宋体"/>
                <w:kern w:val="0"/>
                <w:sz w:val="22"/>
              </w:rPr>
            </w:pPr>
          </w:p>
        </w:tc>
      </w:tr>
      <w:tr w14:paraId="6186432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072A92AF">
            <w:pPr>
              <w:widowControl/>
              <w:jc w:val="center"/>
              <w:textAlignment w:val="center"/>
              <w:rPr>
                <w:rFonts w:ascii="宋体" w:hAnsi="宋体" w:cs="宋体"/>
                <w:szCs w:val="21"/>
              </w:rPr>
            </w:pPr>
            <w:r>
              <w:rPr>
                <w:rFonts w:hint="eastAsia" w:ascii="宋体" w:hAnsi="宋体" w:cs="宋体"/>
                <w:kern w:val="0"/>
                <w:szCs w:val="21"/>
              </w:rPr>
              <w:t>18</w:t>
            </w:r>
          </w:p>
        </w:tc>
        <w:tc>
          <w:tcPr>
            <w:tcW w:w="4493" w:type="dxa"/>
            <w:shd w:val="clear" w:color="auto" w:fill="auto"/>
            <w:noWrap/>
            <w:vAlign w:val="center"/>
          </w:tcPr>
          <w:p w14:paraId="2A071ECC">
            <w:pPr>
              <w:widowControl/>
              <w:jc w:val="center"/>
              <w:textAlignment w:val="center"/>
              <w:rPr>
                <w:rFonts w:ascii="宋体" w:hAnsi="宋体" w:cs="宋体"/>
                <w:szCs w:val="21"/>
              </w:rPr>
            </w:pPr>
            <w:r>
              <w:rPr>
                <w:rFonts w:hint="eastAsia" w:ascii="宋体" w:hAnsi="宋体" w:cs="宋体"/>
                <w:kern w:val="0"/>
                <w:szCs w:val="21"/>
              </w:rPr>
              <w:t>港嵘拔萃园配套幼儿园</w:t>
            </w:r>
            <w:r>
              <w:rPr>
                <w:rFonts w:hint="eastAsia" w:ascii="宋体" w:hAnsi="宋体" w:cs="宋体"/>
                <w:kern w:val="0"/>
                <w:sz w:val="22"/>
                <w:szCs w:val="22"/>
              </w:rPr>
              <w:t>（暂定名）</w:t>
            </w:r>
          </w:p>
        </w:tc>
        <w:tc>
          <w:tcPr>
            <w:tcW w:w="2548" w:type="dxa"/>
            <w:vMerge w:val="continue"/>
            <w:shd w:val="clear" w:color="auto" w:fill="auto"/>
            <w:noWrap/>
            <w:vAlign w:val="center"/>
          </w:tcPr>
          <w:p w14:paraId="2FB3F81F">
            <w:pPr>
              <w:widowControl/>
              <w:jc w:val="center"/>
              <w:textAlignment w:val="center"/>
              <w:rPr>
                <w:rFonts w:ascii="宋体" w:hAnsi="宋体" w:cs="宋体"/>
                <w:kern w:val="0"/>
                <w:sz w:val="22"/>
              </w:rPr>
            </w:pPr>
          </w:p>
        </w:tc>
      </w:tr>
      <w:tr w14:paraId="384440B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00" w:type="dxa"/>
            <w:shd w:val="clear" w:color="auto" w:fill="auto"/>
            <w:noWrap/>
            <w:vAlign w:val="center"/>
          </w:tcPr>
          <w:p w14:paraId="08E4E4C8">
            <w:pPr>
              <w:widowControl/>
              <w:jc w:val="center"/>
              <w:textAlignment w:val="center"/>
              <w:rPr>
                <w:rFonts w:ascii="宋体" w:hAnsi="宋体" w:cs="宋体"/>
                <w:szCs w:val="21"/>
              </w:rPr>
            </w:pPr>
            <w:r>
              <w:rPr>
                <w:rFonts w:hint="eastAsia" w:ascii="宋体" w:hAnsi="宋体" w:cs="宋体"/>
                <w:kern w:val="0"/>
                <w:szCs w:val="21"/>
              </w:rPr>
              <w:t>19</w:t>
            </w:r>
          </w:p>
        </w:tc>
        <w:tc>
          <w:tcPr>
            <w:tcW w:w="4493" w:type="dxa"/>
            <w:shd w:val="clear" w:color="auto" w:fill="auto"/>
            <w:noWrap/>
            <w:vAlign w:val="center"/>
          </w:tcPr>
          <w:p w14:paraId="61E14290">
            <w:pPr>
              <w:widowControl/>
              <w:jc w:val="center"/>
              <w:textAlignment w:val="center"/>
              <w:rPr>
                <w:rFonts w:ascii="宋体" w:hAnsi="宋体" w:cs="宋体"/>
                <w:szCs w:val="21"/>
              </w:rPr>
            </w:pPr>
            <w:r>
              <w:rPr>
                <w:rFonts w:hint="eastAsia" w:ascii="宋体" w:hAnsi="宋体" w:cs="宋体"/>
                <w:kern w:val="0"/>
                <w:szCs w:val="21"/>
              </w:rPr>
              <w:t>御景佳园四期配套幼儿园</w:t>
            </w:r>
            <w:r>
              <w:rPr>
                <w:rFonts w:hint="eastAsia" w:ascii="宋体" w:hAnsi="宋体" w:cs="宋体"/>
                <w:kern w:val="0"/>
                <w:sz w:val="22"/>
                <w:szCs w:val="22"/>
              </w:rPr>
              <w:t>（暂定名）</w:t>
            </w:r>
          </w:p>
        </w:tc>
        <w:tc>
          <w:tcPr>
            <w:tcW w:w="2548" w:type="dxa"/>
            <w:vMerge w:val="continue"/>
            <w:shd w:val="clear" w:color="auto" w:fill="auto"/>
            <w:noWrap/>
            <w:vAlign w:val="center"/>
          </w:tcPr>
          <w:p w14:paraId="0D74BEFE">
            <w:pPr>
              <w:widowControl/>
              <w:jc w:val="center"/>
              <w:textAlignment w:val="center"/>
              <w:rPr>
                <w:rFonts w:ascii="宋体" w:hAnsi="宋体" w:cs="宋体"/>
                <w:kern w:val="0"/>
                <w:sz w:val="22"/>
              </w:rPr>
            </w:pPr>
          </w:p>
        </w:tc>
      </w:tr>
    </w:tbl>
    <w:p w14:paraId="2B5DA55A">
      <w:pPr>
        <w:spacing w:line="360" w:lineRule="auto"/>
        <w:ind w:firstLine="420" w:firstLineChars="200"/>
      </w:pPr>
    </w:p>
    <w:p w14:paraId="737443B5">
      <w:pPr>
        <w:pStyle w:val="6"/>
        <w:spacing w:before="120" w:beforeLines="50" w:after="120" w:afterLines="50"/>
        <w:rPr>
          <w:szCs w:val="24"/>
        </w:rPr>
      </w:pPr>
      <w:r>
        <w:rPr>
          <w:rFonts w:hint="eastAsia"/>
          <w:szCs w:val="24"/>
        </w:rPr>
        <w:t>三、</w:t>
      </w:r>
      <w:bookmarkStart w:id="36" w:name="_Hlk72073432"/>
      <w:r>
        <w:rPr>
          <w:rFonts w:hint="eastAsia"/>
          <w:szCs w:val="24"/>
        </w:rPr>
        <w:t>服务需求明细</w:t>
      </w:r>
      <w:bookmarkEnd w:id="36"/>
    </w:p>
    <w:tbl>
      <w:tblPr>
        <w:tblStyle w:val="42"/>
        <w:tblpPr w:leftFromText="180" w:rightFromText="180" w:vertAnchor="text" w:horzAnchor="margin" w:tblpY="173"/>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99"/>
        <w:gridCol w:w="2711"/>
        <w:gridCol w:w="709"/>
        <w:gridCol w:w="709"/>
        <w:gridCol w:w="1135"/>
        <w:gridCol w:w="993"/>
      </w:tblGrid>
      <w:tr w14:paraId="416C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4EC4E5E6">
            <w:pPr>
              <w:jc w:val="center"/>
              <w:rPr>
                <w:bCs/>
                <w:szCs w:val="21"/>
              </w:rPr>
            </w:pPr>
            <w:r>
              <w:rPr>
                <w:rFonts w:hint="eastAsia"/>
                <w:bCs/>
                <w:szCs w:val="21"/>
              </w:rPr>
              <w:t>序号</w:t>
            </w:r>
          </w:p>
        </w:tc>
        <w:tc>
          <w:tcPr>
            <w:tcW w:w="1399" w:type="dxa"/>
            <w:vAlign w:val="center"/>
          </w:tcPr>
          <w:p w14:paraId="0DF1E17C">
            <w:pPr>
              <w:jc w:val="center"/>
              <w:rPr>
                <w:bCs/>
                <w:szCs w:val="21"/>
              </w:rPr>
            </w:pPr>
            <w:r>
              <w:rPr>
                <w:rFonts w:hint="eastAsia"/>
                <w:szCs w:val="21"/>
              </w:rPr>
              <w:t>采购计划编号</w:t>
            </w:r>
          </w:p>
        </w:tc>
        <w:tc>
          <w:tcPr>
            <w:tcW w:w="2711" w:type="dxa"/>
            <w:vAlign w:val="center"/>
          </w:tcPr>
          <w:p w14:paraId="07AB6929">
            <w:pPr>
              <w:jc w:val="center"/>
              <w:rPr>
                <w:bCs/>
                <w:szCs w:val="21"/>
              </w:rPr>
            </w:pPr>
            <w:r>
              <w:rPr>
                <w:rFonts w:hint="eastAsia"/>
                <w:bCs/>
                <w:szCs w:val="21"/>
              </w:rPr>
              <w:t>服务需求名称（标的名称）</w:t>
            </w:r>
          </w:p>
        </w:tc>
        <w:tc>
          <w:tcPr>
            <w:tcW w:w="709" w:type="dxa"/>
            <w:vAlign w:val="center"/>
          </w:tcPr>
          <w:p w14:paraId="6A787396">
            <w:pPr>
              <w:jc w:val="center"/>
              <w:rPr>
                <w:bCs/>
                <w:szCs w:val="21"/>
              </w:rPr>
            </w:pPr>
            <w:r>
              <w:rPr>
                <w:rFonts w:hint="eastAsia"/>
                <w:bCs/>
                <w:szCs w:val="21"/>
              </w:rPr>
              <w:t>数量</w:t>
            </w:r>
          </w:p>
        </w:tc>
        <w:tc>
          <w:tcPr>
            <w:tcW w:w="709" w:type="dxa"/>
            <w:vAlign w:val="center"/>
          </w:tcPr>
          <w:p w14:paraId="61E43FFF">
            <w:pPr>
              <w:jc w:val="center"/>
              <w:rPr>
                <w:bCs/>
                <w:szCs w:val="21"/>
              </w:rPr>
            </w:pPr>
            <w:r>
              <w:rPr>
                <w:rFonts w:hint="eastAsia"/>
                <w:bCs/>
                <w:szCs w:val="21"/>
              </w:rPr>
              <w:t>单位</w:t>
            </w:r>
          </w:p>
        </w:tc>
        <w:tc>
          <w:tcPr>
            <w:tcW w:w="1135" w:type="dxa"/>
          </w:tcPr>
          <w:p w14:paraId="2BF397B2">
            <w:pPr>
              <w:rPr>
                <w:rFonts w:hint="eastAsia"/>
                <w:b/>
                <w:color w:val="FF0000"/>
              </w:rPr>
            </w:pPr>
            <w:r>
              <w:rPr>
                <w:rFonts w:hint="eastAsia"/>
                <w:b/>
                <w:color w:val="FF0000"/>
              </w:rPr>
              <w:t>是否专门面向中小企业</w:t>
            </w:r>
          </w:p>
        </w:tc>
        <w:tc>
          <w:tcPr>
            <w:tcW w:w="993" w:type="dxa"/>
          </w:tcPr>
          <w:p w14:paraId="3527C945">
            <w:pPr>
              <w:rPr>
                <w:b/>
                <w:color w:val="FF0000"/>
              </w:rPr>
            </w:pPr>
            <w:r>
              <w:rPr>
                <w:rFonts w:hint="eastAsia"/>
                <w:b/>
                <w:color w:val="FF0000"/>
              </w:rPr>
              <w:t xml:space="preserve">标的所属行业 </w:t>
            </w:r>
          </w:p>
        </w:tc>
      </w:tr>
      <w:tr w14:paraId="7A18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060354DB">
            <w:pPr>
              <w:jc w:val="center"/>
              <w:rPr>
                <w:bCs/>
                <w:szCs w:val="21"/>
              </w:rPr>
            </w:pPr>
            <w:r>
              <w:rPr>
                <w:rFonts w:hint="eastAsia"/>
                <w:bCs/>
                <w:szCs w:val="21"/>
              </w:rPr>
              <w:t>1</w:t>
            </w:r>
          </w:p>
        </w:tc>
        <w:tc>
          <w:tcPr>
            <w:tcW w:w="1399" w:type="dxa"/>
            <w:vAlign w:val="center"/>
          </w:tcPr>
          <w:p w14:paraId="6E538A80">
            <w:pPr>
              <w:jc w:val="center"/>
              <w:rPr>
                <w:rFonts w:hint="eastAsia" w:eastAsia="宋体"/>
                <w:bCs/>
                <w:szCs w:val="21"/>
                <w:lang w:eastAsia="zh-CN"/>
              </w:rPr>
            </w:pPr>
            <w:r>
              <w:rPr>
                <w:rFonts w:hint="eastAsia"/>
                <w:bCs/>
                <w:szCs w:val="21"/>
                <w:lang w:val="en-US" w:eastAsia="zh-CN"/>
              </w:rPr>
              <w:t>/</w:t>
            </w:r>
          </w:p>
        </w:tc>
        <w:tc>
          <w:tcPr>
            <w:tcW w:w="2711" w:type="dxa"/>
            <w:vAlign w:val="center"/>
          </w:tcPr>
          <w:p w14:paraId="2042EC34">
            <w:pPr>
              <w:jc w:val="center"/>
              <w:rPr>
                <w:bCs/>
                <w:szCs w:val="21"/>
              </w:rPr>
            </w:pPr>
            <w:r>
              <w:rPr>
                <w:rFonts w:hint="eastAsia"/>
                <w:bCs/>
                <w:szCs w:val="21"/>
              </w:rPr>
              <w:t>大宗食材补充采购</w:t>
            </w:r>
          </w:p>
        </w:tc>
        <w:tc>
          <w:tcPr>
            <w:tcW w:w="709" w:type="dxa"/>
            <w:vAlign w:val="center"/>
          </w:tcPr>
          <w:p w14:paraId="19910268">
            <w:pPr>
              <w:jc w:val="center"/>
              <w:rPr>
                <w:rFonts w:hint="eastAsia" w:eastAsia="宋体"/>
                <w:bCs/>
                <w:szCs w:val="21"/>
                <w:lang w:eastAsia="zh-CN"/>
              </w:rPr>
            </w:pPr>
            <w:r>
              <w:rPr>
                <w:rFonts w:hint="eastAsia"/>
                <w:lang w:val="en-US" w:eastAsia="zh-CN"/>
              </w:rPr>
              <w:t>1</w:t>
            </w:r>
          </w:p>
        </w:tc>
        <w:tc>
          <w:tcPr>
            <w:tcW w:w="709" w:type="dxa"/>
            <w:vAlign w:val="center"/>
          </w:tcPr>
          <w:p w14:paraId="690D808B">
            <w:pPr>
              <w:jc w:val="center"/>
              <w:rPr>
                <w:rFonts w:hint="default" w:eastAsia="宋体"/>
                <w:bCs/>
                <w:szCs w:val="21"/>
                <w:lang w:val="en-US" w:eastAsia="zh-CN"/>
              </w:rPr>
            </w:pPr>
            <w:r>
              <w:rPr>
                <w:rFonts w:hint="eastAsia"/>
                <w:bCs/>
                <w:szCs w:val="21"/>
                <w:lang w:val="en-US" w:eastAsia="zh-CN"/>
              </w:rPr>
              <w:t>项</w:t>
            </w:r>
          </w:p>
        </w:tc>
        <w:tc>
          <w:tcPr>
            <w:tcW w:w="1135" w:type="dxa"/>
          </w:tcPr>
          <w:p w14:paraId="6765DF0B">
            <w:pPr>
              <w:jc w:val="center"/>
              <w:rPr>
                <w:rFonts w:hint="eastAsia" w:eastAsia="宋体"/>
                <w:bCs/>
                <w:szCs w:val="21"/>
                <w:lang w:val="en-US" w:eastAsia="zh-CN"/>
              </w:rPr>
            </w:pPr>
            <w:r>
              <w:rPr>
                <w:rFonts w:hint="eastAsia"/>
                <w:bCs/>
                <w:szCs w:val="21"/>
                <w:lang w:val="en-US" w:eastAsia="zh-CN"/>
              </w:rPr>
              <w:t>否</w:t>
            </w:r>
          </w:p>
        </w:tc>
        <w:tc>
          <w:tcPr>
            <w:tcW w:w="993" w:type="dxa"/>
          </w:tcPr>
          <w:p w14:paraId="3AA18B54">
            <w:pPr>
              <w:jc w:val="center"/>
              <w:rPr>
                <w:bCs/>
                <w:szCs w:val="21"/>
              </w:rPr>
            </w:pPr>
            <w:r>
              <w:rPr>
                <w:rFonts w:hint="eastAsia"/>
                <w:bCs/>
                <w:szCs w:val="21"/>
                <w:lang w:val="en-US" w:eastAsia="zh-CN"/>
              </w:rPr>
              <w:t>批发</w:t>
            </w:r>
            <w:r>
              <w:rPr>
                <w:rFonts w:hint="eastAsia"/>
                <w:bCs/>
                <w:szCs w:val="21"/>
              </w:rPr>
              <w:t>业</w:t>
            </w:r>
          </w:p>
        </w:tc>
      </w:tr>
    </w:tbl>
    <w:p w14:paraId="64586DCF">
      <w:pPr>
        <w:rPr>
          <w:rFonts w:ascii="宋体" w:hAnsi="宋体"/>
          <w:b/>
          <w:color w:val="FF0000"/>
          <w:szCs w:val="21"/>
        </w:rPr>
      </w:pPr>
    </w:p>
    <w:p w14:paraId="462E06C9">
      <w:pPr>
        <w:pStyle w:val="6"/>
        <w:spacing w:before="120" w:beforeLines="50" w:after="120" w:afterLines="50"/>
        <w:rPr>
          <w:szCs w:val="24"/>
        </w:rPr>
      </w:pPr>
      <w:r>
        <w:rPr>
          <w:rFonts w:hint="eastAsia"/>
          <w:szCs w:val="24"/>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3AD4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B7A4835">
            <w:pPr>
              <w:adjustRightInd w:val="0"/>
              <w:snapToGrid w:val="0"/>
              <w:spacing w:line="360" w:lineRule="auto"/>
              <w:jc w:val="center"/>
              <w:rPr>
                <w:rFonts w:ascii="宋体" w:hAnsi="宋体"/>
                <w:b/>
                <w:kern w:val="0"/>
                <w:szCs w:val="21"/>
              </w:rPr>
            </w:pPr>
            <w:r>
              <w:rPr>
                <w:rFonts w:hint="eastAsia" w:ascii="宋体" w:hAnsi="宋体"/>
                <w:b/>
                <w:kern w:val="0"/>
                <w:szCs w:val="21"/>
              </w:rPr>
              <w:t>序号</w:t>
            </w:r>
          </w:p>
        </w:tc>
        <w:tc>
          <w:tcPr>
            <w:tcW w:w="7795" w:type="dxa"/>
          </w:tcPr>
          <w:p w14:paraId="2AC06FCC">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14:paraId="6C3A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3CD44B4F">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vAlign w:val="center"/>
          </w:tcPr>
          <w:p w14:paraId="426C94E2">
            <w:pPr>
              <w:adjustRightInd w:val="0"/>
              <w:snapToGrid w:val="0"/>
              <w:spacing w:line="240" w:lineRule="atLeast"/>
              <w:rPr>
                <w:rFonts w:ascii="宋体" w:hAnsi="宋体"/>
                <w:color w:val="FF0000"/>
                <w:szCs w:val="21"/>
              </w:rPr>
            </w:pPr>
            <w:r>
              <w:rPr>
                <w:rFonts w:hint="eastAsia" w:ascii="宋体" w:hAnsi="宋体" w:cs="宋体"/>
                <w:color w:val="FF0000"/>
              </w:rPr>
              <w:t>中标人</w:t>
            </w:r>
            <w:r>
              <w:rPr>
                <w:rFonts w:hint="eastAsia" w:ascii="宋体" w:hAnsi="宋体"/>
                <w:color w:val="FF0000"/>
                <w:szCs w:val="21"/>
              </w:rPr>
              <w:t>配送食材可通过“深圳市食品安全追溯管理系统”</w:t>
            </w:r>
            <w:r>
              <w:rPr>
                <w:rFonts w:ascii="宋体" w:hAnsi="宋体"/>
                <w:color w:val="FF0000"/>
                <w:szCs w:val="21"/>
              </w:rPr>
              <w:t>https://jg.amr.sz.gov.cn/trace/entpc/</w:t>
            </w:r>
            <w:r>
              <w:rPr>
                <w:rFonts w:hint="eastAsia" w:ascii="宋体" w:hAnsi="宋体"/>
                <w:color w:val="FF0000"/>
                <w:szCs w:val="21"/>
              </w:rPr>
              <w:t>全面、及时、准确上传追溯信息，确保相关品名、规格、批次等数据真实完整，确保配送食材来源可溯、质量可控；</w:t>
            </w:r>
          </w:p>
        </w:tc>
      </w:tr>
      <w:tr w14:paraId="792F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51D7D0EE">
            <w:pPr>
              <w:adjustRightInd w:val="0"/>
              <w:snapToGrid w:val="0"/>
              <w:spacing w:line="360" w:lineRule="auto"/>
              <w:rPr>
                <w:rFonts w:ascii="宋体" w:hAnsi="宋体"/>
                <w:kern w:val="0"/>
                <w:szCs w:val="21"/>
              </w:rPr>
            </w:pPr>
            <w:r>
              <w:rPr>
                <w:rFonts w:hint="eastAsia" w:ascii="宋体" w:hAnsi="宋体"/>
                <w:kern w:val="0"/>
                <w:szCs w:val="21"/>
              </w:rPr>
              <w:t>2</w:t>
            </w:r>
          </w:p>
        </w:tc>
        <w:tc>
          <w:tcPr>
            <w:tcW w:w="7795" w:type="dxa"/>
            <w:vAlign w:val="center"/>
          </w:tcPr>
          <w:p w14:paraId="61E79D99">
            <w:pPr>
              <w:adjustRightInd w:val="0"/>
              <w:snapToGrid w:val="0"/>
              <w:spacing w:line="240" w:lineRule="atLeast"/>
              <w:rPr>
                <w:rFonts w:ascii="宋体" w:hAnsi="宋体"/>
                <w:color w:val="FF0000"/>
                <w:szCs w:val="21"/>
              </w:rPr>
            </w:pPr>
            <w:r>
              <w:rPr>
                <w:rFonts w:hint="eastAsia" w:ascii="宋体" w:hAnsi="宋体" w:cs="宋体"/>
                <w:color w:val="FF0000"/>
              </w:rPr>
              <w:t>中标人</w:t>
            </w:r>
            <w:r>
              <w:rPr>
                <w:rFonts w:hint="eastAsia" w:ascii="宋体" w:hAnsi="宋体"/>
                <w:color w:val="FF0000"/>
                <w:szCs w:val="21"/>
              </w:rPr>
              <w:t>具备信息化管理能力，可通过信息化平台处理</w:t>
            </w:r>
            <w:r>
              <w:rPr>
                <w:rFonts w:hint="eastAsia"/>
                <w:color w:val="FF0000"/>
              </w:rPr>
              <w:t>学校（幼儿园）</w:t>
            </w:r>
            <w:r>
              <w:rPr>
                <w:rFonts w:hint="eastAsia" w:ascii="宋体" w:hAnsi="宋体"/>
                <w:color w:val="FF0000"/>
                <w:szCs w:val="21"/>
              </w:rPr>
              <w:t>食材订单并按合同供货；</w:t>
            </w:r>
          </w:p>
        </w:tc>
      </w:tr>
      <w:tr w14:paraId="0FC0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12AE5504">
            <w:pPr>
              <w:adjustRightInd w:val="0"/>
              <w:snapToGrid w:val="0"/>
              <w:spacing w:line="360" w:lineRule="auto"/>
              <w:rPr>
                <w:rFonts w:ascii="宋体" w:hAnsi="宋体"/>
                <w:kern w:val="0"/>
                <w:szCs w:val="21"/>
              </w:rPr>
            </w:pPr>
            <w:r>
              <w:rPr>
                <w:rFonts w:hint="eastAsia" w:ascii="宋体" w:hAnsi="宋体"/>
                <w:kern w:val="0"/>
                <w:szCs w:val="21"/>
              </w:rPr>
              <w:t>3</w:t>
            </w:r>
          </w:p>
        </w:tc>
        <w:tc>
          <w:tcPr>
            <w:tcW w:w="7795" w:type="dxa"/>
            <w:vAlign w:val="center"/>
          </w:tcPr>
          <w:p w14:paraId="7FB0C743">
            <w:pPr>
              <w:adjustRightInd w:val="0"/>
              <w:snapToGrid w:val="0"/>
              <w:spacing w:line="240" w:lineRule="atLeast"/>
              <w:rPr>
                <w:rFonts w:ascii="宋体" w:hAnsi="宋体"/>
                <w:color w:val="FF0000"/>
                <w:szCs w:val="21"/>
              </w:rPr>
            </w:pPr>
            <w:r>
              <w:rPr>
                <w:rFonts w:hint="eastAsia" w:ascii="宋体" w:hAnsi="宋体" w:cs="宋体"/>
                <w:color w:val="FF0000"/>
              </w:rPr>
              <w:t>中标人</w:t>
            </w:r>
            <w:r>
              <w:rPr>
                <w:rFonts w:hint="eastAsia" w:ascii="宋体" w:hAnsi="宋体"/>
                <w:color w:val="FF0000"/>
                <w:szCs w:val="21"/>
              </w:rPr>
              <w:t>具备符合食品安全要求的仓储设备，确保食材安全储存；配送产品的车辆应为专用封闭式，车辆内部结构应平整、便于清洁，配送冷冻、冷藏食品的车辆应有温度控制设备,符合食品安全运输要求。</w:t>
            </w:r>
          </w:p>
        </w:tc>
      </w:tr>
      <w:tr w14:paraId="6749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19F81412">
            <w:pPr>
              <w:adjustRightInd w:val="0"/>
              <w:snapToGrid w:val="0"/>
              <w:spacing w:line="360" w:lineRule="auto"/>
              <w:rPr>
                <w:rFonts w:ascii="宋体" w:hAnsi="宋体"/>
                <w:kern w:val="0"/>
                <w:szCs w:val="21"/>
              </w:rPr>
            </w:pPr>
            <w:r>
              <w:rPr>
                <w:rFonts w:hint="eastAsia" w:ascii="宋体" w:hAnsi="宋体"/>
                <w:kern w:val="0"/>
                <w:szCs w:val="21"/>
              </w:rPr>
              <w:t>4</w:t>
            </w:r>
          </w:p>
        </w:tc>
        <w:tc>
          <w:tcPr>
            <w:tcW w:w="7795" w:type="dxa"/>
            <w:vAlign w:val="center"/>
          </w:tcPr>
          <w:p w14:paraId="4D57D7F2">
            <w:pPr>
              <w:adjustRightInd w:val="0"/>
              <w:snapToGrid w:val="0"/>
              <w:spacing w:line="240" w:lineRule="atLeast"/>
              <w:rPr>
                <w:rFonts w:ascii="宋体" w:hAnsi="宋体"/>
                <w:color w:val="FF0000"/>
                <w:szCs w:val="21"/>
              </w:rPr>
            </w:pPr>
            <w:r>
              <w:rPr>
                <w:rFonts w:hint="eastAsia" w:ascii="宋体" w:hAnsi="宋体" w:cs="宋体"/>
                <w:color w:val="FF0000"/>
              </w:rPr>
              <w:t>中标人</w:t>
            </w:r>
            <w:r>
              <w:rPr>
                <w:rFonts w:hint="eastAsia" w:ascii="宋体" w:hAnsi="宋体"/>
                <w:color w:val="FF0000"/>
                <w:szCs w:val="21"/>
              </w:rPr>
              <w:t>食材及其原料应符合食品安全国家标准、产品明示执行标准、标签明示指标及法律法规的要求</w:t>
            </w:r>
          </w:p>
        </w:tc>
      </w:tr>
      <w:tr w14:paraId="45F6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5B900DF0">
            <w:pPr>
              <w:adjustRightInd w:val="0"/>
              <w:snapToGrid w:val="0"/>
              <w:spacing w:line="360" w:lineRule="auto"/>
              <w:rPr>
                <w:rFonts w:ascii="宋体" w:hAnsi="宋体"/>
                <w:kern w:val="0"/>
                <w:szCs w:val="21"/>
              </w:rPr>
            </w:pPr>
            <w:r>
              <w:rPr>
                <w:rFonts w:hint="eastAsia" w:ascii="宋体" w:hAnsi="宋体"/>
                <w:kern w:val="0"/>
                <w:szCs w:val="21"/>
              </w:rPr>
              <w:t>5</w:t>
            </w:r>
          </w:p>
        </w:tc>
        <w:tc>
          <w:tcPr>
            <w:tcW w:w="7795" w:type="dxa"/>
            <w:vAlign w:val="center"/>
          </w:tcPr>
          <w:p w14:paraId="0C3B3259">
            <w:pPr>
              <w:adjustRightInd w:val="0"/>
              <w:snapToGrid w:val="0"/>
              <w:spacing w:line="240" w:lineRule="atLeast"/>
              <w:rPr>
                <w:rFonts w:ascii="宋体" w:hAnsi="宋体"/>
                <w:color w:val="FF0000"/>
                <w:szCs w:val="21"/>
              </w:rPr>
            </w:pPr>
            <w:r>
              <w:rPr>
                <w:rFonts w:hint="eastAsia" w:ascii="宋体" w:hAnsi="宋体"/>
                <w:color w:val="FF0000"/>
                <w:szCs w:val="21"/>
              </w:rPr>
              <w:t>食材均在保质期内，感官性状无异常，无明显腐败变质、油脂酸败、发霉生虫、污秽不洁、混有异物、掺假掺杂等情况。</w:t>
            </w:r>
          </w:p>
        </w:tc>
      </w:tr>
      <w:tr w14:paraId="7575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035B0B70">
            <w:pPr>
              <w:adjustRightInd w:val="0"/>
              <w:snapToGrid w:val="0"/>
              <w:spacing w:line="360" w:lineRule="auto"/>
              <w:rPr>
                <w:rFonts w:ascii="宋体" w:hAnsi="宋体"/>
                <w:kern w:val="0"/>
                <w:szCs w:val="21"/>
              </w:rPr>
            </w:pPr>
            <w:r>
              <w:rPr>
                <w:rFonts w:hint="eastAsia" w:ascii="宋体" w:hAnsi="宋体"/>
                <w:kern w:val="0"/>
                <w:szCs w:val="21"/>
              </w:rPr>
              <w:t>6</w:t>
            </w:r>
          </w:p>
        </w:tc>
        <w:tc>
          <w:tcPr>
            <w:tcW w:w="7795" w:type="dxa"/>
            <w:vAlign w:val="center"/>
          </w:tcPr>
          <w:p w14:paraId="78842BF6">
            <w:pPr>
              <w:adjustRightInd w:val="0"/>
              <w:snapToGrid w:val="0"/>
              <w:spacing w:line="240" w:lineRule="atLeast"/>
              <w:rPr>
                <w:rFonts w:ascii="宋体" w:hAnsi="宋体"/>
                <w:color w:val="FF0000"/>
                <w:szCs w:val="21"/>
              </w:rPr>
            </w:pPr>
            <w:r>
              <w:rPr>
                <w:rFonts w:hint="eastAsia" w:ascii="宋体" w:hAnsi="宋体" w:cs="宋体"/>
                <w:color w:val="FF0000"/>
              </w:rPr>
              <w:t>深圳市学校食堂智慧管理平台建成后，中标人需通过平台处理</w:t>
            </w:r>
            <w:r>
              <w:rPr>
                <w:rFonts w:hint="eastAsia"/>
                <w:color w:val="FF0000"/>
              </w:rPr>
              <w:t>学校（幼儿园）</w:t>
            </w:r>
            <w:r>
              <w:rPr>
                <w:rFonts w:hint="eastAsia" w:ascii="宋体" w:hAnsi="宋体" w:cs="宋体"/>
                <w:color w:val="FF0000"/>
              </w:rPr>
              <w:t>食材订单并按合同供货，满足学校食堂智慧化管理需要。</w:t>
            </w:r>
          </w:p>
        </w:tc>
      </w:tr>
      <w:tr w14:paraId="213F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784F80BA">
            <w:pPr>
              <w:adjustRightInd w:val="0"/>
              <w:snapToGrid w:val="0"/>
              <w:spacing w:line="360" w:lineRule="auto"/>
              <w:rPr>
                <w:rFonts w:ascii="宋体" w:hAnsi="宋体"/>
                <w:kern w:val="0"/>
                <w:szCs w:val="21"/>
              </w:rPr>
            </w:pPr>
            <w:r>
              <w:rPr>
                <w:rFonts w:hint="eastAsia" w:ascii="宋体" w:hAnsi="宋体"/>
                <w:kern w:val="0"/>
                <w:szCs w:val="21"/>
              </w:rPr>
              <w:t>7</w:t>
            </w:r>
          </w:p>
        </w:tc>
        <w:tc>
          <w:tcPr>
            <w:tcW w:w="7795" w:type="dxa"/>
            <w:vAlign w:val="center"/>
          </w:tcPr>
          <w:p w14:paraId="67C975F6">
            <w:pPr>
              <w:adjustRightInd w:val="0"/>
              <w:snapToGrid w:val="0"/>
              <w:spacing w:line="240" w:lineRule="atLeast"/>
              <w:rPr>
                <w:rFonts w:ascii="宋体" w:hAnsi="宋体"/>
                <w:color w:val="FF0000"/>
                <w:szCs w:val="21"/>
              </w:rPr>
            </w:pPr>
            <w:r>
              <w:rPr>
                <w:rFonts w:hint="eastAsia" w:ascii="宋体" w:hAnsi="宋体" w:cs="宋体"/>
                <w:color w:val="FF0000"/>
              </w:rPr>
              <w:t>因配送运输中出现人身安全事故，中标人独立承担一切刑事、民事责任，与采购人、学校（幼儿园）无关。</w:t>
            </w:r>
          </w:p>
        </w:tc>
      </w:tr>
      <w:tr w14:paraId="41B2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50C27116">
            <w:pPr>
              <w:adjustRightInd w:val="0"/>
              <w:snapToGrid w:val="0"/>
              <w:spacing w:line="360" w:lineRule="auto"/>
              <w:rPr>
                <w:rFonts w:ascii="宋体" w:hAnsi="宋体"/>
                <w:kern w:val="0"/>
                <w:szCs w:val="21"/>
              </w:rPr>
            </w:pPr>
            <w:r>
              <w:rPr>
                <w:rFonts w:hint="eastAsia" w:ascii="宋体" w:hAnsi="宋体"/>
                <w:kern w:val="0"/>
                <w:szCs w:val="21"/>
              </w:rPr>
              <w:t>8</w:t>
            </w:r>
          </w:p>
        </w:tc>
        <w:tc>
          <w:tcPr>
            <w:tcW w:w="7795" w:type="dxa"/>
            <w:vAlign w:val="center"/>
          </w:tcPr>
          <w:p w14:paraId="326A95BD">
            <w:pPr>
              <w:adjustRightInd w:val="0"/>
              <w:snapToGrid w:val="0"/>
              <w:spacing w:line="240" w:lineRule="atLeast"/>
              <w:rPr>
                <w:rFonts w:ascii="宋体" w:hAnsi="宋体"/>
                <w:color w:val="FF0000"/>
                <w:szCs w:val="21"/>
              </w:rPr>
            </w:pPr>
            <w:r>
              <w:rPr>
                <w:rFonts w:hint="eastAsia" w:ascii="宋体" w:hAnsi="宋体"/>
                <w:color w:val="FF0000"/>
                <w:szCs w:val="21"/>
              </w:rPr>
              <w:t>非预包装食品及农产品的外包装（筐、箱、袋、盒等）整洁、牢固、标签清晰，无明显破损、发霉等现象；非预包装食品的包装应至少标注名称、生产/加工日期、保质期、供应商/生产者的名称等基本信息。</w:t>
            </w:r>
          </w:p>
        </w:tc>
      </w:tr>
      <w:tr w14:paraId="17E5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0BDDE47C">
            <w:pPr>
              <w:adjustRightInd w:val="0"/>
              <w:snapToGrid w:val="0"/>
              <w:spacing w:line="360" w:lineRule="auto"/>
              <w:rPr>
                <w:rFonts w:ascii="宋体" w:hAnsi="宋体"/>
                <w:kern w:val="0"/>
                <w:szCs w:val="21"/>
              </w:rPr>
            </w:pPr>
            <w:r>
              <w:rPr>
                <w:rFonts w:hint="eastAsia" w:ascii="宋体" w:hAnsi="宋体"/>
                <w:kern w:val="0"/>
                <w:szCs w:val="21"/>
              </w:rPr>
              <w:t>9</w:t>
            </w:r>
          </w:p>
        </w:tc>
        <w:tc>
          <w:tcPr>
            <w:tcW w:w="7795" w:type="dxa"/>
            <w:vAlign w:val="center"/>
          </w:tcPr>
          <w:p w14:paraId="26F52FF1">
            <w:pPr>
              <w:adjustRightInd w:val="0"/>
              <w:snapToGrid w:val="0"/>
              <w:spacing w:line="240" w:lineRule="atLeast"/>
              <w:rPr>
                <w:rFonts w:ascii="宋体" w:hAnsi="宋体"/>
                <w:color w:val="FF0000"/>
                <w:szCs w:val="21"/>
              </w:rPr>
            </w:pPr>
            <w:r>
              <w:rPr>
                <w:rFonts w:hint="eastAsia" w:ascii="宋体" w:hAnsi="宋体" w:cs="宋体"/>
                <w:color w:val="FF0000"/>
              </w:rPr>
              <w:t>中标人</w:t>
            </w:r>
            <w:r>
              <w:rPr>
                <w:rFonts w:hint="eastAsia" w:ascii="宋体" w:hAnsi="宋体"/>
                <w:color w:val="FF0000"/>
                <w:szCs w:val="21"/>
              </w:rPr>
              <w:t>能够为</w:t>
            </w:r>
            <w:r>
              <w:rPr>
                <w:rFonts w:hint="eastAsia" w:ascii="宋体" w:hAnsi="宋体" w:cs="宋体"/>
                <w:color w:val="FF0000"/>
              </w:rPr>
              <w:t>学校（幼儿园）</w:t>
            </w:r>
            <w:r>
              <w:rPr>
                <w:rFonts w:hint="eastAsia" w:ascii="宋体" w:hAnsi="宋体"/>
                <w:color w:val="FF0000"/>
                <w:szCs w:val="21"/>
              </w:rPr>
              <w:t>提供相关软件支持服务、保证与</w:t>
            </w:r>
            <w:r>
              <w:rPr>
                <w:rFonts w:hint="eastAsia"/>
                <w:color w:val="FF0000"/>
              </w:rPr>
              <w:t>深圳市中农数据有限公司（天天采配平台）</w:t>
            </w:r>
            <w:r>
              <w:rPr>
                <w:rFonts w:hint="eastAsia" w:ascii="宋体" w:hAnsi="宋体"/>
                <w:color w:val="FF0000"/>
                <w:szCs w:val="21"/>
              </w:rPr>
              <w:t>及各</w:t>
            </w:r>
            <w:r>
              <w:rPr>
                <w:rFonts w:hint="eastAsia" w:ascii="宋体" w:hAnsi="宋体" w:cs="宋体"/>
                <w:color w:val="FF0000"/>
              </w:rPr>
              <w:t>学校（幼儿园）</w:t>
            </w:r>
            <w:r>
              <w:rPr>
                <w:rFonts w:hint="eastAsia" w:ascii="宋体" w:hAnsi="宋体"/>
                <w:color w:val="FF0000"/>
                <w:szCs w:val="21"/>
              </w:rPr>
              <w:t>的信息化对接、实现系统下单及结算。</w:t>
            </w:r>
          </w:p>
        </w:tc>
      </w:tr>
      <w:tr w14:paraId="2CB7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0A841E94">
            <w:pPr>
              <w:adjustRightInd w:val="0"/>
              <w:snapToGrid w:val="0"/>
              <w:spacing w:line="360" w:lineRule="auto"/>
              <w:rPr>
                <w:rFonts w:ascii="宋体" w:hAnsi="宋体"/>
                <w:kern w:val="0"/>
                <w:szCs w:val="21"/>
              </w:rPr>
            </w:pPr>
            <w:r>
              <w:rPr>
                <w:rFonts w:hint="eastAsia" w:ascii="宋体" w:hAnsi="宋体"/>
                <w:kern w:val="0"/>
                <w:szCs w:val="21"/>
              </w:rPr>
              <w:t>10</w:t>
            </w:r>
          </w:p>
        </w:tc>
        <w:tc>
          <w:tcPr>
            <w:tcW w:w="7795" w:type="dxa"/>
            <w:vAlign w:val="center"/>
          </w:tcPr>
          <w:p w14:paraId="69153115">
            <w:pPr>
              <w:adjustRightInd w:val="0"/>
              <w:snapToGrid w:val="0"/>
              <w:spacing w:line="240" w:lineRule="atLeast"/>
              <w:rPr>
                <w:rFonts w:ascii="宋体" w:hAnsi="宋体"/>
                <w:color w:val="FF0000"/>
                <w:szCs w:val="21"/>
              </w:rPr>
            </w:pPr>
            <w:r>
              <w:rPr>
                <w:rFonts w:hint="eastAsia" w:ascii="宋体" w:hAnsi="宋体" w:cs="宋体"/>
                <w:color w:val="FF0000"/>
              </w:rPr>
              <w:t>中标人</w:t>
            </w:r>
            <w:r>
              <w:rPr>
                <w:rFonts w:hint="eastAsia" w:ascii="宋体" w:hAnsi="宋体"/>
                <w:color w:val="FF0000"/>
                <w:szCs w:val="21"/>
              </w:rPr>
              <w:t>需按</w:t>
            </w:r>
            <w:r>
              <w:rPr>
                <w:rFonts w:hint="eastAsia" w:ascii="宋体" w:hAnsi="宋体" w:cs="宋体"/>
                <w:color w:val="FF0000"/>
              </w:rPr>
              <w:t>学校（幼儿园）</w:t>
            </w:r>
            <w:r>
              <w:rPr>
                <w:rFonts w:hint="eastAsia" w:ascii="宋体" w:hAnsi="宋体"/>
                <w:color w:val="FF0000"/>
                <w:szCs w:val="21"/>
              </w:rPr>
              <w:t>要求提供食材</w:t>
            </w:r>
            <w:r>
              <w:rPr>
                <w:rFonts w:hint="eastAsia" w:ascii="宋体" w:hAnsi="宋体" w:cs="宋体"/>
                <w:color w:val="FF0000"/>
                <w:szCs w:val="21"/>
              </w:rPr>
              <w:t>粗加工服务，配备粗加工服务人员；</w:t>
            </w:r>
          </w:p>
        </w:tc>
      </w:tr>
      <w:tr w14:paraId="21F5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474F98E">
            <w:pPr>
              <w:adjustRightInd w:val="0"/>
              <w:snapToGrid w:val="0"/>
              <w:spacing w:line="360" w:lineRule="auto"/>
              <w:rPr>
                <w:rFonts w:ascii="宋体" w:hAnsi="宋体"/>
                <w:kern w:val="0"/>
                <w:szCs w:val="21"/>
              </w:rPr>
            </w:pPr>
            <w:r>
              <w:rPr>
                <w:rFonts w:hint="eastAsia" w:ascii="宋体" w:hAnsi="宋体"/>
                <w:kern w:val="0"/>
                <w:szCs w:val="21"/>
              </w:rPr>
              <w:t>11</w:t>
            </w:r>
          </w:p>
        </w:tc>
        <w:tc>
          <w:tcPr>
            <w:tcW w:w="7795" w:type="dxa"/>
            <w:vAlign w:val="center"/>
          </w:tcPr>
          <w:p w14:paraId="0882BF4F">
            <w:pPr>
              <w:adjustRightInd w:val="0"/>
              <w:snapToGrid w:val="0"/>
              <w:spacing w:line="240" w:lineRule="atLeast"/>
              <w:rPr>
                <w:rFonts w:ascii="宋体" w:hAnsi="宋体"/>
                <w:color w:val="FF0000"/>
                <w:szCs w:val="21"/>
              </w:rPr>
            </w:pPr>
            <w:r>
              <w:rPr>
                <w:rFonts w:hint="eastAsia" w:ascii="宋体" w:hAnsi="宋体" w:cs="宋体"/>
                <w:color w:val="FF0000"/>
              </w:rPr>
              <w:t>中标人需根据配送食材具体情况提供对应的检测报告。</w:t>
            </w:r>
          </w:p>
        </w:tc>
      </w:tr>
      <w:tr w14:paraId="6B56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0D4BD1CE">
            <w:pPr>
              <w:adjustRightInd w:val="0"/>
              <w:snapToGrid w:val="0"/>
              <w:spacing w:line="360" w:lineRule="auto"/>
              <w:rPr>
                <w:rFonts w:ascii="宋体" w:hAnsi="宋体"/>
                <w:kern w:val="0"/>
                <w:szCs w:val="21"/>
              </w:rPr>
            </w:pPr>
            <w:r>
              <w:rPr>
                <w:rFonts w:hint="eastAsia" w:ascii="宋体" w:hAnsi="宋体"/>
                <w:kern w:val="0"/>
                <w:szCs w:val="21"/>
              </w:rPr>
              <w:t>12</w:t>
            </w:r>
          </w:p>
        </w:tc>
        <w:tc>
          <w:tcPr>
            <w:tcW w:w="7795" w:type="dxa"/>
            <w:vAlign w:val="center"/>
          </w:tcPr>
          <w:p w14:paraId="2FDED91A">
            <w:pPr>
              <w:adjustRightInd w:val="0"/>
              <w:snapToGrid w:val="0"/>
              <w:spacing w:line="240" w:lineRule="atLeast"/>
              <w:rPr>
                <w:rFonts w:ascii="宋体" w:hAnsi="宋体" w:cs="宋体"/>
                <w:color w:val="FF0000"/>
              </w:rPr>
            </w:pPr>
            <w:r>
              <w:rPr>
                <w:rFonts w:hint="eastAsia" w:ascii="宋体" w:hAnsi="宋体" w:cs="宋体"/>
                <w:color w:val="FF0000"/>
              </w:rPr>
              <w:t>因政策变动等原因终止批量集中采购工作，导致合同无法续签、终止的，双方均不承担违约责任。</w:t>
            </w:r>
          </w:p>
        </w:tc>
      </w:tr>
      <w:tr w14:paraId="2ECF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3DBF3FA4">
            <w:pPr>
              <w:adjustRightInd w:val="0"/>
              <w:snapToGrid w:val="0"/>
              <w:spacing w:line="360" w:lineRule="auto"/>
              <w:rPr>
                <w:rFonts w:ascii="宋体" w:hAnsi="宋体"/>
                <w:kern w:val="0"/>
                <w:szCs w:val="21"/>
              </w:rPr>
            </w:pPr>
            <w:r>
              <w:rPr>
                <w:rFonts w:hint="eastAsia" w:ascii="宋体" w:hAnsi="宋体"/>
                <w:kern w:val="0"/>
                <w:szCs w:val="21"/>
              </w:rPr>
              <w:t>13</w:t>
            </w:r>
          </w:p>
        </w:tc>
        <w:tc>
          <w:tcPr>
            <w:tcW w:w="7795" w:type="dxa"/>
            <w:vAlign w:val="center"/>
          </w:tcPr>
          <w:p w14:paraId="1A2C5A8E">
            <w:pPr>
              <w:adjustRightInd w:val="0"/>
              <w:snapToGrid w:val="0"/>
              <w:spacing w:line="240" w:lineRule="atLeast"/>
              <w:rPr>
                <w:rFonts w:ascii="宋体" w:hAnsi="宋体" w:cs="宋体"/>
                <w:color w:val="FF0000"/>
              </w:rPr>
            </w:pPr>
            <w:r>
              <w:rPr>
                <w:rFonts w:hint="eastAsia" w:ascii="宋体" w:hAnsi="宋体" w:cs="宋体"/>
                <w:color w:val="FF0000"/>
              </w:rPr>
              <w:t>中标人须使用公司账户收款结算，严禁使用</w:t>
            </w:r>
            <w:r>
              <w:rPr>
                <w:rFonts w:hint="eastAsia" w:ascii="宋体" w:hAnsi="宋体"/>
                <w:color w:val="FF0000"/>
                <w:kern w:val="0"/>
                <w:szCs w:val="21"/>
              </w:rPr>
              <w:t>个人账户收取项目款项，</w:t>
            </w:r>
            <w:r>
              <w:rPr>
                <w:rFonts w:hint="eastAsia" w:ascii="宋体" w:hAnsi="宋体" w:cs="宋体"/>
                <w:color w:val="FF0000"/>
              </w:rPr>
              <w:t>认真做好财务工作，</w:t>
            </w:r>
            <w:r>
              <w:rPr>
                <w:rFonts w:hint="eastAsia" w:ascii="宋体" w:hAnsi="宋体"/>
                <w:color w:val="FF0000"/>
                <w:kern w:val="0"/>
                <w:szCs w:val="21"/>
              </w:rPr>
              <w:t>做到</w:t>
            </w:r>
            <w:r>
              <w:rPr>
                <w:rFonts w:hint="eastAsia" w:ascii="宋体" w:hAnsi="宋体"/>
                <w:color w:val="FF0000"/>
                <w:szCs w:val="21"/>
              </w:rPr>
              <w:t>各</w:t>
            </w:r>
            <w:r>
              <w:rPr>
                <w:rFonts w:hint="eastAsia" w:ascii="宋体" w:hAnsi="宋体" w:cs="宋体"/>
                <w:color w:val="FF0000"/>
              </w:rPr>
              <w:t>学校（幼儿园）</w:t>
            </w:r>
            <w:r>
              <w:rPr>
                <w:rFonts w:hint="eastAsia" w:ascii="宋体" w:hAnsi="宋体"/>
                <w:color w:val="FF0000"/>
                <w:kern w:val="0"/>
                <w:szCs w:val="21"/>
              </w:rPr>
              <w:t>账目清晰，须服从配合采购人、校（园）方、采购人及校（园）方委托的第三方单位、学校（幼儿园）膳食委员会的各项监督、检查、审计等工作。</w:t>
            </w:r>
          </w:p>
        </w:tc>
      </w:tr>
      <w:tr w14:paraId="613D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1042CE99">
            <w:pPr>
              <w:adjustRightInd w:val="0"/>
              <w:snapToGrid w:val="0"/>
              <w:spacing w:line="360" w:lineRule="auto"/>
              <w:rPr>
                <w:rFonts w:ascii="宋体" w:hAnsi="宋体"/>
                <w:kern w:val="0"/>
                <w:szCs w:val="21"/>
              </w:rPr>
            </w:pPr>
            <w:r>
              <w:rPr>
                <w:rFonts w:hint="eastAsia" w:ascii="宋体" w:hAnsi="宋体"/>
                <w:kern w:val="0"/>
                <w:szCs w:val="21"/>
              </w:rPr>
              <w:t>14</w:t>
            </w:r>
          </w:p>
        </w:tc>
        <w:tc>
          <w:tcPr>
            <w:tcW w:w="7795" w:type="dxa"/>
            <w:vAlign w:val="center"/>
          </w:tcPr>
          <w:p w14:paraId="26207B1C">
            <w:pPr>
              <w:adjustRightInd w:val="0"/>
              <w:snapToGrid w:val="0"/>
              <w:spacing w:line="240" w:lineRule="atLeast"/>
              <w:rPr>
                <w:rFonts w:ascii="宋体" w:hAnsi="宋体" w:cs="宋体"/>
                <w:color w:val="FF0000"/>
              </w:rPr>
            </w:pPr>
            <w:r>
              <w:rPr>
                <w:rFonts w:hint="eastAsia"/>
                <w:color w:val="FF0000"/>
              </w:rPr>
              <w:t>推荐候选中标供应商须在参加定标会之前将评分项中涉及的证书、证件等材料原件交至采购单位查验，查验通过后方可参加定标会，如发现有虚假伪做证明材料</w:t>
            </w:r>
            <w:r>
              <w:rPr>
                <w:rFonts w:hint="eastAsia" w:ascii="宋体" w:hAnsi="宋体"/>
                <w:bCs/>
                <w:color w:val="FF0000"/>
                <w:szCs w:val="21"/>
              </w:rPr>
              <w:t>，将做无效投标处理，同时依法上报主管部门处理处罚。</w:t>
            </w:r>
          </w:p>
        </w:tc>
      </w:tr>
      <w:tr w14:paraId="0FB2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34" w:type="dxa"/>
          </w:tcPr>
          <w:p w14:paraId="2C8E0DA3">
            <w:pPr>
              <w:adjustRightInd w:val="0"/>
              <w:snapToGrid w:val="0"/>
              <w:spacing w:line="360" w:lineRule="auto"/>
              <w:rPr>
                <w:rFonts w:ascii="宋体" w:hAnsi="宋体"/>
                <w:kern w:val="0"/>
                <w:szCs w:val="21"/>
              </w:rPr>
            </w:pPr>
            <w:r>
              <w:rPr>
                <w:rFonts w:hint="eastAsia" w:ascii="宋体" w:hAnsi="宋体"/>
                <w:kern w:val="0"/>
                <w:szCs w:val="21"/>
              </w:rPr>
              <w:t>15</w:t>
            </w:r>
          </w:p>
        </w:tc>
        <w:tc>
          <w:tcPr>
            <w:tcW w:w="7795" w:type="dxa"/>
            <w:vAlign w:val="center"/>
          </w:tcPr>
          <w:p w14:paraId="756851C4">
            <w:pPr>
              <w:adjustRightInd w:val="0"/>
              <w:snapToGrid w:val="0"/>
              <w:spacing w:line="240" w:lineRule="atLeast"/>
              <w:rPr>
                <w:color w:val="FF0000"/>
              </w:rPr>
            </w:pPr>
            <w:r>
              <w:rPr>
                <w:rFonts w:hint="eastAsia"/>
                <w:color w:val="FF0000"/>
              </w:rPr>
              <w:t>中标人知悉并同意：</w:t>
            </w:r>
            <w:r>
              <w:rPr>
                <w:rFonts w:hint="eastAsia"/>
                <w:b/>
                <w:bCs/>
                <w:color w:val="FF0000"/>
                <w:u w:val="single"/>
              </w:rPr>
              <w:t>本项目作为采购人原大宗食材批量集中采购之补充采购项目，</w:t>
            </w:r>
            <w:r>
              <w:rPr>
                <w:rFonts w:hint="eastAsia" w:ascii="宋体" w:hAnsi="宋体" w:cs="宋体"/>
                <w:b/>
                <w:bCs/>
                <w:color w:val="FF0000"/>
                <w:u w:val="single"/>
              </w:rPr>
              <w:t>中标人须在</w:t>
            </w:r>
            <w:r>
              <w:rPr>
                <w:rFonts w:hint="eastAsia"/>
                <w:b/>
                <w:bCs/>
                <w:color w:val="FF0000"/>
                <w:u w:val="single"/>
              </w:rPr>
              <w:t>原大宗食材批量集中采购各校（园）支付上限额度完成后再续接执行。</w:t>
            </w:r>
          </w:p>
        </w:tc>
      </w:tr>
    </w:tbl>
    <w:p w14:paraId="4E2FEFC2">
      <w:pPr>
        <w:rPr>
          <w:b/>
        </w:rPr>
      </w:pPr>
      <w:r>
        <w:rPr>
          <w:rFonts w:hint="eastAsia"/>
          <w:b/>
        </w:rPr>
        <w:t>注：上表所列内容为不可负偏离条款，负偏离将视为未实质性满足招标文件要求作投标无效处理。</w:t>
      </w:r>
      <w:bookmarkEnd w:id="35"/>
    </w:p>
    <w:p w14:paraId="012ABA48">
      <w:pPr>
        <w:rPr>
          <w:b/>
          <w:bCs/>
          <w:sz w:val="24"/>
        </w:rPr>
      </w:pPr>
    </w:p>
    <w:p w14:paraId="765C5CDF">
      <w:pPr>
        <w:pStyle w:val="6"/>
        <w:spacing w:before="120" w:beforeLines="50" w:after="120" w:afterLines="50"/>
        <w:rPr>
          <w:szCs w:val="24"/>
        </w:rPr>
      </w:pPr>
      <w:r>
        <w:rPr>
          <w:rFonts w:hint="eastAsia"/>
          <w:szCs w:val="24"/>
        </w:rPr>
        <w:t>五、技术要求</w:t>
      </w:r>
    </w:p>
    <w:p w14:paraId="2C85DB06">
      <w:pPr>
        <w:rPr>
          <w:b/>
          <w:sz w:val="24"/>
        </w:rPr>
      </w:pPr>
    </w:p>
    <w:p w14:paraId="5BAD3A6C">
      <w:pPr>
        <w:spacing w:line="360" w:lineRule="auto"/>
        <w:ind w:left="105" w:leftChars="50"/>
      </w:pPr>
      <w:r>
        <w:rPr>
          <w:rFonts w:hint="eastAsia" w:ascii="宋体" w:hAnsi="宋体"/>
          <w:szCs w:val="21"/>
        </w:rPr>
        <w:t>（</w:t>
      </w:r>
      <w:r>
        <w:rPr>
          <w:rFonts w:hint="eastAsia"/>
        </w:rPr>
        <w:t>一）食材配送要求</w:t>
      </w:r>
    </w:p>
    <w:p w14:paraId="642CD69D">
      <w:pPr>
        <w:spacing w:line="360" w:lineRule="auto"/>
        <w:ind w:left="105" w:leftChars="50"/>
      </w:pPr>
      <w:r>
        <w:rPr>
          <w:rFonts w:hint="eastAsia"/>
        </w:rPr>
        <w:t>1.食材配送车辆应为专用封闭式，车辆内部结构应平整、便于清洁，配送冷冻、冷藏食品的车辆应有温度监控设备。凭专用通行证（如有）进出学校；</w:t>
      </w:r>
    </w:p>
    <w:p w14:paraId="2C0AC06A">
      <w:pPr>
        <w:spacing w:line="360" w:lineRule="auto"/>
        <w:ind w:left="105" w:leftChars="50"/>
      </w:pPr>
      <w:r>
        <w:rPr>
          <w:rFonts w:hint="eastAsia"/>
        </w:rPr>
        <w:t>2.所运送产品不可分包、转包（其中食材配送环节未经采购人同意，不得分包）；</w:t>
      </w:r>
    </w:p>
    <w:p w14:paraId="60C61F04">
      <w:pPr>
        <w:spacing w:line="360" w:lineRule="auto"/>
        <w:ind w:left="105" w:leftChars="50"/>
      </w:pPr>
      <w:r>
        <w:rPr>
          <w:rFonts w:hint="eastAsia"/>
        </w:rPr>
        <w:t>3.生鲜肉等鲜活类须当日配送，其余品类食材可视</w:t>
      </w:r>
      <w:r>
        <w:rPr>
          <w:rFonts w:hint="eastAsia" w:ascii="宋体" w:hAnsi="宋体"/>
          <w:szCs w:val="21"/>
        </w:rPr>
        <w:t>校（园）方</w:t>
      </w:r>
      <w:r>
        <w:rPr>
          <w:rFonts w:hint="eastAsia"/>
        </w:rPr>
        <w:t>实际需求酌情配送，但须确保</w:t>
      </w:r>
      <w:r>
        <w:rPr>
          <w:rFonts w:hint="eastAsia" w:ascii="宋体" w:hAnsi="宋体"/>
          <w:szCs w:val="21"/>
        </w:rPr>
        <w:t>校（园）方</w:t>
      </w:r>
      <w:r>
        <w:rPr>
          <w:rFonts w:hint="eastAsia"/>
        </w:rPr>
        <w:t>食品新鲜、优质、安全可靠。</w:t>
      </w:r>
    </w:p>
    <w:p w14:paraId="0A9427D1">
      <w:pPr>
        <w:spacing w:line="360" w:lineRule="auto"/>
        <w:ind w:left="105" w:leftChars="50"/>
      </w:pPr>
      <w:r>
        <w:rPr>
          <w:rFonts w:hint="eastAsia"/>
        </w:rPr>
        <w:t>（二）食材质量要求</w:t>
      </w:r>
    </w:p>
    <w:p w14:paraId="207F3149">
      <w:pPr>
        <w:spacing w:line="360" w:lineRule="auto"/>
        <w:ind w:left="105" w:leftChars="50"/>
      </w:pPr>
      <w:r>
        <w:rPr>
          <w:rFonts w:hint="eastAsia"/>
        </w:rPr>
        <w:t>1.通用要求</w:t>
      </w:r>
    </w:p>
    <w:p w14:paraId="3FEE198F">
      <w:pPr>
        <w:spacing w:line="360" w:lineRule="auto"/>
        <w:ind w:left="105" w:leftChars="50"/>
      </w:pPr>
      <w:r>
        <w:rPr>
          <w:rFonts w:hint="eastAsia"/>
        </w:rPr>
        <w:t>①预包装产品保质期在一年及以上的，建议收货时的剩余质保期不得少于标注有效期的二分之一；保质期不足一年的，收货时的剩余质保期不得少于标注有效期的三分之二。</w:t>
      </w:r>
    </w:p>
    <w:p w14:paraId="67B5407F">
      <w:pPr>
        <w:spacing w:line="360" w:lineRule="auto"/>
        <w:ind w:left="105" w:leftChars="50"/>
      </w:pPr>
      <w:r>
        <w:rPr>
          <w:rFonts w:hint="eastAsia"/>
        </w:rPr>
        <w:t>②食材质量等级指标不低于该产品标准的中位数水平，如质量或规格等级划分为1、2、3、4、5或大（L）、中（M）、小（S）的，应选择1、2或大（L）、中（M）等级。</w:t>
      </w:r>
    </w:p>
    <w:p w14:paraId="5CE566D2">
      <w:pPr>
        <w:spacing w:line="360" w:lineRule="auto"/>
        <w:ind w:left="105" w:leftChars="50"/>
      </w:pPr>
      <w:r>
        <w:rPr>
          <w:rFonts w:hint="eastAsia"/>
        </w:rPr>
        <w:t>③各种食材的感官性状无异常，无明显腐败变质、油脂酸败、发霉生虫、污秽不洁、混有异物、掺假掺杂等情况。</w:t>
      </w:r>
    </w:p>
    <w:p w14:paraId="5F9A96D7">
      <w:pPr>
        <w:spacing w:line="360" w:lineRule="auto"/>
        <w:ind w:left="105" w:leftChars="50"/>
      </w:pPr>
      <w:r>
        <w:rPr>
          <w:rFonts w:hint="eastAsia"/>
        </w:rPr>
        <w:t>④农副产品外观新鲜，无明显萎蔫、腐烂、发芽、畸形等异常情况；鲜活水产要求鲜活。</w:t>
      </w:r>
    </w:p>
    <w:p w14:paraId="1763AAEB">
      <w:pPr>
        <w:spacing w:line="360" w:lineRule="auto"/>
        <w:ind w:left="105" w:leftChars="50"/>
      </w:pPr>
      <w:r>
        <w:rPr>
          <w:rFonts w:hint="eastAsia"/>
        </w:rPr>
        <w:t>⑤预包装食品的包装整洁、完好，无破损或胀气现象；标签内容完整、清晰，详细列明产品名称、净含量（规格）、生产日期、配料表、生产者的名称、地址、联系方式、保质期、产品标准代号、贮存条件、生产许可证编号等内容（具体符合GB 7718的要求）。</w:t>
      </w:r>
    </w:p>
    <w:p w14:paraId="10733BCC">
      <w:pPr>
        <w:spacing w:line="360" w:lineRule="auto"/>
        <w:ind w:left="105" w:leftChars="50"/>
      </w:pPr>
      <w:r>
        <w:rPr>
          <w:rFonts w:hint="eastAsia"/>
        </w:rPr>
        <w:t>⑥非预包装食品及农产品的外包装（筐、箱、袋、盒等）整洁、牢固、标签清晰，无明显破损、发霉等现象；非预包装食品的包装应至少标注名称、生产/加工日期、保质期、供应商/生产者的名称等基本信息；未包装的农产品，应当采取附加标签、标识牌、标识带、说明书、合格证、电子秤标签等形式标明农产品的品名、生产地、生产者或者销售者名称等内容（具体符合《农产品包装和标识管理办法》的要求）。</w:t>
      </w:r>
    </w:p>
    <w:p w14:paraId="72C8570A">
      <w:pPr>
        <w:spacing w:line="360" w:lineRule="auto"/>
        <w:ind w:left="105" w:leftChars="50"/>
      </w:pPr>
      <w:r>
        <w:rPr>
          <w:rFonts w:hint="eastAsia"/>
        </w:rPr>
        <w:t>⑦预包装食品及加工食品应有生产者及供应商的《食品生产许可证》、《食品经营许可证》等有效资质证明文件；应具有半年内由第三方检测机构或质量监督部门出具的同款产品检测合格报告及本批次产品的出厂检验报告。</w:t>
      </w:r>
    </w:p>
    <w:p w14:paraId="0022B74E">
      <w:pPr>
        <w:spacing w:line="360" w:lineRule="auto"/>
        <w:ind w:left="105" w:leftChars="50"/>
      </w:pPr>
      <w:r>
        <w:rPr>
          <w:rFonts w:hint="eastAsia"/>
        </w:rPr>
        <w:t>⑧属于无公害农产品、绿色食品、有机农产品、圳品的，应当标注相应的标志和附带有相关证明文件。</w:t>
      </w:r>
    </w:p>
    <w:p w14:paraId="7F51B25C">
      <w:pPr>
        <w:spacing w:line="360" w:lineRule="auto"/>
        <w:ind w:left="105" w:leftChars="50"/>
      </w:pPr>
      <w:r>
        <w:rPr>
          <w:rFonts w:hint="eastAsia"/>
        </w:rPr>
        <w:t>2.食材验收参考标准</w:t>
      </w:r>
    </w:p>
    <w:p w14:paraId="66BE45A6">
      <w:pPr>
        <w:spacing w:line="360" w:lineRule="auto"/>
        <w:ind w:left="105" w:leftChars="50"/>
      </w:pPr>
      <w:r>
        <w:rPr>
          <w:rFonts w:hint="eastAsia"/>
        </w:rPr>
        <w:t>参考《深圳市学校食堂食材采购验收参考标准》</w:t>
      </w:r>
    </w:p>
    <w:p w14:paraId="33317491">
      <w:pPr>
        <w:spacing w:line="360" w:lineRule="auto"/>
        <w:ind w:left="105" w:leftChars="50"/>
      </w:pPr>
      <w:r>
        <w:rPr>
          <w:rFonts w:hint="eastAsia"/>
        </w:rPr>
        <w:t>（三）其他服务要求</w:t>
      </w:r>
    </w:p>
    <w:p w14:paraId="26497838">
      <w:pPr>
        <w:spacing w:line="360" w:lineRule="auto"/>
        <w:ind w:left="105" w:leftChars="50"/>
      </w:pPr>
      <w:r>
        <w:rPr>
          <w:rFonts w:hint="eastAsia"/>
        </w:rPr>
        <w:t>1.中标人必须无条件退换校（园）方认为不合要求的物品，并及时加以更正。</w:t>
      </w:r>
    </w:p>
    <w:p w14:paraId="7E78E4B9">
      <w:pPr>
        <w:spacing w:line="360" w:lineRule="auto"/>
        <w:ind w:left="105" w:leftChars="50"/>
      </w:pPr>
      <w:r>
        <w:rPr>
          <w:rFonts w:hint="eastAsia"/>
        </w:rPr>
        <w:t>2.因供应的供货质量达不到国家有关食品安全标准而造成食物中毒或其它后果，经政府相关部门鉴定属于中标人责任，其产生的一切法律和经济责任全部由中标人承担，且采购人有权单方解除本合同。</w:t>
      </w:r>
    </w:p>
    <w:p w14:paraId="42CA024F">
      <w:pPr>
        <w:spacing w:line="360" w:lineRule="auto"/>
        <w:ind w:left="105" w:leftChars="50"/>
      </w:pPr>
      <w:r>
        <w:rPr>
          <w:rFonts w:hint="eastAsia"/>
        </w:rPr>
        <w:t>3.为确保项目配送服务应急及时，如校（园）方须临时加餐或应急时须增加配送服务的，中标人应无条件配合，并确保配送所需车辆、人员以及送达时间等必须满足校（园）方的要求。</w:t>
      </w:r>
    </w:p>
    <w:p w14:paraId="59FA03E8">
      <w:pPr>
        <w:spacing w:line="360" w:lineRule="auto"/>
        <w:ind w:left="105" w:leftChars="50"/>
      </w:pPr>
      <w:r>
        <w:rPr>
          <w:rFonts w:hint="eastAsia"/>
        </w:rPr>
        <w:t>4.校（园）方订购的货物数量必须清楚标注计量单位（如以市斤、包、箱等计算单价），中标人须严格按照校（园）方订购的货物数量送货，上下浮动不得超过货物数量的5％。</w:t>
      </w:r>
    </w:p>
    <w:p w14:paraId="37D358F9">
      <w:pPr>
        <w:spacing w:line="360" w:lineRule="auto"/>
        <w:ind w:left="105" w:leftChars="50"/>
      </w:pPr>
      <w:r>
        <w:rPr>
          <w:rFonts w:hint="eastAsia"/>
        </w:rPr>
        <w:t>5.校（园）方和中标人方应分别建立采购和供应台账，确定专人（不少于两人）负责验收和送货。</w:t>
      </w:r>
    </w:p>
    <w:p w14:paraId="37050903">
      <w:pPr>
        <w:spacing w:line="360" w:lineRule="auto"/>
        <w:ind w:left="105" w:leftChars="50"/>
      </w:pPr>
      <w:r>
        <w:rPr>
          <w:rFonts w:hint="eastAsia"/>
        </w:rPr>
        <w:t>6.对于出现质量、数量不符合要求等现象，校（园）方有权要求供货方2小时内补足数量或退换，并按合同约定作出相应罚款处罚，供货方必须无条件补足、退换，并保证正常就餐。</w:t>
      </w:r>
    </w:p>
    <w:p w14:paraId="60C2B76D">
      <w:pPr>
        <w:spacing w:line="360" w:lineRule="auto"/>
        <w:ind w:left="105" w:leftChars="50"/>
      </w:pPr>
      <w:r>
        <w:rPr>
          <w:rFonts w:hint="eastAsia"/>
        </w:rPr>
        <w:t>7.中标人供货的车辆必须配备冷冻设备，以保证所供货物新鲜。在上班时间中标人须有人待命，以备校（园）方随时加单时采购货物。</w:t>
      </w:r>
    </w:p>
    <w:p w14:paraId="3B36C1E1">
      <w:pPr>
        <w:spacing w:line="360" w:lineRule="auto"/>
        <w:ind w:left="105" w:leftChars="50"/>
      </w:pPr>
      <w:r>
        <w:rPr>
          <w:rFonts w:hint="eastAsia"/>
        </w:rPr>
        <w:t>8.供应食材不得由第三方公司配送，其他配送所需包装、运载装备及其他完成服务必须的物资，由中标人自行解决。</w:t>
      </w:r>
    </w:p>
    <w:p w14:paraId="56C3E23A">
      <w:pPr>
        <w:spacing w:line="360" w:lineRule="auto"/>
        <w:ind w:left="105" w:leftChars="50"/>
      </w:pPr>
      <w:r>
        <w:rPr>
          <w:rFonts w:hint="eastAsia"/>
        </w:rPr>
        <w:t>9.中标人需安排项目负责人负责本项目的服务，负责订单沟通协调配送，不得随意更换。供货清单应在约定时间前与校（园）方确认，并有温馨提示，及时向校（园）方提示货物质量与价格方面的变动等信息。</w:t>
      </w:r>
    </w:p>
    <w:p w14:paraId="1515F079">
      <w:pPr>
        <w:spacing w:line="360" w:lineRule="auto"/>
        <w:ind w:left="105" w:leftChars="50"/>
      </w:pPr>
      <w:r>
        <w:rPr>
          <w:rFonts w:hint="eastAsia"/>
        </w:rPr>
        <w:t>10.中标方需根据校（园）方的食材预订单按要求采购、配送，食材保证新鲜、安全、卫生，并按规定的时间配送到</w:t>
      </w:r>
      <w:r>
        <w:rPr>
          <w:rFonts w:hint="eastAsia" w:ascii="宋体" w:hAnsi="宋体"/>
          <w:szCs w:val="21"/>
        </w:rPr>
        <w:t>园</w:t>
      </w:r>
      <w:r>
        <w:rPr>
          <w:rFonts w:hint="eastAsia"/>
        </w:rPr>
        <w:t>。</w:t>
      </w:r>
    </w:p>
    <w:p w14:paraId="28FA7758">
      <w:pPr>
        <w:spacing w:line="360" w:lineRule="auto"/>
        <w:ind w:left="105" w:leftChars="50"/>
      </w:pPr>
      <w:r>
        <w:rPr>
          <w:rFonts w:hint="eastAsia"/>
        </w:rPr>
        <w:t>11.校（园）方将指定专人负责所有食材索证、建立台账并及时归档备查，建立并执行食品进货查验和索证索票制度，进货时查验供货商的营业执照、食品生产（经营）许可证等主体资质证明，索要食品质量合格证明、检验（检疫）证明、有关质量认证标志（商标、专利证明）和进货票据等，并对索取的证票分类归档，建立食品进货台账，每天如实记录食品的名称、规格、数量、生产批号、保质期、供货商名称及联系方式、进货日期等内容，同时及时归档备查，中标人需无条件配合相关工作。</w:t>
      </w:r>
    </w:p>
    <w:p w14:paraId="371DD708">
      <w:pPr>
        <w:spacing w:line="360" w:lineRule="auto"/>
        <w:ind w:left="105" w:leftChars="50"/>
      </w:pPr>
      <w:r>
        <w:rPr>
          <w:rFonts w:hint="eastAsia"/>
        </w:rPr>
        <w:t>12.中标人如有特殊情况不能配送要及时反馈校（园）方并给出处理方案。</w:t>
      </w:r>
    </w:p>
    <w:p w14:paraId="4C479B76">
      <w:pPr>
        <w:spacing w:line="360" w:lineRule="auto"/>
        <w:ind w:left="105" w:leftChars="50"/>
      </w:pPr>
      <w:r>
        <w:rPr>
          <w:rFonts w:hint="eastAsia"/>
        </w:rPr>
        <w:t>13.中标方安排的配送人员要相对稳定，不得随意更换，对不符合要求的配送人员，中标方应根据校（园）方要求及时做出调整。</w:t>
      </w:r>
    </w:p>
    <w:p w14:paraId="6585EB66">
      <w:pPr>
        <w:spacing w:line="360" w:lineRule="auto"/>
        <w:ind w:left="105" w:leftChars="50"/>
      </w:pPr>
      <w:r>
        <w:rPr>
          <w:rFonts w:hint="eastAsia"/>
        </w:rPr>
        <w:t>14. 中标人单方停止合同的，需提前三个月通知采购方。</w:t>
      </w:r>
    </w:p>
    <w:p w14:paraId="24B14A89">
      <w:pPr>
        <w:spacing w:line="360" w:lineRule="auto"/>
        <w:ind w:left="105" w:leftChars="50"/>
      </w:pPr>
      <w:r>
        <w:rPr>
          <w:rFonts w:hint="eastAsia"/>
        </w:rPr>
        <w:t>15. 双方任何一方由于不可抗力原因不能履行合同时，应及时向对方通报不能履行或不能完全履行的理由，以减轻对方可能造成的损失。</w:t>
      </w:r>
    </w:p>
    <w:p w14:paraId="6774B666">
      <w:pPr>
        <w:spacing w:line="360" w:lineRule="auto"/>
        <w:ind w:left="105" w:leftChars="50"/>
      </w:pPr>
      <w:r>
        <w:rPr>
          <w:rFonts w:hint="eastAsia"/>
        </w:rPr>
        <w:t>16. 如中标人提供的质量检测合格报告有虚假的，采购人有权立即终止合同。</w:t>
      </w:r>
    </w:p>
    <w:p w14:paraId="070190D7">
      <w:pPr>
        <w:spacing w:line="360" w:lineRule="auto"/>
        <w:ind w:left="105" w:leftChars="50"/>
      </w:pPr>
      <w:r>
        <w:rPr>
          <w:rFonts w:hint="eastAsia"/>
        </w:rPr>
        <w:t>（四）《服务供应商月度考核评分表》</w:t>
      </w:r>
    </w:p>
    <w:tbl>
      <w:tblPr>
        <w:tblStyle w:val="42"/>
        <w:tblW w:w="8616" w:type="dxa"/>
        <w:tblInd w:w="0" w:type="dxa"/>
        <w:tblLayout w:type="fixed"/>
        <w:tblCellMar>
          <w:top w:w="0" w:type="dxa"/>
          <w:left w:w="0" w:type="dxa"/>
          <w:bottom w:w="0" w:type="dxa"/>
          <w:right w:w="0" w:type="dxa"/>
        </w:tblCellMar>
      </w:tblPr>
      <w:tblGrid>
        <w:gridCol w:w="442"/>
        <w:gridCol w:w="347"/>
        <w:gridCol w:w="613"/>
        <w:gridCol w:w="413"/>
        <w:gridCol w:w="1768"/>
        <w:gridCol w:w="4242"/>
        <w:gridCol w:w="791"/>
      </w:tblGrid>
      <w:tr w14:paraId="5F8CBA3C">
        <w:tblPrEx>
          <w:tblCellMar>
            <w:top w:w="0" w:type="dxa"/>
            <w:left w:w="0" w:type="dxa"/>
            <w:bottom w:w="0" w:type="dxa"/>
            <w:right w:w="0" w:type="dxa"/>
          </w:tblCellMar>
        </w:tblPrEx>
        <w:trPr>
          <w:trHeight w:val="90" w:hRule="atLeast"/>
        </w:trPr>
        <w:tc>
          <w:tcPr>
            <w:tcW w:w="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9FB6562">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一级</w:t>
            </w:r>
          </w:p>
          <w:p w14:paraId="1C98B8C8">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指标</w:t>
            </w:r>
          </w:p>
        </w:tc>
        <w:tc>
          <w:tcPr>
            <w:tcW w:w="347"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9686D20">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分值</w:t>
            </w:r>
          </w:p>
        </w:tc>
        <w:tc>
          <w:tcPr>
            <w:tcW w:w="613"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45A9B332">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二级指标</w:t>
            </w:r>
          </w:p>
        </w:tc>
        <w:tc>
          <w:tcPr>
            <w:tcW w:w="413"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782964C">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分值</w:t>
            </w:r>
          </w:p>
        </w:tc>
        <w:tc>
          <w:tcPr>
            <w:tcW w:w="1768"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3460DE62">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考核内容</w:t>
            </w:r>
          </w:p>
        </w:tc>
        <w:tc>
          <w:tcPr>
            <w:tcW w:w="4242"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1E7B021E">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评分标准</w:t>
            </w:r>
          </w:p>
        </w:tc>
        <w:tc>
          <w:tcPr>
            <w:tcW w:w="791"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36AC8EAE">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得分</w:t>
            </w:r>
          </w:p>
        </w:tc>
      </w:tr>
      <w:tr w14:paraId="7DF1685B">
        <w:tblPrEx>
          <w:tblCellMar>
            <w:top w:w="0" w:type="dxa"/>
            <w:left w:w="0" w:type="dxa"/>
            <w:bottom w:w="0" w:type="dxa"/>
            <w:right w:w="0" w:type="dxa"/>
          </w:tblCellMar>
        </w:tblPrEx>
        <w:trPr>
          <w:cantSplit/>
          <w:trHeight w:val="312" w:hRule="atLeast"/>
        </w:trPr>
        <w:tc>
          <w:tcPr>
            <w:tcW w:w="442"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0031C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食材管理</w:t>
            </w:r>
          </w:p>
        </w:tc>
        <w:tc>
          <w:tcPr>
            <w:tcW w:w="347"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E3184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 分</w:t>
            </w:r>
          </w:p>
        </w:tc>
        <w:tc>
          <w:tcPr>
            <w:tcW w:w="6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34494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食材质量评价指标</w:t>
            </w:r>
          </w:p>
        </w:tc>
        <w:tc>
          <w:tcPr>
            <w:tcW w:w="4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63165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25分</w:t>
            </w:r>
          </w:p>
        </w:tc>
        <w:tc>
          <w:tcPr>
            <w:tcW w:w="1768"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12D08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考核内容配送物品是否存在霉烂、变质、过期、破损、品种不达标等不符《深圳市学校食堂食材采购验收参考标准》中对质量要求的情况， 是否存在以次充好达不到</w:t>
            </w:r>
            <w:r>
              <w:rPr>
                <w:rFonts w:hint="eastAsia" w:ascii="宋体" w:hAnsi="宋体"/>
                <w:szCs w:val="21"/>
              </w:rPr>
              <w:t>校（园）方</w:t>
            </w:r>
            <w:r>
              <w:rPr>
                <w:rFonts w:hint="eastAsia" w:ascii="宋体" w:hAnsi="宋体" w:cs="宋体"/>
                <w:color w:val="000000"/>
                <w:kern w:val="0"/>
                <w:sz w:val="20"/>
                <w:szCs w:val="20"/>
              </w:rPr>
              <w:t>要求等的情况。每次退换货及时补回的每次扣 1 分/品种，每次退换货未能及时补回的每次扣 2 分/品种。</w:t>
            </w:r>
          </w:p>
        </w:tc>
        <w:tc>
          <w:tcPr>
            <w:tcW w:w="424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0E36F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本月每日配送食材新鲜，不存在霉烂、变质、过期、破损、品种不达标等情况，完全符合《深圳市学校食堂食材采购验收参考标准》中的相关要求，得 25 分；因食材不符合《深圳市学校食堂食材采购验收参考标准》中的相关要求，校（园）方要求供应商退换货的：供应商能及时补回同品种食材的，每发生一次扣 1 分/品种；供应商不能及时补回同品种食材、但能及时提供符合《深圳市学校食堂食材采购验收参考标准》中相关要求的替代食材的，每发生一次扣 2 分/品种；供应商不能及时补回同品种食材及符合《深圳市学校食堂食材采购验收参考标准》中相关要求的替代食材，对当日餐食造成影响（如不能按时开餐、菜品数量减少等），每发生一次扣 10 分。本项指标累计每月最高扣25 分。</w:t>
            </w:r>
          </w:p>
        </w:tc>
        <w:tc>
          <w:tcPr>
            <w:tcW w:w="791"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0693E32">
            <w:pPr>
              <w:jc w:val="center"/>
              <w:rPr>
                <w:rFonts w:ascii="宋体" w:hAnsi="宋体" w:cs="宋体"/>
                <w:color w:val="000000"/>
                <w:sz w:val="20"/>
                <w:szCs w:val="20"/>
              </w:rPr>
            </w:pPr>
          </w:p>
        </w:tc>
      </w:tr>
      <w:tr w14:paraId="728AC01B">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1C66D54">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F0EE8B5">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A5DBCD5">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2866BEA">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959076A">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F7CAB8B">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1948C8D">
            <w:pPr>
              <w:jc w:val="center"/>
              <w:rPr>
                <w:rFonts w:ascii="宋体" w:hAnsi="宋体" w:cs="宋体"/>
                <w:color w:val="000000"/>
                <w:sz w:val="20"/>
                <w:szCs w:val="20"/>
              </w:rPr>
            </w:pPr>
          </w:p>
        </w:tc>
      </w:tr>
      <w:tr w14:paraId="734CE5FD">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C4B2528">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EE04008">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92011C9">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CFD573C">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FBCC6F0">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E6F1D21">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A1DFE35">
            <w:pPr>
              <w:jc w:val="center"/>
              <w:rPr>
                <w:rFonts w:ascii="宋体" w:hAnsi="宋体" w:cs="宋体"/>
                <w:color w:val="000000"/>
                <w:sz w:val="20"/>
                <w:szCs w:val="20"/>
              </w:rPr>
            </w:pPr>
          </w:p>
        </w:tc>
      </w:tr>
      <w:tr w14:paraId="4CC11096">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5D8E93A">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6F6BCF">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70EA4F3">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6D3A8E1">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4CE075">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49978B2">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00A3453">
            <w:pPr>
              <w:jc w:val="center"/>
              <w:rPr>
                <w:rFonts w:ascii="宋体" w:hAnsi="宋体" w:cs="宋体"/>
                <w:color w:val="000000"/>
                <w:sz w:val="20"/>
                <w:szCs w:val="20"/>
              </w:rPr>
            </w:pPr>
          </w:p>
        </w:tc>
      </w:tr>
      <w:tr w14:paraId="242AE28A">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74D5D38">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A8A56D9">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D87E6C9">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64277E6">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1038CF2">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13E8069">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11B3391">
            <w:pPr>
              <w:jc w:val="center"/>
              <w:rPr>
                <w:rFonts w:ascii="宋体" w:hAnsi="宋体" w:cs="宋体"/>
                <w:color w:val="000000"/>
                <w:sz w:val="20"/>
                <w:szCs w:val="20"/>
              </w:rPr>
            </w:pPr>
          </w:p>
        </w:tc>
      </w:tr>
      <w:tr w14:paraId="7445AD6B">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1C953B5">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4D997AB">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7980CF8">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5C98223">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C089276">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3F42EB6">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F9C8A68">
            <w:pPr>
              <w:jc w:val="center"/>
              <w:rPr>
                <w:rFonts w:ascii="宋体" w:hAnsi="宋体" w:cs="宋体"/>
                <w:color w:val="000000"/>
                <w:sz w:val="20"/>
                <w:szCs w:val="20"/>
              </w:rPr>
            </w:pPr>
          </w:p>
        </w:tc>
      </w:tr>
      <w:tr w14:paraId="2E05C119">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7B03145">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340B825">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4067940">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7C900EA">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DE1AD2A">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3DCF837">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892F577">
            <w:pPr>
              <w:jc w:val="center"/>
              <w:rPr>
                <w:rFonts w:ascii="宋体" w:hAnsi="宋体" w:cs="宋体"/>
                <w:color w:val="000000"/>
                <w:sz w:val="20"/>
                <w:szCs w:val="20"/>
              </w:rPr>
            </w:pPr>
          </w:p>
        </w:tc>
      </w:tr>
      <w:tr w14:paraId="389CA68C">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30CA5EA">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B5325DC">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A628A22">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F98A110">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B99185E">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0A04E1">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93CA078">
            <w:pPr>
              <w:jc w:val="center"/>
              <w:rPr>
                <w:rFonts w:ascii="宋体" w:hAnsi="宋体" w:cs="宋体"/>
                <w:color w:val="000000"/>
                <w:sz w:val="20"/>
                <w:szCs w:val="20"/>
              </w:rPr>
            </w:pPr>
          </w:p>
        </w:tc>
      </w:tr>
      <w:tr w14:paraId="6BD4F47A">
        <w:tblPrEx>
          <w:tblCellMar>
            <w:top w:w="0" w:type="dxa"/>
            <w:left w:w="0" w:type="dxa"/>
            <w:bottom w:w="0" w:type="dxa"/>
            <w:right w:w="0" w:type="dxa"/>
          </w:tblCellMar>
        </w:tblPrEx>
        <w:trPr>
          <w:trHeight w:val="259"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1296DE6">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FEBF1AF">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847E85D">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019FFC3">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E2649CF">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0CC6A04">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B34B637">
            <w:pPr>
              <w:jc w:val="center"/>
              <w:rPr>
                <w:rFonts w:ascii="宋体" w:hAnsi="宋体" w:cs="宋体"/>
                <w:color w:val="000000"/>
                <w:sz w:val="20"/>
                <w:szCs w:val="20"/>
              </w:rPr>
            </w:pPr>
          </w:p>
        </w:tc>
      </w:tr>
      <w:tr w14:paraId="3CD2A088">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D66D7D8">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14AF85B">
            <w:pPr>
              <w:jc w:val="center"/>
              <w:rPr>
                <w:rFonts w:ascii="宋体" w:hAnsi="宋体" w:cs="宋体"/>
                <w:color w:val="000000"/>
                <w:sz w:val="20"/>
                <w:szCs w:val="20"/>
              </w:rPr>
            </w:pPr>
          </w:p>
        </w:tc>
        <w:tc>
          <w:tcPr>
            <w:tcW w:w="6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E1869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食材数量评价指标</w:t>
            </w:r>
          </w:p>
        </w:tc>
        <w:tc>
          <w:tcPr>
            <w:tcW w:w="4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A1425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 分</w:t>
            </w:r>
          </w:p>
        </w:tc>
        <w:tc>
          <w:tcPr>
            <w:tcW w:w="1768"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03599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考核供应商是否按照校（园）方订单品种和数量进行配送物品，是否存在缺斤少两的情况。</w:t>
            </w:r>
          </w:p>
        </w:tc>
        <w:tc>
          <w:tcPr>
            <w:tcW w:w="424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C0D08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供应商提供的食材品种与校（园）方订单要求一致，重量短缺不超过该类食材配送总量的 5%（含 5%）的，得 10 分；对照校（园）方订单，供应商提供的食材每缺失一个品种，扣 1 分； 供应商提供的食材重量短缺在该类食材配送总量中占 5%~10%（含 10%）的，扣 1 分；占 10%~20%（含 20%）的，扣 2 分；超过 30%（含 30%）的，扣 5 分；本项指标累计每月最高扣分 10分。</w:t>
            </w:r>
          </w:p>
        </w:tc>
        <w:tc>
          <w:tcPr>
            <w:tcW w:w="791"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A4496A0">
            <w:pPr>
              <w:jc w:val="center"/>
              <w:rPr>
                <w:rFonts w:ascii="宋体" w:hAnsi="宋体" w:cs="宋体"/>
                <w:color w:val="000000"/>
                <w:sz w:val="20"/>
                <w:szCs w:val="20"/>
              </w:rPr>
            </w:pPr>
          </w:p>
        </w:tc>
      </w:tr>
      <w:tr w14:paraId="160494EB">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7372B38">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A57C66D">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C767909">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72E65F8">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CDB9566">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E1FDBF7">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BCE606C">
            <w:pPr>
              <w:jc w:val="center"/>
              <w:rPr>
                <w:rFonts w:ascii="宋体" w:hAnsi="宋体" w:cs="宋体"/>
                <w:color w:val="000000"/>
                <w:sz w:val="20"/>
                <w:szCs w:val="20"/>
              </w:rPr>
            </w:pPr>
          </w:p>
        </w:tc>
      </w:tr>
      <w:tr w14:paraId="4BE601DE">
        <w:tblPrEx>
          <w:tblCellMar>
            <w:top w:w="0" w:type="dxa"/>
            <w:left w:w="0" w:type="dxa"/>
            <w:bottom w:w="0" w:type="dxa"/>
            <w:right w:w="0" w:type="dxa"/>
          </w:tblCellMar>
        </w:tblPrEx>
        <w:trPr>
          <w:trHeight w:val="584"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A5CB58B">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2B5C96C">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15CEB85">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F45851E">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BDE98D1">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0B247A1">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27E5602">
            <w:pPr>
              <w:jc w:val="center"/>
              <w:rPr>
                <w:rFonts w:ascii="宋体" w:hAnsi="宋体" w:cs="宋体"/>
                <w:color w:val="000000"/>
                <w:sz w:val="20"/>
                <w:szCs w:val="20"/>
              </w:rPr>
            </w:pPr>
          </w:p>
        </w:tc>
      </w:tr>
      <w:tr w14:paraId="4B4F244C">
        <w:tblPrEx>
          <w:tblCellMar>
            <w:top w:w="0" w:type="dxa"/>
            <w:left w:w="0" w:type="dxa"/>
            <w:bottom w:w="0" w:type="dxa"/>
            <w:right w:w="0" w:type="dxa"/>
          </w:tblCellMar>
        </w:tblPrEx>
        <w:trPr>
          <w:trHeight w:val="656" w:hRule="atLeast"/>
        </w:trPr>
        <w:tc>
          <w:tcPr>
            <w:tcW w:w="442"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0B3B91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流程</w:t>
            </w:r>
          </w:p>
          <w:p w14:paraId="64A7F4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管理</w:t>
            </w:r>
          </w:p>
        </w:tc>
        <w:tc>
          <w:tcPr>
            <w:tcW w:w="347"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E3CFD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 分</w:t>
            </w:r>
          </w:p>
        </w:tc>
        <w:tc>
          <w:tcPr>
            <w:tcW w:w="6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6097C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配送及时性评价指标</w:t>
            </w:r>
          </w:p>
        </w:tc>
        <w:tc>
          <w:tcPr>
            <w:tcW w:w="4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4B159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 分</w:t>
            </w:r>
          </w:p>
        </w:tc>
        <w:tc>
          <w:tcPr>
            <w:tcW w:w="1768"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1977B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考核供应商能否准时送货。</w:t>
            </w:r>
          </w:p>
        </w:tc>
        <w:tc>
          <w:tcPr>
            <w:tcW w:w="424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EDC2A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供应商每日按校（园）方要求时间准时送达食材的（因不可抗力造成的延迟或配送失败除外），得 10 分；迟于</w:t>
            </w:r>
            <w:r>
              <w:rPr>
                <w:rFonts w:hint="eastAsia" w:ascii="宋体" w:hAnsi="宋体"/>
                <w:szCs w:val="21"/>
              </w:rPr>
              <w:t>校（园）方</w:t>
            </w:r>
            <w:r>
              <w:rPr>
                <w:rFonts w:hint="eastAsia" w:ascii="宋体" w:hAnsi="宋体" w:cs="宋体"/>
                <w:color w:val="000000"/>
                <w:kern w:val="0"/>
                <w:sz w:val="20"/>
                <w:szCs w:val="20"/>
              </w:rPr>
              <w:t>要求时间配送的，每迟到 10 分钟扣 2分；本项指标累计每月最高扣分 10 分。</w:t>
            </w:r>
          </w:p>
        </w:tc>
        <w:tc>
          <w:tcPr>
            <w:tcW w:w="791"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4C340A1">
            <w:pPr>
              <w:jc w:val="center"/>
              <w:rPr>
                <w:rFonts w:ascii="宋体" w:hAnsi="宋体" w:cs="宋体"/>
                <w:color w:val="000000"/>
                <w:sz w:val="20"/>
                <w:szCs w:val="20"/>
              </w:rPr>
            </w:pPr>
          </w:p>
        </w:tc>
      </w:tr>
      <w:tr w14:paraId="0557D400">
        <w:tblPrEx>
          <w:tblCellMar>
            <w:top w:w="0" w:type="dxa"/>
            <w:left w:w="0" w:type="dxa"/>
            <w:bottom w:w="0" w:type="dxa"/>
            <w:right w:w="0" w:type="dxa"/>
          </w:tblCellMar>
        </w:tblPrEx>
        <w:trPr>
          <w:trHeight w:val="528"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E6EAC74">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E108649">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A1652F1">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80C8529">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9B83886">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F2855E6">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3509F80">
            <w:pPr>
              <w:jc w:val="center"/>
              <w:rPr>
                <w:rFonts w:ascii="宋体" w:hAnsi="宋体" w:cs="宋体"/>
                <w:color w:val="000000"/>
                <w:sz w:val="20"/>
                <w:szCs w:val="20"/>
              </w:rPr>
            </w:pPr>
          </w:p>
        </w:tc>
      </w:tr>
      <w:tr w14:paraId="2BA8B04A">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4532B4B">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F9082C9">
            <w:pPr>
              <w:jc w:val="center"/>
              <w:rPr>
                <w:rFonts w:ascii="宋体" w:hAnsi="宋体" w:cs="宋体"/>
                <w:color w:val="000000"/>
                <w:sz w:val="20"/>
                <w:szCs w:val="20"/>
              </w:rPr>
            </w:pPr>
          </w:p>
        </w:tc>
        <w:tc>
          <w:tcPr>
            <w:tcW w:w="6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40E3C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应急响应能力评价指标</w:t>
            </w:r>
          </w:p>
        </w:tc>
        <w:tc>
          <w:tcPr>
            <w:tcW w:w="4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52324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 分</w:t>
            </w:r>
          </w:p>
        </w:tc>
        <w:tc>
          <w:tcPr>
            <w:tcW w:w="1768"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01B56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考核供应商是否按照校（园）方的要求，以最快的速度，按照承诺进行应急处理。</w:t>
            </w:r>
          </w:p>
        </w:tc>
        <w:tc>
          <w:tcPr>
            <w:tcW w:w="424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DAFEB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供应商每次都能够按照应急方案，及时响应校（园）方的要求，得 5 分；供应商不能按照应急方案，存在延迟响应校（园）方要求且延迟时间不超过半小时（含半小时）的，每延迟一次扣 1 分；供应商延迟响应校（园）方要求超过半个小时的，或者供应商未响应校（园） 方要求的，每发生一次扣 2 分。本项指标累计每月最高扣分 5分。</w:t>
            </w:r>
          </w:p>
        </w:tc>
        <w:tc>
          <w:tcPr>
            <w:tcW w:w="791"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EC3ED13">
            <w:pPr>
              <w:jc w:val="center"/>
              <w:rPr>
                <w:rFonts w:ascii="宋体" w:hAnsi="宋体" w:cs="宋体"/>
                <w:color w:val="000000"/>
                <w:sz w:val="20"/>
                <w:szCs w:val="20"/>
              </w:rPr>
            </w:pPr>
          </w:p>
        </w:tc>
      </w:tr>
      <w:tr w14:paraId="70AC8BE3">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91B3517">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BB8C1DD">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55CD293">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6A36F51">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CAE4495">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E49AB32">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FFE4B14">
            <w:pPr>
              <w:jc w:val="center"/>
              <w:rPr>
                <w:rFonts w:ascii="宋体" w:hAnsi="宋体" w:cs="宋体"/>
                <w:color w:val="000000"/>
                <w:sz w:val="20"/>
                <w:szCs w:val="20"/>
              </w:rPr>
            </w:pPr>
          </w:p>
        </w:tc>
      </w:tr>
      <w:tr w14:paraId="47460692">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06C3486">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E948588">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03FFE29">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F411FF">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61F900E">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3A41C10">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40DDBEA">
            <w:pPr>
              <w:jc w:val="center"/>
              <w:rPr>
                <w:rFonts w:ascii="宋体" w:hAnsi="宋体" w:cs="宋体"/>
                <w:color w:val="000000"/>
                <w:sz w:val="20"/>
                <w:szCs w:val="20"/>
              </w:rPr>
            </w:pPr>
          </w:p>
        </w:tc>
      </w:tr>
      <w:tr w14:paraId="08598B69">
        <w:trPr>
          <w:trHeight w:val="3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CEDFB30">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3435D62">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63130FB">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D17D034">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97DEF38">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0A80AA6">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5711CB9">
            <w:pPr>
              <w:jc w:val="center"/>
              <w:rPr>
                <w:rFonts w:ascii="宋体" w:hAnsi="宋体" w:cs="宋体"/>
                <w:color w:val="000000"/>
                <w:sz w:val="20"/>
                <w:szCs w:val="20"/>
              </w:rPr>
            </w:pPr>
          </w:p>
        </w:tc>
      </w:tr>
      <w:tr w14:paraId="604BE554">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CFB748E">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196F3ED">
            <w:pPr>
              <w:jc w:val="center"/>
              <w:rPr>
                <w:rFonts w:ascii="宋体" w:hAnsi="宋体" w:cs="宋体"/>
                <w:color w:val="000000"/>
                <w:sz w:val="20"/>
                <w:szCs w:val="20"/>
              </w:rPr>
            </w:pPr>
          </w:p>
        </w:tc>
        <w:tc>
          <w:tcPr>
            <w:tcW w:w="6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DBA0E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索证制度评价指标</w:t>
            </w:r>
          </w:p>
        </w:tc>
        <w:tc>
          <w:tcPr>
            <w:tcW w:w="4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41BA2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 分</w:t>
            </w:r>
          </w:p>
        </w:tc>
        <w:tc>
          <w:tcPr>
            <w:tcW w:w="1768"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223E7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考核供应商的食材追踪体系建立情况</w:t>
            </w:r>
          </w:p>
        </w:tc>
        <w:tc>
          <w:tcPr>
            <w:tcW w:w="424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F973A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供应商按照《餐饮业食品索证管理规定》，建立了食材追踪体系，并有专门的台账档案，能随时查明货物来源或产地，能及时提供相关的票、据、证等材料的，得 10分；校（园）方每发现一次相关的票、据、证等材料不齐全的或者无法查明货物来源或产地的，扣 1 分/品种；本项目指标累计每月最高扣分 10 分。</w:t>
            </w:r>
          </w:p>
        </w:tc>
        <w:tc>
          <w:tcPr>
            <w:tcW w:w="791"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B6EE279">
            <w:pPr>
              <w:jc w:val="center"/>
              <w:rPr>
                <w:rFonts w:ascii="宋体" w:hAnsi="宋体" w:cs="宋体"/>
                <w:color w:val="000000"/>
                <w:sz w:val="20"/>
                <w:szCs w:val="20"/>
              </w:rPr>
            </w:pPr>
          </w:p>
        </w:tc>
      </w:tr>
      <w:tr w14:paraId="75984FF9">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2B10451">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D56939">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6F0F60B">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A1D9D9D">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C6812FF">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F588EBC">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730E412">
            <w:pPr>
              <w:jc w:val="center"/>
              <w:rPr>
                <w:rFonts w:ascii="宋体" w:hAnsi="宋体" w:cs="宋体"/>
                <w:color w:val="000000"/>
                <w:sz w:val="20"/>
                <w:szCs w:val="20"/>
              </w:rPr>
            </w:pPr>
          </w:p>
        </w:tc>
      </w:tr>
      <w:tr w14:paraId="6DD778B8">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C64D183">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B84877C">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FAC7D9B">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0847A93">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0BCE5D">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60EB0E3">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E29B3E0">
            <w:pPr>
              <w:jc w:val="center"/>
              <w:rPr>
                <w:rFonts w:ascii="宋体" w:hAnsi="宋体" w:cs="宋体"/>
                <w:color w:val="000000"/>
                <w:sz w:val="20"/>
                <w:szCs w:val="20"/>
              </w:rPr>
            </w:pPr>
          </w:p>
        </w:tc>
      </w:tr>
      <w:tr w14:paraId="5F66F10D">
        <w:tblPrEx>
          <w:tblCellMar>
            <w:top w:w="0" w:type="dxa"/>
            <w:left w:w="0" w:type="dxa"/>
            <w:bottom w:w="0" w:type="dxa"/>
            <w:right w:w="0" w:type="dxa"/>
          </w:tblCellMar>
        </w:tblPrEx>
        <w:trPr>
          <w:trHeight w:val="3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88BB500">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2E71522">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39B036D">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94F88A5">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17D25A1">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569D2BC">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0D0B815">
            <w:pPr>
              <w:jc w:val="center"/>
              <w:rPr>
                <w:rFonts w:ascii="宋体" w:hAnsi="宋体" w:cs="宋体"/>
                <w:color w:val="000000"/>
                <w:sz w:val="20"/>
                <w:szCs w:val="20"/>
              </w:rPr>
            </w:pPr>
          </w:p>
        </w:tc>
      </w:tr>
      <w:tr w14:paraId="3C7F7DEB">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D909E1D">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8D985B5">
            <w:pPr>
              <w:jc w:val="center"/>
              <w:rPr>
                <w:rFonts w:ascii="宋体" w:hAnsi="宋体" w:cs="宋体"/>
                <w:color w:val="000000"/>
                <w:sz w:val="20"/>
                <w:szCs w:val="20"/>
              </w:rPr>
            </w:pPr>
          </w:p>
        </w:tc>
        <w:tc>
          <w:tcPr>
            <w:tcW w:w="6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035AA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信息化评价指标</w:t>
            </w:r>
          </w:p>
        </w:tc>
        <w:tc>
          <w:tcPr>
            <w:tcW w:w="4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826FD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 分</w:t>
            </w:r>
          </w:p>
        </w:tc>
        <w:tc>
          <w:tcPr>
            <w:tcW w:w="1768"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7B1DC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考核供应商是否按要求运用信息化平台。</w:t>
            </w:r>
          </w:p>
        </w:tc>
        <w:tc>
          <w:tcPr>
            <w:tcW w:w="424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98C9B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供应商每次全面、及时、准确上传追溯信息，相关品名、规格、批次等数据真实完整，得 5 分；每发现一次上传信息不完整、不真实，扣 1 分；本项目指标累计每月最高扣分 5 分。</w:t>
            </w:r>
          </w:p>
        </w:tc>
        <w:tc>
          <w:tcPr>
            <w:tcW w:w="791"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7CB20F5">
            <w:pPr>
              <w:jc w:val="center"/>
              <w:rPr>
                <w:rFonts w:ascii="宋体" w:hAnsi="宋体" w:cs="宋体"/>
                <w:color w:val="000000"/>
                <w:sz w:val="20"/>
                <w:szCs w:val="20"/>
              </w:rPr>
            </w:pPr>
          </w:p>
        </w:tc>
      </w:tr>
      <w:tr w14:paraId="43234E46">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B9477CD">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210F683">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EF5BDF2">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6FDC406">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096307A">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BA3F973">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5C657E3">
            <w:pPr>
              <w:jc w:val="center"/>
              <w:rPr>
                <w:rFonts w:ascii="宋体" w:hAnsi="宋体" w:cs="宋体"/>
                <w:color w:val="000000"/>
                <w:sz w:val="20"/>
                <w:szCs w:val="20"/>
              </w:rPr>
            </w:pPr>
          </w:p>
        </w:tc>
      </w:tr>
      <w:tr w14:paraId="2E6D0B9C">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B8D9AB8">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D259E1B">
            <w:pPr>
              <w:jc w:val="center"/>
              <w:rPr>
                <w:rFonts w:ascii="宋体" w:hAnsi="宋体" w:cs="宋体"/>
                <w:color w:val="000000"/>
                <w:sz w:val="20"/>
                <w:szCs w:val="20"/>
              </w:rPr>
            </w:pPr>
          </w:p>
        </w:tc>
        <w:tc>
          <w:tcPr>
            <w:tcW w:w="6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9DE6C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单据管理评价指标</w:t>
            </w:r>
          </w:p>
        </w:tc>
        <w:tc>
          <w:tcPr>
            <w:tcW w:w="4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BA9C6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 分</w:t>
            </w:r>
          </w:p>
        </w:tc>
        <w:tc>
          <w:tcPr>
            <w:tcW w:w="1768"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335F4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考核供应商送货单据是否齐全、清晰。</w:t>
            </w:r>
          </w:p>
        </w:tc>
        <w:tc>
          <w:tcPr>
            <w:tcW w:w="424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D23F7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供应商每次提供的送货单（结算凭证）项目齐全，及其打印清晰的，得 5 分；每发现一次送货单（结算凭证）项目不齐全或者打印不清晰，扣 1 分；本项目指标累计每月最高扣分 5 分。</w:t>
            </w:r>
          </w:p>
        </w:tc>
        <w:tc>
          <w:tcPr>
            <w:tcW w:w="791"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80ACD82">
            <w:pPr>
              <w:jc w:val="center"/>
              <w:rPr>
                <w:rFonts w:ascii="宋体" w:hAnsi="宋体" w:cs="宋体"/>
                <w:color w:val="000000"/>
                <w:sz w:val="20"/>
                <w:szCs w:val="20"/>
              </w:rPr>
            </w:pPr>
          </w:p>
        </w:tc>
      </w:tr>
      <w:tr w14:paraId="7AD555DF">
        <w:tblPrEx>
          <w:tblCellMar>
            <w:top w:w="0" w:type="dxa"/>
            <w:left w:w="0" w:type="dxa"/>
            <w:bottom w:w="0" w:type="dxa"/>
            <w:right w:w="0" w:type="dxa"/>
          </w:tblCellMar>
        </w:tblPrEx>
        <w:trPr>
          <w:trHeight w:val="3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C007CB1">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52D60E6">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6833727">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D3AC831">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1742CB6">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852AB34">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1153782">
            <w:pPr>
              <w:jc w:val="center"/>
              <w:rPr>
                <w:rFonts w:ascii="宋体" w:hAnsi="宋体" w:cs="宋体"/>
                <w:color w:val="000000"/>
                <w:sz w:val="20"/>
                <w:szCs w:val="20"/>
              </w:rPr>
            </w:pPr>
          </w:p>
        </w:tc>
      </w:tr>
      <w:tr w14:paraId="7218C3C1">
        <w:tblPrEx>
          <w:tblCellMar>
            <w:top w:w="0" w:type="dxa"/>
            <w:left w:w="0" w:type="dxa"/>
            <w:bottom w:w="0" w:type="dxa"/>
            <w:right w:w="0" w:type="dxa"/>
          </w:tblCellMar>
        </w:tblPrEx>
        <w:trPr>
          <w:trHeight w:val="656" w:hRule="atLeast"/>
        </w:trPr>
        <w:tc>
          <w:tcPr>
            <w:tcW w:w="442"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36438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价格管理</w:t>
            </w:r>
          </w:p>
        </w:tc>
        <w:tc>
          <w:tcPr>
            <w:tcW w:w="347"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4B60E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 分</w:t>
            </w:r>
          </w:p>
        </w:tc>
        <w:tc>
          <w:tcPr>
            <w:tcW w:w="6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B6622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价格合理性评价指标</w:t>
            </w:r>
          </w:p>
        </w:tc>
        <w:tc>
          <w:tcPr>
            <w:tcW w:w="4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E164D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 分</w:t>
            </w:r>
          </w:p>
        </w:tc>
        <w:tc>
          <w:tcPr>
            <w:tcW w:w="1768"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64270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考核供应商是否建立了完善的报价机制；是否存在临时补货物品价格虚高的情况；是否存在对账单价格乱报、错报等的情况；是否存在月度结算对账不及时情况等。</w:t>
            </w:r>
          </w:p>
        </w:tc>
        <w:tc>
          <w:tcPr>
            <w:tcW w:w="424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FD1779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按照规定时间依时报价，且结算价格严格按照招标文件及供应商承诺的折扣率规定执行，没有虚高、乱报、错报的行为发生， 得 10 分；没有在规定时间内完成本月报价，每发生一次延迟扣</w:t>
            </w:r>
          </w:p>
          <w:p w14:paraId="35D02C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 分；每发现一次没有按照供应商承诺的折扣率报价，扣 1 分；每发生一次虚高、乱报或错报行为，扣 1 分；本项指标累计每月最高扣分 10 分。</w:t>
            </w:r>
          </w:p>
        </w:tc>
        <w:tc>
          <w:tcPr>
            <w:tcW w:w="791"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C1C72CE">
            <w:pPr>
              <w:jc w:val="center"/>
              <w:rPr>
                <w:rFonts w:ascii="宋体" w:hAnsi="宋体" w:cs="宋体"/>
                <w:color w:val="000000"/>
                <w:sz w:val="20"/>
                <w:szCs w:val="20"/>
              </w:rPr>
            </w:pPr>
          </w:p>
        </w:tc>
      </w:tr>
      <w:tr w14:paraId="3755BA26">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E160E8A">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9A9AF17">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F9E0441">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78E2EE8">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36A1D8">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3C68F99">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9310F3A">
            <w:pPr>
              <w:jc w:val="center"/>
              <w:rPr>
                <w:rFonts w:ascii="宋体" w:hAnsi="宋体" w:cs="宋体"/>
                <w:color w:val="000000"/>
                <w:sz w:val="20"/>
                <w:szCs w:val="20"/>
              </w:rPr>
            </w:pPr>
          </w:p>
        </w:tc>
      </w:tr>
      <w:tr w14:paraId="39587B0B">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02F7CBD">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823E3A">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FD353E6">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202494C">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D22C7DC">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ABA8316">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B450F69">
            <w:pPr>
              <w:jc w:val="center"/>
              <w:rPr>
                <w:rFonts w:ascii="宋体" w:hAnsi="宋体" w:cs="宋体"/>
                <w:color w:val="000000"/>
                <w:sz w:val="20"/>
                <w:szCs w:val="20"/>
              </w:rPr>
            </w:pPr>
          </w:p>
        </w:tc>
      </w:tr>
      <w:tr w14:paraId="0F4D0E78">
        <w:trPr>
          <w:trHeight w:val="408"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7838619">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DD96F12">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5B4BEF">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9796D81">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999855C">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14C7F96">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A7BE08B">
            <w:pPr>
              <w:jc w:val="center"/>
              <w:rPr>
                <w:rFonts w:ascii="宋体" w:hAnsi="宋体" w:cs="宋体"/>
                <w:color w:val="000000"/>
                <w:sz w:val="20"/>
                <w:szCs w:val="20"/>
              </w:rPr>
            </w:pPr>
          </w:p>
        </w:tc>
      </w:tr>
      <w:tr w14:paraId="7043BF8B">
        <w:tblPrEx>
          <w:tblCellMar>
            <w:top w:w="0" w:type="dxa"/>
            <w:left w:w="0" w:type="dxa"/>
            <w:bottom w:w="0" w:type="dxa"/>
            <w:right w:w="0" w:type="dxa"/>
          </w:tblCellMar>
        </w:tblPrEx>
        <w:trPr>
          <w:trHeight w:val="656" w:hRule="atLeast"/>
        </w:trPr>
        <w:tc>
          <w:tcPr>
            <w:tcW w:w="442"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9D06F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安全卫生</w:t>
            </w:r>
          </w:p>
        </w:tc>
        <w:tc>
          <w:tcPr>
            <w:tcW w:w="347"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9D226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15分</w:t>
            </w:r>
          </w:p>
        </w:tc>
        <w:tc>
          <w:tcPr>
            <w:tcW w:w="6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86B42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食材安全性评价指标</w:t>
            </w:r>
          </w:p>
        </w:tc>
        <w:tc>
          <w:tcPr>
            <w:tcW w:w="4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2440F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 分</w:t>
            </w:r>
          </w:p>
        </w:tc>
        <w:tc>
          <w:tcPr>
            <w:tcW w:w="1768"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9D061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考核食材安全检测指标是否符合国家相关规定</w:t>
            </w:r>
          </w:p>
        </w:tc>
        <w:tc>
          <w:tcPr>
            <w:tcW w:w="424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84E82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校（园）方不定期对配送物品进行食品安全抽检（如农药超标检测等），各项指标符合国家相关规范标准的要求，得 10 分；每存在一项指标不符合国家相关规范标准的要求，扣 5 分；本项目指标累计每月最高扣分 10 分。</w:t>
            </w:r>
          </w:p>
        </w:tc>
        <w:tc>
          <w:tcPr>
            <w:tcW w:w="791"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DC9FBC6">
            <w:pPr>
              <w:jc w:val="center"/>
              <w:rPr>
                <w:rFonts w:ascii="宋体" w:hAnsi="宋体" w:cs="宋体"/>
                <w:color w:val="000000"/>
                <w:sz w:val="20"/>
                <w:szCs w:val="20"/>
              </w:rPr>
            </w:pPr>
          </w:p>
        </w:tc>
      </w:tr>
      <w:tr w14:paraId="49BA2A7E">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598C80A">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5CE1FDE">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EFCC37B">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B79AC0F">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E5CC82C">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B4733B1">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D94A96D">
            <w:pPr>
              <w:jc w:val="center"/>
              <w:rPr>
                <w:rFonts w:ascii="宋体" w:hAnsi="宋体" w:cs="宋体"/>
                <w:color w:val="000000"/>
                <w:sz w:val="20"/>
                <w:szCs w:val="20"/>
              </w:rPr>
            </w:pPr>
          </w:p>
        </w:tc>
      </w:tr>
      <w:tr w14:paraId="1E555135">
        <w:tblPrEx>
          <w:tblCellMar>
            <w:top w:w="0" w:type="dxa"/>
            <w:left w:w="0" w:type="dxa"/>
            <w:bottom w:w="0" w:type="dxa"/>
            <w:right w:w="0" w:type="dxa"/>
          </w:tblCellMar>
        </w:tblPrEx>
        <w:trPr>
          <w:trHeight w:val="3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9A48E9D">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4070C62">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9710A4F">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177822D">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D158E81">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FBAC782">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9BD5686">
            <w:pPr>
              <w:jc w:val="center"/>
              <w:rPr>
                <w:rFonts w:ascii="宋体" w:hAnsi="宋体" w:cs="宋体"/>
                <w:color w:val="000000"/>
                <w:sz w:val="20"/>
                <w:szCs w:val="20"/>
              </w:rPr>
            </w:pPr>
          </w:p>
        </w:tc>
      </w:tr>
      <w:tr w14:paraId="79CD2EB7">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7E5BF5B">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678707D">
            <w:pPr>
              <w:jc w:val="center"/>
              <w:rPr>
                <w:rFonts w:ascii="宋体" w:hAnsi="宋体" w:cs="宋体"/>
                <w:color w:val="000000"/>
                <w:sz w:val="20"/>
                <w:szCs w:val="20"/>
              </w:rPr>
            </w:pPr>
          </w:p>
        </w:tc>
        <w:tc>
          <w:tcPr>
            <w:tcW w:w="6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06D70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配送人员评价指标</w:t>
            </w:r>
          </w:p>
        </w:tc>
        <w:tc>
          <w:tcPr>
            <w:tcW w:w="4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729C2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 分</w:t>
            </w:r>
          </w:p>
        </w:tc>
        <w:tc>
          <w:tcPr>
            <w:tcW w:w="1768"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8B2FB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考核配送人员的综合素质。</w:t>
            </w:r>
          </w:p>
        </w:tc>
        <w:tc>
          <w:tcPr>
            <w:tcW w:w="424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6C262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每一名配送人员均持有健康证，配送时段统一穿工服，得 5 分；每发现一次配送人员未统一着装，扣 1 分/人；发现一次配送人员无健康证，扣 5 分；本项指标累计每月最高扣分 5 分。</w:t>
            </w:r>
          </w:p>
        </w:tc>
        <w:tc>
          <w:tcPr>
            <w:tcW w:w="791"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D19864C">
            <w:pPr>
              <w:jc w:val="center"/>
              <w:rPr>
                <w:rFonts w:ascii="宋体" w:hAnsi="宋体" w:cs="宋体"/>
                <w:color w:val="000000"/>
                <w:sz w:val="20"/>
                <w:szCs w:val="20"/>
              </w:rPr>
            </w:pPr>
          </w:p>
        </w:tc>
      </w:tr>
      <w:tr w14:paraId="0DFD596D">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6B578AB">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49A50F2">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5B0ED11">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318B364">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A408A2F">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9C55BC0">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D4F3C16">
            <w:pPr>
              <w:jc w:val="center"/>
              <w:rPr>
                <w:rFonts w:ascii="宋体" w:hAnsi="宋体" w:cs="宋体"/>
                <w:color w:val="000000"/>
                <w:sz w:val="20"/>
                <w:szCs w:val="20"/>
              </w:rPr>
            </w:pPr>
          </w:p>
        </w:tc>
      </w:tr>
      <w:tr w14:paraId="4C545A38">
        <w:tblPrEx>
          <w:tblCellMar>
            <w:top w:w="0" w:type="dxa"/>
            <w:left w:w="0" w:type="dxa"/>
            <w:bottom w:w="0" w:type="dxa"/>
            <w:right w:w="0" w:type="dxa"/>
          </w:tblCellMar>
        </w:tblPrEx>
        <w:trPr>
          <w:trHeight w:val="259"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862F900">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B908C1A">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09737B4">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67E2FF8">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861090E">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B4300DC">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A6EFD2D">
            <w:pPr>
              <w:jc w:val="center"/>
              <w:rPr>
                <w:rFonts w:ascii="宋体" w:hAnsi="宋体" w:cs="宋体"/>
                <w:color w:val="000000"/>
                <w:sz w:val="20"/>
                <w:szCs w:val="20"/>
              </w:rPr>
            </w:pPr>
          </w:p>
        </w:tc>
      </w:tr>
      <w:tr w14:paraId="64792E01">
        <w:tblPrEx>
          <w:tblCellMar>
            <w:top w:w="0" w:type="dxa"/>
            <w:left w:w="0" w:type="dxa"/>
            <w:bottom w:w="0" w:type="dxa"/>
            <w:right w:w="0" w:type="dxa"/>
          </w:tblCellMar>
        </w:tblPrEx>
        <w:trPr>
          <w:trHeight w:val="656" w:hRule="atLeast"/>
        </w:trPr>
        <w:tc>
          <w:tcPr>
            <w:tcW w:w="442"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D95D2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服务质量</w:t>
            </w:r>
          </w:p>
        </w:tc>
        <w:tc>
          <w:tcPr>
            <w:tcW w:w="347"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D6952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 分</w:t>
            </w:r>
          </w:p>
        </w:tc>
        <w:tc>
          <w:tcPr>
            <w:tcW w:w="6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7EDD5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服务态度评价指标</w:t>
            </w:r>
          </w:p>
        </w:tc>
        <w:tc>
          <w:tcPr>
            <w:tcW w:w="4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77E91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 分</w:t>
            </w:r>
          </w:p>
        </w:tc>
        <w:tc>
          <w:tcPr>
            <w:tcW w:w="1768"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D6637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考核供应商服务态度是否良好。</w:t>
            </w:r>
          </w:p>
        </w:tc>
        <w:tc>
          <w:tcPr>
            <w:tcW w:w="424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56D62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工作人员工作认真，服务热情周到，运送搬运文明，无投诉事件发生，得 5 分；每接到 1 次有效投诉扣 5 分；本项指标累计每月最高扣分 5 分。</w:t>
            </w:r>
          </w:p>
        </w:tc>
        <w:tc>
          <w:tcPr>
            <w:tcW w:w="791"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98624E5">
            <w:pPr>
              <w:jc w:val="center"/>
              <w:rPr>
                <w:rFonts w:ascii="宋体" w:hAnsi="宋体" w:cs="宋体"/>
                <w:color w:val="000000"/>
                <w:sz w:val="20"/>
                <w:szCs w:val="20"/>
              </w:rPr>
            </w:pPr>
          </w:p>
        </w:tc>
      </w:tr>
      <w:tr w14:paraId="523DBCAF">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221B6C8">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F4FF88A">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9D64477">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58918D8">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FDE655E">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F26259">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A174C00">
            <w:pPr>
              <w:jc w:val="center"/>
              <w:rPr>
                <w:rFonts w:ascii="宋体" w:hAnsi="宋体" w:cs="宋体"/>
                <w:color w:val="000000"/>
                <w:sz w:val="20"/>
                <w:szCs w:val="20"/>
              </w:rPr>
            </w:pPr>
          </w:p>
        </w:tc>
      </w:tr>
      <w:tr w14:paraId="5CBAD62D">
        <w:tblPrEx>
          <w:tblCellMar>
            <w:top w:w="0" w:type="dxa"/>
            <w:left w:w="0" w:type="dxa"/>
            <w:bottom w:w="0" w:type="dxa"/>
            <w:right w:w="0" w:type="dxa"/>
          </w:tblCellMar>
        </w:tblPrEx>
        <w:trPr>
          <w:trHeight w:val="3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167C6EF">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46E446">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1836679">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7E38553">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654C0B3">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EB3ACA5">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A57DE10">
            <w:pPr>
              <w:jc w:val="center"/>
              <w:rPr>
                <w:rFonts w:ascii="宋体" w:hAnsi="宋体" w:cs="宋体"/>
                <w:color w:val="000000"/>
                <w:sz w:val="20"/>
                <w:szCs w:val="20"/>
              </w:rPr>
            </w:pPr>
          </w:p>
        </w:tc>
      </w:tr>
      <w:tr w14:paraId="147CB92D">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7A80661">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60B7B50">
            <w:pPr>
              <w:jc w:val="center"/>
              <w:rPr>
                <w:rFonts w:ascii="宋体" w:hAnsi="宋体" w:cs="宋体"/>
                <w:color w:val="000000"/>
                <w:sz w:val="20"/>
                <w:szCs w:val="20"/>
              </w:rPr>
            </w:pPr>
          </w:p>
        </w:tc>
        <w:tc>
          <w:tcPr>
            <w:tcW w:w="6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42B3A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反馈整改评价指标</w:t>
            </w:r>
          </w:p>
        </w:tc>
        <w:tc>
          <w:tcPr>
            <w:tcW w:w="41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0092B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 分</w:t>
            </w:r>
          </w:p>
        </w:tc>
        <w:tc>
          <w:tcPr>
            <w:tcW w:w="1768"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C69F1B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考核供应商是否对校</w:t>
            </w:r>
          </w:p>
          <w:p w14:paraId="23CF0E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（园）方、考核小组的反馈意见进行认真及时的整改。</w:t>
            </w:r>
          </w:p>
        </w:tc>
        <w:tc>
          <w:tcPr>
            <w:tcW w:w="424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B244D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对校（园）方、考核小组的反馈意见虚心接受，认真及时更改， 得 5 分；对校（园）方、考核小组的反馈意见没有及时整改，每发现一次扣 1 分；本项指标累计每月最高扣分 5 分。</w:t>
            </w:r>
          </w:p>
        </w:tc>
        <w:tc>
          <w:tcPr>
            <w:tcW w:w="791"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69620BD">
            <w:pPr>
              <w:jc w:val="center"/>
              <w:rPr>
                <w:rFonts w:ascii="宋体" w:hAnsi="宋体" w:cs="宋体"/>
                <w:color w:val="000000"/>
                <w:sz w:val="20"/>
                <w:szCs w:val="20"/>
              </w:rPr>
            </w:pPr>
          </w:p>
        </w:tc>
      </w:tr>
      <w:tr w14:paraId="27457E63">
        <w:tblPrEx>
          <w:tblCellMar>
            <w:top w:w="0" w:type="dxa"/>
            <w:left w:w="0" w:type="dxa"/>
            <w:bottom w:w="0" w:type="dxa"/>
            <w:right w:w="0" w:type="dxa"/>
          </w:tblCellMar>
        </w:tblPrEx>
        <w:trPr>
          <w:trHeight w:val="812" w:hRule="atLeast"/>
        </w:trPr>
        <w:tc>
          <w:tcPr>
            <w:tcW w:w="442"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961E91E">
            <w:pPr>
              <w:jc w:val="center"/>
              <w:rPr>
                <w:rFonts w:ascii="宋体" w:hAnsi="宋体" w:cs="宋体"/>
                <w:color w:val="000000"/>
                <w:sz w:val="20"/>
                <w:szCs w:val="20"/>
              </w:rPr>
            </w:pPr>
          </w:p>
        </w:tc>
        <w:tc>
          <w:tcPr>
            <w:tcW w:w="347"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C538165">
            <w:pPr>
              <w:jc w:val="center"/>
              <w:rPr>
                <w:rFonts w:ascii="宋体" w:hAnsi="宋体" w:cs="宋体"/>
                <w:color w:val="000000"/>
                <w:sz w:val="20"/>
                <w:szCs w:val="20"/>
              </w:rPr>
            </w:pPr>
          </w:p>
        </w:tc>
        <w:tc>
          <w:tcPr>
            <w:tcW w:w="6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C129DFE">
            <w:pPr>
              <w:jc w:val="center"/>
              <w:rPr>
                <w:rFonts w:ascii="宋体" w:hAnsi="宋体" w:cs="宋体"/>
                <w:color w:val="000000"/>
                <w:sz w:val="20"/>
                <w:szCs w:val="20"/>
              </w:rPr>
            </w:pPr>
          </w:p>
        </w:tc>
        <w:tc>
          <w:tcPr>
            <w:tcW w:w="41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66D520A">
            <w:pPr>
              <w:jc w:val="center"/>
              <w:rPr>
                <w:rFonts w:ascii="宋体" w:hAnsi="宋体" w:cs="宋体"/>
                <w:color w:val="000000"/>
                <w:sz w:val="20"/>
                <w:szCs w:val="20"/>
              </w:rPr>
            </w:pPr>
          </w:p>
        </w:tc>
        <w:tc>
          <w:tcPr>
            <w:tcW w:w="1768"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BACBB6">
            <w:pPr>
              <w:jc w:val="center"/>
              <w:rPr>
                <w:rFonts w:ascii="宋体" w:hAnsi="宋体" w:cs="宋体"/>
                <w:color w:val="000000"/>
                <w:sz w:val="20"/>
                <w:szCs w:val="20"/>
              </w:rPr>
            </w:pPr>
          </w:p>
        </w:tc>
        <w:tc>
          <w:tcPr>
            <w:tcW w:w="424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BC694D5">
            <w:pPr>
              <w:jc w:val="center"/>
              <w:rPr>
                <w:rFonts w:ascii="宋体" w:hAnsi="宋体" w:cs="宋体"/>
                <w:color w:val="000000"/>
                <w:sz w:val="20"/>
                <w:szCs w:val="20"/>
              </w:rPr>
            </w:pPr>
          </w:p>
        </w:tc>
        <w:tc>
          <w:tcPr>
            <w:tcW w:w="791"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E6AFAF4">
            <w:pPr>
              <w:jc w:val="center"/>
              <w:rPr>
                <w:rFonts w:ascii="宋体" w:hAnsi="宋体" w:cs="宋体"/>
                <w:color w:val="000000"/>
                <w:sz w:val="20"/>
                <w:szCs w:val="20"/>
              </w:rPr>
            </w:pPr>
          </w:p>
        </w:tc>
      </w:tr>
      <w:tr w14:paraId="0BBF32F5">
        <w:tblPrEx>
          <w:tblCellMar>
            <w:top w:w="0" w:type="dxa"/>
            <w:left w:w="0" w:type="dxa"/>
            <w:bottom w:w="0" w:type="dxa"/>
            <w:right w:w="0" w:type="dxa"/>
          </w:tblCellMar>
        </w:tblPrEx>
        <w:trPr>
          <w:trHeight w:val="719" w:hRule="atLeast"/>
        </w:trPr>
        <w:tc>
          <w:tcPr>
            <w:tcW w:w="7825" w:type="dxa"/>
            <w:gridSpan w:val="6"/>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76934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服务供应商月度考核总得分</w:t>
            </w:r>
          </w:p>
        </w:tc>
        <w:tc>
          <w:tcPr>
            <w:tcW w:w="791" w:type="dxa"/>
            <w:tcBorders>
              <w:top w:val="nil"/>
              <w:left w:val="nil"/>
              <w:bottom w:val="single" w:color="000000" w:sz="8" w:space="0"/>
              <w:right w:val="single" w:color="000000" w:sz="8" w:space="0"/>
            </w:tcBorders>
            <w:tcMar>
              <w:top w:w="15" w:type="dxa"/>
              <w:left w:w="15" w:type="dxa"/>
              <w:right w:w="15" w:type="dxa"/>
            </w:tcMar>
            <w:vAlign w:val="center"/>
          </w:tcPr>
          <w:p w14:paraId="3E6DF1CD">
            <w:pPr>
              <w:jc w:val="center"/>
              <w:rPr>
                <w:rFonts w:ascii="宋体" w:hAnsi="宋体" w:cs="宋体"/>
                <w:color w:val="000000"/>
                <w:sz w:val="20"/>
                <w:szCs w:val="20"/>
              </w:rPr>
            </w:pPr>
          </w:p>
        </w:tc>
      </w:tr>
    </w:tbl>
    <w:p w14:paraId="22AB32DE">
      <w:pPr>
        <w:rPr>
          <w:b/>
          <w:sz w:val="24"/>
        </w:rPr>
      </w:pPr>
    </w:p>
    <w:p w14:paraId="5D0EFA3F">
      <w:pPr>
        <w:rPr>
          <w:b/>
          <w:sz w:val="24"/>
        </w:rPr>
      </w:pPr>
    </w:p>
    <w:p w14:paraId="7EFEEEFF">
      <w:pPr>
        <w:pStyle w:val="6"/>
      </w:pPr>
      <w:r>
        <w:rPr>
          <w:rFonts w:hint="eastAsia"/>
        </w:rPr>
        <w:t>六、商务要求</w:t>
      </w:r>
    </w:p>
    <w:tbl>
      <w:tblPr>
        <w:tblStyle w:val="42"/>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609"/>
      </w:tblGrid>
      <w:tr w14:paraId="18F7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Align w:val="center"/>
          </w:tcPr>
          <w:p w14:paraId="3836F4FA">
            <w:pPr>
              <w:jc w:val="center"/>
              <w:rPr>
                <w:rFonts w:ascii="宋体" w:hAnsi="宋体"/>
                <w:b/>
                <w:bCs/>
                <w:szCs w:val="21"/>
              </w:rPr>
            </w:pPr>
            <w:bookmarkStart w:id="37" w:name="OLE_LINK68"/>
            <w:r>
              <w:rPr>
                <w:rFonts w:hint="eastAsia" w:ascii="宋体" w:hAnsi="宋体"/>
                <w:b/>
                <w:bCs/>
                <w:szCs w:val="21"/>
              </w:rPr>
              <w:t>序号</w:t>
            </w:r>
          </w:p>
        </w:tc>
        <w:tc>
          <w:tcPr>
            <w:tcW w:w="993" w:type="dxa"/>
            <w:vAlign w:val="center"/>
          </w:tcPr>
          <w:p w14:paraId="3AD825CD">
            <w:pPr>
              <w:jc w:val="center"/>
              <w:rPr>
                <w:rFonts w:ascii="宋体" w:hAnsi="宋体"/>
                <w:b/>
                <w:bCs/>
                <w:szCs w:val="21"/>
              </w:rPr>
            </w:pPr>
            <w:r>
              <w:rPr>
                <w:rFonts w:hint="eastAsia" w:ascii="宋体" w:hAnsi="宋体"/>
                <w:b/>
                <w:bCs/>
                <w:szCs w:val="21"/>
              </w:rPr>
              <w:t>商务需求项</w:t>
            </w:r>
          </w:p>
        </w:tc>
        <w:tc>
          <w:tcPr>
            <w:tcW w:w="6609" w:type="dxa"/>
            <w:vAlign w:val="center"/>
          </w:tcPr>
          <w:p w14:paraId="209FD98A">
            <w:pPr>
              <w:jc w:val="center"/>
              <w:rPr>
                <w:rFonts w:ascii="宋体" w:hAnsi="宋体"/>
                <w:b/>
                <w:bCs/>
                <w:szCs w:val="21"/>
              </w:rPr>
            </w:pPr>
            <w:r>
              <w:rPr>
                <w:rFonts w:hint="eastAsia" w:ascii="宋体" w:hAnsi="宋体"/>
                <w:b/>
                <w:bCs/>
                <w:szCs w:val="21"/>
              </w:rPr>
              <w:t>招标商务要求</w:t>
            </w:r>
          </w:p>
        </w:tc>
      </w:tr>
      <w:tr w14:paraId="77B0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675" w:type="dxa"/>
            <w:vMerge w:val="restart"/>
            <w:vAlign w:val="center"/>
          </w:tcPr>
          <w:p w14:paraId="75B48D84">
            <w:pPr>
              <w:rPr>
                <w:rFonts w:ascii="宋体" w:hAnsi="宋体"/>
                <w:b/>
                <w:bCs/>
                <w:szCs w:val="21"/>
              </w:rPr>
            </w:pPr>
            <w:r>
              <w:rPr>
                <w:rFonts w:hint="eastAsia" w:ascii="宋体" w:hAnsi="宋体"/>
                <w:b/>
                <w:bCs/>
                <w:szCs w:val="21"/>
              </w:rPr>
              <w:t>1</w:t>
            </w:r>
          </w:p>
          <w:p w14:paraId="733B1DC8">
            <w:pPr>
              <w:rPr>
                <w:rFonts w:ascii="宋体" w:hAnsi="宋体"/>
                <w:b/>
                <w:bCs/>
                <w:szCs w:val="21"/>
              </w:rPr>
            </w:pPr>
          </w:p>
        </w:tc>
        <w:tc>
          <w:tcPr>
            <w:tcW w:w="993" w:type="dxa"/>
            <w:vMerge w:val="restart"/>
            <w:vAlign w:val="center"/>
          </w:tcPr>
          <w:p w14:paraId="429EF9BB">
            <w:pPr>
              <w:rPr>
                <w:rFonts w:ascii="宋体" w:hAnsi="宋体"/>
                <w:b/>
                <w:bCs/>
                <w:szCs w:val="21"/>
              </w:rPr>
            </w:pPr>
            <w:r>
              <w:rPr>
                <w:rFonts w:hint="eastAsia" w:ascii="宋体" w:hAnsi="宋体"/>
                <w:b/>
                <w:sz w:val="20"/>
                <w:szCs w:val="20"/>
              </w:rPr>
              <w:t>必备条款</w:t>
            </w:r>
          </w:p>
        </w:tc>
        <w:tc>
          <w:tcPr>
            <w:tcW w:w="6609" w:type="dxa"/>
            <w:vAlign w:val="center"/>
          </w:tcPr>
          <w:p w14:paraId="3966BA89">
            <w:pPr>
              <w:rPr>
                <w:rFonts w:ascii="宋体" w:hAnsi="宋体"/>
                <w:b/>
                <w:bCs/>
                <w:szCs w:val="21"/>
              </w:rPr>
            </w:pPr>
            <w:r>
              <w:rPr>
                <w:rFonts w:hint="eastAsia" w:ascii="宋体" w:hAnsi="宋体"/>
                <w:b/>
                <w:bCs/>
                <w:szCs w:val="21"/>
              </w:rPr>
              <w:t>1.1服务期要求：</w:t>
            </w:r>
          </w:p>
          <w:p w14:paraId="5C5C18C3">
            <w:pPr>
              <w:rPr>
                <w:rFonts w:ascii="宋体" w:hAnsi="宋体"/>
                <w:b/>
                <w:bCs/>
                <w:szCs w:val="21"/>
              </w:rPr>
            </w:pPr>
            <w:r>
              <w:rPr>
                <w:rFonts w:hint="eastAsia" w:ascii="宋体" w:hAnsi="宋体"/>
                <w:szCs w:val="21"/>
              </w:rPr>
              <w:t>本项目为长期服务采购，合同履行期不超过36个月，与区教育局统筹实施的原大宗食材批量集中采购合同期保持一致，其中分组1的学校（幼儿园）最长服务期不超过2026年8月31日，分组2的学校（幼儿园）最长服务期不超过2027年8月31日。中标方跟采购方签订主体合同，由各学校（幼儿园）履行合同，各学校（幼儿园）根据主合同相关条款，分别与中标方签订子合同，在服务期限内，学校（幼儿园）每月对中标方进行月度考核评分并上报区教育局（如不提供服务则无需考核），区教育局对每月考核评分数据进行汇总统计，以每年春季学期结束为时间节点，年度平均考核得分80分（不含）以下评价为不满意，采购人将不予续签合同，且不承担中标人因提前终止合同造成的任何损失责任；80分（含）以上评价为满意，中标方可申请续签，续签合同服务期限以甲方需求为准。</w:t>
            </w:r>
          </w:p>
        </w:tc>
      </w:tr>
      <w:tr w14:paraId="7004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vMerge w:val="continue"/>
            <w:vAlign w:val="center"/>
          </w:tcPr>
          <w:p w14:paraId="59D48911">
            <w:pPr>
              <w:rPr>
                <w:rFonts w:ascii="宋体" w:hAnsi="宋体"/>
                <w:b/>
                <w:bCs/>
                <w:szCs w:val="21"/>
              </w:rPr>
            </w:pPr>
          </w:p>
        </w:tc>
        <w:tc>
          <w:tcPr>
            <w:tcW w:w="993" w:type="dxa"/>
            <w:vMerge w:val="continue"/>
            <w:vAlign w:val="center"/>
          </w:tcPr>
          <w:p w14:paraId="5A2D2C3F">
            <w:pPr>
              <w:rPr>
                <w:rFonts w:ascii="宋体" w:hAnsi="宋体"/>
                <w:b/>
                <w:bCs/>
                <w:szCs w:val="21"/>
              </w:rPr>
            </w:pPr>
          </w:p>
        </w:tc>
        <w:tc>
          <w:tcPr>
            <w:tcW w:w="6609" w:type="dxa"/>
            <w:vAlign w:val="center"/>
          </w:tcPr>
          <w:p w14:paraId="6BE15961">
            <w:pPr>
              <w:rPr>
                <w:rFonts w:ascii="宋体" w:hAnsi="宋体"/>
                <w:b/>
                <w:bCs/>
                <w:szCs w:val="21"/>
              </w:rPr>
            </w:pPr>
            <w:r>
              <w:rPr>
                <w:rFonts w:hint="eastAsia" w:ascii="宋体" w:hAnsi="宋体"/>
                <w:b/>
                <w:bCs/>
                <w:szCs w:val="21"/>
              </w:rPr>
              <w:t>1.2其他要求：</w:t>
            </w:r>
          </w:p>
          <w:p w14:paraId="5DDF03FE">
            <w:pPr>
              <w:rPr>
                <w:rFonts w:ascii="宋体" w:hAnsi="宋体"/>
                <w:b/>
                <w:bCs/>
                <w:szCs w:val="21"/>
              </w:rPr>
            </w:pPr>
            <w:r>
              <w:rPr>
                <w:rFonts w:hint="eastAsia" w:ascii="宋体" w:hAnsi="宋体" w:cs="宋体"/>
                <w:color w:val="000000"/>
                <w:kern w:val="0"/>
                <w:szCs w:val="21"/>
              </w:rPr>
              <w:t>采购人及学校（幼儿园）可引进有资质的第三方监管单位对中标供应商配送的所有物资进行现场验收并进行相关项目检测，中标供应商必须无条件接受第三方监管单位的验收、检测等监管并认可第三方的检测结果。</w:t>
            </w:r>
          </w:p>
        </w:tc>
      </w:tr>
      <w:tr w14:paraId="1455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4A4EFC79">
            <w:pPr>
              <w:rPr>
                <w:rFonts w:ascii="宋体" w:hAnsi="宋体"/>
                <w:b/>
                <w:bCs/>
                <w:szCs w:val="21"/>
              </w:rPr>
            </w:pPr>
            <w:bookmarkStart w:id="38" w:name="_Hlk107481613"/>
          </w:p>
        </w:tc>
        <w:tc>
          <w:tcPr>
            <w:tcW w:w="993" w:type="dxa"/>
            <w:vMerge w:val="continue"/>
            <w:vAlign w:val="center"/>
          </w:tcPr>
          <w:p w14:paraId="7C5F931C">
            <w:pPr>
              <w:rPr>
                <w:rFonts w:ascii="宋体" w:hAnsi="宋体"/>
                <w:b/>
                <w:bCs/>
                <w:szCs w:val="21"/>
              </w:rPr>
            </w:pPr>
          </w:p>
        </w:tc>
        <w:tc>
          <w:tcPr>
            <w:tcW w:w="6609" w:type="dxa"/>
            <w:vAlign w:val="center"/>
          </w:tcPr>
          <w:p w14:paraId="6487D783">
            <w:pPr>
              <w:spacing w:line="360" w:lineRule="auto"/>
              <w:rPr>
                <w:rFonts w:asciiTheme="minorEastAsia" w:hAnsiTheme="minorEastAsia" w:eastAsiaTheme="minorEastAsia"/>
                <w:b/>
              </w:rPr>
            </w:pPr>
            <w:r>
              <w:rPr>
                <w:rFonts w:hint="eastAsia" w:asciiTheme="minorEastAsia" w:hAnsiTheme="minorEastAsia" w:eastAsiaTheme="minorEastAsia"/>
                <w:b/>
              </w:rPr>
              <w:t>1.3付款期限和方式：</w:t>
            </w:r>
          </w:p>
          <w:p w14:paraId="151E5767">
            <w:r>
              <w:rPr>
                <w:rFonts w:hint="eastAsia" w:ascii="宋体" w:hAnsi="宋体"/>
                <w:szCs w:val="21"/>
              </w:rPr>
              <w:t>中标人应先行垫付上个月产生费用，校（园）方于次月10日前向中标人结算费用。各高中、中小学因学校食堂采用承包制的管理模式，由各校饭堂承包商跟中标人进行结算。中标供应商必须向校（园）方提供合法的货款发票，发票公章必须与公司名称相符，同时按货物品目分类提供明细、汇总清单及产品价格证明（包括但不限于深圳市中农数据有限公司（天天采配平台）公布的价格截图及询价资料等）。中标人与学校（幼儿园）可根据政策要求或市场环境针对结算方式签订相关补充协议，及时调整结算方式。</w:t>
            </w:r>
          </w:p>
        </w:tc>
      </w:tr>
      <w:tr w14:paraId="1C63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3057C128">
            <w:pPr>
              <w:rPr>
                <w:rFonts w:ascii="宋体" w:hAnsi="宋体"/>
                <w:b/>
                <w:bCs/>
                <w:szCs w:val="21"/>
              </w:rPr>
            </w:pPr>
          </w:p>
        </w:tc>
        <w:tc>
          <w:tcPr>
            <w:tcW w:w="993" w:type="dxa"/>
            <w:vMerge w:val="continue"/>
            <w:vAlign w:val="center"/>
          </w:tcPr>
          <w:p w14:paraId="079A5D2C">
            <w:pPr>
              <w:rPr>
                <w:rFonts w:ascii="宋体" w:hAnsi="宋体"/>
                <w:b/>
                <w:bCs/>
                <w:szCs w:val="21"/>
              </w:rPr>
            </w:pPr>
          </w:p>
        </w:tc>
        <w:tc>
          <w:tcPr>
            <w:tcW w:w="6609" w:type="dxa"/>
            <w:vAlign w:val="center"/>
          </w:tcPr>
          <w:p w14:paraId="7A665BF7">
            <w:pPr>
              <w:rPr>
                <w:rFonts w:ascii="宋体" w:hAnsi="宋体"/>
              </w:rPr>
            </w:pPr>
            <w:bookmarkStart w:id="39" w:name="OLE_LINK53"/>
            <w:r>
              <w:rPr>
                <w:rFonts w:hint="eastAsia" w:ascii="宋体" w:hAnsi="宋体"/>
                <w:b/>
                <w:bCs/>
                <w:szCs w:val="21"/>
              </w:rPr>
              <w:t>1.4</w:t>
            </w:r>
            <w:r>
              <w:rPr>
                <w:rFonts w:hint="eastAsia" w:asciiTheme="minorEastAsia" w:hAnsiTheme="minorEastAsia" w:eastAsiaTheme="minorEastAsia"/>
                <w:b/>
              </w:rPr>
              <w:t>违约责任：</w:t>
            </w:r>
          </w:p>
          <w:bookmarkEnd w:id="39"/>
          <w:p w14:paraId="0E835988">
            <w:r>
              <w:rPr>
                <w:rFonts w:hint="eastAsia"/>
              </w:rPr>
              <w:t>中标人在合同执行期间，出现以下行为情况之一者，经查属实的，将有权终止合同：</w:t>
            </w:r>
          </w:p>
          <w:p w14:paraId="71313C6A">
            <w:r>
              <w:rPr>
                <w:rFonts w:hint="eastAsia"/>
              </w:rPr>
              <w:t>（1）无正当理由，不接受或拒绝采购人订货、供货要求的；</w:t>
            </w:r>
          </w:p>
          <w:p w14:paraId="2E6A48A9">
            <w:r>
              <w:rPr>
                <w:rFonts w:hint="eastAsia"/>
              </w:rPr>
              <w:t>（2）不按采购需求、投标文件以及采购服务合同要求全面履约，履约情况评价不合格的；</w:t>
            </w:r>
          </w:p>
          <w:p w14:paraId="4FB2020E">
            <w:r>
              <w:rPr>
                <w:rFonts w:hint="eastAsia"/>
              </w:rPr>
              <w:t>（3）擅自变更或者中止采购服务合同的；</w:t>
            </w:r>
          </w:p>
          <w:p w14:paraId="3DBF02B8">
            <w:r>
              <w:rPr>
                <w:rFonts w:hint="eastAsia"/>
              </w:rPr>
              <w:t>（4）合同履行期间，中标供应商公司资质条件降低不符合到招标文件规定的投标人资格要求的；</w:t>
            </w:r>
          </w:p>
          <w:p w14:paraId="6565C6AB">
            <w:r>
              <w:rPr>
                <w:rFonts w:hint="eastAsia"/>
              </w:rPr>
              <w:t>（5）不按招标文件等要求规定，发现3次以上虚假报价的；</w:t>
            </w:r>
          </w:p>
          <w:p w14:paraId="134632B1">
            <w:r>
              <w:rPr>
                <w:rFonts w:hint="eastAsia"/>
              </w:rPr>
              <w:t>（6）物资或服务以次充好，存在严重质量问题的；</w:t>
            </w:r>
          </w:p>
          <w:p w14:paraId="68D6E7D0">
            <w:r>
              <w:rPr>
                <w:rFonts w:hint="eastAsia"/>
              </w:rPr>
              <w:t>（7）在合同期内有三次以上被抽检不合格的；</w:t>
            </w:r>
          </w:p>
          <w:p w14:paraId="17799D7B">
            <w:r>
              <w:rPr>
                <w:rFonts w:hint="eastAsia"/>
              </w:rPr>
              <w:t>（8）未按规定出具检测报告或违背招标承诺书等情况达到二次的；</w:t>
            </w:r>
          </w:p>
          <w:p w14:paraId="60545F79">
            <w:r>
              <w:rPr>
                <w:rFonts w:hint="eastAsia"/>
              </w:rPr>
              <w:t>（9）因货品质量或其他原因而造成严重后果或恶劣影响的行为；</w:t>
            </w:r>
          </w:p>
          <w:p w14:paraId="60C049FE">
            <w:r>
              <w:rPr>
                <w:rFonts w:hint="eastAsia"/>
              </w:rPr>
              <w:t>（10）因供应的货物质量达不到国家有关食品安全标准而造成食物中毒或其它后果，属于中标供应商责任的；</w:t>
            </w:r>
          </w:p>
          <w:p w14:paraId="260BB3C6">
            <w:r>
              <w:rPr>
                <w:rFonts w:hint="eastAsia"/>
              </w:rPr>
              <w:t>（11）经2次以上（含2次）的有效投诉处理仍不纠正的，有效投诉指的是中标供应商被投诉内容经查实确定为违反服务合同或其他协议规定的事实；</w:t>
            </w:r>
          </w:p>
          <w:p w14:paraId="619E57BE">
            <w:r>
              <w:rPr>
                <w:rFonts w:hint="eastAsia"/>
              </w:rPr>
              <w:t>（12）中标供应商所属员工在配送过程中与幼儿园工作人员产生矛盾，发生严重肢体冲突，升级为刑事案件，主要责任在中标供应商一方的；</w:t>
            </w:r>
          </w:p>
          <w:p w14:paraId="769FB50C">
            <w:r>
              <w:rPr>
                <w:rFonts w:hint="eastAsia"/>
              </w:rPr>
              <w:t>（13）拖欠工人工资、经劳动或其他政府部门催告或通报仍不清偿的；</w:t>
            </w:r>
          </w:p>
          <w:p w14:paraId="76374682">
            <w:r>
              <w:rPr>
                <w:rFonts w:hint="eastAsia"/>
              </w:rPr>
              <w:t>（14）中标供应商员工出现传染性疾病，继续履约存在安全风险隐患的；</w:t>
            </w:r>
          </w:p>
          <w:p w14:paraId="59144C54">
            <w:r>
              <w:rPr>
                <w:rFonts w:hint="eastAsia"/>
              </w:rPr>
              <w:t>（15）拒绝有关部门检查或者不如实反映情况，提供材料的；</w:t>
            </w:r>
          </w:p>
          <w:p w14:paraId="52A8C0A2">
            <w:r>
              <w:rPr>
                <w:rFonts w:hint="eastAsia"/>
              </w:rPr>
              <w:t>（16）其他违反法律、法规和协议规定的行为；</w:t>
            </w:r>
          </w:p>
          <w:p w14:paraId="2890378D">
            <w:pPr>
              <w:rPr>
                <w:rFonts w:asciiTheme="minorEastAsia" w:hAnsiTheme="minorEastAsia" w:eastAsiaTheme="minorEastAsia"/>
                <w:b/>
              </w:rPr>
            </w:pPr>
            <w:r>
              <w:rPr>
                <w:rFonts w:hint="eastAsia"/>
              </w:rPr>
              <w:t>（17）有商业贿赂行为的。</w:t>
            </w:r>
          </w:p>
        </w:tc>
      </w:tr>
      <w:tr w14:paraId="43C9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15BC2F0A">
            <w:pPr>
              <w:rPr>
                <w:rFonts w:ascii="宋体" w:hAnsi="宋体"/>
                <w:b/>
                <w:bCs/>
                <w:szCs w:val="21"/>
              </w:rPr>
            </w:pPr>
          </w:p>
        </w:tc>
        <w:tc>
          <w:tcPr>
            <w:tcW w:w="993" w:type="dxa"/>
            <w:vMerge w:val="continue"/>
            <w:vAlign w:val="center"/>
          </w:tcPr>
          <w:p w14:paraId="3AB5DA8F">
            <w:pPr>
              <w:rPr>
                <w:rFonts w:ascii="宋体" w:hAnsi="宋体"/>
                <w:b/>
                <w:bCs/>
                <w:szCs w:val="21"/>
              </w:rPr>
            </w:pPr>
          </w:p>
        </w:tc>
        <w:tc>
          <w:tcPr>
            <w:tcW w:w="6609" w:type="dxa"/>
            <w:vAlign w:val="center"/>
          </w:tcPr>
          <w:p w14:paraId="2C1C0DBA">
            <w:pPr>
              <w:rPr>
                <w:rFonts w:asciiTheme="minorEastAsia" w:hAnsiTheme="minorEastAsia" w:eastAsiaTheme="minorEastAsia"/>
                <w:b/>
              </w:rPr>
            </w:pPr>
            <w:bookmarkStart w:id="40" w:name="OLE_LINK54"/>
            <w:r>
              <w:rPr>
                <w:rFonts w:hint="eastAsia" w:ascii="宋体" w:hAnsi="宋体"/>
                <w:b/>
                <w:bCs/>
                <w:szCs w:val="21"/>
              </w:rPr>
              <w:t>1.5</w:t>
            </w:r>
            <w:r>
              <w:rPr>
                <w:rFonts w:hint="eastAsia" w:asciiTheme="minorEastAsia" w:hAnsiTheme="minorEastAsia" w:eastAsiaTheme="minorEastAsia"/>
                <w:b/>
              </w:rPr>
              <w:t>争议解决方法：</w:t>
            </w:r>
            <w:bookmarkEnd w:id="40"/>
            <w:r>
              <w:rPr>
                <w:rFonts w:hint="eastAsia" w:ascii="宋体" w:hAnsi="宋体"/>
              </w:rPr>
              <w:t>如在服务履行过程中发生争议，双方本着友好合作原则协商解决，如不能通过协商解决争议时，双方同意在盐田区人民法院诉讼解决。</w:t>
            </w:r>
          </w:p>
        </w:tc>
      </w:tr>
      <w:tr w14:paraId="6DD9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Align w:val="center"/>
          </w:tcPr>
          <w:p w14:paraId="4E117608">
            <w:pPr>
              <w:rPr>
                <w:rFonts w:ascii="宋体" w:hAnsi="宋体"/>
                <w:b/>
                <w:bCs/>
                <w:szCs w:val="21"/>
              </w:rPr>
            </w:pPr>
          </w:p>
        </w:tc>
        <w:tc>
          <w:tcPr>
            <w:tcW w:w="993" w:type="dxa"/>
            <w:vAlign w:val="center"/>
          </w:tcPr>
          <w:p w14:paraId="7EB94689">
            <w:pPr>
              <w:rPr>
                <w:rFonts w:ascii="宋体" w:hAnsi="宋体"/>
                <w:b/>
                <w:bCs/>
                <w:szCs w:val="21"/>
              </w:rPr>
            </w:pPr>
          </w:p>
        </w:tc>
        <w:tc>
          <w:tcPr>
            <w:tcW w:w="6609" w:type="dxa"/>
            <w:vAlign w:val="center"/>
          </w:tcPr>
          <w:p w14:paraId="5D1F133C">
            <w:pPr>
              <w:rPr>
                <w:rFonts w:ascii="宋体" w:hAnsi="宋体"/>
                <w:color w:val="FF0000"/>
              </w:rPr>
            </w:pPr>
            <w:r>
              <w:rPr>
                <w:rFonts w:hint="eastAsia" w:ascii="宋体" w:hAnsi="宋体"/>
                <w:b/>
              </w:rPr>
              <w:t>1.6</w:t>
            </w:r>
            <w:r>
              <w:rPr>
                <w:rFonts w:hint="eastAsia" w:ascii="宋体" w:hAnsi="宋体"/>
                <w:b/>
                <w:bCs/>
                <w:szCs w:val="21"/>
              </w:rPr>
              <w:t>服务地点：</w:t>
            </w:r>
            <w:r>
              <w:rPr>
                <w:rFonts w:hint="eastAsia" w:ascii="宋体" w:hAnsi="宋体"/>
              </w:rPr>
              <w:t>深圳市盐田区</w:t>
            </w:r>
          </w:p>
        </w:tc>
      </w:tr>
      <w:bookmarkEnd w:id="37"/>
      <w:bookmarkEnd w:id="38"/>
    </w:tbl>
    <w:p w14:paraId="0C39F3A6">
      <w:pPr>
        <w:ind w:firstLine="420" w:firstLineChars="200"/>
        <w:rPr>
          <w:rFonts w:asciiTheme="minorEastAsia" w:hAnsiTheme="minorEastAsia" w:eastAsiaTheme="minorEastAsia"/>
        </w:rPr>
      </w:pPr>
    </w:p>
    <w:p w14:paraId="6A9C222C">
      <w:pPr>
        <w:ind w:firstLine="420" w:firstLineChars="200"/>
        <w:rPr>
          <w:rFonts w:asciiTheme="minorEastAsia" w:hAnsiTheme="minorEastAsia" w:eastAsiaTheme="minorEastAsia"/>
        </w:rPr>
      </w:pPr>
    </w:p>
    <w:p w14:paraId="6B650152"/>
    <w:p w14:paraId="5AD1CFAE">
      <w:pPr>
        <w:widowControl/>
        <w:jc w:val="left"/>
        <w:rPr>
          <w:rFonts w:ascii="宋体" w:hAnsi="宋体"/>
          <w:b/>
          <w:bCs/>
          <w:kern w:val="0"/>
          <w:sz w:val="24"/>
        </w:rPr>
      </w:pPr>
      <w:r>
        <w:br w:type="page"/>
      </w:r>
    </w:p>
    <w:p w14:paraId="4F1EFA04">
      <w:pPr>
        <w:pStyle w:val="6"/>
        <w:spacing w:before="120" w:beforeLines="50" w:after="120" w:afterLines="50"/>
        <w:rPr>
          <w:szCs w:val="24"/>
        </w:rPr>
      </w:pPr>
      <w:r>
        <w:rPr>
          <w:rFonts w:hint="eastAsia"/>
          <w:szCs w:val="24"/>
        </w:rPr>
        <w:t>七、其他重要条款</w:t>
      </w:r>
    </w:p>
    <w:p w14:paraId="1BFABE8C">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ED125D5">
      <w:pPr>
        <w:pStyle w:val="8"/>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1B5EE89C">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64B018D">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708267C1">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749BE755">
      <w:pPr>
        <w:ind w:firstLine="420" w:firstLineChars="200"/>
        <w:rPr>
          <w:bCs/>
          <w:szCs w:val="21"/>
        </w:rPr>
      </w:pPr>
      <w:r>
        <w:rPr>
          <w:rFonts w:hint="eastAsia"/>
          <w:bCs/>
          <w:szCs w:val="21"/>
        </w:rPr>
        <w:t>6、供应商提供报价合理性、澄清、说明、补正或者错误的修正的方式，包括但不限于现场提交（地址：</w:t>
      </w:r>
      <w:r>
        <w:rPr>
          <w:rFonts w:hint="eastAsia"/>
          <w:bCs/>
          <w:szCs w:val="21"/>
          <w:lang w:eastAsia="zh-CN"/>
        </w:rPr>
        <w:t>深圳市盐田区海景二路1025号壹海国际中心9楼901</w:t>
      </w:r>
      <w:r>
        <w:rPr>
          <w:rFonts w:hint="eastAsia"/>
          <w:bCs/>
          <w:szCs w:val="21"/>
        </w:rPr>
        <w:t>）、电邮提交（邮箱：</w:t>
      </w:r>
      <w:r>
        <w:rPr>
          <w:rFonts w:hint="eastAsia"/>
          <w:bCs/>
          <w:szCs w:val="21"/>
          <w:lang w:val="en-US" w:eastAsia="zh-CN"/>
        </w:rPr>
        <w:t>yantianfgs</w:t>
      </w:r>
      <w:r>
        <w:rPr>
          <w:rFonts w:hint="eastAsia"/>
          <w:bCs/>
          <w:szCs w:val="21"/>
        </w:rPr>
        <w:t>@szexgrp.com）等便捷方式。</w:t>
      </w:r>
    </w:p>
    <w:p w14:paraId="3EB2207B">
      <w:pPr>
        <w:pStyle w:val="8"/>
        <w:spacing w:before="60" w:beforeLines="25" w:after="60" w:afterLines="25"/>
        <w:ind w:firstLine="392" w:firstLineChars="187"/>
        <w:rPr>
          <w:rFonts w:ascii="宋体" w:hAnsi="宋体"/>
          <w:szCs w:val="21"/>
        </w:rPr>
      </w:pPr>
    </w:p>
    <w:p w14:paraId="48B4FA52">
      <w:r>
        <w:rPr>
          <w:rFonts w:hint="eastAsia"/>
        </w:rPr>
        <w:br w:type="page"/>
      </w:r>
    </w:p>
    <w:p w14:paraId="089C7CCF">
      <w:pPr>
        <w:pStyle w:val="6"/>
        <w:rPr>
          <w:kern w:val="2"/>
        </w:rPr>
      </w:pPr>
      <w:r>
        <w:rPr>
          <w:rFonts w:hint="eastAsia"/>
          <w:kern w:val="2"/>
        </w:rPr>
        <w:t>第四章 投标文件组成要求及格式</w:t>
      </w:r>
    </w:p>
    <w:p w14:paraId="4773FBD6">
      <w:pPr>
        <w:rPr>
          <w:rStyle w:val="55"/>
          <w:sz w:val="24"/>
        </w:rPr>
      </w:pPr>
      <w:r>
        <w:rPr>
          <w:rStyle w:val="55"/>
          <w:rFonts w:hint="eastAsia"/>
          <w:sz w:val="24"/>
        </w:rPr>
        <w:t>特别提醒：</w:t>
      </w:r>
    </w:p>
    <w:p w14:paraId="6C1EBB7A">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6ABF1A74">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14:paraId="713DAC86">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14:paraId="4909668A">
      <w:pPr>
        <w:ind w:firstLine="480" w:firstLineChars="200"/>
        <w:rPr>
          <w:rFonts w:ascii="仿宋_GB2312" w:eastAsia="仿宋_GB2312"/>
          <w:sz w:val="24"/>
        </w:rPr>
      </w:pPr>
    </w:p>
    <w:p w14:paraId="3493E2F2">
      <w:pPr>
        <w:ind w:firstLine="482" w:firstLineChars="200"/>
        <w:rPr>
          <w:rFonts w:ascii="宋体" w:hAnsi="宋体"/>
          <w:b/>
          <w:sz w:val="24"/>
        </w:rPr>
      </w:pPr>
    </w:p>
    <w:p w14:paraId="2645D179">
      <w:pPr>
        <w:widowControl/>
        <w:jc w:val="left"/>
        <w:rPr>
          <w:rFonts w:ascii="宋体" w:hAnsi="宋体"/>
          <w:sz w:val="24"/>
        </w:rPr>
      </w:pPr>
      <w:r>
        <w:rPr>
          <w:rFonts w:ascii="宋体" w:hAnsi="宋体"/>
          <w:sz w:val="24"/>
        </w:rPr>
        <w:br w:type="page"/>
      </w:r>
    </w:p>
    <w:p w14:paraId="3E01A728">
      <w:pPr>
        <w:rPr>
          <w:rFonts w:ascii="宋体" w:hAnsi="宋体"/>
          <w:sz w:val="24"/>
        </w:rPr>
      </w:pPr>
      <w:r>
        <w:rPr>
          <w:rFonts w:hint="eastAsia" w:ascii="宋体" w:hAnsi="宋体"/>
          <w:sz w:val="24"/>
        </w:rPr>
        <w:t>投标文件组成：</w:t>
      </w:r>
    </w:p>
    <w:p w14:paraId="7FCB94D3">
      <w:pPr>
        <w:rPr>
          <w:sz w:val="24"/>
        </w:rPr>
      </w:pPr>
      <w:r>
        <w:rPr>
          <w:rFonts w:hint="eastAsia"/>
          <w:sz w:val="24"/>
        </w:rPr>
        <w:t>1.投标文件正文</w:t>
      </w:r>
      <w:r>
        <w:rPr>
          <w:rFonts w:hint="eastAsia"/>
          <w:b/>
          <w:color w:val="FF0000"/>
          <w:sz w:val="24"/>
        </w:rPr>
        <w:t>（信息公开部分）</w:t>
      </w:r>
      <w:r>
        <w:rPr>
          <w:rFonts w:hint="eastAsia"/>
          <w:sz w:val="24"/>
        </w:rPr>
        <w:t>，主要包括以下内容：</w:t>
      </w:r>
    </w:p>
    <w:p w14:paraId="365F99CD">
      <w:pPr>
        <w:ind w:left="718" w:leftChars="342" w:firstLine="1417" w:firstLineChars="675"/>
        <w:rPr>
          <w:szCs w:val="21"/>
        </w:rPr>
      </w:pPr>
      <w:r>
        <w:rPr>
          <w:rFonts w:hint="eastAsia"/>
          <w:szCs w:val="21"/>
        </w:rPr>
        <w:t>（1）</w:t>
      </w:r>
      <w:bookmarkStart w:id="41" w:name="_Hlk72070784"/>
      <w:r>
        <w:rPr>
          <w:rFonts w:hint="eastAsia"/>
          <w:szCs w:val="21"/>
        </w:rPr>
        <w:t>投标函</w:t>
      </w:r>
      <w:bookmarkEnd w:id="41"/>
    </w:p>
    <w:p w14:paraId="591AF79F">
      <w:pPr>
        <w:ind w:left="718" w:leftChars="342" w:firstLine="1417" w:firstLineChars="675"/>
        <w:rPr>
          <w:szCs w:val="21"/>
        </w:rPr>
      </w:pPr>
      <w:r>
        <w:rPr>
          <w:rFonts w:hint="eastAsia"/>
          <w:szCs w:val="21"/>
        </w:rPr>
        <w:t>（2）</w:t>
      </w:r>
      <w:bookmarkStart w:id="42" w:name="_Hlk72062521"/>
      <w:r>
        <w:rPr>
          <w:rFonts w:hint="eastAsia"/>
          <w:szCs w:val="21"/>
        </w:rPr>
        <w:t>政府采购投标及履约承诺函</w:t>
      </w:r>
      <w:bookmarkEnd w:id="42"/>
    </w:p>
    <w:p w14:paraId="773222EB">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2A702D1">
      <w:pPr>
        <w:ind w:left="718" w:leftChars="342" w:firstLine="1417" w:firstLineChars="675"/>
        <w:rPr>
          <w:rFonts w:hint="eastAsia"/>
          <w:szCs w:val="21"/>
        </w:rPr>
      </w:pPr>
      <w:bookmarkStart w:id="43" w:name="_Hlk72257201"/>
      <w:r>
        <w:rPr>
          <w:rFonts w:hint="eastAsia"/>
          <w:szCs w:val="21"/>
        </w:rPr>
        <w:t>（</w:t>
      </w:r>
      <w:r>
        <w:rPr>
          <w:szCs w:val="21"/>
        </w:rPr>
        <w:t>4</w:t>
      </w:r>
      <w:r>
        <w:rPr>
          <w:rFonts w:hint="eastAsia"/>
          <w:szCs w:val="21"/>
        </w:rPr>
        <w:t>）项目详细报价</w:t>
      </w:r>
      <w:bookmarkEnd w:id="43"/>
    </w:p>
    <w:p w14:paraId="7B660669">
      <w:pPr>
        <w:ind w:left="718" w:leftChars="342" w:firstLine="1417" w:firstLineChars="675"/>
        <w:rPr>
          <w:rFonts w:hint="eastAsia"/>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投标人同类项目业绩情况</w:t>
      </w:r>
      <w:r>
        <w:rPr>
          <w:rFonts w:hint="eastAsia"/>
          <w:szCs w:val="21"/>
          <w:lang w:eastAsia="zh-CN"/>
        </w:rPr>
        <w:t>（</w:t>
      </w:r>
      <w:r>
        <w:rPr>
          <w:rFonts w:hint="eastAsia"/>
          <w:szCs w:val="21"/>
          <w:lang w:val="en-US" w:eastAsia="zh-CN"/>
        </w:rPr>
        <w:t>格式自拟</w:t>
      </w:r>
      <w:r>
        <w:rPr>
          <w:rFonts w:hint="eastAsia"/>
          <w:szCs w:val="21"/>
          <w:lang w:eastAsia="zh-CN"/>
        </w:rPr>
        <w:t>）</w:t>
      </w:r>
    </w:p>
    <w:p w14:paraId="6A9E07B5">
      <w:pPr>
        <w:ind w:left="718" w:leftChars="342" w:firstLine="1417" w:firstLineChars="675"/>
        <w:rPr>
          <w:rFonts w:hint="eastAsia" w:ascii="宋体" w:hAnsi="宋体" w:eastAsia="宋体"/>
          <w:szCs w:val="21"/>
          <w:lang w:eastAsia="zh-CN"/>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szCs w:val="21"/>
        </w:rPr>
        <w:t>投标人获奖情况</w:t>
      </w:r>
      <w:r>
        <w:rPr>
          <w:rFonts w:hint="eastAsia"/>
          <w:szCs w:val="21"/>
          <w:lang w:eastAsia="zh-CN"/>
        </w:rPr>
        <w:t>（</w:t>
      </w:r>
      <w:r>
        <w:rPr>
          <w:rFonts w:hint="eastAsia"/>
          <w:szCs w:val="21"/>
          <w:lang w:val="en-US" w:eastAsia="zh-CN"/>
        </w:rPr>
        <w:t>格式自拟</w:t>
      </w:r>
      <w:r>
        <w:rPr>
          <w:rFonts w:hint="eastAsia"/>
          <w:szCs w:val="21"/>
          <w:lang w:eastAsia="zh-CN"/>
        </w:rPr>
        <w:t>）</w:t>
      </w:r>
    </w:p>
    <w:p w14:paraId="05F425E6">
      <w:pPr>
        <w:rPr>
          <w:sz w:val="24"/>
        </w:rPr>
      </w:pPr>
      <w:r>
        <w:rPr>
          <w:rFonts w:hint="eastAsia"/>
          <w:sz w:val="24"/>
        </w:rPr>
        <w:t>2.投标文件附件</w:t>
      </w:r>
      <w:r>
        <w:rPr>
          <w:rFonts w:hint="eastAsia"/>
          <w:b/>
          <w:color w:val="FF0000"/>
          <w:sz w:val="24"/>
        </w:rPr>
        <w:t>（信息不公开部分）</w:t>
      </w:r>
      <w:r>
        <w:rPr>
          <w:rFonts w:hint="eastAsia"/>
          <w:sz w:val="24"/>
        </w:rPr>
        <w:t>：主要包括以下内容：</w:t>
      </w:r>
    </w:p>
    <w:p w14:paraId="114D6CA1">
      <w:pPr>
        <w:ind w:firstLine="2100" w:firstLineChars="1000"/>
        <w:rPr>
          <w:rFonts w:hint="eastAsia"/>
          <w:szCs w:val="21"/>
        </w:rPr>
      </w:pPr>
      <w:r>
        <w:rPr>
          <w:rFonts w:hint="eastAsia"/>
          <w:szCs w:val="21"/>
        </w:rPr>
        <w:t>（1）供应商基本情况表</w:t>
      </w:r>
    </w:p>
    <w:p w14:paraId="6F4BE2E7">
      <w:pPr>
        <w:ind w:firstLine="2100" w:firstLineChars="1000"/>
        <w:rPr>
          <w:szCs w:val="21"/>
        </w:rPr>
      </w:pPr>
      <w:r>
        <w:rPr>
          <w:rFonts w:hint="eastAsia"/>
          <w:szCs w:val="21"/>
        </w:rPr>
        <w:t>（2）法定代表人（负责人）证明书</w:t>
      </w:r>
    </w:p>
    <w:p w14:paraId="71C55050">
      <w:pPr>
        <w:ind w:left="718" w:leftChars="342" w:firstLine="1417" w:firstLineChars="675"/>
        <w:rPr>
          <w:szCs w:val="21"/>
        </w:rPr>
      </w:pPr>
      <w:r>
        <w:rPr>
          <w:rFonts w:hint="eastAsia"/>
          <w:szCs w:val="21"/>
        </w:rPr>
        <w:t>（3）投标文件签署授权委托书</w:t>
      </w:r>
    </w:p>
    <w:p w14:paraId="097C0423">
      <w:pPr>
        <w:ind w:left="718" w:leftChars="342" w:firstLine="1417" w:firstLineChars="675"/>
        <w:rPr>
          <w:szCs w:val="21"/>
        </w:rPr>
      </w:pPr>
      <w:r>
        <w:rPr>
          <w:rFonts w:hint="eastAsia"/>
          <w:szCs w:val="21"/>
        </w:rPr>
        <w:t>（4）</w:t>
      </w:r>
      <w:r>
        <w:rPr>
          <w:szCs w:val="21"/>
        </w:rPr>
        <w:t>实质性条款响应情况表</w:t>
      </w:r>
    </w:p>
    <w:p w14:paraId="6BBA0FFF">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项目整体设想及规划方案</w:t>
      </w:r>
      <w:r>
        <w:rPr>
          <w:rFonts w:hint="eastAsia"/>
          <w:szCs w:val="21"/>
          <w:lang w:eastAsia="zh-CN"/>
        </w:rPr>
        <w:t>（</w:t>
      </w:r>
      <w:r>
        <w:rPr>
          <w:rFonts w:hint="eastAsia"/>
          <w:szCs w:val="21"/>
          <w:lang w:val="en-US" w:eastAsia="zh-CN"/>
        </w:rPr>
        <w:t>格式自拟</w:t>
      </w:r>
      <w:r>
        <w:rPr>
          <w:rFonts w:hint="eastAsia"/>
          <w:szCs w:val="21"/>
          <w:lang w:eastAsia="zh-CN"/>
        </w:rPr>
        <w:t>）</w:t>
      </w:r>
    </w:p>
    <w:p w14:paraId="0C287699">
      <w:pPr>
        <w:ind w:left="718" w:leftChars="342" w:firstLine="1417" w:firstLineChars="675"/>
        <w:rPr>
          <w:rFonts w:hint="eastAsia"/>
          <w:szCs w:val="21"/>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szCs w:val="21"/>
        </w:rPr>
        <w:t>规章管理制度、工作流程</w:t>
      </w:r>
      <w:r>
        <w:rPr>
          <w:rFonts w:hint="eastAsia"/>
          <w:szCs w:val="21"/>
          <w:lang w:eastAsia="zh-CN"/>
        </w:rPr>
        <w:t>（</w:t>
      </w:r>
      <w:r>
        <w:rPr>
          <w:rFonts w:hint="eastAsia"/>
          <w:szCs w:val="21"/>
          <w:lang w:val="en-US" w:eastAsia="zh-CN"/>
        </w:rPr>
        <w:t>格式自拟</w:t>
      </w:r>
      <w:r>
        <w:rPr>
          <w:rFonts w:hint="eastAsia"/>
          <w:szCs w:val="21"/>
          <w:lang w:eastAsia="zh-CN"/>
        </w:rPr>
        <w:t>）</w:t>
      </w:r>
    </w:p>
    <w:p w14:paraId="382E4748">
      <w:pPr>
        <w:ind w:left="718" w:leftChars="342" w:firstLine="1417" w:firstLineChars="675"/>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szCs w:val="21"/>
        </w:rPr>
        <w:t>应急方案</w:t>
      </w:r>
      <w:r>
        <w:rPr>
          <w:rFonts w:hint="eastAsia"/>
          <w:szCs w:val="21"/>
          <w:lang w:eastAsia="zh-CN"/>
        </w:rPr>
        <w:t>（</w:t>
      </w:r>
      <w:r>
        <w:rPr>
          <w:rFonts w:hint="eastAsia"/>
          <w:szCs w:val="21"/>
          <w:lang w:val="en-US" w:eastAsia="zh-CN"/>
        </w:rPr>
        <w:t>格式自拟</w:t>
      </w:r>
      <w:r>
        <w:rPr>
          <w:rFonts w:hint="eastAsia"/>
          <w:szCs w:val="21"/>
          <w:lang w:eastAsia="zh-CN"/>
        </w:rPr>
        <w:t>）</w:t>
      </w:r>
    </w:p>
    <w:p w14:paraId="7E3DFCFA">
      <w:pPr>
        <w:ind w:left="718" w:leftChars="342" w:firstLine="1417" w:firstLineChars="675"/>
        <w:rPr>
          <w:rFonts w:hint="eastAsia"/>
          <w:szCs w:val="21"/>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rPr>
        <w:t>食品安全保险及公众责任险</w:t>
      </w:r>
      <w:r>
        <w:rPr>
          <w:rFonts w:hint="eastAsia"/>
          <w:szCs w:val="21"/>
          <w:lang w:eastAsia="zh-CN"/>
        </w:rPr>
        <w:t>（</w:t>
      </w:r>
      <w:r>
        <w:rPr>
          <w:rFonts w:hint="eastAsia"/>
          <w:szCs w:val="21"/>
          <w:lang w:val="en-US" w:eastAsia="zh-CN"/>
        </w:rPr>
        <w:t>格式自拟</w:t>
      </w:r>
      <w:r>
        <w:rPr>
          <w:rFonts w:hint="eastAsia"/>
          <w:szCs w:val="21"/>
          <w:lang w:eastAsia="zh-CN"/>
        </w:rPr>
        <w:t>）</w:t>
      </w:r>
    </w:p>
    <w:p w14:paraId="6C0E8C80">
      <w:pPr>
        <w:ind w:left="718" w:leftChars="342" w:firstLine="1417" w:firstLineChars="675"/>
        <w:rPr>
          <w:rFonts w:hint="eastAsia"/>
          <w:szCs w:val="21"/>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rPr>
        <w:t>冷库存储空间</w:t>
      </w:r>
      <w:r>
        <w:rPr>
          <w:rFonts w:hint="eastAsia"/>
          <w:szCs w:val="21"/>
          <w:lang w:eastAsia="zh-CN"/>
        </w:rPr>
        <w:t>（</w:t>
      </w:r>
      <w:r>
        <w:rPr>
          <w:rFonts w:hint="eastAsia"/>
          <w:szCs w:val="21"/>
          <w:lang w:val="en-US" w:eastAsia="zh-CN"/>
        </w:rPr>
        <w:t>格式自拟</w:t>
      </w:r>
      <w:r>
        <w:rPr>
          <w:rFonts w:hint="eastAsia"/>
          <w:szCs w:val="21"/>
          <w:lang w:eastAsia="zh-CN"/>
        </w:rPr>
        <w:t>）</w:t>
      </w:r>
    </w:p>
    <w:p w14:paraId="065FA293">
      <w:pPr>
        <w:ind w:left="718" w:leftChars="342" w:firstLine="1417" w:firstLineChars="675"/>
        <w:rPr>
          <w:rFonts w:hint="eastAsia"/>
          <w:szCs w:val="21"/>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szCs w:val="21"/>
        </w:rPr>
        <w:t>生产基地情况</w:t>
      </w:r>
      <w:r>
        <w:rPr>
          <w:rFonts w:hint="eastAsia"/>
          <w:szCs w:val="21"/>
          <w:lang w:eastAsia="zh-CN"/>
        </w:rPr>
        <w:t>（</w:t>
      </w:r>
      <w:r>
        <w:rPr>
          <w:rFonts w:hint="eastAsia"/>
          <w:szCs w:val="21"/>
          <w:lang w:val="en-US" w:eastAsia="zh-CN"/>
        </w:rPr>
        <w:t>格式自拟</w:t>
      </w:r>
      <w:r>
        <w:rPr>
          <w:rFonts w:hint="eastAsia"/>
          <w:szCs w:val="21"/>
          <w:lang w:eastAsia="zh-CN"/>
        </w:rPr>
        <w:t>）</w:t>
      </w:r>
    </w:p>
    <w:p w14:paraId="6D31AD89">
      <w:pPr>
        <w:ind w:left="718" w:leftChars="342" w:firstLine="1417" w:firstLineChars="675"/>
        <w:rPr>
          <w:rFonts w:hint="eastAsia"/>
          <w:szCs w:val="21"/>
        </w:rPr>
      </w:pPr>
      <w:r>
        <w:rPr>
          <w:rFonts w:hint="eastAsia"/>
          <w:szCs w:val="21"/>
          <w:lang w:eastAsia="zh-CN"/>
        </w:rPr>
        <w:t>（</w:t>
      </w:r>
      <w:r>
        <w:rPr>
          <w:rFonts w:hint="eastAsia"/>
          <w:szCs w:val="21"/>
          <w:lang w:val="en-US" w:eastAsia="zh-CN"/>
        </w:rPr>
        <w:t>11</w:t>
      </w:r>
      <w:r>
        <w:rPr>
          <w:rFonts w:hint="eastAsia"/>
          <w:szCs w:val="21"/>
          <w:lang w:eastAsia="zh-CN"/>
        </w:rPr>
        <w:t>）</w:t>
      </w:r>
      <w:r>
        <w:rPr>
          <w:rFonts w:hint="eastAsia"/>
          <w:szCs w:val="21"/>
        </w:rPr>
        <w:t>作业场所</w:t>
      </w:r>
      <w:r>
        <w:rPr>
          <w:rFonts w:hint="eastAsia"/>
          <w:szCs w:val="21"/>
          <w:lang w:eastAsia="zh-CN"/>
        </w:rPr>
        <w:t>（</w:t>
      </w:r>
      <w:r>
        <w:rPr>
          <w:rFonts w:hint="eastAsia"/>
          <w:szCs w:val="21"/>
          <w:lang w:val="en-US" w:eastAsia="zh-CN"/>
        </w:rPr>
        <w:t>格式自拟</w:t>
      </w:r>
      <w:r>
        <w:rPr>
          <w:rFonts w:hint="eastAsia"/>
          <w:szCs w:val="21"/>
          <w:lang w:eastAsia="zh-CN"/>
        </w:rPr>
        <w:t>）</w:t>
      </w:r>
    </w:p>
    <w:p w14:paraId="6495BCA4">
      <w:pPr>
        <w:ind w:left="718" w:leftChars="342" w:firstLine="1417" w:firstLineChars="675"/>
        <w:rPr>
          <w:rFonts w:hint="eastAsia"/>
          <w:szCs w:val="21"/>
        </w:rPr>
      </w:pPr>
      <w:r>
        <w:rPr>
          <w:rFonts w:hint="eastAsia"/>
          <w:szCs w:val="21"/>
          <w:lang w:eastAsia="zh-CN"/>
        </w:rPr>
        <w:t>（</w:t>
      </w:r>
      <w:r>
        <w:rPr>
          <w:rFonts w:hint="eastAsia"/>
          <w:szCs w:val="21"/>
          <w:lang w:val="en-US" w:eastAsia="zh-CN"/>
        </w:rPr>
        <w:t>12</w:t>
      </w:r>
      <w:r>
        <w:rPr>
          <w:rFonts w:hint="eastAsia"/>
          <w:szCs w:val="21"/>
          <w:lang w:eastAsia="zh-CN"/>
        </w:rPr>
        <w:t>）</w:t>
      </w:r>
      <w:r>
        <w:rPr>
          <w:rFonts w:hint="eastAsia"/>
          <w:szCs w:val="21"/>
        </w:rPr>
        <w:t>配送保障能力</w:t>
      </w:r>
      <w:r>
        <w:rPr>
          <w:rFonts w:hint="eastAsia"/>
          <w:szCs w:val="21"/>
          <w:lang w:eastAsia="zh-CN"/>
        </w:rPr>
        <w:t>（</w:t>
      </w:r>
      <w:r>
        <w:rPr>
          <w:rFonts w:hint="eastAsia"/>
          <w:szCs w:val="21"/>
          <w:lang w:val="en-US" w:eastAsia="zh-CN"/>
        </w:rPr>
        <w:t>格式自拟</w:t>
      </w:r>
      <w:r>
        <w:rPr>
          <w:rFonts w:hint="eastAsia"/>
          <w:szCs w:val="21"/>
          <w:lang w:eastAsia="zh-CN"/>
        </w:rPr>
        <w:t>）</w:t>
      </w:r>
    </w:p>
    <w:p w14:paraId="6DD314B5">
      <w:pPr>
        <w:ind w:left="718" w:leftChars="342" w:firstLine="1417" w:firstLineChars="675"/>
        <w:rPr>
          <w:rFonts w:hint="eastAsia"/>
          <w:szCs w:val="21"/>
        </w:rPr>
      </w:pPr>
      <w:r>
        <w:rPr>
          <w:rFonts w:hint="eastAsia"/>
          <w:szCs w:val="21"/>
          <w:lang w:eastAsia="zh-CN"/>
        </w:rPr>
        <w:t>（</w:t>
      </w:r>
      <w:r>
        <w:rPr>
          <w:rFonts w:hint="eastAsia"/>
          <w:szCs w:val="21"/>
          <w:lang w:val="en-US" w:eastAsia="zh-CN"/>
        </w:rPr>
        <w:t>13</w:t>
      </w:r>
      <w:r>
        <w:rPr>
          <w:rFonts w:hint="eastAsia"/>
          <w:szCs w:val="21"/>
          <w:lang w:eastAsia="zh-CN"/>
        </w:rPr>
        <w:t>）</w:t>
      </w:r>
      <w:r>
        <w:rPr>
          <w:rFonts w:hint="eastAsia"/>
          <w:szCs w:val="21"/>
        </w:rPr>
        <w:t>安全检测报告</w:t>
      </w:r>
      <w:r>
        <w:rPr>
          <w:rFonts w:hint="eastAsia"/>
          <w:szCs w:val="21"/>
          <w:lang w:eastAsia="zh-CN"/>
        </w:rPr>
        <w:t>（</w:t>
      </w:r>
      <w:r>
        <w:rPr>
          <w:rFonts w:hint="eastAsia"/>
          <w:szCs w:val="21"/>
          <w:lang w:val="en-US" w:eastAsia="zh-CN"/>
        </w:rPr>
        <w:t>格式自拟</w:t>
      </w:r>
      <w:r>
        <w:rPr>
          <w:rFonts w:hint="eastAsia"/>
          <w:szCs w:val="21"/>
          <w:lang w:eastAsia="zh-CN"/>
        </w:rPr>
        <w:t>）</w:t>
      </w:r>
    </w:p>
    <w:p w14:paraId="032EF8AD">
      <w:pPr>
        <w:ind w:left="718" w:leftChars="342" w:firstLine="1417" w:firstLineChars="675"/>
        <w:rPr>
          <w:rFonts w:hint="eastAsia"/>
          <w:szCs w:val="21"/>
        </w:rPr>
      </w:pPr>
      <w:r>
        <w:rPr>
          <w:rFonts w:hint="eastAsia"/>
          <w:szCs w:val="21"/>
          <w:lang w:eastAsia="zh-CN"/>
        </w:rPr>
        <w:t>（</w:t>
      </w:r>
      <w:r>
        <w:rPr>
          <w:rFonts w:hint="eastAsia"/>
          <w:szCs w:val="21"/>
          <w:lang w:val="en-US" w:eastAsia="zh-CN"/>
        </w:rPr>
        <w:t>14</w:t>
      </w:r>
      <w:r>
        <w:rPr>
          <w:rFonts w:hint="eastAsia"/>
          <w:szCs w:val="21"/>
          <w:lang w:eastAsia="zh-CN"/>
        </w:rPr>
        <w:t>）</w:t>
      </w:r>
      <w:r>
        <w:rPr>
          <w:rFonts w:hint="eastAsia"/>
          <w:szCs w:val="21"/>
        </w:rPr>
        <w:t>信息化能力</w:t>
      </w:r>
      <w:r>
        <w:rPr>
          <w:rFonts w:hint="eastAsia"/>
          <w:szCs w:val="21"/>
          <w:lang w:eastAsia="zh-CN"/>
        </w:rPr>
        <w:t>（</w:t>
      </w:r>
      <w:r>
        <w:rPr>
          <w:rFonts w:hint="eastAsia"/>
          <w:szCs w:val="21"/>
          <w:lang w:val="en-US" w:eastAsia="zh-CN"/>
        </w:rPr>
        <w:t>格式自拟</w:t>
      </w:r>
      <w:r>
        <w:rPr>
          <w:rFonts w:hint="eastAsia"/>
          <w:szCs w:val="21"/>
          <w:lang w:eastAsia="zh-CN"/>
        </w:rPr>
        <w:t>）</w:t>
      </w:r>
    </w:p>
    <w:p w14:paraId="4D14CCB8">
      <w:pPr>
        <w:ind w:left="718" w:leftChars="342" w:firstLine="1417" w:firstLineChars="675"/>
        <w:rPr>
          <w:rFonts w:hint="eastAsia"/>
          <w:szCs w:val="21"/>
        </w:rPr>
      </w:pPr>
      <w:r>
        <w:rPr>
          <w:rFonts w:hint="eastAsia"/>
          <w:szCs w:val="21"/>
          <w:lang w:eastAsia="zh-CN"/>
        </w:rPr>
        <w:t>（</w:t>
      </w:r>
      <w:r>
        <w:rPr>
          <w:rFonts w:hint="eastAsia"/>
          <w:szCs w:val="21"/>
          <w:lang w:val="en-US" w:eastAsia="zh-CN"/>
        </w:rPr>
        <w:t>15</w:t>
      </w:r>
      <w:r>
        <w:rPr>
          <w:rFonts w:hint="eastAsia"/>
          <w:szCs w:val="21"/>
          <w:lang w:eastAsia="zh-CN"/>
        </w:rPr>
        <w:t>）</w:t>
      </w:r>
      <w:r>
        <w:rPr>
          <w:rFonts w:hint="eastAsia"/>
          <w:szCs w:val="21"/>
        </w:rPr>
        <w:t>拟安排的项目负责人情况（仅限一人）</w:t>
      </w:r>
      <w:r>
        <w:rPr>
          <w:rFonts w:hint="eastAsia"/>
          <w:szCs w:val="21"/>
          <w:lang w:eastAsia="zh-CN"/>
        </w:rPr>
        <w:t>（</w:t>
      </w:r>
      <w:r>
        <w:rPr>
          <w:rFonts w:hint="eastAsia"/>
          <w:szCs w:val="21"/>
          <w:lang w:val="en-US" w:eastAsia="zh-CN"/>
        </w:rPr>
        <w:t>格式自拟</w:t>
      </w:r>
      <w:r>
        <w:rPr>
          <w:rFonts w:hint="eastAsia"/>
          <w:szCs w:val="21"/>
          <w:lang w:eastAsia="zh-CN"/>
        </w:rPr>
        <w:t>）</w:t>
      </w:r>
    </w:p>
    <w:p w14:paraId="1DAD1DB8">
      <w:pPr>
        <w:ind w:left="718" w:leftChars="342" w:firstLine="1417" w:firstLineChars="675"/>
        <w:rPr>
          <w:szCs w:val="21"/>
        </w:rPr>
      </w:pPr>
      <w:r>
        <w:rPr>
          <w:rFonts w:hint="eastAsia"/>
          <w:szCs w:val="21"/>
          <w:lang w:eastAsia="zh-CN"/>
        </w:rPr>
        <w:t>（</w:t>
      </w:r>
      <w:r>
        <w:rPr>
          <w:rFonts w:hint="eastAsia"/>
          <w:szCs w:val="21"/>
          <w:lang w:val="en-US" w:eastAsia="zh-CN"/>
        </w:rPr>
        <w:t>16</w:t>
      </w:r>
      <w:r>
        <w:rPr>
          <w:rFonts w:hint="eastAsia"/>
          <w:szCs w:val="21"/>
          <w:lang w:eastAsia="zh-CN"/>
        </w:rPr>
        <w:t>）</w:t>
      </w:r>
      <w:r>
        <w:rPr>
          <w:rFonts w:hint="eastAsia"/>
          <w:szCs w:val="21"/>
        </w:rPr>
        <w:t>项目团队（项目负责人除外）</w:t>
      </w:r>
      <w:r>
        <w:rPr>
          <w:rFonts w:hint="eastAsia"/>
          <w:szCs w:val="21"/>
          <w:lang w:eastAsia="zh-CN"/>
        </w:rPr>
        <w:t>（</w:t>
      </w:r>
      <w:r>
        <w:rPr>
          <w:rFonts w:hint="eastAsia"/>
          <w:szCs w:val="21"/>
          <w:lang w:val="en-US" w:eastAsia="zh-CN"/>
        </w:rPr>
        <w:t>格式自拟</w:t>
      </w:r>
      <w:r>
        <w:rPr>
          <w:rFonts w:hint="eastAsia"/>
          <w:szCs w:val="21"/>
          <w:lang w:eastAsia="zh-CN"/>
        </w:rPr>
        <w:t>）</w:t>
      </w:r>
    </w:p>
    <w:p w14:paraId="764A8818">
      <w:pPr>
        <w:ind w:left="718" w:leftChars="342" w:firstLine="1417" w:firstLineChars="675"/>
        <w:rPr>
          <w:szCs w:val="21"/>
        </w:rPr>
      </w:pPr>
      <w:r>
        <w:rPr>
          <w:rFonts w:hint="eastAsia"/>
          <w:szCs w:val="21"/>
        </w:rPr>
        <w:t>（</w:t>
      </w:r>
      <w:r>
        <w:rPr>
          <w:rFonts w:hint="eastAsia"/>
          <w:szCs w:val="21"/>
          <w:lang w:val="en-US" w:eastAsia="zh-CN"/>
        </w:rPr>
        <w:t>17</w:t>
      </w:r>
      <w:r>
        <w:rPr>
          <w:rFonts w:hint="eastAsia"/>
          <w:szCs w:val="21"/>
        </w:rPr>
        <w:t>）投标人认为需要加以说明的其他内容</w:t>
      </w:r>
    </w:p>
    <w:p w14:paraId="1DCAD94F">
      <w:pPr>
        <w:pStyle w:val="8"/>
        <w:ind w:left="210" w:leftChars="100" w:firstLine="781" w:firstLineChars="372"/>
        <w:rPr>
          <w:rFonts w:ascii="宋体" w:hAnsi="宋体"/>
          <w:szCs w:val="21"/>
        </w:rPr>
      </w:pPr>
    </w:p>
    <w:p w14:paraId="2D3E49CC">
      <w:pPr>
        <w:rPr>
          <w:rFonts w:ascii="仿宋_GB2312" w:eastAsia="仿宋_GB2312"/>
          <w:sz w:val="24"/>
        </w:rPr>
      </w:pPr>
    </w:p>
    <w:p w14:paraId="547A2939">
      <w:pPr>
        <w:ind w:firstLine="426" w:firstLineChars="202"/>
        <w:rPr>
          <w:rFonts w:ascii="宋体" w:hAnsi="宋体"/>
          <w:b/>
          <w:szCs w:val="21"/>
        </w:rPr>
      </w:pPr>
      <w:r>
        <w:rPr>
          <w:rFonts w:hint="eastAsia" w:ascii="宋体" w:hAnsi="宋体"/>
          <w:b/>
          <w:szCs w:val="21"/>
        </w:rPr>
        <w:t>备注：</w:t>
      </w:r>
    </w:p>
    <w:p w14:paraId="58313D0B">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39547ECD">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19C51B2D">
      <w:pPr>
        <w:rPr>
          <w:rFonts w:ascii="仿宋_GB2312" w:eastAsia="仿宋_GB2312"/>
          <w:sz w:val="24"/>
        </w:rPr>
      </w:pPr>
    </w:p>
    <w:p w14:paraId="3BB5B496">
      <w:pPr>
        <w:rPr>
          <w:rFonts w:ascii="宋体" w:hAnsi="宋体"/>
          <w:b/>
          <w:szCs w:val="21"/>
        </w:rPr>
      </w:pPr>
    </w:p>
    <w:p w14:paraId="6F8EE443">
      <w:pPr>
        <w:rPr>
          <w:rFonts w:ascii="宋体" w:hAnsi="宋体"/>
          <w:b/>
          <w:szCs w:val="21"/>
        </w:rPr>
      </w:pPr>
    </w:p>
    <w:p w14:paraId="45A59B85">
      <w:pPr>
        <w:jc w:val="left"/>
        <w:rPr>
          <w:rFonts w:ascii="宋体" w:hAnsi="宋体"/>
          <w:b/>
          <w:color w:val="FF0000"/>
          <w:sz w:val="36"/>
          <w:szCs w:val="36"/>
        </w:rPr>
      </w:pPr>
      <w:r>
        <w:rPr>
          <w:rFonts w:hint="eastAsia" w:ascii="宋体" w:hAnsi="宋体"/>
          <w:b/>
          <w:color w:val="FF0000"/>
          <w:sz w:val="36"/>
          <w:szCs w:val="36"/>
        </w:rPr>
        <w:br w:type="page"/>
      </w:r>
    </w:p>
    <w:p w14:paraId="43A55043">
      <w:pPr>
        <w:widowControl/>
        <w:jc w:val="left"/>
        <w:rPr>
          <w:rFonts w:ascii="宋体" w:hAnsi="宋体"/>
          <w:b/>
          <w:color w:val="FF0000"/>
          <w:sz w:val="28"/>
          <w:szCs w:val="28"/>
        </w:rPr>
      </w:pPr>
      <w:r>
        <w:rPr>
          <w:rFonts w:hint="eastAsia" w:ascii="宋体" w:hAnsi="宋体"/>
          <w:b/>
          <w:color w:val="FF0000"/>
          <w:sz w:val="28"/>
          <w:szCs w:val="28"/>
        </w:rPr>
        <w:t>投标文件正文（信息公开部分）</w:t>
      </w:r>
    </w:p>
    <w:p w14:paraId="5D357D60">
      <w:pPr>
        <w:pStyle w:val="4"/>
        <w:jc w:val="center"/>
        <w:rPr>
          <w:rFonts w:ascii="黑体" w:eastAsia="黑体"/>
          <w:b w:val="0"/>
          <w:kern w:val="0"/>
          <w:sz w:val="24"/>
        </w:rPr>
      </w:pPr>
      <w:r>
        <w:rPr>
          <w:rFonts w:hint="eastAsia" w:ascii="黑体" w:eastAsia="黑体"/>
          <w:b w:val="0"/>
          <w:kern w:val="0"/>
          <w:sz w:val="24"/>
        </w:rPr>
        <w:t>一、投标函</w:t>
      </w:r>
    </w:p>
    <w:p w14:paraId="1CFFEB61">
      <w:pPr>
        <w:spacing w:line="360" w:lineRule="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7490CBF9">
      <w:pPr>
        <w:ind w:firstLine="420" w:firstLineChars="200"/>
        <w:rPr>
          <w:rFonts w:ascii="宋体" w:hAnsi="宋体"/>
          <w:szCs w:val="21"/>
        </w:rPr>
      </w:pPr>
      <w:bookmarkStart w:id="44" w:name="_Hlk73818812"/>
      <w:r>
        <w:rPr>
          <w:rFonts w:hint="eastAsia"/>
          <w:szCs w:val="21"/>
        </w:rPr>
        <w:t>1、根据已收到贵单位的</w:t>
      </w:r>
      <w:r>
        <w:rPr>
          <w:rFonts w:hint="eastAsia"/>
          <w:color w:val="FF0000"/>
          <w:szCs w:val="21"/>
        </w:rPr>
        <w:t>项目编号为</w:t>
      </w:r>
      <w:r>
        <w:rPr>
          <w:rFonts w:hint="eastAsia"/>
          <w:color w:val="FF0000"/>
          <w:szCs w:val="21"/>
          <w:u w:val="single"/>
        </w:rPr>
        <w:t>YTZXCG-2025-00039</w:t>
      </w:r>
      <w:r>
        <w:rPr>
          <w:rFonts w:hint="eastAsia"/>
          <w:color w:val="FF0000"/>
          <w:szCs w:val="21"/>
        </w:rPr>
        <w:t>的</w:t>
      </w:r>
      <w:r>
        <w:rPr>
          <w:rFonts w:hint="eastAsia"/>
          <w:color w:val="FF0000"/>
          <w:szCs w:val="21"/>
          <w:u w:val="single"/>
        </w:rPr>
        <w:t>深圳市盐田区区属学校（幼儿园）大宗食材补充采购</w:t>
      </w:r>
      <w:r>
        <w:rPr>
          <w:rFonts w:hint="eastAsia"/>
          <w:color w:val="FF0000"/>
          <w:szCs w:val="21"/>
        </w:rPr>
        <w:t>项目</w:t>
      </w:r>
      <w:r>
        <w:rPr>
          <w:rFonts w:hint="eastAsia"/>
          <w:szCs w:val="21"/>
        </w:rPr>
        <w:t>的招标文件，遵照《深圳经济特区政府采购条例》和《深圳网上政府采购管理暂行办法》等有关规定，我单位经研究上述招标文件的专用条款及通用条款后，</w:t>
      </w:r>
      <w:bookmarkStart w:id="45" w:name="_Hlk72263588"/>
      <w:r>
        <w:rPr>
          <w:rFonts w:hint="eastAsia"/>
          <w:szCs w:val="21"/>
        </w:rPr>
        <w:t>愿意按照招标文件要求承包上述项目并修补其任何缺陷。</w:t>
      </w:r>
      <w:bookmarkEnd w:id="45"/>
    </w:p>
    <w:p w14:paraId="11A1D9C2">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151F3100">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4236635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6F779F6B">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45964E06">
      <w:pPr>
        <w:ind w:left="420" w:leftChars="200"/>
        <w:rPr>
          <w:rFonts w:ascii="宋体" w:hAnsi="宋体"/>
          <w:szCs w:val="21"/>
        </w:rPr>
      </w:pPr>
      <w:r>
        <w:rPr>
          <w:rFonts w:hint="eastAsia" w:ascii="宋体" w:hAnsi="宋体"/>
          <w:szCs w:val="21"/>
        </w:rPr>
        <w:t>6、我单位理解贵单位将不受必须接受所收到的最低报价或其它任何投标文件的约束。</w:t>
      </w:r>
      <w:bookmarkEnd w:id="44"/>
    </w:p>
    <w:p w14:paraId="10DBBC65">
      <w:pPr>
        <w:ind w:firstLine="422"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54C599BA">
      <w:pPr>
        <w:ind w:firstLine="422"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14:paraId="075DFB08">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507A689F">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63C4C144">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02555619">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2ADA4827">
      <w:pPr>
        <w:ind w:left="420" w:leftChars="200"/>
        <w:rPr>
          <w:rFonts w:ascii="黑体" w:hAnsi="宋体" w:eastAsia="黑体"/>
        </w:rPr>
      </w:pPr>
      <w:r>
        <w:rPr>
          <w:rFonts w:hint="eastAsia"/>
          <w:sz w:val="24"/>
        </w:rPr>
        <w:t xml:space="preserve">        </w:t>
      </w:r>
      <w:r>
        <w:rPr>
          <w:rFonts w:hint="eastAsia" w:ascii="黑体" w:hAnsi="宋体" w:eastAsia="黑体"/>
        </w:rPr>
        <w:t xml:space="preserve"> </w:t>
      </w:r>
    </w:p>
    <w:p w14:paraId="467ECC28">
      <w:pPr>
        <w:ind w:left="420" w:leftChars="200"/>
        <w:rPr>
          <w:sz w:val="24"/>
        </w:rPr>
      </w:pPr>
      <w:r>
        <w:rPr>
          <w:rFonts w:hint="eastAsia"/>
          <w:sz w:val="24"/>
        </w:rPr>
        <w:t xml:space="preserve">           </w:t>
      </w:r>
    </w:p>
    <w:p w14:paraId="254CE932">
      <w:pPr>
        <w:rPr>
          <w:rFonts w:ascii="黑体" w:hAnsi="宋体" w:eastAsia="黑体"/>
        </w:rPr>
      </w:pPr>
    </w:p>
    <w:p w14:paraId="5157244E">
      <w:pPr>
        <w:rPr>
          <w:rFonts w:ascii="宋体" w:hAnsi="宋体"/>
          <w:szCs w:val="21"/>
        </w:rPr>
      </w:pPr>
    </w:p>
    <w:p w14:paraId="69C3828F">
      <w:pPr>
        <w:widowControl/>
        <w:jc w:val="left"/>
        <w:rPr>
          <w:rFonts w:ascii="黑体" w:hAnsi="宋体" w:eastAsia="黑体"/>
          <w:bCs/>
          <w:kern w:val="0"/>
          <w:sz w:val="24"/>
          <w:szCs w:val="32"/>
        </w:rPr>
      </w:pPr>
      <w:r>
        <w:rPr>
          <w:rFonts w:ascii="黑体" w:eastAsia="黑体"/>
          <w:b/>
          <w:kern w:val="0"/>
          <w:sz w:val="24"/>
        </w:rPr>
        <w:br w:type="page"/>
      </w:r>
    </w:p>
    <w:p w14:paraId="03AAD2E6">
      <w:pPr>
        <w:pStyle w:val="4"/>
        <w:jc w:val="center"/>
        <w:rPr>
          <w:rFonts w:ascii="黑体" w:eastAsia="黑体"/>
          <w:b w:val="0"/>
          <w:kern w:val="0"/>
          <w:sz w:val="24"/>
        </w:rPr>
      </w:pPr>
      <w:r>
        <w:rPr>
          <w:rFonts w:hint="eastAsia" w:ascii="黑体" w:eastAsia="黑体"/>
          <w:b w:val="0"/>
          <w:kern w:val="0"/>
          <w:sz w:val="24"/>
        </w:rPr>
        <w:t>二、政府采购投标及履约承诺函</w:t>
      </w:r>
    </w:p>
    <w:p w14:paraId="327C952E">
      <w:pPr>
        <w:rPr>
          <w:rFonts w:ascii="宋体" w:hAnsi="宋体"/>
          <w:sz w:val="24"/>
        </w:rPr>
      </w:pPr>
    </w:p>
    <w:p w14:paraId="562A4C3F">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76C2C613">
      <w:pPr>
        <w:ind w:right="-815" w:firstLine="420" w:firstLineChars="200"/>
        <w:rPr>
          <w:rFonts w:ascii="宋体" w:hAnsi="宋体"/>
          <w:szCs w:val="21"/>
        </w:rPr>
      </w:pPr>
      <w:r>
        <w:rPr>
          <w:rFonts w:hint="eastAsia" w:ascii="宋体" w:hAnsi="宋体"/>
          <w:szCs w:val="21"/>
        </w:rPr>
        <w:t>我单位承诺：</w:t>
      </w:r>
    </w:p>
    <w:p w14:paraId="1231140F">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582E8722">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51416348">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0ED80CBA">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4F4419E3">
      <w:pPr>
        <w:ind w:firstLine="420" w:firstLineChars="200"/>
      </w:pPr>
      <w:r>
        <w:rPr>
          <w:rFonts w:hint="eastAsia"/>
          <w:color w:val="FF0000"/>
        </w:rPr>
        <w:t>5.我单位不存在《深圳市财政局政府采购供应商信用信息管理办法》（深财规〔2023〕3号）列明的严重违法失信行为。</w:t>
      </w:r>
    </w:p>
    <w:p w14:paraId="63B5B2B0">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B70BABD">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2933DCE">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E22FD76">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5D5FFC">
      <w:pPr>
        <w:ind w:firstLine="420" w:firstLineChars="200"/>
        <w:rPr>
          <w:rFonts w:ascii="宋体" w:hAnsi="宋体"/>
          <w:szCs w:val="21"/>
        </w:rPr>
      </w:pPr>
      <w:r>
        <w:rPr>
          <w:rFonts w:hint="eastAsia" w:ascii="宋体" w:hAnsi="宋体"/>
          <w:szCs w:val="21"/>
        </w:rPr>
        <w:t>9.我单位承诺中标后项目不转包，未经采购人同意不进行分包。</w:t>
      </w:r>
    </w:p>
    <w:p w14:paraId="05890E04">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2CFAEF6">
      <w:pPr>
        <w:ind w:firstLine="420" w:firstLineChars="200"/>
        <w:rPr>
          <w:rFonts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33F10200">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778A8AE6">
      <w:pPr>
        <w:ind w:firstLine="420" w:firstLineChars="200"/>
        <w:rPr>
          <w:rFonts w:ascii="宋体" w:hAnsi="宋体"/>
          <w:b/>
          <w:bCs/>
        </w:rPr>
      </w:pPr>
      <w:r>
        <w:rPr>
          <w:rFonts w:hint="eastAsia" w:ascii="宋体" w:hAnsi="宋体"/>
          <w:bCs/>
        </w:rPr>
        <w:t>13.我单位保证，符合《中华人民共和国政府采购法实施条例》第十八条规定，与其他投标供应商不存在单位负责人为同一人或者存在直接控股、管理关系；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007F78EA">
      <w:pPr>
        <w:ind w:firstLine="422" w:firstLineChars="200"/>
        <w:rPr>
          <w:rFonts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2494201F">
      <w:pPr>
        <w:pStyle w:val="2"/>
        <w:ind w:firstLine="482" w:firstLineChars="200"/>
        <w:rPr>
          <w:rFonts w:ascii="宋体" w:hAnsi="宋体"/>
        </w:rPr>
      </w:pPr>
    </w:p>
    <w:p w14:paraId="72B35433">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57BA0237">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2B9330C7">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6C6EF1EE">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112C9E39">
      <w:pPr>
        <w:pStyle w:val="4"/>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7A1AE6A2">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7C2A29D0">
      <w:pPr>
        <w:spacing w:before="120" w:beforeLines="50"/>
        <w:ind w:firstLine="422" w:firstLineChars="200"/>
        <w:rPr>
          <w:b/>
          <w:bCs/>
          <w:color w:val="FF0000"/>
        </w:rPr>
      </w:pPr>
      <w:r>
        <w:rPr>
          <w:rFonts w:hint="eastAsia" w:ascii="宋体" w:hAnsi="宋体"/>
          <w:b/>
          <w:bCs/>
          <w:color w:val="FF0000"/>
        </w:rPr>
        <w:t>（特别提示：投标人须按本招标文件第一册第一章招标公告</w:t>
      </w:r>
      <w:r>
        <w:rPr>
          <w:rFonts w:hint="eastAsia"/>
          <w:b/>
          <w:bCs/>
          <w:color w:val="FF0000"/>
        </w:rPr>
        <w:t xml:space="preserve"> </w:t>
      </w:r>
      <w:r>
        <w:rPr>
          <w:rFonts w:hint="eastAsia" w:ascii="宋体" w:hAnsi="宋体"/>
          <w:b/>
          <w:bCs/>
          <w:color w:val="FF0000"/>
        </w:rPr>
        <w:t>“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4D7F7971">
      <w:pPr>
        <w:spacing w:before="120" w:beforeLines="50"/>
        <w:ind w:firstLine="422" w:firstLineChars="200"/>
        <w:rPr>
          <w:bCs/>
        </w:rPr>
      </w:pPr>
      <w:r>
        <w:rPr>
          <w:rFonts w:hint="eastAsia"/>
          <w:b/>
          <w:bCs/>
          <w:color w:val="FF0000"/>
        </w:rPr>
        <w:t>1、资格证明材料：</w:t>
      </w:r>
      <w:r>
        <w:rPr>
          <w:bCs/>
        </w:rPr>
        <w:t xml:space="preserve"> </w:t>
      </w:r>
    </w:p>
    <w:p w14:paraId="70E69171">
      <w:pPr>
        <w:rPr>
          <w:b/>
          <w:sz w:val="24"/>
        </w:rPr>
      </w:pPr>
    </w:p>
    <w:p w14:paraId="7959FF0A">
      <w:pPr>
        <w:ind w:firstLine="482" w:firstLineChars="200"/>
        <w:rPr>
          <w:b/>
          <w:sz w:val="24"/>
        </w:rPr>
      </w:pPr>
    </w:p>
    <w:p w14:paraId="4D891B5E">
      <w:pPr>
        <w:ind w:firstLine="482" w:firstLineChars="200"/>
        <w:rPr>
          <w:b/>
          <w:sz w:val="24"/>
        </w:rPr>
      </w:pPr>
    </w:p>
    <w:p w14:paraId="4D3DACAC">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48023421">
      <w:pPr>
        <w:ind w:firstLine="420" w:firstLineChars="200"/>
        <w:rPr>
          <w:rFonts w:ascii="黑体" w:hAnsi="黑体" w:eastAsia="黑体"/>
          <w:color w:val="FF0000"/>
          <w:highlight w:val="yellow"/>
        </w:rPr>
      </w:pPr>
      <w:r>
        <w:rPr>
          <w:rFonts w:hint="eastAsia" w:ascii="黑体" w:hAnsi="黑体" w:eastAsia="黑体"/>
          <w:color w:val="FF0000"/>
        </w:rPr>
        <w:t>请投标人依照招标文件提供的格式和内容填写声明函，不要随意变更格式；</w:t>
      </w:r>
      <w:r>
        <w:rPr>
          <w:rFonts w:hint="eastAsia" w:ascii="黑体" w:hAnsi="黑体" w:eastAsia="黑体"/>
          <w:color w:val="FF0000"/>
          <w:highlight w:val="yellow"/>
        </w:rPr>
        <w:t>声明函不需要盖章或签字；满足多项优惠政策的投标人，不重复享受多项价格扣除政策。</w:t>
      </w:r>
    </w:p>
    <w:p w14:paraId="2DDC4699">
      <w:pPr>
        <w:ind w:firstLine="420" w:firstLineChars="200"/>
        <w:rPr>
          <w:rFonts w:ascii="黑体" w:hAnsi="黑体" w:eastAsia="黑体"/>
          <w:color w:val="FF0000"/>
          <w:highlight w:val="yellow"/>
        </w:rPr>
      </w:pPr>
    </w:p>
    <w:p w14:paraId="1B0905CF">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0E3931B7">
      <w:pPr>
        <w:ind w:firstLine="420" w:firstLineChars="200"/>
        <w:rPr>
          <w:rFonts w:ascii="黑体" w:hAnsi="黑体" w:eastAsia="黑体"/>
          <w:color w:val="FF0000"/>
        </w:rPr>
      </w:pPr>
      <w:r>
        <w:rPr>
          <w:rFonts w:hint="eastAsia" w:ascii="黑体" w:hAnsi="黑体" w:eastAsia="黑体"/>
          <w:color w:val="FF0000"/>
        </w:rPr>
        <w:t>1.“单位名称”应填写采购人名称（深圳公共资源交易中心不是本项目的采购人，而是组织实施机构）；</w:t>
      </w:r>
    </w:p>
    <w:p w14:paraId="04C07587">
      <w:pPr>
        <w:ind w:firstLine="420" w:firstLineChars="200"/>
        <w:rPr>
          <w:rFonts w:ascii="黑体" w:hAnsi="黑体" w:eastAsia="黑体"/>
          <w:color w:val="FF0000"/>
        </w:rPr>
      </w:pPr>
      <w:r>
        <w:rPr>
          <w:rFonts w:hint="eastAsia" w:ascii="黑体" w:hAnsi="黑体" w:eastAsia="黑体"/>
          <w:color w:val="FF0000"/>
        </w:rPr>
        <w:t>2.“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14:paraId="0042986C">
      <w:pPr>
        <w:ind w:firstLine="420" w:firstLineChars="200"/>
        <w:rPr>
          <w:rFonts w:ascii="黑体" w:hAnsi="黑体" w:eastAsia="黑体"/>
          <w:color w:val="FF0000"/>
        </w:rPr>
      </w:pPr>
      <w:r>
        <w:rPr>
          <w:rFonts w:hint="eastAsia" w:ascii="黑体" w:hAnsi="黑体" w:eastAsia="黑体"/>
          <w:color w:val="FF0000"/>
        </w:rPr>
        <w:t>3.“标的名称”应填写招标文件中细化载明的采购标的名称</w:t>
      </w:r>
      <w:r>
        <w:rPr>
          <w:rFonts w:hint="eastAsia" w:ascii="黑体" w:hAnsi="黑体" w:eastAsia="黑体"/>
          <w:color w:val="0070C0"/>
        </w:rPr>
        <w:t>（以招标文件第一册第三章用户需求书“服务需求明细”的“服务需求名称（标的名称）”一栏为准）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14:paraId="43509AD8">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（所属行业以招标文件第一册第三章用户需求书“服务需求明细”的“标的所属行业”一栏为准）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招标文件中注明的分包给中小企业的采购标的所属行业填写，并应确保与该分包部分采购标的涉及的服务承接商本身的所属行业保持一致。对于以联合体方式面向中小企业采购的项目，“采购文件中明确的所属行业”应按照招标文件中注明的联合体中中小企业承担的采购标的所属行业填写，并应确保与该承担部分采购标的涉及的服务承接商本身的所属行业保持一致。</w:t>
      </w:r>
    </w:p>
    <w:p w14:paraId="0026F129">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4D01270A">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6689F056">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号），判断《中小企业声明函》载明的货物制造商/服务承接商/工程承建商（根据项目属性确定）是否属于招标文件所属行业的中型企业/小型企业/微型企业。</w:t>
      </w:r>
    </w:p>
    <w:p w14:paraId="610B4971">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B3CAAC9">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22F3CF91">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5224F523">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2B1EB905">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40183D3">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48DEA074">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BCA744E">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0181B832">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486F8460">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0B42EF7F">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7113E59C">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0237938D">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5F53721C">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4FD0BA3F">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75B27266">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14:paraId="24D44D00">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14:paraId="34B91E34">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049F1AFF">
      <w:pPr>
        <w:ind w:firstLine="420" w:firstLineChars="200"/>
        <w:rPr>
          <w:rFonts w:hint="eastAsia"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14:paraId="1739B3F2">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3E1C2D2">
      <w:pPr>
        <w:ind w:firstLine="420" w:firstLineChars="200"/>
        <w:rPr>
          <w:rFonts w:ascii="黑体" w:hAnsi="黑体" w:eastAsia="黑体"/>
          <w:color w:val="FF0000"/>
        </w:rPr>
      </w:pPr>
    </w:p>
    <w:p w14:paraId="2A72E9F8"/>
    <w:p w14:paraId="581A719A"/>
    <w:p w14:paraId="718B1A65">
      <w:pPr>
        <w:spacing w:line="320" w:lineRule="exact"/>
        <w:jc w:val="center"/>
        <w:rPr>
          <w:b/>
        </w:rPr>
      </w:pPr>
      <w:r>
        <w:rPr>
          <w:rFonts w:hint="eastAsia"/>
          <w:b/>
        </w:rPr>
        <w:t>1、</w:t>
      </w:r>
      <w:r>
        <w:rPr>
          <w:b/>
        </w:rPr>
        <w:t>中小企业声明函（</w:t>
      </w:r>
      <w:r>
        <w:rPr>
          <w:rFonts w:hint="eastAsia"/>
          <w:b/>
        </w:rPr>
        <w:t>服务</w:t>
      </w:r>
      <w:r>
        <w:rPr>
          <w:b/>
        </w:rPr>
        <w:t>）</w:t>
      </w:r>
    </w:p>
    <w:p w14:paraId="55F5E803">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lang w:val="en-US" w:eastAsia="zh-CN"/>
        </w:rPr>
        <w:t>深圳市盐田区教育局</w:t>
      </w:r>
      <w:r>
        <w:rPr>
          <w:rFonts w:hint="eastAsia"/>
        </w:rPr>
        <w:t>的</w:t>
      </w:r>
      <w:r>
        <w:rPr>
          <w:rFonts w:hint="eastAsia"/>
          <w:b/>
          <w:bCs/>
          <w:u w:val="single"/>
        </w:rPr>
        <w:t>深圳市盐田区区属学校（幼儿园）大宗食材补充采购采购</w:t>
      </w:r>
      <w:r>
        <w:rPr>
          <w:rFonts w:hint="eastAsia"/>
        </w:rPr>
        <w:t>活动，服务全部由符合政策要求的中小企业承接。相关企业（含联合体中的中小企业、签订分包意向协议的中小企业）的具体情况如下：</w:t>
      </w:r>
    </w:p>
    <w:p w14:paraId="404AC024">
      <w:pPr>
        <w:spacing w:line="320" w:lineRule="exact"/>
        <w:ind w:firstLine="420" w:firstLineChars="200"/>
      </w:pPr>
      <w:r>
        <w:rPr>
          <w:rFonts w:hint="eastAsia"/>
        </w:rPr>
        <w:t>1.</w:t>
      </w:r>
      <w:r>
        <w:rPr>
          <w:rFonts w:hint="eastAsia"/>
          <w:b/>
          <w:u w:val="single"/>
        </w:rPr>
        <w:t xml:space="preserve">    （标的名称）    </w:t>
      </w:r>
      <w:r>
        <w:rPr>
          <w:rFonts w:hint="eastAsia"/>
        </w:rPr>
        <w:t xml:space="preserve"> ，属于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0F1D96DA">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7AE7CDD1">
      <w:pPr>
        <w:spacing w:line="320" w:lineRule="exact"/>
        <w:ind w:firstLine="420" w:firstLineChars="200"/>
      </w:pPr>
      <w:r>
        <w:rPr>
          <w:rFonts w:hint="eastAsia"/>
        </w:rPr>
        <w:t>……</w:t>
      </w:r>
    </w:p>
    <w:p w14:paraId="1BF3F2CF">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4770E37B">
      <w:pPr>
        <w:spacing w:line="320" w:lineRule="exact"/>
        <w:ind w:firstLine="420" w:firstLineChars="200"/>
      </w:pPr>
      <w:r>
        <w:rPr>
          <w:rFonts w:hint="eastAsia"/>
        </w:rPr>
        <w:t>本企业对上述声明内容的真实性负责。如有虚假，将依法承担相应责任。</w:t>
      </w:r>
    </w:p>
    <w:p w14:paraId="63FB1821">
      <w:pPr>
        <w:spacing w:line="320" w:lineRule="exact"/>
        <w:ind w:firstLine="420" w:firstLineChars="200"/>
      </w:pPr>
      <w:bookmarkStart w:id="46"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6"/>
    </w:p>
    <w:p w14:paraId="4A7C165C">
      <w:pPr>
        <w:spacing w:line="320" w:lineRule="exact"/>
      </w:pPr>
    </w:p>
    <w:p w14:paraId="790BCE48">
      <w:pPr>
        <w:spacing w:line="320" w:lineRule="exact"/>
        <w:jc w:val="center"/>
        <w:rPr>
          <w:b/>
        </w:rPr>
      </w:pPr>
      <w:r>
        <w:rPr>
          <w:rFonts w:hint="eastAsia"/>
          <w:b/>
        </w:rPr>
        <w:t>2、残疾人福利性单位声明函（服务类）</w:t>
      </w:r>
    </w:p>
    <w:p w14:paraId="33EBAD25">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lang w:val="en-US" w:eastAsia="zh-CN"/>
        </w:rPr>
        <w:t>深圳市盐田区教育局</w:t>
      </w:r>
      <w:r>
        <w:rPr>
          <w:rFonts w:hint="eastAsia"/>
        </w:rPr>
        <w:t>的</w:t>
      </w:r>
      <w:r>
        <w:rPr>
          <w:rFonts w:hint="eastAsia"/>
          <w:b/>
          <w:bCs/>
          <w:u w:val="single"/>
        </w:rPr>
        <w:t>深圳市盐田区区属学校（幼儿园）大宗食材补充采购采购</w:t>
      </w:r>
      <w:r>
        <w:rPr>
          <w:rFonts w:hint="eastAsia"/>
        </w:rPr>
        <w:t>项目采购活动由本单位提供服务。</w:t>
      </w:r>
    </w:p>
    <w:p w14:paraId="0BF498D6">
      <w:pPr>
        <w:spacing w:line="320" w:lineRule="exact"/>
        <w:ind w:firstLine="420" w:firstLineChars="200"/>
      </w:pPr>
      <w:r>
        <w:rPr>
          <w:rFonts w:hint="eastAsia"/>
        </w:rPr>
        <w:t>本单位对上述声明的真实性负责。如有虚假，将依法承担相应责任。</w:t>
      </w:r>
    </w:p>
    <w:p w14:paraId="23235206">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2F171A00">
      <w:pPr>
        <w:spacing w:line="320" w:lineRule="exact"/>
      </w:pPr>
    </w:p>
    <w:p w14:paraId="4F1199BE">
      <w:pPr>
        <w:spacing w:line="320" w:lineRule="exact"/>
        <w:jc w:val="center"/>
        <w:rPr>
          <w:b/>
        </w:rPr>
      </w:pPr>
      <w:r>
        <w:rPr>
          <w:rFonts w:hint="eastAsia"/>
          <w:b/>
        </w:rPr>
        <w:t>3、监狱企业声明函</w:t>
      </w:r>
    </w:p>
    <w:p w14:paraId="3DEA1AA3">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08C83076">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rFonts w:hint="eastAsia"/>
          <w:b/>
          <w:u w:val="single"/>
          <w:lang w:val="en-US" w:eastAsia="zh-CN"/>
        </w:rPr>
        <w:t>深圳市盐田区教育局</w:t>
      </w:r>
      <w:r>
        <w:rPr>
          <w:rFonts w:hint="eastAsia"/>
        </w:rPr>
        <w:t>的</w:t>
      </w:r>
      <w:r>
        <w:rPr>
          <w:rFonts w:hint="eastAsia"/>
          <w:b/>
          <w:bCs/>
          <w:u w:val="single"/>
        </w:rPr>
        <w:t>深圳市盐田区区属学校（幼儿园）大宗食材补充采购采购</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14:paraId="7F041A62">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6A4DD492">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0A22AFAF">
      <w:pPr>
        <w:spacing w:line="320" w:lineRule="exact"/>
        <w:ind w:firstLine="420" w:firstLineChars="200"/>
      </w:pPr>
      <w:r>
        <w:t xml:space="preserve">…… </w:t>
      </w:r>
    </w:p>
    <w:p w14:paraId="608AD8CE">
      <w:pPr>
        <w:spacing w:line="320" w:lineRule="exact"/>
        <w:ind w:firstLine="420" w:firstLineChars="200"/>
      </w:pPr>
      <w:r>
        <w:t>本</w:t>
      </w:r>
      <w:r>
        <w:rPr>
          <w:rFonts w:hint="eastAsia"/>
        </w:rPr>
        <w:t>投标人</w:t>
      </w:r>
      <w:r>
        <w:t>对上述声明内容的真实性负责。如有虚假，将依法承担相应责任。</w:t>
      </w:r>
    </w:p>
    <w:p w14:paraId="3882747A">
      <w:pPr>
        <w:spacing w:line="320" w:lineRule="exact"/>
        <w:ind w:firstLine="420" w:firstLineChars="200"/>
      </w:pPr>
      <w:r>
        <w:rPr>
          <w:rFonts w:hint="eastAsia"/>
        </w:rPr>
        <w:t>附：省级以上监狱管理局、戒毒管理局（含新疆生产建设兵团）出具的监狱企业证明文件。</w:t>
      </w:r>
    </w:p>
    <w:p w14:paraId="2E48DF50">
      <w:pPr>
        <w:widowControl/>
        <w:jc w:val="left"/>
        <w:rPr>
          <w:rFonts w:ascii="黑体" w:hAnsi="宋体" w:eastAsia="黑体"/>
          <w:bCs/>
          <w:sz w:val="24"/>
        </w:rPr>
      </w:pPr>
      <w:r>
        <w:rPr>
          <w:rFonts w:ascii="黑体" w:eastAsia="黑体"/>
          <w:b/>
          <w:sz w:val="24"/>
        </w:rPr>
        <w:br w:type="page"/>
      </w:r>
    </w:p>
    <w:p w14:paraId="1E44AA4E">
      <w:pPr>
        <w:pStyle w:val="4"/>
        <w:jc w:val="center"/>
        <w:rPr>
          <w:rFonts w:ascii="黑体" w:eastAsia="黑体"/>
          <w:b w:val="0"/>
          <w:sz w:val="24"/>
          <w:szCs w:val="24"/>
        </w:rPr>
      </w:pPr>
      <w:r>
        <w:rPr>
          <w:rFonts w:hint="eastAsia" w:ascii="黑体" w:eastAsia="黑体"/>
          <w:b w:val="0"/>
          <w:sz w:val="24"/>
          <w:szCs w:val="24"/>
        </w:rPr>
        <w:t>四、项目详细报价</w:t>
      </w:r>
    </w:p>
    <w:p w14:paraId="2DB0ECA7">
      <w:pPr>
        <w:tabs>
          <w:tab w:val="left" w:pos="720"/>
        </w:tabs>
        <w:jc w:val="center"/>
        <w:rPr>
          <w:rFonts w:ascii="宋体" w:hAnsi="宋体"/>
          <w:b/>
          <w:kern w:val="0"/>
          <w:sz w:val="24"/>
        </w:rPr>
      </w:pPr>
      <w:r>
        <w:rPr>
          <w:rFonts w:hint="eastAsia"/>
          <w:b/>
          <w:sz w:val="24"/>
        </w:rPr>
        <w:t>（一）</w:t>
      </w:r>
      <w:r>
        <w:rPr>
          <w:rFonts w:hint="eastAsia" w:ascii="宋体" w:hAnsi="宋体"/>
          <w:b/>
          <w:sz w:val="24"/>
        </w:rPr>
        <w:t>折扣率表</w:t>
      </w:r>
    </w:p>
    <w:tbl>
      <w:tblPr>
        <w:tblStyle w:val="42"/>
        <w:tblW w:w="762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59"/>
        <w:gridCol w:w="1276"/>
        <w:gridCol w:w="1417"/>
        <w:gridCol w:w="1843"/>
      </w:tblGrid>
      <w:tr w14:paraId="1DD656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526" w:type="dxa"/>
            <w:tcBorders>
              <w:top w:val="double" w:color="auto" w:sz="4" w:space="0"/>
              <w:bottom w:val="single" w:color="auto" w:sz="4" w:space="0"/>
            </w:tcBorders>
            <w:vAlign w:val="center"/>
          </w:tcPr>
          <w:p w14:paraId="49E1E3FF">
            <w:pPr>
              <w:adjustRightInd w:val="0"/>
              <w:snapToGrid w:val="0"/>
              <w:jc w:val="center"/>
              <w:rPr>
                <w:rFonts w:ascii="宋体" w:hAnsi="宋体"/>
                <w:snapToGrid w:val="0"/>
                <w:kern w:val="0"/>
              </w:rPr>
            </w:pPr>
            <w:r>
              <w:rPr>
                <w:rFonts w:hint="eastAsia" w:ascii="宋体" w:hAnsi="宋体"/>
                <w:snapToGrid w:val="0"/>
                <w:kern w:val="0"/>
              </w:rPr>
              <w:t>项目名称</w:t>
            </w:r>
          </w:p>
        </w:tc>
        <w:tc>
          <w:tcPr>
            <w:tcW w:w="1559" w:type="dxa"/>
            <w:tcBorders>
              <w:top w:val="double" w:color="auto" w:sz="4" w:space="0"/>
              <w:bottom w:val="single" w:color="auto" w:sz="4" w:space="0"/>
            </w:tcBorders>
            <w:vAlign w:val="center"/>
          </w:tcPr>
          <w:p w14:paraId="74168EAF">
            <w:pPr>
              <w:adjustRightInd w:val="0"/>
              <w:snapToGrid w:val="0"/>
              <w:jc w:val="center"/>
              <w:rPr>
                <w:rFonts w:ascii="宋体" w:hAnsi="宋体"/>
                <w:snapToGrid w:val="0"/>
                <w:kern w:val="0"/>
              </w:rPr>
            </w:pPr>
            <w:r>
              <w:rPr>
                <w:rFonts w:hint="eastAsia" w:ascii="宋体" w:hAnsi="宋体"/>
                <w:snapToGrid w:val="0"/>
                <w:kern w:val="0"/>
              </w:rPr>
              <w:t>项目编号</w:t>
            </w:r>
          </w:p>
        </w:tc>
        <w:tc>
          <w:tcPr>
            <w:tcW w:w="1276" w:type="dxa"/>
            <w:tcBorders>
              <w:top w:val="double" w:color="auto" w:sz="4" w:space="0"/>
              <w:bottom w:val="single" w:color="auto" w:sz="4" w:space="0"/>
            </w:tcBorders>
            <w:vAlign w:val="center"/>
          </w:tcPr>
          <w:p w14:paraId="3D64A7A1">
            <w:pPr>
              <w:adjustRightInd w:val="0"/>
              <w:snapToGrid w:val="0"/>
              <w:jc w:val="center"/>
              <w:rPr>
                <w:rFonts w:ascii="宋体" w:hAnsi="宋体"/>
                <w:snapToGrid w:val="0"/>
                <w:kern w:val="0"/>
              </w:rPr>
            </w:pPr>
            <w:r>
              <w:rPr>
                <w:rFonts w:hint="eastAsia" w:ascii="宋体" w:hAnsi="宋体"/>
                <w:snapToGrid w:val="0"/>
                <w:kern w:val="0"/>
              </w:rPr>
              <w:t>包号</w:t>
            </w:r>
          </w:p>
        </w:tc>
        <w:tc>
          <w:tcPr>
            <w:tcW w:w="1417" w:type="dxa"/>
            <w:tcBorders>
              <w:top w:val="double" w:color="auto" w:sz="4" w:space="0"/>
              <w:bottom w:val="single" w:color="auto" w:sz="4" w:space="0"/>
            </w:tcBorders>
            <w:vAlign w:val="center"/>
          </w:tcPr>
          <w:p w14:paraId="4E259340">
            <w:pPr>
              <w:adjustRightInd w:val="0"/>
              <w:snapToGrid w:val="0"/>
              <w:jc w:val="center"/>
              <w:rPr>
                <w:rFonts w:ascii="宋体" w:hAnsi="宋体"/>
                <w:snapToGrid w:val="0"/>
                <w:kern w:val="0"/>
              </w:rPr>
            </w:pPr>
            <w:r>
              <w:rPr>
                <w:rFonts w:hint="eastAsia" w:ascii="宋体" w:hAnsi="宋体"/>
                <w:snapToGrid w:val="0"/>
                <w:kern w:val="0"/>
              </w:rPr>
              <w:t>折扣率</w:t>
            </w:r>
          </w:p>
        </w:tc>
        <w:tc>
          <w:tcPr>
            <w:tcW w:w="1843" w:type="dxa"/>
            <w:tcBorders>
              <w:top w:val="double" w:color="auto" w:sz="4" w:space="0"/>
              <w:bottom w:val="single" w:color="auto" w:sz="4" w:space="0"/>
            </w:tcBorders>
            <w:vAlign w:val="center"/>
          </w:tcPr>
          <w:p w14:paraId="3AB5D1EF">
            <w:pPr>
              <w:adjustRightInd w:val="0"/>
              <w:snapToGrid w:val="0"/>
              <w:jc w:val="center"/>
              <w:rPr>
                <w:rFonts w:ascii="宋体" w:hAnsi="宋体"/>
                <w:snapToGrid w:val="0"/>
                <w:kern w:val="0"/>
              </w:rPr>
            </w:pPr>
            <w:r>
              <w:rPr>
                <w:rFonts w:hint="eastAsia" w:ascii="宋体" w:hAnsi="宋体"/>
                <w:snapToGrid w:val="0"/>
                <w:kern w:val="0"/>
              </w:rPr>
              <w:t>备注</w:t>
            </w:r>
          </w:p>
        </w:tc>
      </w:tr>
      <w:tr w14:paraId="042849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1526" w:type="dxa"/>
            <w:tcBorders>
              <w:top w:val="single" w:color="auto" w:sz="4" w:space="0"/>
            </w:tcBorders>
            <w:vAlign w:val="center"/>
          </w:tcPr>
          <w:p w14:paraId="293F2F80">
            <w:pPr>
              <w:adjustRightInd w:val="0"/>
              <w:snapToGrid w:val="0"/>
              <w:jc w:val="center"/>
              <w:rPr>
                <w:rFonts w:ascii="宋体" w:hAnsi="宋体"/>
                <w:snapToGrid w:val="0"/>
                <w:kern w:val="0"/>
                <w:u w:val="single"/>
              </w:rPr>
            </w:pPr>
            <w:r>
              <w:rPr>
                <w:rFonts w:hint="eastAsia" w:ascii="宋体" w:hAnsi="宋体"/>
                <w:snapToGrid w:val="0"/>
                <w:kern w:val="0"/>
                <w:u w:val="none"/>
              </w:rPr>
              <w:t>深圳市盐田区区属学校（幼儿园）大宗食材补充采购采购</w:t>
            </w:r>
          </w:p>
        </w:tc>
        <w:tc>
          <w:tcPr>
            <w:tcW w:w="1559" w:type="dxa"/>
            <w:tcBorders>
              <w:top w:val="single" w:color="auto" w:sz="4" w:space="0"/>
            </w:tcBorders>
            <w:vAlign w:val="center"/>
          </w:tcPr>
          <w:p w14:paraId="02283E8E">
            <w:pPr>
              <w:adjustRightInd w:val="0"/>
              <w:snapToGrid w:val="0"/>
              <w:jc w:val="center"/>
              <w:rPr>
                <w:rFonts w:ascii="宋体" w:hAnsi="宋体"/>
                <w:snapToGrid w:val="0"/>
                <w:kern w:val="0"/>
              </w:rPr>
            </w:pPr>
            <w:r>
              <w:rPr>
                <w:rFonts w:hint="eastAsia" w:ascii="宋体" w:hAnsi="宋体"/>
                <w:snapToGrid w:val="0"/>
                <w:kern w:val="0"/>
              </w:rPr>
              <w:t>YTZXCG-2025-00039</w:t>
            </w:r>
          </w:p>
        </w:tc>
        <w:tc>
          <w:tcPr>
            <w:tcW w:w="1276" w:type="dxa"/>
            <w:tcBorders>
              <w:top w:val="single" w:color="auto" w:sz="4" w:space="0"/>
            </w:tcBorders>
            <w:vAlign w:val="center"/>
          </w:tcPr>
          <w:p w14:paraId="122703B0">
            <w:pPr>
              <w:adjustRightInd w:val="0"/>
              <w:snapToGrid w:val="0"/>
              <w:jc w:val="center"/>
              <w:rPr>
                <w:rFonts w:hint="eastAsia" w:ascii="宋体" w:hAnsi="宋体" w:eastAsia="宋体"/>
                <w:snapToGrid w:val="0"/>
                <w:kern w:val="0"/>
                <w:lang w:val="en-US" w:eastAsia="zh-CN"/>
              </w:rPr>
            </w:pPr>
            <w:r>
              <w:rPr>
                <w:rFonts w:hint="eastAsia" w:ascii="宋体" w:hAnsi="宋体"/>
                <w:snapToGrid w:val="0"/>
                <w:kern w:val="0"/>
                <w:lang w:val="en-US" w:eastAsia="zh-CN"/>
              </w:rPr>
              <w:t>A</w:t>
            </w:r>
          </w:p>
        </w:tc>
        <w:tc>
          <w:tcPr>
            <w:tcW w:w="1417" w:type="dxa"/>
            <w:tcBorders>
              <w:top w:val="single" w:color="auto" w:sz="4" w:space="0"/>
            </w:tcBorders>
            <w:vAlign w:val="center"/>
          </w:tcPr>
          <w:p w14:paraId="64F0D142">
            <w:pPr>
              <w:adjustRightInd w:val="0"/>
              <w:snapToGrid w:val="0"/>
              <w:jc w:val="center"/>
              <w:rPr>
                <w:rFonts w:ascii="宋体" w:hAnsi="宋体"/>
                <w:snapToGrid w:val="0"/>
                <w:kern w:val="0"/>
              </w:rPr>
            </w:pPr>
          </w:p>
        </w:tc>
        <w:tc>
          <w:tcPr>
            <w:tcW w:w="1843" w:type="dxa"/>
            <w:tcBorders>
              <w:top w:val="single" w:color="auto" w:sz="4" w:space="0"/>
            </w:tcBorders>
            <w:vAlign w:val="center"/>
          </w:tcPr>
          <w:p w14:paraId="23BD4B8C">
            <w:pPr>
              <w:adjustRightInd w:val="0"/>
              <w:snapToGrid w:val="0"/>
              <w:jc w:val="center"/>
              <w:rPr>
                <w:rFonts w:ascii="宋体" w:hAnsi="宋体"/>
                <w:snapToGrid w:val="0"/>
                <w:kern w:val="0"/>
              </w:rPr>
            </w:pPr>
          </w:p>
        </w:tc>
      </w:tr>
    </w:tbl>
    <w:p w14:paraId="0DB76B2C">
      <w:pPr>
        <w:rPr>
          <w:rFonts w:hAnsi="宋体"/>
          <w:b/>
          <w:bCs/>
          <w:color w:val="FF0000"/>
          <w:sz w:val="24"/>
        </w:rPr>
      </w:pPr>
    </w:p>
    <w:p w14:paraId="5EF52B66">
      <w:pPr>
        <w:spacing w:line="360" w:lineRule="auto"/>
        <w:ind w:left="105" w:leftChars="50" w:firstLine="420" w:firstLineChars="200"/>
      </w:pPr>
      <w:r>
        <w:rPr>
          <w:rFonts w:hint="eastAsia"/>
        </w:rPr>
        <w:t>本项目采用折扣率报价的模式，涉及的品类食材价格按深圳市中农数据有限公司（天天采配平台）上月1至25号公布的相关食材价格（有精品价的品类以精品价）取平均值（精确到分，即小数点后两位）作为基准价（如深圳市中农数据有限公司（天天采配平台）有重大价格政策调整，经采购人同意后可按新政策执行），投标人结合项目要求、本项目情况及企业自己的实力自行报出折扣率</w:t>
      </w:r>
    </w:p>
    <w:p w14:paraId="306627CA">
      <w:pPr>
        <w:spacing w:line="360" w:lineRule="auto"/>
        <w:ind w:left="105" w:leftChars="50"/>
      </w:pPr>
      <w:r>
        <w:rPr>
          <w:rFonts w:hint="eastAsia"/>
        </w:rPr>
        <w:t>1、投标人需填报唯一的“折扣率”。</w:t>
      </w:r>
      <w:r>
        <w:rPr>
          <w:rFonts w:hint="eastAsia" w:ascii="宋体" w:hAnsi="宋体"/>
          <w:szCs w:val="21"/>
        </w:rPr>
        <w:t>所有物资的报价包括供应产品和产品运输到使用单位的服务费、检测费、人工费、管理费、税金等一切将可发生的费用。</w:t>
      </w:r>
      <w:r>
        <w:rPr>
          <w:rFonts w:hint="eastAsia"/>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E342A2">
      <w:pPr>
        <w:spacing w:line="360" w:lineRule="auto"/>
        <w:ind w:firstLine="105" w:firstLineChars="50"/>
      </w:pPr>
      <w:r>
        <w:rPr>
          <w:rFonts w:hint="eastAsia"/>
        </w:rPr>
        <w:t>2、投标人应在开标一览表中的“投标总价”一栏填写折扣率。</w:t>
      </w:r>
      <w:r>
        <w:rPr>
          <w:rFonts w:hint="eastAsia" w:ascii="宋体" w:hAnsi="宋体"/>
          <w:b/>
          <w:bCs/>
          <w:snapToGrid w:val="0"/>
          <w:kern w:val="0"/>
        </w:rPr>
        <w:t>开标一览表中填写的折扣率应与《折扣率表》一致。</w:t>
      </w:r>
    </w:p>
    <w:p w14:paraId="627D84A4">
      <w:pPr>
        <w:spacing w:line="360" w:lineRule="auto"/>
        <w:ind w:left="105" w:leftChars="50"/>
      </w:pPr>
      <w:r>
        <w:rPr>
          <w:rFonts w:hint="eastAsia"/>
        </w:rPr>
        <w:t>3、结算价=基准价*折扣率。基准价=深圳市中农数据有限公司（天天采配平台）上月1至25号公布的相关食材价格（有精品价的品类以精品价）取平均值（精确到分，即小数点后两位）；深圳市中农数据有限公司（天天采购平台）中无价格的产品</w:t>
      </w:r>
      <w:r>
        <w:rPr>
          <w:rFonts w:hint="eastAsia" w:ascii="宋体" w:hAnsi="宋体" w:cs="宋体"/>
          <w:szCs w:val="21"/>
        </w:rPr>
        <w:t>（原则上园方不采购中农数据食堂采配平台中无价格的产品）</w:t>
      </w:r>
      <w:r>
        <w:rPr>
          <w:rFonts w:hint="eastAsia"/>
        </w:rPr>
        <w:t>，则结算时价格=折扣率*市场价。（由园方和中标人到农贸市场或大型商超等现场调研决定，结算时需出具询价证明材料）。如遇台风暴雨、供求关系、宏观调控等原因造成的市场价格上涨或下降需临时调整时，中标人应提前书面通知园方，由园方和中标人以协调会议的形式解决，征得园方同意后方可调整。项目最终支付金额按实支付，但不超过各幼儿园支付上限。</w:t>
      </w:r>
    </w:p>
    <w:p w14:paraId="139315DC">
      <w:pPr>
        <w:spacing w:line="360" w:lineRule="auto"/>
        <w:ind w:left="105" w:leftChars="50"/>
      </w:pPr>
      <w:r>
        <w:rPr>
          <w:rFonts w:hint="eastAsia"/>
        </w:rPr>
        <w:t>4、“折扣率”率填写要求：</w:t>
      </w:r>
    </w:p>
    <w:p w14:paraId="53955D5D">
      <w:pPr>
        <w:spacing w:line="360" w:lineRule="auto"/>
        <w:ind w:left="105" w:leftChars="50"/>
      </w:pPr>
      <w:r>
        <w:rPr>
          <w:rFonts w:hint="eastAsia"/>
        </w:rPr>
        <w:t>（1）填写要求：0＜折扣率≤1，未按此要求填写将作投标无效处理；</w:t>
      </w:r>
    </w:p>
    <w:p w14:paraId="641FAC3C">
      <w:pPr>
        <w:spacing w:line="360" w:lineRule="auto"/>
        <w:ind w:left="105" w:leftChars="50"/>
      </w:pPr>
      <w:r>
        <w:rPr>
          <w:rFonts w:hint="eastAsia"/>
        </w:rPr>
        <w:t>（2）填写的“折扣率”应为小数，如0.95、0.80、0.78；</w:t>
      </w:r>
    </w:p>
    <w:p w14:paraId="794E9AEA">
      <w:pPr>
        <w:spacing w:line="360" w:lineRule="auto"/>
        <w:ind w:left="105" w:leftChars="50"/>
      </w:pPr>
      <w:r>
        <w:rPr>
          <w:rFonts w:hint="eastAsia"/>
        </w:rPr>
        <w:t>（3）投标人参与投标只允许填报唯一1个“折扣率”，不允许填报2个（或以上）的“折扣率”；填报了2个或以上“折扣率”的，其投标将直接作投标无效处理；</w:t>
      </w:r>
    </w:p>
    <w:p w14:paraId="6C9DD6DF">
      <w:pPr>
        <w:spacing w:line="360" w:lineRule="auto"/>
        <w:ind w:left="105" w:leftChars="50"/>
      </w:pPr>
      <w:r>
        <w:rPr>
          <w:rFonts w:hint="eastAsia"/>
        </w:rPr>
        <w:t>（4）“折扣率”缺填、漏填将直接作投标无效处理。</w:t>
      </w:r>
    </w:p>
    <w:p w14:paraId="6649A317">
      <w:pPr>
        <w:spacing w:line="360" w:lineRule="auto"/>
        <w:ind w:left="105" w:leftChars="50"/>
      </w:pPr>
      <w:r>
        <w:rPr>
          <w:rFonts w:hint="eastAsia"/>
        </w:rPr>
        <w:t>5、投标人如果需要对报价或其它内容加以说明，可在备注栏填写。</w:t>
      </w:r>
    </w:p>
    <w:p w14:paraId="67DEFBB0">
      <w:pPr>
        <w:adjustRightInd w:val="0"/>
        <w:snapToGrid w:val="0"/>
        <w:spacing w:line="240" w:lineRule="atLeast"/>
        <w:ind w:firstLine="408"/>
        <w:rPr>
          <w:rFonts w:asciiTheme="minorEastAsia" w:hAnsiTheme="minorEastAsia" w:eastAsiaTheme="minorEastAsia"/>
          <w:szCs w:val="21"/>
        </w:rPr>
      </w:pPr>
      <w:r>
        <w:rPr>
          <w:rFonts w:hint="eastAsia"/>
        </w:rPr>
        <w:t>6、若评审委员会成员对是否须由投标人作出报价合理性说明，以及书面说明是否采纳等判断不一致的，按照“少数服从多数”的原则确定评审委员会的意见。</w:t>
      </w:r>
    </w:p>
    <w:p w14:paraId="5BE25C49">
      <w:pPr>
        <w:pStyle w:val="2"/>
      </w:pPr>
    </w:p>
    <w:p w14:paraId="59D4E80A">
      <w:pPr>
        <w:rPr>
          <w:rFonts w:hAnsi="宋体"/>
          <w:b/>
          <w:bCs/>
          <w:color w:val="FF0000"/>
          <w:sz w:val="24"/>
        </w:rPr>
      </w:pPr>
    </w:p>
    <w:p w14:paraId="11BD7077">
      <w:pPr>
        <w:pStyle w:val="2"/>
      </w:pPr>
    </w:p>
    <w:p w14:paraId="50E91186">
      <w:pPr>
        <w:tabs>
          <w:tab w:val="left" w:pos="720"/>
        </w:tabs>
        <w:jc w:val="center"/>
        <w:rPr>
          <w:b/>
          <w:sz w:val="24"/>
        </w:rPr>
      </w:pPr>
      <w:r>
        <w:rPr>
          <w:rFonts w:hint="eastAsia"/>
          <w:b/>
          <w:sz w:val="24"/>
        </w:rPr>
        <w:t>（二）</w:t>
      </w:r>
      <w:bookmarkStart w:id="47" w:name="_Hlk72073235"/>
      <w:r>
        <w:rPr>
          <w:rFonts w:hint="eastAsia"/>
          <w:b/>
          <w:sz w:val="24"/>
        </w:rPr>
        <w:t>投标人认为需要涉及的其他内容报价清单</w:t>
      </w:r>
      <w:bookmarkEnd w:id="47"/>
    </w:p>
    <w:p w14:paraId="7DCA7A59">
      <w:pPr>
        <w:rPr>
          <w:b/>
          <w:bCs/>
        </w:rPr>
      </w:pPr>
    </w:p>
    <w:p w14:paraId="170A0195"/>
    <w:p w14:paraId="05F995D9">
      <w:pPr>
        <w:pStyle w:val="2"/>
      </w:pPr>
    </w:p>
    <w:p w14:paraId="7CEB69A5">
      <w:pPr>
        <w:pStyle w:val="4"/>
        <w:jc w:val="center"/>
        <w:rPr>
          <w:rFonts w:hint="eastAsia" w:ascii="黑体" w:eastAsia="黑体"/>
          <w:b w:val="0"/>
          <w:sz w:val="24"/>
          <w:szCs w:val="24"/>
        </w:rPr>
      </w:pPr>
      <w:r>
        <w:rPr>
          <w:rFonts w:hint="eastAsia" w:ascii="黑体" w:eastAsia="黑体"/>
          <w:b w:val="0"/>
          <w:sz w:val="24"/>
          <w:szCs w:val="24"/>
          <w:lang w:val="en-US" w:eastAsia="zh-CN"/>
        </w:rPr>
        <w:t>五、</w:t>
      </w:r>
      <w:r>
        <w:rPr>
          <w:rFonts w:hint="eastAsia" w:ascii="黑体" w:eastAsia="黑体"/>
          <w:b w:val="0"/>
          <w:sz w:val="24"/>
          <w:szCs w:val="24"/>
        </w:rPr>
        <w:t>投标人同类项目业绩情况</w:t>
      </w:r>
      <w:r>
        <w:rPr>
          <w:rFonts w:hint="eastAsia" w:ascii="黑体" w:eastAsia="黑体"/>
          <w:b w:val="0"/>
          <w:sz w:val="24"/>
          <w:szCs w:val="24"/>
          <w:lang w:eastAsia="zh-CN"/>
        </w:rPr>
        <w:t>（</w:t>
      </w:r>
      <w:r>
        <w:rPr>
          <w:rFonts w:hint="eastAsia" w:ascii="黑体" w:eastAsia="黑体"/>
          <w:b w:val="0"/>
          <w:sz w:val="24"/>
          <w:szCs w:val="24"/>
          <w:lang w:val="en-US" w:eastAsia="zh-CN"/>
        </w:rPr>
        <w:t>格式自拟</w:t>
      </w:r>
      <w:r>
        <w:rPr>
          <w:rFonts w:hint="eastAsia" w:ascii="黑体" w:eastAsia="黑体"/>
          <w:b w:val="0"/>
          <w:sz w:val="24"/>
          <w:szCs w:val="24"/>
          <w:lang w:eastAsia="zh-CN"/>
        </w:rPr>
        <w:t>）</w:t>
      </w:r>
    </w:p>
    <w:p w14:paraId="2E3084CE">
      <w:pPr>
        <w:pStyle w:val="4"/>
        <w:jc w:val="center"/>
        <w:rPr>
          <w:rFonts w:hint="eastAsia" w:ascii="黑体" w:eastAsia="黑体"/>
          <w:b w:val="0"/>
          <w:sz w:val="24"/>
          <w:szCs w:val="24"/>
          <w:lang w:eastAsia="zh-CN"/>
        </w:rPr>
      </w:pPr>
    </w:p>
    <w:p w14:paraId="0E452896">
      <w:pPr>
        <w:pStyle w:val="4"/>
        <w:jc w:val="center"/>
        <w:rPr>
          <w:rFonts w:hint="eastAsia" w:ascii="黑体" w:eastAsia="黑体"/>
          <w:b w:val="0"/>
          <w:sz w:val="24"/>
          <w:szCs w:val="24"/>
        </w:rPr>
      </w:pPr>
      <w:r>
        <w:rPr>
          <w:rFonts w:hint="eastAsia" w:ascii="黑体" w:eastAsia="黑体"/>
          <w:b w:val="0"/>
          <w:sz w:val="24"/>
          <w:szCs w:val="24"/>
          <w:lang w:val="en-US" w:eastAsia="zh-CN"/>
        </w:rPr>
        <w:t>六、</w:t>
      </w:r>
      <w:r>
        <w:rPr>
          <w:rFonts w:hint="eastAsia" w:ascii="黑体" w:eastAsia="黑体"/>
          <w:b w:val="0"/>
          <w:sz w:val="24"/>
          <w:szCs w:val="24"/>
        </w:rPr>
        <w:t>投标人获奖情况</w:t>
      </w:r>
      <w:r>
        <w:rPr>
          <w:rFonts w:hint="eastAsia" w:ascii="黑体" w:eastAsia="黑体"/>
          <w:b w:val="0"/>
          <w:sz w:val="24"/>
          <w:szCs w:val="24"/>
          <w:lang w:eastAsia="zh-CN"/>
        </w:rPr>
        <w:t>（</w:t>
      </w:r>
      <w:r>
        <w:rPr>
          <w:rFonts w:hint="eastAsia" w:ascii="黑体" w:eastAsia="黑体"/>
          <w:b w:val="0"/>
          <w:sz w:val="24"/>
          <w:szCs w:val="24"/>
          <w:lang w:val="en-US" w:eastAsia="zh-CN"/>
        </w:rPr>
        <w:t>格式自拟</w:t>
      </w:r>
      <w:r>
        <w:rPr>
          <w:rFonts w:hint="eastAsia" w:ascii="黑体" w:eastAsia="黑体"/>
          <w:b w:val="0"/>
          <w:sz w:val="24"/>
          <w:szCs w:val="24"/>
          <w:lang w:eastAsia="zh-CN"/>
        </w:rPr>
        <w:t>）</w:t>
      </w:r>
    </w:p>
    <w:p w14:paraId="0212A360"/>
    <w:p w14:paraId="2484D794">
      <w:pPr>
        <w:rPr>
          <w:rFonts w:hint="eastAsia"/>
          <w:b/>
          <w:color w:val="FF0000"/>
          <w:sz w:val="24"/>
        </w:rPr>
      </w:pPr>
    </w:p>
    <w:p w14:paraId="7D61AD4E">
      <w:pPr>
        <w:rPr>
          <w:rFonts w:hint="eastAsia"/>
          <w:b/>
          <w:color w:val="FF0000"/>
          <w:sz w:val="24"/>
        </w:rPr>
      </w:pPr>
    </w:p>
    <w:p w14:paraId="677FFB1C">
      <w:pPr>
        <w:jc w:val="center"/>
        <w:rPr>
          <w:b/>
          <w:color w:val="FF0000"/>
          <w:sz w:val="24"/>
        </w:rPr>
      </w:pPr>
      <w:r>
        <w:rPr>
          <w:rFonts w:hint="eastAsia"/>
          <w:b/>
          <w:color w:val="FF0000"/>
          <w:sz w:val="24"/>
        </w:rPr>
        <w:t>（信息公开部分的内容到此为止！以下为信息不公开部分。）</w:t>
      </w:r>
    </w:p>
    <w:p w14:paraId="73E038D7">
      <w:pPr>
        <w:jc w:val="center"/>
        <w:rPr>
          <w:b/>
          <w:sz w:val="32"/>
          <w:szCs w:val="32"/>
        </w:rPr>
      </w:pPr>
    </w:p>
    <w:p w14:paraId="2058062D">
      <w:pPr>
        <w:jc w:val="center"/>
        <w:rPr>
          <w:b/>
          <w:sz w:val="32"/>
          <w:szCs w:val="32"/>
        </w:rPr>
      </w:pPr>
    </w:p>
    <w:p w14:paraId="7D4E67F0">
      <w:pPr>
        <w:jc w:val="center"/>
        <w:rPr>
          <w:b/>
          <w:sz w:val="32"/>
          <w:szCs w:val="32"/>
        </w:rPr>
      </w:pPr>
    </w:p>
    <w:p w14:paraId="26A8D3C7">
      <w:pPr>
        <w:jc w:val="center"/>
        <w:rPr>
          <w:b/>
          <w:sz w:val="32"/>
          <w:szCs w:val="32"/>
        </w:rPr>
      </w:pPr>
    </w:p>
    <w:p w14:paraId="69A0DE22">
      <w:pPr>
        <w:jc w:val="center"/>
        <w:rPr>
          <w:b/>
          <w:sz w:val="32"/>
          <w:szCs w:val="32"/>
        </w:rPr>
      </w:pPr>
    </w:p>
    <w:p w14:paraId="65079EB8">
      <w:pPr>
        <w:jc w:val="center"/>
        <w:rPr>
          <w:b/>
          <w:sz w:val="32"/>
          <w:szCs w:val="32"/>
        </w:rPr>
      </w:pPr>
    </w:p>
    <w:p w14:paraId="2809FD89">
      <w:pPr>
        <w:jc w:val="center"/>
        <w:rPr>
          <w:b/>
          <w:sz w:val="32"/>
          <w:szCs w:val="32"/>
        </w:rPr>
      </w:pPr>
    </w:p>
    <w:p w14:paraId="686CF667">
      <w:pPr>
        <w:rPr>
          <w:rFonts w:ascii="仿宋_GB2312" w:eastAsia="仿宋_GB2312"/>
          <w:b/>
          <w:sz w:val="30"/>
          <w:szCs w:val="30"/>
        </w:rPr>
      </w:pPr>
    </w:p>
    <w:p w14:paraId="2B8C154E">
      <w:pPr>
        <w:widowControl/>
        <w:jc w:val="left"/>
        <w:rPr>
          <w:rFonts w:ascii="宋体" w:hAnsi="宋体"/>
          <w:b/>
          <w:color w:val="FF0000"/>
          <w:sz w:val="28"/>
          <w:szCs w:val="28"/>
        </w:rPr>
      </w:pPr>
      <w:r>
        <w:rPr>
          <w:rFonts w:ascii="宋体" w:hAnsi="宋体"/>
          <w:b/>
          <w:color w:val="FF0000"/>
          <w:sz w:val="28"/>
          <w:szCs w:val="28"/>
        </w:rPr>
        <w:br w:type="page"/>
      </w:r>
    </w:p>
    <w:p w14:paraId="59990522">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3BC0A730">
      <w:pPr>
        <w:pStyle w:val="4"/>
        <w:numPr>
          <w:ilvl w:val="0"/>
          <w:numId w:val="9"/>
        </w:numPr>
        <w:ind w:left="480" w:hanging="480"/>
        <w:jc w:val="center"/>
        <w:rPr>
          <w:rFonts w:ascii="黑体" w:eastAsia="黑体"/>
          <w:b w:val="0"/>
          <w:sz w:val="24"/>
          <w:szCs w:val="24"/>
          <w:highlight w:val="yellow"/>
        </w:rPr>
      </w:pPr>
      <w:r>
        <w:rPr>
          <w:rFonts w:hint="eastAsia" w:ascii="黑体" w:hAnsi="黑体" w:eastAsia="黑体"/>
          <w:b w:val="0"/>
          <w:sz w:val="24"/>
          <w:szCs w:val="24"/>
          <w:highlight w:val="yellow"/>
        </w:rPr>
        <w:t>供应商基本情况表</w:t>
      </w:r>
    </w:p>
    <w:p w14:paraId="3A1A5FBA">
      <w:pPr>
        <w:jc w:val="center"/>
        <w:rPr>
          <w:rFonts w:ascii="方正小标宋简体" w:eastAsia="方正小标宋简体"/>
          <w:sz w:val="44"/>
        </w:rPr>
      </w:pPr>
      <w:r>
        <w:rPr>
          <w:rFonts w:hint="eastAsia" w:ascii="方正小标宋简体" w:eastAsia="方正小标宋简体"/>
          <w:sz w:val="44"/>
        </w:rPr>
        <w:t>供应商基本情况表</w:t>
      </w:r>
    </w:p>
    <w:tbl>
      <w:tblPr>
        <w:tblStyle w:val="43"/>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70"/>
        <w:gridCol w:w="1591"/>
        <w:gridCol w:w="939"/>
        <w:gridCol w:w="783"/>
        <w:gridCol w:w="1189"/>
        <w:gridCol w:w="1486"/>
        <w:gridCol w:w="1472"/>
      </w:tblGrid>
      <w:tr w14:paraId="3A7E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398" w:type="dxa"/>
            <w:gridSpan w:val="2"/>
            <w:tcBorders>
              <w:top w:val="single" w:color="auto" w:sz="4" w:space="0"/>
              <w:left w:val="single" w:color="auto" w:sz="4" w:space="0"/>
              <w:bottom w:val="single" w:color="auto" w:sz="4" w:space="0"/>
              <w:right w:val="single" w:color="auto" w:sz="4" w:space="0"/>
            </w:tcBorders>
            <w:vAlign w:val="center"/>
          </w:tcPr>
          <w:p w14:paraId="23132276">
            <w:pPr>
              <w:jc w:val="center"/>
              <w:rPr>
                <w:rFonts w:ascii="宋体" w:hAnsi="宋体"/>
                <w:szCs w:val="21"/>
              </w:rPr>
            </w:pPr>
            <w:r>
              <w:rPr>
                <w:rFonts w:hint="eastAsia" w:ascii="宋体" w:hAnsi="宋体"/>
              </w:rPr>
              <w:t>投标（响应）供应商</w:t>
            </w:r>
          </w:p>
        </w:tc>
        <w:tc>
          <w:tcPr>
            <w:tcW w:w="2530" w:type="dxa"/>
            <w:gridSpan w:val="2"/>
            <w:tcBorders>
              <w:top w:val="single" w:color="auto" w:sz="4" w:space="0"/>
              <w:left w:val="nil"/>
              <w:bottom w:val="single" w:color="auto" w:sz="4" w:space="0"/>
              <w:right w:val="single" w:color="auto" w:sz="4" w:space="0"/>
            </w:tcBorders>
            <w:vAlign w:val="center"/>
          </w:tcPr>
          <w:p w14:paraId="7A012FB4">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3EB3C05D">
            <w:pPr>
              <w:jc w:val="center"/>
              <w:rPr>
                <w:rFonts w:ascii="宋体" w:hAnsi="宋体"/>
                <w:szCs w:val="21"/>
              </w:rPr>
            </w:pPr>
            <w:r>
              <w:rPr>
                <w:rFonts w:hint="eastAsia" w:ascii="宋体" w:hAnsi="宋体"/>
              </w:rPr>
              <w:t>项目名称及编号</w:t>
            </w:r>
          </w:p>
        </w:tc>
        <w:tc>
          <w:tcPr>
            <w:tcW w:w="2958" w:type="dxa"/>
            <w:gridSpan w:val="2"/>
            <w:tcBorders>
              <w:top w:val="single" w:color="auto" w:sz="4" w:space="0"/>
              <w:left w:val="nil"/>
              <w:bottom w:val="single" w:color="auto" w:sz="4" w:space="0"/>
              <w:right w:val="single" w:color="auto" w:sz="4" w:space="0"/>
            </w:tcBorders>
            <w:vAlign w:val="center"/>
          </w:tcPr>
          <w:p w14:paraId="1C0182F6">
            <w:pPr>
              <w:jc w:val="center"/>
              <w:rPr>
                <w:rFonts w:ascii="宋体" w:hAnsi="宋体"/>
                <w:szCs w:val="21"/>
              </w:rPr>
            </w:pPr>
            <w:r>
              <w:rPr>
                <w:rFonts w:hint="eastAsia" w:ascii="宋体" w:hAnsi="宋体"/>
                <w:szCs w:val="21"/>
              </w:rPr>
              <w:t>深圳市盐田区教育局的深圳市盐田区区属学校（幼儿园）大宗食材补充采购采购</w:t>
            </w:r>
            <w:r>
              <w:rPr>
                <w:rFonts w:hint="eastAsia" w:ascii="宋体" w:hAnsi="宋体"/>
                <w:snapToGrid w:val="0"/>
                <w:kern w:val="0"/>
              </w:rPr>
              <w:t>YTZXCG-2025-00039</w:t>
            </w:r>
          </w:p>
        </w:tc>
      </w:tr>
      <w:tr w14:paraId="0E54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62519ED8">
            <w:pPr>
              <w:ind w:firstLine="1932"/>
              <w:jc w:val="center"/>
              <w:rPr>
                <w:rFonts w:ascii="宋体" w:hAnsi="宋体"/>
                <w:szCs w:val="21"/>
              </w:rPr>
            </w:pPr>
            <w:r>
              <w:rPr>
                <w:rFonts w:hint="eastAsia" w:ascii="宋体" w:hAnsi="宋体"/>
                <w:b/>
                <w:bCs/>
              </w:rPr>
              <w:t>投标（响应）供应商相关人员情况</w:t>
            </w:r>
          </w:p>
        </w:tc>
      </w:tr>
      <w:tr w14:paraId="0988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8" w:type="dxa"/>
            <w:tcBorders>
              <w:top w:val="single" w:color="auto" w:sz="4" w:space="0"/>
              <w:left w:val="single" w:color="auto" w:sz="4" w:space="0"/>
              <w:bottom w:val="single" w:color="auto" w:sz="4" w:space="0"/>
              <w:right w:val="single" w:color="auto" w:sz="4" w:space="0"/>
            </w:tcBorders>
            <w:vAlign w:val="center"/>
          </w:tcPr>
          <w:p w14:paraId="2840B2E0">
            <w:pPr>
              <w:snapToGrid w:val="0"/>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4BB7291D">
            <w:pPr>
              <w:jc w:val="center"/>
              <w:rPr>
                <w:rFonts w:ascii="宋体" w:hAnsi="宋体"/>
                <w:szCs w:val="21"/>
              </w:rPr>
            </w:pPr>
            <w:r>
              <w:rPr>
                <w:rFonts w:hint="eastAsia" w:ascii="宋体" w:hAnsi="宋体"/>
              </w:rPr>
              <w:t>职务</w:t>
            </w:r>
          </w:p>
        </w:tc>
        <w:tc>
          <w:tcPr>
            <w:tcW w:w="939" w:type="dxa"/>
            <w:tcBorders>
              <w:top w:val="single" w:color="auto" w:sz="4" w:space="0"/>
              <w:left w:val="nil"/>
              <w:bottom w:val="single" w:color="auto" w:sz="4" w:space="0"/>
              <w:right w:val="single" w:color="auto" w:sz="4" w:space="0"/>
            </w:tcBorders>
            <w:vAlign w:val="center"/>
          </w:tcPr>
          <w:p w14:paraId="3905A3CF">
            <w:pPr>
              <w:jc w:val="center"/>
              <w:rPr>
                <w:rFonts w:ascii="宋体" w:hAnsi="宋体"/>
                <w:szCs w:val="21"/>
              </w:rPr>
            </w:pPr>
            <w:r>
              <w:rPr>
                <w:rFonts w:hint="eastAsia" w:ascii="宋体" w:hAnsi="宋体"/>
              </w:rPr>
              <w:t>姓名</w:t>
            </w:r>
          </w:p>
        </w:tc>
        <w:tc>
          <w:tcPr>
            <w:tcW w:w="1972" w:type="dxa"/>
            <w:gridSpan w:val="2"/>
            <w:tcBorders>
              <w:top w:val="single" w:color="auto" w:sz="4" w:space="0"/>
              <w:left w:val="nil"/>
              <w:bottom w:val="single" w:color="auto" w:sz="4" w:space="0"/>
              <w:right w:val="single" w:color="auto" w:sz="4" w:space="0"/>
            </w:tcBorders>
            <w:vAlign w:val="center"/>
          </w:tcPr>
          <w:p w14:paraId="5ECA809B">
            <w:pPr>
              <w:jc w:val="center"/>
              <w:rPr>
                <w:rFonts w:ascii="宋体" w:hAnsi="宋体"/>
                <w:szCs w:val="21"/>
              </w:rPr>
            </w:pPr>
            <w:r>
              <w:rPr>
                <w:rFonts w:hint="eastAsia" w:ascii="宋体" w:hAnsi="宋体"/>
              </w:rPr>
              <w:t>身份证号码</w:t>
            </w:r>
          </w:p>
        </w:tc>
        <w:tc>
          <w:tcPr>
            <w:tcW w:w="1486" w:type="dxa"/>
            <w:tcBorders>
              <w:top w:val="single" w:color="auto" w:sz="4" w:space="0"/>
              <w:left w:val="nil"/>
              <w:bottom w:val="single" w:color="auto" w:sz="4" w:space="0"/>
              <w:right w:val="single" w:color="auto" w:sz="4" w:space="0"/>
            </w:tcBorders>
            <w:vAlign w:val="center"/>
          </w:tcPr>
          <w:p w14:paraId="1192107C">
            <w:pPr>
              <w:snapToGrid w:val="0"/>
              <w:jc w:val="center"/>
              <w:rPr>
                <w:rFonts w:ascii="宋体" w:hAnsi="宋体"/>
                <w:szCs w:val="21"/>
              </w:rPr>
            </w:pPr>
            <w:r>
              <w:rPr>
                <w:rFonts w:hint="eastAsia" w:ascii="宋体" w:hAnsi="宋体"/>
              </w:rPr>
              <w:t>劳动合同</w:t>
            </w:r>
          </w:p>
          <w:p w14:paraId="70937D70">
            <w:pPr>
              <w:snapToGrid w:val="0"/>
              <w:jc w:val="center"/>
              <w:rPr>
                <w:rFonts w:ascii="宋体" w:hAnsi="宋体"/>
                <w:szCs w:val="21"/>
              </w:rPr>
            </w:pPr>
            <w:r>
              <w:rPr>
                <w:rFonts w:hint="eastAsia" w:ascii="宋体" w:hAnsi="宋体"/>
              </w:rPr>
              <w:t>关系单位</w:t>
            </w:r>
          </w:p>
        </w:tc>
        <w:tc>
          <w:tcPr>
            <w:tcW w:w="1472" w:type="dxa"/>
            <w:tcBorders>
              <w:top w:val="single" w:color="auto" w:sz="4" w:space="0"/>
              <w:left w:val="nil"/>
              <w:bottom w:val="single" w:color="auto" w:sz="4" w:space="0"/>
              <w:right w:val="single" w:color="auto" w:sz="4" w:space="0"/>
            </w:tcBorders>
            <w:vAlign w:val="center"/>
          </w:tcPr>
          <w:p w14:paraId="690278F1">
            <w:pPr>
              <w:snapToGrid w:val="0"/>
              <w:jc w:val="center"/>
              <w:rPr>
                <w:rFonts w:ascii="宋体" w:hAnsi="宋体"/>
                <w:szCs w:val="21"/>
              </w:rPr>
            </w:pPr>
            <w:r>
              <w:rPr>
                <w:rFonts w:hint="eastAsia" w:ascii="宋体" w:hAnsi="宋体"/>
              </w:rPr>
              <w:t>缴纳社会</w:t>
            </w:r>
          </w:p>
          <w:p w14:paraId="0ADAECBD">
            <w:pPr>
              <w:snapToGrid w:val="0"/>
              <w:jc w:val="center"/>
              <w:rPr>
                <w:rFonts w:ascii="宋体" w:hAnsi="宋体"/>
                <w:szCs w:val="21"/>
              </w:rPr>
            </w:pPr>
            <w:r>
              <w:rPr>
                <w:rFonts w:hint="eastAsia" w:ascii="宋体" w:hAnsi="宋体"/>
              </w:rPr>
              <w:t>保险单位</w:t>
            </w:r>
          </w:p>
        </w:tc>
      </w:tr>
      <w:tr w14:paraId="2C3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28" w:type="dxa"/>
            <w:tcBorders>
              <w:top w:val="single" w:color="auto" w:sz="4" w:space="0"/>
              <w:left w:val="single" w:color="auto" w:sz="4" w:space="0"/>
              <w:bottom w:val="single" w:color="auto" w:sz="4" w:space="0"/>
              <w:right w:val="single" w:color="auto" w:sz="4" w:space="0"/>
            </w:tcBorders>
            <w:vAlign w:val="center"/>
          </w:tcPr>
          <w:p w14:paraId="319D349F">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7E649988">
            <w:pPr>
              <w:spacing w:line="460" w:lineRule="exact"/>
              <w:jc w:val="center"/>
              <w:rPr>
                <w:rFonts w:ascii="宋体" w:hAnsi="宋体"/>
                <w:szCs w:val="21"/>
              </w:rPr>
            </w:pPr>
            <w:r>
              <w:rPr>
                <w:rFonts w:hint="eastAsia" w:ascii="宋体" w:hAnsi="宋体"/>
              </w:rPr>
              <w:t>法定代表人/单位负责人/主要经营负责人</w:t>
            </w:r>
          </w:p>
        </w:tc>
        <w:tc>
          <w:tcPr>
            <w:tcW w:w="939" w:type="dxa"/>
            <w:tcBorders>
              <w:top w:val="single" w:color="auto" w:sz="4" w:space="0"/>
              <w:left w:val="nil"/>
              <w:bottom w:val="single" w:color="auto" w:sz="4" w:space="0"/>
              <w:right w:val="single" w:color="auto" w:sz="4" w:space="0"/>
            </w:tcBorders>
            <w:vAlign w:val="center"/>
          </w:tcPr>
          <w:p w14:paraId="67C69B30">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7D01F0D8">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518A46AF">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0CF017E8">
            <w:pPr>
              <w:jc w:val="center"/>
              <w:rPr>
                <w:rFonts w:ascii="宋体" w:hAnsi="宋体"/>
                <w:szCs w:val="21"/>
              </w:rPr>
            </w:pPr>
          </w:p>
        </w:tc>
      </w:tr>
      <w:tr w14:paraId="2C50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692E2B6E">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46FFE5E3">
            <w:pPr>
              <w:jc w:val="center"/>
              <w:rPr>
                <w:rFonts w:ascii="宋体" w:hAnsi="宋体"/>
                <w:szCs w:val="21"/>
              </w:rPr>
            </w:pPr>
            <w:r>
              <w:rPr>
                <w:rFonts w:hint="eastAsia" w:ascii="宋体" w:hAnsi="宋体"/>
              </w:rPr>
              <w:t>项目投标授权代表人</w:t>
            </w:r>
          </w:p>
        </w:tc>
        <w:tc>
          <w:tcPr>
            <w:tcW w:w="939" w:type="dxa"/>
            <w:tcBorders>
              <w:top w:val="single" w:color="auto" w:sz="4" w:space="0"/>
              <w:left w:val="nil"/>
              <w:bottom w:val="single" w:color="auto" w:sz="4" w:space="0"/>
              <w:right w:val="single" w:color="auto" w:sz="4" w:space="0"/>
            </w:tcBorders>
            <w:vAlign w:val="center"/>
          </w:tcPr>
          <w:p w14:paraId="134AEDC7">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2613A553">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56CF6A8E">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49972B85">
            <w:pPr>
              <w:jc w:val="center"/>
              <w:rPr>
                <w:rFonts w:ascii="宋体" w:hAnsi="宋体"/>
                <w:szCs w:val="21"/>
              </w:rPr>
            </w:pPr>
          </w:p>
        </w:tc>
      </w:tr>
      <w:tr w14:paraId="5651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72D709EC">
            <w:pPr>
              <w:jc w:val="center"/>
              <w:rPr>
                <w:rFonts w:ascii="宋体" w:hAnsi="宋体"/>
                <w:szCs w:val="21"/>
              </w:rPr>
            </w:pPr>
            <w:r>
              <w:rPr>
                <w:rFonts w:hint="eastAsia" w:ascii="宋体" w:hAnsi="宋体"/>
              </w:rPr>
              <w:t>3</w:t>
            </w:r>
          </w:p>
        </w:tc>
        <w:tc>
          <w:tcPr>
            <w:tcW w:w="2261" w:type="dxa"/>
            <w:gridSpan w:val="2"/>
            <w:tcBorders>
              <w:top w:val="single" w:color="auto" w:sz="4" w:space="0"/>
              <w:left w:val="nil"/>
              <w:bottom w:val="single" w:color="auto" w:sz="4" w:space="0"/>
              <w:right w:val="single" w:color="auto" w:sz="4" w:space="0"/>
            </w:tcBorders>
            <w:vAlign w:val="center"/>
          </w:tcPr>
          <w:p w14:paraId="7734DDEE">
            <w:pPr>
              <w:jc w:val="center"/>
              <w:rPr>
                <w:rFonts w:ascii="宋体" w:hAnsi="宋体"/>
                <w:szCs w:val="21"/>
              </w:rPr>
            </w:pPr>
            <w:r>
              <w:rPr>
                <w:rFonts w:hint="eastAsia" w:ascii="宋体" w:hAnsi="宋体"/>
              </w:rPr>
              <w:t>项目负责人</w:t>
            </w:r>
          </w:p>
        </w:tc>
        <w:tc>
          <w:tcPr>
            <w:tcW w:w="939" w:type="dxa"/>
            <w:tcBorders>
              <w:top w:val="single" w:color="auto" w:sz="4" w:space="0"/>
              <w:left w:val="nil"/>
              <w:bottom w:val="single" w:color="auto" w:sz="4" w:space="0"/>
              <w:right w:val="single" w:color="auto" w:sz="4" w:space="0"/>
            </w:tcBorders>
            <w:vAlign w:val="center"/>
          </w:tcPr>
          <w:p w14:paraId="1B3C5A76">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34FA023D">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59A46F03">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1CB719EF">
            <w:pPr>
              <w:jc w:val="center"/>
              <w:rPr>
                <w:rFonts w:ascii="宋体" w:hAnsi="宋体"/>
                <w:szCs w:val="21"/>
              </w:rPr>
            </w:pPr>
          </w:p>
        </w:tc>
      </w:tr>
      <w:tr w14:paraId="6D25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09343A50">
            <w:pPr>
              <w:jc w:val="center"/>
              <w:rPr>
                <w:rFonts w:ascii="宋体" w:hAnsi="宋体"/>
                <w:szCs w:val="21"/>
              </w:rPr>
            </w:pPr>
            <w:r>
              <w:rPr>
                <w:rFonts w:hint="eastAsia" w:ascii="宋体" w:hAnsi="宋体"/>
              </w:rPr>
              <w:t>4</w:t>
            </w:r>
          </w:p>
        </w:tc>
        <w:tc>
          <w:tcPr>
            <w:tcW w:w="2261" w:type="dxa"/>
            <w:gridSpan w:val="2"/>
            <w:tcBorders>
              <w:top w:val="single" w:color="auto" w:sz="4" w:space="0"/>
              <w:left w:val="nil"/>
              <w:bottom w:val="single" w:color="auto" w:sz="4" w:space="0"/>
              <w:right w:val="single" w:color="auto" w:sz="4" w:space="0"/>
            </w:tcBorders>
            <w:vAlign w:val="center"/>
          </w:tcPr>
          <w:p w14:paraId="5B196011">
            <w:pPr>
              <w:jc w:val="center"/>
              <w:rPr>
                <w:rFonts w:ascii="宋体" w:hAnsi="宋体"/>
                <w:szCs w:val="21"/>
              </w:rPr>
            </w:pPr>
            <w:r>
              <w:rPr>
                <w:rFonts w:hint="eastAsia" w:ascii="宋体" w:hAnsi="宋体"/>
              </w:rPr>
              <w:t>主要技术人员</w:t>
            </w:r>
          </w:p>
        </w:tc>
        <w:tc>
          <w:tcPr>
            <w:tcW w:w="939" w:type="dxa"/>
            <w:tcBorders>
              <w:top w:val="single" w:color="auto" w:sz="4" w:space="0"/>
              <w:left w:val="nil"/>
              <w:bottom w:val="single" w:color="auto" w:sz="4" w:space="0"/>
              <w:right w:val="single" w:color="auto" w:sz="4" w:space="0"/>
            </w:tcBorders>
            <w:vAlign w:val="center"/>
          </w:tcPr>
          <w:p w14:paraId="7FFDF98D">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12E91E53">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6ADE4535">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77321A6E">
            <w:pPr>
              <w:jc w:val="center"/>
              <w:rPr>
                <w:rFonts w:ascii="宋体" w:hAnsi="宋体"/>
                <w:szCs w:val="21"/>
              </w:rPr>
            </w:pPr>
          </w:p>
        </w:tc>
      </w:tr>
      <w:tr w14:paraId="3B4B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7964D8B2">
            <w:pPr>
              <w:jc w:val="center"/>
              <w:rPr>
                <w:rFonts w:ascii="宋体" w:hAnsi="宋体"/>
                <w:szCs w:val="21"/>
              </w:rPr>
            </w:pPr>
            <w:r>
              <w:rPr>
                <w:rFonts w:hint="eastAsia" w:ascii="宋体" w:hAnsi="宋体"/>
              </w:rPr>
              <w:t>5</w:t>
            </w:r>
          </w:p>
        </w:tc>
        <w:tc>
          <w:tcPr>
            <w:tcW w:w="2261" w:type="dxa"/>
            <w:gridSpan w:val="2"/>
            <w:tcBorders>
              <w:top w:val="single" w:color="auto" w:sz="4" w:space="0"/>
              <w:left w:val="nil"/>
              <w:bottom w:val="single" w:color="auto" w:sz="4" w:space="0"/>
              <w:right w:val="single" w:color="auto" w:sz="4" w:space="0"/>
            </w:tcBorders>
            <w:vAlign w:val="center"/>
          </w:tcPr>
          <w:p w14:paraId="3468E781">
            <w:pPr>
              <w:pStyle w:val="37"/>
              <w:snapToGrid w:val="0"/>
              <w:jc w:val="center"/>
              <w:rPr>
                <w:rFonts w:ascii="宋体" w:hAnsi="宋体"/>
                <w:sz w:val="21"/>
                <w:szCs w:val="21"/>
              </w:rPr>
            </w:pPr>
            <w:r>
              <w:rPr>
                <w:rFonts w:hint="eastAsia" w:ascii="宋体" w:hAnsi="宋体"/>
                <w:sz w:val="21"/>
                <w:szCs w:val="21"/>
              </w:rPr>
              <w:t>投标文件编制人员</w:t>
            </w:r>
          </w:p>
        </w:tc>
        <w:tc>
          <w:tcPr>
            <w:tcW w:w="939" w:type="dxa"/>
            <w:tcBorders>
              <w:top w:val="single" w:color="auto" w:sz="4" w:space="0"/>
              <w:left w:val="nil"/>
              <w:bottom w:val="single" w:color="auto" w:sz="4" w:space="0"/>
              <w:right w:val="single" w:color="auto" w:sz="4" w:space="0"/>
            </w:tcBorders>
            <w:vAlign w:val="center"/>
          </w:tcPr>
          <w:p w14:paraId="4FA06EA3">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1367762B">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0CC89CF9">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1A191C0A">
            <w:pPr>
              <w:jc w:val="center"/>
              <w:rPr>
                <w:rFonts w:ascii="宋体" w:hAnsi="宋体"/>
                <w:szCs w:val="21"/>
              </w:rPr>
            </w:pPr>
          </w:p>
        </w:tc>
      </w:tr>
      <w:tr w14:paraId="490E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5D38AB69">
            <w:pPr>
              <w:ind w:firstLine="1932"/>
              <w:jc w:val="left"/>
              <w:rPr>
                <w:rFonts w:ascii="宋体" w:hAnsi="宋体"/>
                <w:szCs w:val="21"/>
              </w:rPr>
            </w:pPr>
            <w:r>
              <w:rPr>
                <w:rFonts w:hint="eastAsia" w:ascii="宋体" w:hAnsi="宋体"/>
                <w:b/>
                <w:bCs/>
              </w:rPr>
              <w:t>说明：同一职务有多人担任（如主要技术人员），应分行填写。</w:t>
            </w:r>
          </w:p>
        </w:tc>
      </w:tr>
      <w:tr w14:paraId="70E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16DE4BCB">
            <w:pPr>
              <w:ind w:firstLine="1932"/>
              <w:jc w:val="center"/>
              <w:rPr>
                <w:rFonts w:ascii="宋体" w:hAnsi="宋体"/>
                <w:b/>
                <w:bCs/>
                <w:szCs w:val="21"/>
              </w:rPr>
            </w:pPr>
            <w:r>
              <w:rPr>
                <w:rFonts w:hint="eastAsia" w:ascii="宋体" w:hAnsi="宋体"/>
                <w:b/>
                <w:bCs/>
              </w:rPr>
              <w:t>投标（响应）供应商关联关系情况</w:t>
            </w:r>
          </w:p>
        </w:tc>
      </w:tr>
      <w:tr w14:paraId="5186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5C585BD7">
            <w:pPr>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1E59B8E9">
            <w:pPr>
              <w:jc w:val="center"/>
              <w:rPr>
                <w:rFonts w:ascii="宋体" w:hAnsi="宋体"/>
                <w:szCs w:val="21"/>
              </w:rPr>
            </w:pPr>
            <w:r>
              <w:rPr>
                <w:rFonts w:hint="eastAsia" w:ascii="宋体" w:hAnsi="宋体"/>
              </w:rPr>
              <w:t>关联关系类型</w:t>
            </w:r>
          </w:p>
        </w:tc>
        <w:tc>
          <w:tcPr>
            <w:tcW w:w="1722" w:type="dxa"/>
            <w:gridSpan w:val="2"/>
            <w:tcBorders>
              <w:top w:val="single" w:color="auto" w:sz="4" w:space="0"/>
              <w:left w:val="nil"/>
              <w:bottom w:val="single" w:color="auto" w:sz="4" w:space="0"/>
              <w:right w:val="single" w:color="auto" w:sz="4" w:space="0"/>
            </w:tcBorders>
            <w:vAlign w:val="center"/>
          </w:tcPr>
          <w:p w14:paraId="2CCA82C1">
            <w:pPr>
              <w:jc w:val="center"/>
              <w:rPr>
                <w:rFonts w:ascii="宋体" w:hAnsi="宋体"/>
                <w:szCs w:val="21"/>
              </w:rPr>
            </w:pPr>
            <w:r>
              <w:rPr>
                <w:rFonts w:hint="eastAsia" w:ascii="宋体" w:hAnsi="宋体"/>
              </w:rPr>
              <w:t>关联主体名称</w:t>
            </w:r>
          </w:p>
        </w:tc>
        <w:tc>
          <w:tcPr>
            <w:tcW w:w="4147" w:type="dxa"/>
            <w:gridSpan w:val="3"/>
            <w:tcBorders>
              <w:top w:val="single" w:color="auto" w:sz="4" w:space="0"/>
              <w:left w:val="nil"/>
              <w:bottom w:val="single" w:color="auto" w:sz="4" w:space="0"/>
              <w:right w:val="single" w:color="auto" w:sz="4" w:space="0"/>
            </w:tcBorders>
            <w:vAlign w:val="center"/>
          </w:tcPr>
          <w:p w14:paraId="1801B4AF">
            <w:pPr>
              <w:jc w:val="center"/>
              <w:rPr>
                <w:rFonts w:ascii="宋体" w:hAnsi="宋体"/>
                <w:szCs w:val="21"/>
              </w:rPr>
            </w:pPr>
            <w:r>
              <w:rPr>
                <w:rFonts w:hint="eastAsia" w:ascii="宋体" w:hAnsi="宋体"/>
              </w:rPr>
              <w:t>备注</w:t>
            </w:r>
          </w:p>
        </w:tc>
      </w:tr>
      <w:tr w14:paraId="4BE4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728" w:type="dxa"/>
            <w:tcBorders>
              <w:top w:val="single" w:color="auto" w:sz="4" w:space="0"/>
              <w:left w:val="single" w:color="auto" w:sz="4" w:space="0"/>
              <w:bottom w:val="single" w:color="auto" w:sz="4" w:space="0"/>
              <w:right w:val="single" w:color="auto" w:sz="4" w:space="0"/>
            </w:tcBorders>
            <w:vAlign w:val="center"/>
          </w:tcPr>
          <w:p w14:paraId="5ABC16F8">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409A9BC0">
            <w:pPr>
              <w:jc w:val="center"/>
              <w:rPr>
                <w:rFonts w:ascii="宋体" w:hAnsi="宋体"/>
                <w:szCs w:val="21"/>
              </w:rPr>
            </w:pPr>
            <w:r>
              <w:rPr>
                <w:rFonts w:hint="eastAsia" w:ascii="宋体" w:hAnsi="宋体"/>
              </w:rPr>
              <w:t>控股股东</w:t>
            </w:r>
          </w:p>
        </w:tc>
        <w:tc>
          <w:tcPr>
            <w:tcW w:w="1722" w:type="dxa"/>
            <w:gridSpan w:val="2"/>
            <w:tcBorders>
              <w:top w:val="single" w:color="auto" w:sz="4" w:space="0"/>
              <w:left w:val="nil"/>
              <w:bottom w:val="single" w:color="auto" w:sz="4" w:space="0"/>
              <w:right w:val="single" w:color="auto" w:sz="4" w:space="0"/>
            </w:tcBorders>
            <w:vAlign w:val="center"/>
          </w:tcPr>
          <w:p w14:paraId="7EA49DFC">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686290E9">
            <w:pPr>
              <w:snapToGrid w:val="0"/>
              <w:jc w:val="left"/>
              <w:rPr>
                <w:rFonts w:ascii="宋体" w:hAnsi="宋体"/>
                <w:szCs w:val="21"/>
              </w:rPr>
            </w:pPr>
            <w:r>
              <w:rPr>
                <w:rFonts w:hint="eastAsia" w:ascii="宋体" w:hAnsi="宋体"/>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D6D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28" w:type="dxa"/>
            <w:tcBorders>
              <w:top w:val="single" w:color="auto" w:sz="4" w:space="0"/>
              <w:left w:val="single" w:color="auto" w:sz="4" w:space="0"/>
              <w:bottom w:val="single" w:color="auto" w:sz="4" w:space="0"/>
              <w:right w:val="single" w:color="auto" w:sz="4" w:space="0"/>
            </w:tcBorders>
            <w:vAlign w:val="center"/>
          </w:tcPr>
          <w:p w14:paraId="500A5CF8">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45308C8B">
            <w:pPr>
              <w:jc w:val="center"/>
              <w:rPr>
                <w:rFonts w:ascii="宋体" w:hAnsi="宋体"/>
                <w:szCs w:val="21"/>
              </w:rPr>
            </w:pPr>
            <w:r>
              <w:rPr>
                <w:rFonts w:hint="eastAsia" w:ascii="宋体" w:hAnsi="宋体"/>
              </w:rPr>
              <w:t>管理关系</w:t>
            </w:r>
          </w:p>
        </w:tc>
        <w:tc>
          <w:tcPr>
            <w:tcW w:w="1722" w:type="dxa"/>
            <w:gridSpan w:val="2"/>
            <w:tcBorders>
              <w:top w:val="single" w:color="auto" w:sz="4" w:space="0"/>
              <w:left w:val="nil"/>
              <w:bottom w:val="single" w:color="auto" w:sz="4" w:space="0"/>
              <w:right w:val="single" w:color="auto" w:sz="4" w:space="0"/>
            </w:tcBorders>
            <w:vAlign w:val="center"/>
          </w:tcPr>
          <w:p w14:paraId="41D84E84">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392AC8D5">
            <w:pPr>
              <w:snapToGrid w:val="0"/>
              <w:jc w:val="left"/>
              <w:rPr>
                <w:rFonts w:ascii="宋体" w:hAnsi="宋体"/>
                <w:szCs w:val="21"/>
              </w:rPr>
            </w:pPr>
            <w:r>
              <w:rPr>
                <w:rFonts w:hint="eastAsia" w:ascii="宋体" w:hAnsi="宋体"/>
              </w:rPr>
              <w:t>指对投标（响应）供应商不具有出资持股关系，但对其存在管理关系的主体。</w:t>
            </w:r>
          </w:p>
        </w:tc>
      </w:tr>
      <w:tr w14:paraId="1EA1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73978534">
            <w:pPr>
              <w:snapToGrid w:val="0"/>
              <w:ind w:firstLine="1932"/>
              <w:jc w:val="left"/>
              <w:rPr>
                <w:rFonts w:ascii="宋体" w:hAnsi="宋体"/>
                <w:szCs w:val="21"/>
              </w:rPr>
            </w:pPr>
            <w:r>
              <w:rPr>
                <w:rFonts w:hint="eastAsia" w:ascii="宋体" w:hAnsi="宋体"/>
                <w:b/>
                <w:bCs/>
              </w:rPr>
              <w:t>说明：同一关联关系类型有多个主体的，应分行填写。</w:t>
            </w:r>
          </w:p>
        </w:tc>
      </w:tr>
    </w:tbl>
    <w:p w14:paraId="3E69ED45"/>
    <w:p w14:paraId="36564EDB">
      <w:pPr>
        <w:pStyle w:val="4"/>
        <w:jc w:val="center"/>
        <w:rPr>
          <w:rFonts w:ascii="黑体" w:eastAsia="黑体"/>
          <w:b w:val="0"/>
          <w:sz w:val="24"/>
        </w:rPr>
      </w:pPr>
      <w:r>
        <w:rPr>
          <w:rFonts w:hint="eastAsia" w:ascii="黑体" w:eastAsia="黑体"/>
          <w:b w:val="0"/>
          <w:sz w:val="24"/>
        </w:rPr>
        <w:t>二、</w:t>
      </w:r>
      <w:bookmarkStart w:id="48" w:name="_Hlk72092499"/>
      <w:r>
        <w:rPr>
          <w:rFonts w:hint="eastAsia" w:ascii="黑体" w:eastAsia="黑体"/>
          <w:b w:val="0"/>
          <w:sz w:val="24"/>
        </w:rPr>
        <w:t>法定代表人（负责人）证明书</w:t>
      </w:r>
      <w:bookmarkEnd w:id="48"/>
    </w:p>
    <w:p w14:paraId="1EDDFCE5">
      <w:pPr>
        <w:rPr>
          <w:sz w:val="24"/>
        </w:rPr>
      </w:pPr>
    </w:p>
    <w:p w14:paraId="6A480151">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2A29AB89">
      <w:pPr>
        <w:spacing w:line="360" w:lineRule="auto"/>
        <w:ind w:firstLine="420" w:firstLineChars="200"/>
        <w:rPr>
          <w:szCs w:val="21"/>
        </w:rPr>
      </w:pPr>
      <w:r>
        <w:rPr>
          <w:rFonts w:hint="eastAsia"/>
          <w:szCs w:val="21"/>
        </w:rPr>
        <w:t>特此证明。</w:t>
      </w:r>
    </w:p>
    <w:p w14:paraId="48BB6E7D">
      <w:pPr>
        <w:spacing w:line="360" w:lineRule="auto"/>
        <w:ind w:firstLine="420" w:firstLineChars="200"/>
        <w:rPr>
          <w:szCs w:val="21"/>
        </w:rPr>
      </w:pPr>
      <w:r>
        <w:rPr>
          <w:rFonts w:hint="eastAsia"/>
          <w:szCs w:val="21"/>
        </w:rPr>
        <w:t>说明：1、法定代表人为投标人（企业事业单位、国家机关、社会团体）的主要行政负责人。</w:t>
      </w:r>
    </w:p>
    <w:p w14:paraId="38C0E829">
      <w:pPr>
        <w:numPr>
          <w:ilvl w:val="0"/>
          <w:numId w:val="10"/>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08F4D65E">
      <w:pPr>
        <w:numPr>
          <w:ilvl w:val="0"/>
          <w:numId w:val="10"/>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12EA3BF0">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823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3814E662">
            <w:pPr>
              <w:jc w:val="center"/>
            </w:pPr>
            <w:r>
              <w:rPr>
                <w:rFonts w:hint="eastAsia"/>
              </w:rPr>
              <w:t>证件扫描件正面</w:t>
            </w:r>
          </w:p>
          <w:p w14:paraId="1B57E85F">
            <w:pPr>
              <w:pStyle w:val="2"/>
              <w:jc w:val="center"/>
            </w:pPr>
          </w:p>
          <w:p w14:paraId="52C7EE4F">
            <w:pPr>
              <w:pStyle w:val="35"/>
              <w:jc w:val="center"/>
            </w:pPr>
          </w:p>
        </w:tc>
        <w:tc>
          <w:tcPr>
            <w:tcW w:w="4265" w:type="dxa"/>
          </w:tcPr>
          <w:p w14:paraId="11D291E7">
            <w:pPr>
              <w:jc w:val="center"/>
            </w:pPr>
            <w:r>
              <w:rPr>
                <w:rFonts w:hint="eastAsia"/>
              </w:rPr>
              <w:t>证件扫描件反面</w:t>
            </w:r>
          </w:p>
          <w:p w14:paraId="5A8C3A3B">
            <w:pPr>
              <w:pStyle w:val="2"/>
              <w:jc w:val="center"/>
            </w:pPr>
          </w:p>
          <w:p w14:paraId="31D29816">
            <w:pPr>
              <w:pStyle w:val="35"/>
              <w:jc w:val="center"/>
            </w:pPr>
          </w:p>
        </w:tc>
      </w:tr>
    </w:tbl>
    <w:p w14:paraId="4911FFD9">
      <w:pPr>
        <w:rPr>
          <w:rFonts w:ascii="宋体" w:hAnsi="宋体"/>
          <w:b/>
          <w:bCs/>
          <w:color w:val="FF0000"/>
        </w:rPr>
      </w:pPr>
    </w:p>
    <w:p w14:paraId="39D055D3">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AFF8C0B">
      <w:pPr>
        <w:rPr>
          <w:sz w:val="24"/>
        </w:rPr>
      </w:pPr>
    </w:p>
    <w:p w14:paraId="4AA7851B">
      <w:pPr>
        <w:widowControl/>
        <w:jc w:val="left"/>
        <w:rPr>
          <w:rFonts w:ascii="黑体" w:hAnsi="宋体" w:eastAsia="黑体"/>
          <w:bCs/>
          <w:sz w:val="24"/>
          <w:szCs w:val="32"/>
        </w:rPr>
      </w:pPr>
      <w:r>
        <w:rPr>
          <w:rFonts w:ascii="黑体" w:eastAsia="黑体"/>
          <w:b/>
          <w:sz w:val="24"/>
        </w:rPr>
        <w:br w:type="page"/>
      </w:r>
    </w:p>
    <w:p w14:paraId="7B89F083">
      <w:pPr>
        <w:pStyle w:val="4"/>
        <w:spacing w:before="120" w:after="120"/>
        <w:jc w:val="center"/>
        <w:rPr>
          <w:rFonts w:ascii="黑体" w:eastAsia="黑体"/>
          <w:b w:val="0"/>
          <w:sz w:val="24"/>
        </w:rPr>
      </w:pPr>
      <w:r>
        <w:rPr>
          <w:rFonts w:hint="eastAsia" w:ascii="黑体" w:eastAsia="黑体"/>
          <w:b w:val="0"/>
          <w:sz w:val="24"/>
        </w:rPr>
        <w:t>三、投标文件签署授权委托书</w:t>
      </w:r>
    </w:p>
    <w:p w14:paraId="11872139">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F5FEC4A">
      <w:pPr>
        <w:spacing w:line="360" w:lineRule="auto"/>
        <w:ind w:firstLine="420" w:firstLineChars="200"/>
        <w:rPr>
          <w:szCs w:val="21"/>
        </w:rPr>
      </w:pPr>
      <w:r>
        <w:rPr>
          <w:rFonts w:hint="eastAsia"/>
          <w:szCs w:val="21"/>
        </w:rPr>
        <w:t>代理人无转委托权，特此委托。</w:t>
      </w:r>
    </w:p>
    <w:p w14:paraId="5ECE2289">
      <w:pPr>
        <w:spacing w:line="360" w:lineRule="auto"/>
        <w:ind w:firstLine="420" w:firstLineChars="200"/>
        <w:rPr>
          <w:szCs w:val="21"/>
        </w:rPr>
      </w:pPr>
    </w:p>
    <w:p w14:paraId="322B93CC">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B622648">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0BDDC131">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3689708C">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1BADE409">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5E8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1F440684">
            <w:pPr>
              <w:jc w:val="center"/>
            </w:pPr>
            <w:r>
              <w:rPr>
                <w:rFonts w:hint="eastAsia"/>
              </w:rPr>
              <w:t>证件扫描件正面</w:t>
            </w:r>
          </w:p>
          <w:p w14:paraId="37CB9417">
            <w:pPr>
              <w:pStyle w:val="2"/>
              <w:jc w:val="center"/>
            </w:pPr>
          </w:p>
          <w:p w14:paraId="7E7807E9">
            <w:pPr>
              <w:pStyle w:val="35"/>
              <w:jc w:val="center"/>
            </w:pPr>
          </w:p>
        </w:tc>
        <w:tc>
          <w:tcPr>
            <w:tcW w:w="4265" w:type="dxa"/>
          </w:tcPr>
          <w:p w14:paraId="1DD8442E">
            <w:pPr>
              <w:jc w:val="center"/>
            </w:pPr>
            <w:r>
              <w:rPr>
                <w:rFonts w:hint="eastAsia"/>
              </w:rPr>
              <w:t>证件扫描件反面</w:t>
            </w:r>
          </w:p>
          <w:p w14:paraId="17441668">
            <w:pPr>
              <w:pStyle w:val="2"/>
              <w:jc w:val="center"/>
            </w:pPr>
          </w:p>
          <w:p w14:paraId="424A6A5A">
            <w:pPr>
              <w:pStyle w:val="35"/>
              <w:jc w:val="center"/>
            </w:pPr>
          </w:p>
        </w:tc>
      </w:tr>
    </w:tbl>
    <w:p w14:paraId="4A63D24A"/>
    <w:p w14:paraId="61A61D54">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845FB54"/>
    <w:p w14:paraId="11403AB3">
      <w:pPr>
        <w:widowControl/>
        <w:jc w:val="left"/>
        <w:rPr>
          <w:rFonts w:ascii="黑体" w:hAnsi="宋体" w:eastAsia="黑体"/>
          <w:bCs/>
          <w:kern w:val="0"/>
          <w:sz w:val="24"/>
        </w:rPr>
      </w:pPr>
      <w:r>
        <w:rPr>
          <w:rFonts w:ascii="黑体" w:eastAsia="黑体"/>
          <w:b/>
          <w:kern w:val="0"/>
          <w:sz w:val="24"/>
        </w:rPr>
        <w:br w:type="page"/>
      </w:r>
    </w:p>
    <w:p w14:paraId="2C0D3639">
      <w:pPr>
        <w:pStyle w:val="4"/>
        <w:jc w:val="center"/>
        <w:rPr>
          <w:rFonts w:ascii="黑体" w:eastAsia="黑体"/>
          <w:b w:val="0"/>
          <w:kern w:val="0"/>
          <w:sz w:val="24"/>
          <w:szCs w:val="24"/>
        </w:rPr>
      </w:pPr>
      <w:r>
        <w:rPr>
          <w:rFonts w:hint="eastAsia" w:ascii="黑体" w:eastAsia="黑体"/>
          <w:b w:val="0"/>
          <w:kern w:val="0"/>
          <w:sz w:val="24"/>
          <w:szCs w:val="24"/>
        </w:rPr>
        <w:t>四、</w:t>
      </w:r>
      <w:bookmarkStart w:id="49" w:name="_Hlk72092634"/>
      <w:r>
        <w:rPr>
          <w:rFonts w:hint="eastAsia" w:ascii="黑体" w:eastAsia="黑体"/>
          <w:b w:val="0"/>
          <w:kern w:val="0"/>
          <w:sz w:val="24"/>
          <w:szCs w:val="24"/>
        </w:rPr>
        <w:t>实质性条款响应情况表</w:t>
      </w:r>
      <w:bookmarkEnd w:id="49"/>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4669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6553F9D">
            <w:pPr>
              <w:adjustRightInd w:val="0"/>
              <w:snapToGrid w:val="0"/>
              <w:spacing w:line="360" w:lineRule="auto"/>
              <w:jc w:val="center"/>
              <w:rPr>
                <w:rFonts w:ascii="宋体" w:hAnsi="宋体"/>
                <w:kern w:val="0"/>
                <w:szCs w:val="21"/>
              </w:rPr>
            </w:pPr>
            <w:bookmarkStart w:id="50" w:name="_Hlk72092651"/>
            <w:r>
              <w:rPr>
                <w:rFonts w:hint="eastAsia" w:ascii="宋体" w:hAnsi="宋体"/>
                <w:kern w:val="0"/>
                <w:szCs w:val="21"/>
              </w:rPr>
              <w:t>序号</w:t>
            </w:r>
          </w:p>
        </w:tc>
        <w:tc>
          <w:tcPr>
            <w:tcW w:w="3774" w:type="dxa"/>
            <w:vAlign w:val="center"/>
          </w:tcPr>
          <w:p w14:paraId="7EC15C9C">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766CB4A3">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29978323">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13E1E798">
            <w:pPr>
              <w:adjustRightInd w:val="0"/>
              <w:snapToGrid w:val="0"/>
              <w:spacing w:line="360" w:lineRule="auto"/>
              <w:jc w:val="center"/>
              <w:rPr>
                <w:rFonts w:ascii="宋体" w:hAnsi="宋体"/>
                <w:kern w:val="0"/>
                <w:szCs w:val="21"/>
              </w:rPr>
            </w:pPr>
            <w:r>
              <w:rPr>
                <w:rFonts w:hint="eastAsia"/>
              </w:rPr>
              <w:t>说明</w:t>
            </w:r>
          </w:p>
        </w:tc>
      </w:tr>
      <w:bookmarkEnd w:id="50"/>
      <w:tr w14:paraId="3DF6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9642C54">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vAlign w:val="center"/>
          </w:tcPr>
          <w:p w14:paraId="544C57F5">
            <w:pPr>
              <w:adjustRightInd w:val="0"/>
              <w:snapToGrid w:val="0"/>
              <w:spacing w:line="240" w:lineRule="atLeast"/>
              <w:rPr>
                <w:rFonts w:hAnsi="宋体"/>
                <w:kern w:val="0"/>
                <w:szCs w:val="21"/>
              </w:rPr>
            </w:pPr>
            <w:r>
              <w:rPr>
                <w:rFonts w:hint="eastAsia" w:ascii="宋体" w:hAnsi="宋体" w:cs="宋体"/>
                <w:color w:val="FF0000"/>
              </w:rPr>
              <w:t>中标人</w:t>
            </w:r>
            <w:r>
              <w:rPr>
                <w:rFonts w:hint="eastAsia" w:ascii="宋体" w:hAnsi="宋体"/>
                <w:color w:val="FF0000"/>
                <w:szCs w:val="21"/>
              </w:rPr>
              <w:t>配送食材可通过“深圳市食品安全追溯管理系统”</w:t>
            </w:r>
            <w:r>
              <w:rPr>
                <w:rFonts w:ascii="宋体" w:hAnsi="宋体"/>
                <w:color w:val="FF0000"/>
                <w:szCs w:val="21"/>
              </w:rPr>
              <w:t>https://jg.amr.sz.gov.cn/trace/entpc/</w:t>
            </w:r>
            <w:r>
              <w:rPr>
                <w:rFonts w:hint="eastAsia" w:ascii="宋体" w:hAnsi="宋体"/>
                <w:color w:val="FF0000"/>
                <w:szCs w:val="21"/>
              </w:rPr>
              <w:t>全面、及时、准确上传追溯信息，确保相关品名、规格、批次等数据真实完整，确保配送食材来源可溯、质量可控；</w:t>
            </w:r>
          </w:p>
        </w:tc>
        <w:tc>
          <w:tcPr>
            <w:tcW w:w="1530" w:type="dxa"/>
          </w:tcPr>
          <w:p w14:paraId="09E2FA3A">
            <w:pPr>
              <w:adjustRightInd w:val="0"/>
              <w:snapToGrid w:val="0"/>
              <w:spacing w:line="360" w:lineRule="auto"/>
              <w:rPr>
                <w:rFonts w:ascii="宋体" w:hAnsi="宋体"/>
                <w:kern w:val="0"/>
                <w:szCs w:val="21"/>
              </w:rPr>
            </w:pPr>
          </w:p>
        </w:tc>
        <w:tc>
          <w:tcPr>
            <w:tcW w:w="1275" w:type="dxa"/>
          </w:tcPr>
          <w:p w14:paraId="2308B7D4">
            <w:pPr>
              <w:adjustRightInd w:val="0"/>
              <w:snapToGrid w:val="0"/>
              <w:spacing w:line="360" w:lineRule="auto"/>
              <w:rPr>
                <w:rFonts w:ascii="宋体" w:hAnsi="宋体"/>
                <w:kern w:val="0"/>
                <w:szCs w:val="21"/>
              </w:rPr>
            </w:pPr>
          </w:p>
        </w:tc>
        <w:tc>
          <w:tcPr>
            <w:tcW w:w="933" w:type="dxa"/>
          </w:tcPr>
          <w:p w14:paraId="15B40B9F">
            <w:pPr>
              <w:adjustRightInd w:val="0"/>
              <w:snapToGrid w:val="0"/>
              <w:spacing w:line="360" w:lineRule="auto"/>
              <w:rPr>
                <w:rFonts w:ascii="宋体" w:hAnsi="宋体"/>
                <w:kern w:val="0"/>
                <w:szCs w:val="21"/>
              </w:rPr>
            </w:pPr>
          </w:p>
        </w:tc>
      </w:tr>
      <w:tr w14:paraId="406A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2D5A673">
            <w:pPr>
              <w:adjustRightInd w:val="0"/>
              <w:snapToGrid w:val="0"/>
              <w:spacing w:line="360" w:lineRule="auto"/>
              <w:rPr>
                <w:rFonts w:ascii="宋体" w:hAnsi="宋体"/>
                <w:kern w:val="0"/>
                <w:szCs w:val="21"/>
              </w:rPr>
            </w:pPr>
            <w:r>
              <w:rPr>
                <w:rFonts w:hint="eastAsia" w:ascii="宋体" w:hAnsi="宋体"/>
                <w:kern w:val="0"/>
                <w:szCs w:val="21"/>
              </w:rPr>
              <w:t>2</w:t>
            </w:r>
          </w:p>
        </w:tc>
        <w:tc>
          <w:tcPr>
            <w:tcW w:w="3774" w:type="dxa"/>
            <w:vAlign w:val="center"/>
          </w:tcPr>
          <w:p w14:paraId="1BF528D8">
            <w:pPr>
              <w:adjustRightInd w:val="0"/>
              <w:snapToGrid w:val="0"/>
              <w:spacing w:line="240" w:lineRule="atLeast"/>
              <w:rPr>
                <w:rFonts w:hAnsi="宋体"/>
                <w:kern w:val="0"/>
                <w:szCs w:val="21"/>
              </w:rPr>
            </w:pPr>
            <w:r>
              <w:rPr>
                <w:rFonts w:hint="eastAsia" w:ascii="宋体" w:hAnsi="宋体" w:cs="宋体"/>
                <w:color w:val="FF0000"/>
              </w:rPr>
              <w:t>中标人</w:t>
            </w:r>
            <w:r>
              <w:rPr>
                <w:rFonts w:hint="eastAsia" w:ascii="宋体" w:hAnsi="宋体"/>
                <w:color w:val="FF0000"/>
                <w:szCs w:val="21"/>
              </w:rPr>
              <w:t>具备信息化管理能力，可通过信息化平台处理</w:t>
            </w:r>
            <w:r>
              <w:rPr>
                <w:rFonts w:hint="eastAsia"/>
                <w:color w:val="FF0000"/>
              </w:rPr>
              <w:t>学校（幼儿园）</w:t>
            </w:r>
            <w:r>
              <w:rPr>
                <w:rFonts w:hint="eastAsia" w:ascii="宋体" w:hAnsi="宋体"/>
                <w:color w:val="FF0000"/>
                <w:szCs w:val="21"/>
              </w:rPr>
              <w:t>食材订单并按合同供货；</w:t>
            </w:r>
          </w:p>
        </w:tc>
        <w:tc>
          <w:tcPr>
            <w:tcW w:w="1530" w:type="dxa"/>
          </w:tcPr>
          <w:p w14:paraId="5C8EB0EF">
            <w:pPr>
              <w:adjustRightInd w:val="0"/>
              <w:snapToGrid w:val="0"/>
              <w:spacing w:line="360" w:lineRule="auto"/>
              <w:rPr>
                <w:rFonts w:ascii="宋体" w:hAnsi="宋体"/>
                <w:kern w:val="0"/>
                <w:szCs w:val="21"/>
              </w:rPr>
            </w:pPr>
          </w:p>
        </w:tc>
        <w:tc>
          <w:tcPr>
            <w:tcW w:w="1275" w:type="dxa"/>
          </w:tcPr>
          <w:p w14:paraId="7CFE4F22">
            <w:pPr>
              <w:adjustRightInd w:val="0"/>
              <w:snapToGrid w:val="0"/>
              <w:spacing w:line="360" w:lineRule="auto"/>
              <w:rPr>
                <w:rFonts w:ascii="宋体" w:hAnsi="宋体"/>
                <w:kern w:val="0"/>
                <w:szCs w:val="21"/>
              </w:rPr>
            </w:pPr>
          </w:p>
        </w:tc>
        <w:tc>
          <w:tcPr>
            <w:tcW w:w="933" w:type="dxa"/>
          </w:tcPr>
          <w:p w14:paraId="6872BBA3">
            <w:pPr>
              <w:adjustRightInd w:val="0"/>
              <w:snapToGrid w:val="0"/>
              <w:spacing w:line="360" w:lineRule="auto"/>
              <w:rPr>
                <w:rFonts w:ascii="宋体" w:hAnsi="宋体"/>
                <w:kern w:val="0"/>
                <w:szCs w:val="21"/>
              </w:rPr>
            </w:pPr>
          </w:p>
        </w:tc>
      </w:tr>
      <w:tr w14:paraId="2153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2EDF07C">
            <w:pPr>
              <w:adjustRightInd w:val="0"/>
              <w:snapToGrid w:val="0"/>
              <w:spacing w:line="360" w:lineRule="auto"/>
              <w:rPr>
                <w:rFonts w:ascii="宋体" w:hAnsi="宋体"/>
                <w:kern w:val="0"/>
                <w:szCs w:val="21"/>
              </w:rPr>
            </w:pPr>
            <w:r>
              <w:rPr>
                <w:rFonts w:hint="eastAsia" w:ascii="宋体" w:hAnsi="宋体"/>
                <w:kern w:val="0"/>
                <w:szCs w:val="21"/>
              </w:rPr>
              <w:t>3</w:t>
            </w:r>
          </w:p>
        </w:tc>
        <w:tc>
          <w:tcPr>
            <w:tcW w:w="3774" w:type="dxa"/>
            <w:vAlign w:val="center"/>
          </w:tcPr>
          <w:p w14:paraId="34E286E0">
            <w:pPr>
              <w:adjustRightInd w:val="0"/>
              <w:snapToGrid w:val="0"/>
              <w:spacing w:line="240" w:lineRule="atLeast"/>
              <w:rPr>
                <w:rFonts w:ascii="宋体" w:hAnsi="宋体"/>
                <w:kern w:val="0"/>
                <w:szCs w:val="21"/>
              </w:rPr>
            </w:pPr>
            <w:r>
              <w:rPr>
                <w:rFonts w:hint="eastAsia" w:ascii="宋体" w:hAnsi="宋体" w:cs="宋体"/>
                <w:color w:val="FF0000"/>
              </w:rPr>
              <w:t>中标人</w:t>
            </w:r>
            <w:r>
              <w:rPr>
                <w:rFonts w:hint="eastAsia" w:ascii="宋体" w:hAnsi="宋体"/>
                <w:color w:val="FF0000"/>
                <w:szCs w:val="21"/>
              </w:rPr>
              <w:t>具备符合食品安全要求的仓储设备，确保食材安全储存；配送产品的车辆应为专用封闭式，车辆内部结构应平整、便于清洁，配送冷冻、冷藏食品的车辆应有温度控制设备,符合食品安全运输要求。</w:t>
            </w:r>
          </w:p>
        </w:tc>
        <w:tc>
          <w:tcPr>
            <w:tcW w:w="1530" w:type="dxa"/>
          </w:tcPr>
          <w:p w14:paraId="2C421A57">
            <w:pPr>
              <w:adjustRightInd w:val="0"/>
              <w:snapToGrid w:val="0"/>
              <w:spacing w:line="360" w:lineRule="auto"/>
              <w:rPr>
                <w:rFonts w:ascii="宋体" w:hAnsi="宋体"/>
                <w:kern w:val="0"/>
                <w:szCs w:val="21"/>
              </w:rPr>
            </w:pPr>
          </w:p>
        </w:tc>
        <w:tc>
          <w:tcPr>
            <w:tcW w:w="1275" w:type="dxa"/>
          </w:tcPr>
          <w:p w14:paraId="443F41C0">
            <w:pPr>
              <w:adjustRightInd w:val="0"/>
              <w:snapToGrid w:val="0"/>
              <w:spacing w:line="360" w:lineRule="auto"/>
              <w:rPr>
                <w:rFonts w:ascii="宋体" w:hAnsi="宋体"/>
                <w:kern w:val="0"/>
                <w:szCs w:val="21"/>
              </w:rPr>
            </w:pPr>
          </w:p>
        </w:tc>
        <w:tc>
          <w:tcPr>
            <w:tcW w:w="933" w:type="dxa"/>
          </w:tcPr>
          <w:p w14:paraId="5B0381D5">
            <w:pPr>
              <w:adjustRightInd w:val="0"/>
              <w:snapToGrid w:val="0"/>
              <w:spacing w:line="360" w:lineRule="auto"/>
              <w:rPr>
                <w:rFonts w:ascii="宋体" w:hAnsi="宋体"/>
                <w:kern w:val="0"/>
                <w:szCs w:val="21"/>
              </w:rPr>
            </w:pPr>
          </w:p>
        </w:tc>
      </w:tr>
      <w:tr w14:paraId="5539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6D88C57">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3774" w:type="dxa"/>
            <w:vAlign w:val="center"/>
          </w:tcPr>
          <w:p w14:paraId="4D97D3AD">
            <w:pPr>
              <w:adjustRightInd w:val="0"/>
              <w:snapToGrid w:val="0"/>
              <w:spacing w:line="240" w:lineRule="atLeast"/>
              <w:rPr>
                <w:rFonts w:hint="eastAsia" w:ascii="宋体" w:hAnsi="宋体"/>
                <w:color w:val="FF0000"/>
                <w:kern w:val="0"/>
                <w:szCs w:val="21"/>
              </w:rPr>
            </w:pPr>
            <w:r>
              <w:rPr>
                <w:rFonts w:hint="eastAsia" w:ascii="宋体" w:hAnsi="宋体" w:cs="宋体"/>
                <w:color w:val="FF0000"/>
              </w:rPr>
              <w:t>中标人</w:t>
            </w:r>
            <w:r>
              <w:rPr>
                <w:rFonts w:hint="eastAsia" w:ascii="宋体" w:hAnsi="宋体"/>
                <w:color w:val="FF0000"/>
                <w:szCs w:val="21"/>
              </w:rPr>
              <w:t>食材及其原料应符合食品安全国家标准、产品明示执行标准、标签明示指标及法律法规的要求</w:t>
            </w:r>
          </w:p>
        </w:tc>
        <w:tc>
          <w:tcPr>
            <w:tcW w:w="1530" w:type="dxa"/>
          </w:tcPr>
          <w:p w14:paraId="3ADA8FAA">
            <w:pPr>
              <w:adjustRightInd w:val="0"/>
              <w:snapToGrid w:val="0"/>
              <w:spacing w:line="360" w:lineRule="auto"/>
              <w:rPr>
                <w:rFonts w:ascii="宋体" w:hAnsi="宋体"/>
                <w:kern w:val="0"/>
                <w:szCs w:val="21"/>
              </w:rPr>
            </w:pPr>
          </w:p>
        </w:tc>
        <w:tc>
          <w:tcPr>
            <w:tcW w:w="1275" w:type="dxa"/>
          </w:tcPr>
          <w:p w14:paraId="0CF7B294">
            <w:pPr>
              <w:adjustRightInd w:val="0"/>
              <w:snapToGrid w:val="0"/>
              <w:spacing w:line="360" w:lineRule="auto"/>
              <w:rPr>
                <w:rFonts w:ascii="宋体" w:hAnsi="宋体"/>
                <w:kern w:val="0"/>
                <w:szCs w:val="21"/>
              </w:rPr>
            </w:pPr>
          </w:p>
        </w:tc>
        <w:tc>
          <w:tcPr>
            <w:tcW w:w="933" w:type="dxa"/>
          </w:tcPr>
          <w:p w14:paraId="053BE2F9">
            <w:pPr>
              <w:adjustRightInd w:val="0"/>
              <w:snapToGrid w:val="0"/>
              <w:spacing w:line="360" w:lineRule="auto"/>
              <w:rPr>
                <w:rFonts w:ascii="宋体" w:hAnsi="宋体"/>
                <w:kern w:val="0"/>
                <w:szCs w:val="21"/>
              </w:rPr>
            </w:pPr>
          </w:p>
        </w:tc>
      </w:tr>
      <w:tr w14:paraId="0F1E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1132995">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3774" w:type="dxa"/>
            <w:vAlign w:val="center"/>
          </w:tcPr>
          <w:p w14:paraId="1427B177">
            <w:pPr>
              <w:adjustRightInd w:val="0"/>
              <w:snapToGrid w:val="0"/>
              <w:spacing w:line="240" w:lineRule="atLeast"/>
              <w:rPr>
                <w:rFonts w:hint="eastAsia" w:ascii="宋体" w:hAnsi="宋体"/>
                <w:color w:val="FF0000"/>
                <w:kern w:val="0"/>
                <w:szCs w:val="21"/>
              </w:rPr>
            </w:pPr>
            <w:r>
              <w:rPr>
                <w:rFonts w:hint="eastAsia" w:ascii="宋体" w:hAnsi="宋体"/>
                <w:color w:val="FF0000"/>
                <w:szCs w:val="21"/>
              </w:rPr>
              <w:t>食材均在保质期内，感官性状无异常，无明显腐败变质、油脂酸败、发霉生虫、污秽不洁、混有异物、掺假掺杂等情况。</w:t>
            </w:r>
          </w:p>
        </w:tc>
        <w:tc>
          <w:tcPr>
            <w:tcW w:w="1530" w:type="dxa"/>
          </w:tcPr>
          <w:p w14:paraId="013C9BC6">
            <w:pPr>
              <w:adjustRightInd w:val="0"/>
              <w:snapToGrid w:val="0"/>
              <w:spacing w:line="360" w:lineRule="auto"/>
              <w:rPr>
                <w:rFonts w:ascii="宋体" w:hAnsi="宋体"/>
                <w:kern w:val="0"/>
                <w:szCs w:val="21"/>
              </w:rPr>
            </w:pPr>
          </w:p>
        </w:tc>
        <w:tc>
          <w:tcPr>
            <w:tcW w:w="1275" w:type="dxa"/>
          </w:tcPr>
          <w:p w14:paraId="60DFA0C4">
            <w:pPr>
              <w:adjustRightInd w:val="0"/>
              <w:snapToGrid w:val="0"/>
              <w:spacing w:line="360" w:lineRule="auto"/>
              <w:rPr>
                <w:rFonts w:ascii="宋体" w:hAnsi="宋体"/>
                <w:kern w:val="0"/>
                <w:szCs w:val="21"/>
              </w:rPr>
            </w:pPr>
          </w:p>
        </w:tc>
        <w:tc>
          <w:tcPr>
            <w:tcW w:w="933" w:type="dxa"/>
          </w:tcPr>
          <w:p w14:paraId="51FFCB1F">
            <w:pPr>
              <w:adjustRightInd w:val="0"/>
              <w:snapToGrid w:val="0"/>
              <w:spacing w:line="360" w:lineRule="auto"/>
              <w:rPr>
                <w:rFonts w:ascii="宋体" w:hAnsi="宋体"/>
                <w:kern w:val="0"/>
                <w:szCs w:val="21"/>
              </w:rPr>
            </w:pPr>
          </w:p>
        </w:tc>
      </w:tr>
      <w:tr w14:paraId="4950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FC13B72">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6</w:t>
            </w:r>
          </w:p>
        </w:tc>
        <w:tc>
          <w:tcPr>
            <w:tcW w:w="3774" w:type="dxa"/>
            <w:vAlign w:val="center"/>
          </w:tcPr>
          <w:p w14:paraId="7E20F903">
            <w:pPr>
              <w:adjustRightInd w:val="0"/>
              <w:snapToGrid w:val="0"/>
              <w:spacing w:line="240" w:lineRule="atLeast"/>
              <w:rPr>
                <w:rFonts w:hint="eastAsia" w:ascii="宋体" w:hAnsi="宋体"/>
                <w:color w:val="FF0000"/>
                <w:kern w:val="0"/>
                <w:szCs w:val="21"/>
              </w:rPr>
            </w:pPr>
            <w:r>
              <w:rPr>
                <w:rFonts w:hint="eastAsia" w:ascii="宋体" w:hAnsi="宋体" w:cs="宋体"/>
                <w:color w:val="FF0000"/>
              </w:rPr>
              <w:t>深圳市学校食堂智慧管理平台建成后，中标人需通过平台处理</w:t>
            </w:r>
            <w:r>
              <w:rPr>
                <w:rFonts w:hint="eastAsia"/>
                <w:color w:val="FF0000"/>
              </w:rPr>
              <w:t>学校（幼儿园）</w:t>
            </w:r>
            <w:r>
              <w:rPr>
                <w:rFonts w:hint="eastAsia" w:ascii="宋体" w:hAnsi="宋体" w:cs="宋体"/>
                <w:color w:val="FF0000"/>
              </w:rPr>
              <w:t>食材订单并按合同供货，满足学校食堂智慧化管理需要。</w:t>
            </w:r>
          </w:p>
        </w:tc>
        <w:tc>
          <w:tcPr>
            <w:tcW w:w="1530" w:type="dxa"/>
          </w:tcPr>
          <w:p w14:paraId="7872F2FE">
            <w:pPr>
              <w:adjustRightInd w:val="0"/>
              <w:snapToGrid w:val="0"/>
              <w:spacing w:line="360" w:lineRule="auto"/>
              <w:rPr>
                <w:rFonts w:ascii="宋体" w:hAnsi="宋体"/>
                <w:kern w:val="0"/>
                <w:szCs w:val="21"/>
              </w:rPr>
            </w:pPr>
          </w:p>
        </w:tc>
        <w:tc>
          <w:tcPr>
            <w:tcW w:w="1275" w:type="dxa"/>
          </w:tcPr>
          <w:p w14:paraId="5D17A51D">
            <w:pPr>
              <w:adjustRightInd w:val="0"/>
              <w:snapToGrid w:val="0"/>
              <w:spacing w:line="360" w:lineRule="auto"/>
              <w:rPr>
                <w:rFonts w:ascii="宋体" w:hAnsi="宋体"/>
                <w:kern w:val="0"/>
                <w:szCs w:val="21"/>
              </w:rPr>
            </w:pPr>
          </w:p>
        </w:tc>
        <w:tc>
          <w:tcPr>
            <w:tcW w:w="933" w:type="dxa"/>
          </w:tcPr>
          <w:p w14:paraId="600FE939">
            <w:pPr>
              <w:adjustRightInd w:val="0"/>
              <w:snapToGrid w:val="0"/>
              <w:spacing w:line="360" w:lineRule="auto"/>
              <w:rPr>
                <w:rFonts w:ascii="宋体" w:hAnsi="宋体"/>
                <w:kern w:val="0"/>
                <w:szCs w:val="21"/>
              </w:rPr>
            </w:pPr>
          </w:p>
        </w:tc>
      </w:tr>
      <w:tr w14:paraId="0F67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17807D4">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7</w:t>
            </w:r>
          </w:p>
        </w:tc>
        <w:tc>
          <w:tcPr>
            <w:tcW w:w="3774" w:type="dxa"/>
            <w:vAlign w:val="center"/>
          </w:tcPr>
          <w:p w14:paraId="4B2D6966">
            <w:pPr>
              <w:adjustRightInd w:val="0"/>
              <w:snapToGrid w:val="0"/>
              <w:spacing w:line="240" w:lineRule="atLeast"/>
              <w:rPr>
                <w:rFonts w:hint="eastAsia" w:ascii="宋体" w:hAnsi="宋体"/>
                <w:color w:val="FF0000"/>
                <w:kern w:val="0"/>
                <w:szCs w:val="21"/>
              </w:rPr>
            </w:pPr>
            <w:r>
              <w:rPr>
                <w:rFonts w:hint="eastAsia" w:ascii="宋体" w:hAnsi="宋体" w:cs="宋体"/>
                <w:color w:val="FF0000"/>
              </w:rPr>
              <w:t>因配送运输中出现人身安全事故，中标人独立承担一切刑事、民事责任，与采购人、学校（幼儿园）无关。</w:t>
            </w:r>
          </w:p>
        </w:tc>
        <w:tc>
          <w:tcPr>
            <w:tcW w:w="1530" w:type="dxa"/>
          </w:tcPr>
          <w:p w14:paraId="5423C444">
            <w:pPr>
              <w:adjustRightInd w:val="0"/>
              <w:snapToGrid w:val="0"/>
              <w:spacing w:line="360" w:lineRule="auto"/>
              <w:rPr>
                <w:rFonts w:ascii="宋体" w:hAnsi="宋体"/>
                <w:kern w:val="0"/>
                <w:szCs w:val="21"/>
              </w:rPr>
            </w:pPr>
          </w:p>
        </w:tc>
        <w:tc>
          <w:tcPr>
            <w:tcW w:w="1275" w:type="dxa"/>
          </w:tcPr>
          <w:p w14:paraId="090549C5">
            <w:pPr>
              <w:adjustRightInd w:val="0"/>
              <w:snapToGrid w:val="0"/>
              <w:spacing w:line="360" w:lineRule="auto"/>
              <w:rPr>
                <w:rFonts w:ascii="宋体" w:hAnsi="宋体"/>
                <w:kern w:val="0"/>
                <w:szCs w:val="21"/>
              </w:rPr>
            </w:pPr>
          </w:p>
        </w:tc>
        <w:tc>
          <w:tcPr>
            <w:tcW w:w="933" w:type="dxa"/>
          </w:tcPr>
          <w:p w14:paraId="107199E3">
            <w:pPr>
              <w:adjustRightInd w:val="0"/>
              <w:snapToGrid w:val="0"/>
              <w:spacing w:line="360" w:lineRule="auto"/>
              <w:rPr>
                <w:rFonts w:ascii="宋体" w:hAnsi="宋体"/>
                <w:kern w:val="0"/>
                <w:szCs w:val="21"/>
              </w:rPr>
            </w:pPr>
          </w:p>
        </w:tc>
      </w:tr>
      <w:tr w14:paraId="756E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2B1BE61">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8</w:t>
            </w:r>
          </w:p>
        </w:tc>
        <w:tc>
          <w:tcPr>
            <w:tcW w:w="3774" w:type="dxa"/>
            <w:vAlign w:val="center"/>
          </w:tcPr>
          <w:p w14:paraId="6959C0A2">
            <w:pPr>
              <w:adjustRightInd w:val="0"/>
              <w:snapToGrid w:val="0"/>
              <w:spacing w:line="240" w:lineRule="atLeast"/>
              <w:rPr>
                <w:rFonts w:hint="eastAsia" w:ascii="宋体" w:hAnsi="宋体"/>
                <w:color w:val="FF0000"/>
                <w:kern w:val="0"/>
                <w:szCs w:val="21"/>
              </w:rPr>
            </w:pPr>
            <w:r>
              <w:rPr>
                <w:rFonts w:hint="eastAsia" w:ascii="宋体" w:hAnsi="宋体"/>
                <w:color w:val="FF0000"/>
                <w:szCs w:val="21"/>
              </w:rPr>
              <w:t>非预包装食品及农产品的外包装（筐、箱、袋、盒等）整洁、牢固、标签清晰，无明显破损、发霉等现象；非预包装食品的包装应至少标注名称、生产/加工日期、保质期、供应商/生产者的名称等基本信息。</w:t>
            </w:r>
          </w:p>
        </w:tc>
        <w:tc>
          <w:tcPr>
            <w:tcW w:w="1530" w:type="dxa"/>
          </w:tcPr>
          <w:p w14:paraId="01C45FF0">
            <w:pPr>
              <w:adjustRightInd w:val="0"/>
              <w:snapToGrid w:val="0"/>
              <w:spacing w:line="360" w:lineRule="auto"/>
              <w:rPr>
                <w:rFonts w:ascii="宋体" w:hAnsi="宋体"/>
                <w:kern w:val="0"/>
                <w:szCs w:val="21"/>
              </w:rPr>
            </w:pPr>
          </w:p>
        </w:tc>
        <w:tc>
          <w:tcPr>
            <w:tcW w:w="1275" w:type="dxa"/>
          </w:tcPr>
          <w:p w14:paraId="4A34B1E4">
            <w:pPr>
              <w:adjustRightInd w:val="0"/>
              <w:snapToGrid w:val="0"/>
              <w:spacing w:line="360" w:lineRule="auto"/>
              <w:rPr>
                <w:rFonts w:ascii="宋体" w:hAnsi="宋体"/>
                <w:kern w:val="0"/>
                <w:szCs w:val="21"/>
              </w:rPr>
            </w:pPr>
          </w:p>
        </w:tc>
        <w:tc>
          <w:tcPr>
            <w:tcW w:w="933" w:type="dxa"/>
          </w:tcPr>
          <w:p w14:paraId="4AB7DC30">
            <w:pPr>
              <w:adjustRightInd w:val="0"/>
              <w:snapToGrid w:val="0"/>
              <w:spacing w:line="360" w:lineRule="auto"/>
              <w:rPr>
                <w:rFonts w:ascii="宋体" w:hAnsi="宋体"/>
                <w:kern w:val="0"/>
                <w:szCs w:val="21"/>
              </w:rPr>
            </w:pPr>
          </w:p>
        </w:tc>
      </w:tr>
      <w:tr w14:paraId="5E8A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77BC601">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9</w:t>
            </w:r>
          </w:p>
        </w:tc>
        <w:tc>
          <w:tcPr>
            <w:tcW w:w="3774" w:type="dxa"/>
            <w:vAlign w:val="center"/>
          </w:tcPr>
          <w:p w14:paraId="7E45A29C">
            <w:pPr>
              <w:adjustRightInd w:val="0"/>
              <w:snapToGrid w:val="0"/>
              <w:spacing w:line="240" w:lineRule="atLeast"/>
              <w:rPr>
                <w:rFonts w:hint="eastAsia" w:ascii="宋体" w:hAnsi="宋体"/>
                <w:color w:val="FF0000"/>
                <w:kern w:val="0"/>
                <w:szCs w:val="21"/>
              </w:rPr>
            </w:pPr>
            <w:r>
              <w:rPr>
                <w:rFonts w:hint="eastAsia" w:ascii="宋体" w:hAnsi="宋体" w:cs="宋体"/>
                <w:color w:val="FF0000"/>
              </w:rPr>
              <w:t>中标人</w:t>
            </w:r>
            <w:r>
              <w:rPr>
                <w:rFonts w:hint="eastAsia" w:ascii="宋体" w:hAnsi="宋体"/>
                <w:color w:val="FF0000"/>
                <w:szCs w:val="21"/>
              </w:rPr>
              <w:t>能够为</w:t>
            </w:r>
            <w:r>
              <w:rPr>
                <w:rFonts w:hint="eastAsia" w:ascii="宋体" w:hAnsi="宋体" w:cs="宋体"/>
                <w:color w:val="FF0000"/>
              </w:rPr>
              <w:t>学校（幼儿园）</w:t>
            </w:r>
            <w:r>
              <w:rPr>
                <w:rFonts w:hint="eastAsia" w:ascii="宋体" w:hAnsi="宋体"/>
                <w:color w:val="FF0000"/>
                <w:szCs w:val="21"/>
              </w:rPr>
              <w:t>提供相关软件支持服务、保证与</w:t>
            </w:r>
            <w:r>
              <w:rPr>
                <w:rFonts w:hint="eastAsia"/>
                <w:color w:val="FF0000"/>
              </w:rPr>
              <w:t>深圳市中农数据有限公司（天天采配平台）</w:t>
            </w:r>
            <w:r>
              <w:rPr>
                <w:rFonts w:hint="eastAsia" w:ascii="宋体" w:hAnsi="宋体"/>
                <w:color w:val="FF0000"/>
                <w:szCs w:val="21"/>
              </w:rPr>
              <w:t>及各</w:t>
            </w:r>
            <w:r>
              <w:rPr>
                <w:rFonts w:hint="eastAsia" w:ascii="宋体" w:hAnsi="宋体" w:cs="宋体"/>
                <w:color w:val="FF0000"/>
              </w:rPr>
              <w:t>学校（幼儿园）</w:t>
            </w:r>
            <w:r>
              <w:rPr>
                <w:rFonts w:hint="eastAsia" w:ascii="宋体" w:hAnsi="宋体"/>
                <w:color w:val="FF0000"/>
                <w:szCs w:val="21"/>
              </w:rPr>
              <w:t>的信息化对接、实现系统下单及结算。</w:t>
            </w:r>
          </w:p>
        </w:tc>
        <w:tc>
          <w:tcPr>
            <w:tcW w:w="1530" w:type="dxa"/>
          </w:tcPr>
          <w:p w14:paraId="7AE800CF">
            <w:pPr>
              <w:adjustRightInd w:val="0"/>
              <w:snapToGrid w:val="0"/>
              <w:spacing w:line="360" w:lineRule="auto"/>
              <w:rPr>
                <w:rFonts w:ascii="宋体" w:hAnsi="宋体"/>
                <w:kern w:val="0"/>
                <w:szCs w:val="21"/>
              </w:rPr>
            </w:pPr>
          </w:p>
        </w:tc>
        <w:tc>
          <w:tcPr>
            <w:tcW w:w="1275" w:type="dxa"/>
          </w:tcPr>
          <w:p w14:paraId="144CAFCB">
            <w:pPr>
              <w:adjustRightInd w:val="0"/>
              <w:snapToGrid w:val="0"/>
              <w:spacing w:line="360" w:lineRule="auto"/>
              <w:rPr>
                <w:rFonts w:ascii="宋体" w:hAnsi="宋体"/>
                <w:kern w:val="0"/>
                <w:szCs w:val="21"/>
              </w:rPr>
            </w:pPr>
          </w:p>
        </w:tc>
        <w:tc>
          <w:tcPr>
            <w:tcW w:w="933" w:type="dxa"/>
          </w:tcPr>
          <w:p w14:paraId="5C611149">
            <w:pPr>
              <w:adjustRightInd w:val="0"/>
              <w:snapToGrid w:val="0"/>
              <w:spacing w:line="360" w:lineRule="auto"/>
              <w:rPr>
                <w:rFonts w:ascii="宋体" w:hAnsi="宋体"/>
                <w:kern w:val="0"/>
                <w:szCs w:val="21"/>
              </w:rPr>
            </w:pPr>
          </w:p>
        </w:tc>
      </w:tr>
      <w:tr w14:paraId="08E5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3B21D52">
            <w:pPr>
              <w:adjustRightInd w:val="0"/>
              <w:snapToGrid w:val="0"/>
              <w:spacing w:line="360" w:lineRule="auto"/>
              <w:rPr>
                <w:rFonts w:hint="default" w:ascii="宋体" w:hAnsi="宋体" w:eastAsia="宋体"/>
                <w:kern w:val="0"/>
                <w:szCs w:val="21"/>
                <w:lang w:val="en-US" w:eastAsia="zh-CN"/>
              </w:rPr>
            </w:pPr>
            <w:r>
              <w:rPr>
                <w:rFonts w:hint="eastAsia" w:ascii="宋体" w:hAnsi="宋体"/>
                <w:kern w:val="0"/>
                <w:szCs w:val="21"/>
                <w:lang w:val="en-US" w:eastAsia="zh-CN"/>
              </w:rPr>
              <w:t>10</w:t>
            </w:r>
          </w:p>
        </w:tc>
        <w:tc>
          <w:tcPr>
            <w:tcW w:w="3774" w:type="dxa"/>
            <w:vAlign w:val="center"/>
          </w:tcPr>
          <w:p w14:paraId="59BF71CB">
            <w:pPr>
              <w:adjustRightInd w:val="0"/>
              <w:snapToGrid w:val="0"/>
              <w:spacing w:line="240" w:lineRule="atLeast"/>
              <w:rPr>
                <w:rFonts w:hint="eastAsia" w:ascii="宋体" w:hAnsi="宋体"/>
                <w:color w:val="FF0000"/>
                <w:kern w:val="0"/>
                <w:szCs w:val="21"/>
              </w:rPr>
            </w:pPr>
            <w:r>
              <w:rPr>
                <w:rFonts w:hint="eastAsia" w:ascii="宋体" w:hAnsi="宋体" w:cs="宋体"/>
                <w:color w:val="FF0000"/>
              </w:rPr>
              <w:t>中标人</w:t>
            </w:r>
            <w:r>
              <w:rPr>
                <w:rFonts w:hint="eastAsia" w:ascii="宋体" w:hAnsi="宋体"/>
                <w:color w:val="FF0000"/>
                <w:szCs w:val="21"/>
              </w:rPr>
              <w:t>需按</w:t>
            </w:r>
            <w:r>
              <w:rPr>
                <w:rFonts w:hint="eastAsia" w:ascii="宋体" w:hAnsi="宋体" w:cs="宋体"/>
                <w:color w:val="FF0000"/>
              </w:rPr>
              <w:t>学校（幼儿园）</w:t>
            </w:r>
            <w:r>
              <w:rPr>
                <w:rFonts w:hint="eastAsia" w:ascii="宋体" w:hAnsi="宋体"/>
                <w:color w:val="FF0000"/>
                <w:szCs w:val="21"/>
              </w:rPr>
              <w:t>要求提供食材</w:t>
            </w:r>
            <w:r>
              <w:rPr>
                <w:rFonts w:hint="eastAsia" w:ascii="宋体" w:hAnsi="宋体" w:cs="宋体"/>
                <w:color w:val="FF0000"/>
                <w:szCs w:val="21"/>
              </w:rPr>
              <w:t>粗加工服务，配备粗加工服务人员；</w:t>
            </w:r>
          </w:p>
        </w:tc>
        <w:tc>
          <w:tcPr>
            <w:tcW w:w="1530" w:type="dxa"/>
          </w:tcPr>
          <w:p w14:paraId="64140917">
            <w:pPr>
              <w:adjustRightInd w:val="0"/>
              <w:snapToGrid w:val="0"/>
              <w:spacing w:line="360" w:lineRule="auto"/>
              <w:rPr>
                <w:rFonts w:ascii="宋体" w:hAnsi="宋体"/>
                <w:kern w:val="0"/>
                <w:szCs w:val="21"/>
              </w:rPr>
            </w:pPr>
          </w:p>
        </w:tc>
        <w:tc>
          <w:tcPr>
            <w:tcW w:w="1275" w:type="dxa"/>
          </w:tcPr>
          <w:p w14:paraId="0BA5627A">
            <w:pPr>
              <w:adjustRightInd w:val="0"/>
              <w:snapToGrid w:val="0"/>
              <w:spacing w:line="360" w:lineRule="auto"/>
              <w:rPr>
                <w:rFonts w:ascii="宋体" w:hAnsi="宋体"/>
                <w:kern w:val="0"/>
                <w:szCs w:val="21"/>
              </w:rPr>
            </w:pPr>
          </w:p>
        </w:tc>
        <w:tc>
          <w:tcPr>
            <w:tcW w:w="933" w:type="dxa"/>
          </w:tcPr>
          <w:p w14:paraId="7DD09066">
            <w:pPr>
              <w:adjustRightInd w:val="0"/>
              <w:snapToGrid w:val="0"/>
              <w:spacing w:line="360" w:lineRule="auto"/>
              <w:rPr>
                <w:rFonts w:ascii="宋体" w:hAnsi="宋体"/>
                <w:kern w:val="0"/>
                <w:szCs w:val="21"/>
              </w:rPr>
            </w:pPr>
          </w:p>
        </w:tc>
      </w:tr>
      <w:tr w14:paraId="6E13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AF910DD">
            <w:pPr>
              <w:adjustRightInd w:val="0"/>
              <w:snapToGrid w:val="0"/>
              <w:spacing w:line="360" w:lineRule="auto"/>
              <w:rPr>
                <w:rFonts w:hint="default" w:ascii="宋体" w:hAnsi="宋体" w:eastAsia="宋体"/>
                <w:kern w:val="0"/>
                <w:szCs w:val="21"/>
                <w:lang w:val="en-US" w:eastAsia="zh-CN"/>
              </w:rPr>
            </w:pPr>
            <w:r>
              <w:rPr>
                <w:rFonts w:hint="eastAsia" w:ascii="宋体" w:hAnsi="宋体"/>
                <w:kern w:val="0"/>
                <w:szCs w:val="21"/>
                <w:lang w:val="en-US" w:eastAsia="zh-CN"/>
              </w:rPr>
              <w:t>11</w:t>
            </w:r>
          </w:p>
        </w:tc>
        <w:tc>
          <w:tcPr>
            <w:tcW w:w="3774" w:type="dxa"/>
            <w:vAlign w:val="center"/>
          </w:tcPr>
          <w:p w14:paraId="4FB5CB5E">
            <w:pPr>
              <w:adjustRightInd w:val="0"/>
              <w:snapToGrid w:val="0"/>
              <w:spacing w:line="240" w:lineRule="atLeast"/>
              <w:rPr>
                <w:rFonts w:hint="eastAsia" w:ascii="宋体" w:hAnsi="宋体"/>
                <w:color w:val="FF0000"/>
                <w:kern w:val="0"/>
                <w:szCs w:val="21"/>
              </w:rPr>
            </w:pPr>
            <w:r>
              <w:rPr>
                <w:rFonts w:hint="eastAsia" w:ascii="宋体" w:hAnsi="宋体" w:cs="宋体"/>
                <w:color w:val="FF0000"/>
              </w:rPr>
              <w:t>中标人需根据配送食材具体情况提供对应的检测报告。</w:t>
            </w:r>
          </w:p>
        </w:tc>
        <w:tc>
          <w:tcPr>
            <w:tcW w:w="1530" w:type="dxa"/>
          </w:tcPr>
          <w:p w14:paraId="0F8C75C5">
            <w:pPr>
              <w:adjustRightInd w:val="0"/>
              <w:snapToGrid w:val="0"/>
              <w:spacing w:line="360" w:lineRule="auto"/>
              <w:rPr>
                <w:rFonts w:ascii="宋体" w:hAnsi="宋体"/>
                <w:kern w:val="0"/>
                <w:szCs w:val="21"/>
              </w:rPr>
            </w:pPr>
          </w:p>
        </w:tc>
        <w:tc>
          <w:tcPr>
            <w:tcW w:w="1275" w:type="dxa"/>
          </w:tcPr>
          <w:p w14:paraId="47A8988F">
            <w:pPr>
              <w:adjustRightInd w:val="0"/>
              <w:snapToGrid w:val="0"/>
              <w:spacing w:line="360" w:lineRule="auto"/>
              <w:rPr>
                <w:rFonts w:ascii="宋体" w:hAnsi="宋体"/>
                <w:kern w:val="0"/>
                <w:szCs w:val="21"/>
              </w:rPr>
            </w:pPr>
          </w:p>
        </w:tc>
        <w:tc>
          <w:tcPr>
            <w:tcW w:w="933" w:type="dxa"/>
          </w:tcPr>
          <w:p w14:paraId="514BEB40">
            <w:pPr>
              <w:adjustRightInd w:val="0"/>
              <w:snapToGrid w:val="0"/>
              <w:spacing w:line="360" w:lineRule="auto"/>
              <w:rPr>
                <w:rFonts w:ascii="宋体" w:hAnsi="宋体"/>
                <w:kern w:val="0"/>
                <w:szCs w:val="21"/>
              </w:rPr>
            </w:pPr>
          </w:p>
        </w:tc>
      </w:tr>
      <w:tr w14:paraId="5897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0E8349E">
            <w:pPr>
              <w:adjustRightInd w:val="0"/>
              <w:snapToGrid w:val="0"/>
              <w:spacing w:line="360" w:lineRule="auto"/>
              <w:rPr>
                <w:rFonts w:hint="default" w:ascii="宋体" w:hAnsi="宋体" w:eastAsia="宋体"/>
                <w:kern w:val="0"/>
                <w:szCs w:val="21"/>
                <w:lang w:val="en-US" w:eastAsia="zh-CN"/>
              </w:rPr>
            </w:pPr>
            <w:r>
              <w:rPr>
                <w:rFonts w:hint="eastAsia" w:ascii="宋体" w:hAnsi="宋体"/>
                <w:kern w:val="0"/>
                <w:szCs w:val="21"/>
                <w:lang w:val="en-US" w:eastAsia="zh-CN"/>
              </w:rPr>
              <w:t>12</w:t>
            </w:r>
          </w:p>
        </w:tc>
        <w:tc>
          <w:tcPr>
            <w:tcW w:w="3774" w:type="dxa"/>
            <w:vAlign w:val="center"/>
          </w:tcPr>
          <w:p w14:paraId="30F4941B">
            <w:pPr>
              <w:adjustRightInd w:val="0"/>
              <w:snapToGrid w:val="0"/>
              <w:spacing w:line="240" w:lineRule="atLeast"/>
              <w:rPr>
                <w:rFonts w:hint="eastAsia" w:ascii="宋体" w:hAnsi="宋体"/>
                <w:color w:val="FF0000"/>
                <w:kern w:val="0"/>
                <w:szCs w:val="21"/>
              </w:rPr>
            </w:pPr>
            <w:r>
              <w:rPr>
                <w:rFonts w:hint="eastAsia" w:ascii="宋体" w:hAnsi="宋体" w:cs="宋体"/>
                <w:color w:val="FF0000"/>
              </w:rPr>
              <w:t>因政策变动等原因终止批量集中采购工作，导致合同无法续签、终止的，双方均不承担违约责任。</w:t>
            </w:r>
          </w:p>
        </w:tc>
        <w:tc>
          <w:tcPr>
            <w:tcW w:w="1530" w:type="dxa"/>
          </w:tcPr>
          <w:p w14:paraId="70834410">
            <w:pPr>
              <w:adjustRightInd w:val="0"/>
              <w:snapToGrid w:val="0"/>
              <w:spacing w:line="360" w:lineRule="auto"/>
              <w:rPr>
                <w:rFonts w:ascii="宋体" w:hAnsi="宋体"/>
                <w:kern w:val="0"/>
                <w:szCs w:val="21"/>
              </w:rPr>
            </w:pPr>
          </w:p>
        </w:tc>
        <w:tc>
          <w:tcPr>
            <w:tcW w:w="1275" w:type="dxa"/>
          </w:tcPr>
          <w:p w14:paraId="79DEE7FF">
            <w:pPr>
              <w:adjustRightInd w:val="0"/>
              <w:snapToGrid w:val="0"/>
              <w:spacing w:line="360" w:lineRule="auto"/>
              <w:rPr>
                <w:rFonts w:ascii="宋体" w:hAnsi="宋体"/>
                <w:kern w:val="0"/>
                <w:szCs w:val="21"/>
              </w:rPr>
            </w:pPr>
          </w:p>
        </w:tc>
        <w:tc>
          <w:tcPr>
            <w:tcW w:w="933" w:type="dxa"/>
          </w:tcPr>
          <w:p w14:paraId="56C7DFA9">
            <w:pPr>
              <w:adjustRightInd w:val="0"/>
              <w:snapToGrid w:val="0"/>
              <w:spacing w:line="360" w:lineRule="auto"/>
              <w:rPr>
                <w:rFonts w:ascii="宋体" w:hAnsi="宋体"/>
                <w:kern w:val="0"/>
                <w:szCs w:val="21"/>
              </w:rPr>
            </w:pPr>
          </w:p>
        </w:tc>
      </w:tr>
      <w:tr w14:paraId="4B3C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8CC7231">
            <w:pPr>
              <w:adjustRightInd w:val="0"/>
              <w:snapToGrid w:val="0"/>
              <w:spacing w:line="360" w:lineRule="auto"/>
              <w:rPr>
                <w:rFonts w:hint="default" w:ascii="宋体" w:hAnsi="宋体" w:eastAsia="宋体"/>
                <w:kern w:val="0"/>
                <w:szCs w:val="21"/>
                <w:lang w:val="en-US" w:eastAsia="zh-CN"/>
              </w:rPr>
            </w:pPr>
            <w:r>
              <w:rPr>
                <w:rFonts w:hint="eastAsia" w:ascii="宋体" w:hAnsi="宋体"/>
                <w:kern w:val="0"/>
                <w:szCs w:val="21"/>
                <w:lang w:val="en-US" w:eastAsia="zh-CN"/>
              </w:rPr>
              <w:t>13</w:t>
            </w:r>
          </w:p>
        </w:tc>
        <w:tc>
          <w:tcPr>
            <w:tcW w:w="3774" w:type="dxa"/>
            <w:vAlign w:val="center"/>
          </w:tcPr>
          <w:p w14:paraId="5889A451">
            <w:pPr>
              <w:adjustRightInd w:val="0"/>
              <w:snapToGrid w:val="0"/>
              <w:spacing w:line="240" w:lineRule="atLeast"/>
              <w:rPr>
                <w:rFonts w:hint="eastAsia" w:ascii="宋体" w:hAnsi="宋体"/>
                <w:color w:val="FF0000"/>
                <w:kern w:val="0"/>
                <w:szCs w:val="21"/>
              </w:rPr>
            </w:pPr>
            <w:r>
              <w:rPr>
                <w:rFonts w:hint="eastAsia" w:ascii="宋体" w:hAnsi="宋体" w:cs="宋体"/>
                <w:color w:val="FF0000"/>
              </w:rPr>
              <w:t>中标人须使用公司账户收款结算，严禁使用</w:t>
            </w:r>
            <w:r>
              <w:rPr>
                <w:rFonts w:hint="eastAsia" w:ascii="宋体" w:hAnsi="宋体"/>
                <w:color w:val="FF0000"/>
                <w:kern w:val="0"/>
                <w:szCs w:val="21"/>
              </w:rPr>
              <w:t>个人账户收取项目款项，</w:t>
            </w:r>
            <w:r>
              <w:rPr>
                <w:rFonts w:hint="eastAsia" w:ascii="宋体" w:hAnsi="宋体" w:cs="宋体"/>
                <w:color w:val="FF0000"/>
              </w:rPr>
              <w:t>认真做好财务工作，</w:t>
            </w:r>
            <w:r>
              <w:rPr>
                <w:rFonts w:hint="eastAsia" w:ascii="宋体" w:hAnsi="宋体"/>
                <w:color w:val="FF0000"/>
                <w:kern w:val="0"/>
                <w:szCs w:val="21"/>
              </w:rPr>
              <w:t>做到</w:t>
            </w:r>
            <w:r>
              <w:rPr>
                <w:rFonts w:hint="eastAsia" w:ascii="宋体" w:hAnsi="宋体"/>
                <w:color w:val="FF0000"/>
                <w:szCs w:val="21"/>
              </w:rPr>
              <w:t>各</w:t>
            </w:r>
            <w:r>
              <w:rPr>
                <w:rFonts w:hint="eastAsia" w:ascii="宋体" w:hAnsi="宋体" w:cs="宋体"/>
                <w:color w:val="FF0000"/>
              </w:rPr>
              <w:t>学校（幼儿园）</w:t>
            </w:r>
            <w:r>
              <w:rPr>
                <w:rFonts w:hint="eastAsia" w:ascii="宋体" w:hAnsi="宋体"/>
                <w:color w:val="FF0000"/>
                <w:kern w:val="0"/>
                <w:szCs w:val="21"/>
              </w:rPr>
              <w:t>账目清晰，须服从配合采购人、校（园）方、采购人及校（园）方委托的第三方单位、学校（幼儿园）膳食委员会的各项监督、检查、审计等工作。</w:t>
            </w:r>
          </w:p>
        </w:tc>
        <w:tc>
          <w:tcPr>
            <w:tcW w:w="1530" w:type="dxa"/>
          </w:tcPr>
          <w:p w14:paraId="011A1930">
            <w:pPr>
              <w:adjustRightInd w:val="0"/>
              <w:snapToGrid w:val="0"/>
              <w:spacing w:line="360" w:lineRule="auto"/>
              <w:rPr>
                <w:rFonts w:ascii="宋体" w:hAnsi="宋体"/>
                <w:kern w:val="0"/>
                <w:szCs w:val="21"/>
              </w:rPr>
            </w:pPr>
          </w:p>
        </w:tc>
        <w:tc>
          <w:tcPr>
            <w:tcW w:w="1275" w:type="dxa"/>
          </w:tcPr>
          <w:p w14:paraId="46001E4B">
            <w:pPr>
              <w:adjustRightInd w:val="0"/>
              <w:snapToGrid w:val="0"/>
              <w:spacing w:line="360" w:lineRule="auto"/>
              <w:rPr>
                <w:rFonts w:ascii="宋体" w:hAnsi="宋体"/>
                <w:kern w:val="0"/>
                <w:szCs w:val="21"/>
              </w:rPr>
            </w:pPr>
          </w:p>
        </w:tc>
        <w:tc>
          <w:tcPr>
            <w:tcW w:w="933" w:type="dxa"/>
          </w:tcPr>
          <w:p w14:paraId="6C5E2474">
            <w:pPr>
              <w:adjustRightInd w:val="0"/>
              <w:snapToGrid w:val="0"/>
              <w:spacing w:line="360" w:lineRule="auto"/>
              <w:rPr>
                <w:rFonts w:ascii="宋体" w:hAnsi="宋体"/>
                <w:kern w:val="0"/>
                <w:szCs w:val="21"/>
              </w:rPr>
            </w:pPr>
          </w:p>
        </w:tc>
      </w:tr>
      <w:tr w14:paraId="6E57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DFA1BC5">
            <w:pPr>
              <w:adjustRightInd w:val="0"/>
              <w:snapToGrid w:val="0"/>
              <w:spacing w:line="360" w:lineRule="auto"/>
              <w:rPr>
                <w:rFonts w:hint="default" w:ascii="宋体" w:hAnsi="宋体" w:eastAsia="宋体"/>
                <w:kern w:val="0"/>
                <w:szCs w:val="21"/>
                <w:lang w:val="en-US" w:eastAsia="zh-CN"/>
              </w:rPr>
            </w:pPr>
            <w:r>
              <w:rPr>
                <w:rFonts w:hint="eastAsia" w:ascii="宋体" w:hAnsi="宋体"/>
                <w:kern w:val="0"/>
                <w:szCs w:val="21"/>
                <w:lang w:val="en-US" w:eastAsia="zh-CN"/>
              </w:rPr>
              <w:t>14</w:t>
            </w:r>
          </w:p>
        </w:tc>
        <w:tc>
          <w:tcPr>
            <w:tcW w:w="3774" w:type="dxa"/>
            <w:vAlign w:val="center"/>
          </w:tcPr>
          <w:p w14:paraId="3F6B2BF1">
            <w:pPr>
              <w:adjustRightInd w:val="0"/>
              <w:snapToGrid w:val="0"/>
              <w:spacing w:line="240" w:lineRule="atLeast"/>
              <w:rPr>
                <w:rFonts w:hint="eastAsia" w:ascii="宋体" w:hAnsi="宋体"/>
                <w:color w:val="FF0000"/>
                <w:kern w:val="0"/>
                <w:szCs w:val="21"/>
              </w:rPr>
            </w:pPr>
            <w:r>
              <w:rPr>
                <w:rFonts w:hint="eastAsia"/>
                <w:color w:val="FF0000"/>
              </w:rPr>
              <w:t>推荐候选中标供应商须在参加定标会之前将评分项中涉及的证书、证件等材料原件交至采购单位查验，查验通过后方可参加定标会，如发现有虚假伪做证明材料</w:t>
            </w:r>
            <w:r>
              <w:rPr>
                <w:rFonts w:hint="eastAsia" w:ascii="宋体" w:hAnsi="宋体"/>
                <w:bCs/>
                <w:color w:val="FF0000"/>
                <w:szCs w:val="21"/>
              </w:rPr>
              <w:t>，将做无效投标处理，同时依法上报主管部门处理处罚。</w:t>
            </w:r>
          </w:p>
        </w:tc>
        <w:tc>
          <w:tcPr>
            <w:tcW w:w="1530" w:type="dxa"/>
          </w:tcPr>
          <w:p w14:paraId="22B235F6">
            <w:pPr>
              <w:adjustRightInd w:val="0"/>
              <w:snapToGrid w:val="0"/>
              <w:spacing w:line="360" w:lineRule="auto"/>
              <w:rPr>
                <w:rFonts w:ascii="宋体" w:hAnsi="宋体"/>
                <w:kern w:val="0"/>
                <w:szCs w:val="21"/>
              </w:rPr>
            </w:pPr>
          </w:p>
        </w:tc>
        <w:tc>
          <w:tcPr>
            <w:tcW w:w="1275" w:type="dxa"/>
          </w:tcPr>
          <w:p w14:paraId="0E673437">
            <w:pPr>
              <w:adjustRightInd w:val="0"/>
              <w:snapToGrid w:val="0"/>
              <w:spacing w:line="360" w:lineRule="auto"/>
              <w:rPr>
                <w:rFonts w:ascii="宋体" w:hAnsi="宋体"/>
                <w:kern w:val="0"/>
                <w:szCs w:val="21"/>
              </w:rPr>
            </w:pPr>
          </w:p>
        </w:tc>
        <w:tc>
          <w:tcPr>
            <w:tcW w:w="933" w:type="dxa"/>
          </w:tcPr>
          <w:p w14:paraId="55B33F53">
            <w:pPr>
              <w:adjustRightInd w:val="0"/>
              <w:snapToGrid w:val="0"/>
              <w:spacing w:line="360" w:lineRule="auto"/>
              <w:rPr>
                <w:rFonts w:ascii="宋体" w:hAnsi="宋体"/>
                <w:kern w:val="0"/>
                <w:szCs w:val="21"/>
              </w:rPr>
            </w:pPr>
          </w:p>
        </w:tc>
      </w:tr>
      <w:tr w14:paraId="42EC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4C1151C">
            <w:pPr>
              <w:adjustRightInd w:val="0"/>
              <w:snapToGrid w:val="0"/>
              <w:spacing w:line="360" w:lineRule="auto"/>
              <w:rPr>
                <w:rFonts w:hint="default" w:ascii="宋体" w:hAnsi="宋体" w:eastAsia="宋体"/>
                <w:kern w:val="0"/>
                <w:szCs w:val="21"/>
                <w:lang w:val="en-US" w:eastAsia="zh-CN"/>
              </w:rPr>
            </w:pPr>
            <w:r>
              <w:rPr>
                <w:rFonts w:hint="eastAsia" w:ascii="宋体" w:hAnsi="宋体"/>
                <w:kern w:val="0"/>
                <w:szCs w:val="21"/>
                <w:lang w:val="en-US" w:eastAsia="zh-CN"/>
              </w:rPr>
              <w:t>15</w:t>
            </w:r>
          </w:p>
        </w:tc>
        <w:tc>
          <w:tcPr>
            <w:tcW w:w="3774" w:type="dxa"/>
            <w:vAlign w:val="center"/>
          </w:tcPr>
          <w:p w14:paraId="590CCD59">
            <w:pPr>
              <w:adjustRightInd w:val="0"/>
              <w:snapToGrid w:val="0"/>
              <w:spacing w:line="240" w:lineRule="atLeast"/>
              <w:rPr>
                <w:rFonts w:hint="eastAsia" w:ascii="宋体" w:hAnsi="宋体"/>
                <w:color w:val="FF0000"/>
                <w:kern w:val="0"/>
                <w:szCs w:val="21"/>
              </w:rPr>
            </w:pPr>
            <w:r>
              <w:rPr>
                <w:rFonts w:hint="eastAsia"/>
                <w:color w:val="FF0000"/>
              </w:rPr>
              <w:t>中标人知悉并同意：</w:t>
            </w:r>
            <w:r>
              <w:rPr>
                <w:rFonts w:hint="eastAsia"/>
                <w:b/>
                <w:bCs/>
                <w:color w:val="FF0000"/>
                <w:u w:val="single"/>
              </w:rPr>
              <w:t>本项目作为采购人原大宗食材批量集中采购之补充采购项目，</w:t>
            </w:r>
            <w:r>
              <w:rPr>
                <w:rFonts w:hint="eastAsia" w:ascii="宋体" w:hAnsi="宋体" w:cs="宋体"/>
                <w:b/>
                <w:bCs/>
                <w:color w:val="FF0000"/>
                <w:u w:val="single"/>
              </w:rPr>
              <w:t>中标人须在</w:t>
            </w:r>
            <w:r>
              <w:rPr>
                <w:rFonts w:hint="eastAsia"/>
                <w:b/>
                <w:bCs/>
                <w:color w:val="FF0000"/>
                <w:u w:val="single"/>
              </w:rPr>
              <w:t>原大宗食材批量集中采购各校（园）支付上限额度完成后再续接执行。</w:t>
            </w:r>
          </w:p>
        </w:tc>
        <w:tc>
          <w:tcPr>
            <w:tcW w:w="1530" w:type="dxa"/>
          </w:tcPr>
          <w:p w14:paraId="798ED601">
            <w:pPr>
              <w:adjustRightInd w:val="0"/>
              <w:snapToGrid w:val="0"/>
              <w:spacing w:line="360" w:lineRule="auto"/>
              <w:rPr>
                <w:rFonts w:ascii="宋体" w:hAnsi="宋体"/>
                <w:kern w:val="0"/>
                <w:szCs w:val="21"/>
              </w:rPr>
            </w:pPr>
          </w:p>
        </w:tc>
        <w:tc>
          <w:tcPr>
            <w:tcW w:w="1275" w:type="dxa"/>
          </w:tcPr>
          <w:p w14:paraId="7FC63CF2">
            <w:pPr>
              <w:adjustRightInd w:val="0"/>
              <w:snapToGrid w:val="0"/>
              <w:spacing w:line="360" w:lineRule="auto"/>
              <w:rPr>
                <w:rFonts w:ascii="宋体" w:hAnsi="宋体"/>
                <w:kern w:val="0"/>
                <w:szCs w:val="21"/>
              </w:rPr>
            </w:pPr>
          </w:p>
        </w:tc>
        <w:tc>
          <w:tcPr>
            <w:tcW w:w="933" w:type="dxa"/>
          </w:tcPr>
          <w:p w14:paraId="7751CB94">
            <w:pPr>
              <w:adjustRightInd w:val="0"/>
              <w:snapToGrid w:val="0"/>
              <w:spacing w:line="360" w:lineRule="auto"/>
              <w:rPr>
                <w:rFonts w:ascii="宋体" w:hAnsi="宋体"/>
                <w:kern w:val="0"/>
                <w:szCs w:val="21"/>
              </w:rPr>
            </w:pPr>
          </w:p>
        </w:tc>
      </w:tr>
    </w:tbl>
    <w:p w14:paraId="1A04C63E">
      <w:pPr>
        <w:ind w:firstLine="482" w:firstLineChars="200"/>
        <w:rPr>
          <w:b/>
          <w:sz w:val="24"/>
          <w:szCs w:val="22"/>
        </w:rPr>
      </w:pPr>
      <w:r>
        <w:rPr>
          <w:rFonts w:hint="eastAsia"/>
          <w:b/>
          <w:sz w:val="24"/>
          <w:szCs w:val="22"/>
        </w:rPr>
        <w:t>注：1.上表所列各项均为不可负偏离条款。</w:t>
      </w:r>
    </w:p>
    <w:p w14:paraId="194A267D">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6C857687">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6B52176F">
      <w:pPr>
        <w:ind w:firstLine="482" w:firstLineChars="200"/>
        <w:rPr>
          <w:b/>
          <w:sz w:val="24"/>
        </w:rPr>
      </w:pPr>
      <w:r>
        <w:rPr>
          <w:b/>
          <w:sz w:val="24"/>
        </w:rPr>
        <w:t>4.</w:t>
      </w:r>
      <w:r>
        <w:rPr>
          <w:rFonts w:hint="eastAsia"/>
          <w:b/>
          <w:sz w:val="24"/>
        </w:rPr>
        <w:t>评审委员会有权对投标响应情况作出判断（作出评审结论）。</w:t>
      </w:r>
    </w:p>
    <w:p w14:paraId="7FE49079">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084CC678">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52568B3C">
      <w:pPr>
        <w:ind w:firstLine="420" w:firstLineChars="200"/>
      </w:pPr>
    </w:p>
    <w:p w14:paraId="78D53999">
      <w:pPr>
        <w:rPr>
          <w:b/>
          <w:bCs/>
          <w:sz w:val="24"/>
        </w:rPr>
      </w:pPr>
    </w:p>
    <w:p w14:paraId="6507DB18">
      <w:pPr>
        <w:pStyle w:val="4"/>
        <w:jc w:val="center"/>
        <w:rPr>
          <w:rFonts w:hint="eastAsia" w:ascii="黑体" w:eastAsia="黑体"/>
          <w:b w:val="0"/>
          <w:kern w:val="0"/>
          <w:sz w:val="24"/>
          <w:szCs w:val="24"/>
          <w:lang w:eastAsia="zh-CN"/>
        </w:rPr>
      </w:pPr>
      <w:r>
        <w:rPr>
          <w:rFonts w:hint="eastAsia" w:ascii="黑体" w:eastAsia="黑体"/>
          <w:b w:val="0"/>
          <w:kern w:val="0"/>
          <w:sz w:val="24"/>
          <w:szCs w:val="24"/>
          <w:lang w:val="en-US" w:eastAsia="zh-CN"/>
        </w:rPr>
        <w:t>五、</w:t>
      </w:r>
      <w:r>
        <w:rPr>
          <w:rFonts w:hint="eastAsia" w:ascii="黑体" w:eastAsia="黑体"/>
          <w:b w:val="0"/>
          <w:kern w:val="0"/>
          <w:sz w:val="24"/>
          <w:szCs w:val="24"/>
        </w:rPr>
        <w:t>项目整体设想及规划方案</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6C210115">
      <w:pPr>
        <w:pStyle w:val="4"/>
        <w:jc w:val="center"/>
        <w:rPr>
          <w:rFonts w:hint="eastAsia" w:ascii="黑体" w:eastAsia="黑体"/>
          <w:b w:val="0"/>
          <w:kern w:val="0"/>
          <w:sz w:val="24"/>
          <w:szCs w:val="24"/>
          <w:lang w:eastAsia="zh-CN"/>
        </w:rPr>
      </w:pPr>
    </w:p>
    <w:p w14:paraId="20F49634">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六、</w:t>
      </w:r>
      <w:r>
        <w:rPr>
          <w:rFonts w:hint="eastAsia" w:ascii="黑体" w:eastAsia="黑体"/>
          <w:b w:val="0"/>
          <w:kern w:val="0"/>
          <w:sz w:val="24"/>
          <w:szCs w:val="24"/>
        </w:rPr>
        <w:t>规章管理制度、工作流程</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6F4D6413">
      <w:pPr>
        <w:pStyle w:val="4"/>
        <w:jc w:val="center"/>
        <w:rPr>
          <w:rFonts w:hint="eastAsia" w:ascii="黑体" w:eastAsia="黑体"/>
          <w:b w:val="0"/>
          <w:kern w:val="0"/>
          <w:sz w:val="24"/>
          <w:szCs w:val="24"/>
          <w:lang w:eastAsia="zh-CN"/>
        </w:rPr>
      </w:pPr>
    </w:p>
    <w:p w14:paraId="7D76BB41">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七、</w:t>
      </w:r>
      <w:r>
        <w:rPr>
          <w:rFonts w:hint="eastAsia" w:ascii="黑体" w:eastAsia="黑体"/>
          <w:b w:val="0"/>
          <w:kern w:val="0"/>
          <w:sz w:val="24"/>
          <w:szCs w:val="24"/>
        </w:rPr>
        <w:t>应急方案</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583B8E73">
      <w:pPr>
        <w:pStyle w:val="4"/>
        <w:jc w:val="center"/>
        <w:rPr>
          <w:rFonts w:hint="eastAsia" w:ascii="黑体" w:eastAsia="黑体"/>
          <w:b w:val="0"/>
          <w:kern w:val="0"/>
          <w:sz w:val="24"/>
          <w:szCs w:val="24"/>
          <w:lang w:eastAsia="zh-CN"/>
        </w:rPr>
      </w:pPr>
    </w:p>
    <w:p w14:paraId="3305F1D6">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食品安全保险及公众责任险</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693676E9">
      <w:pPr>
        <w:pStyle w:val="4"/>
        <w:jc w:val="center"/>
        <w:rPr>
          <w:rFonts w:hint="eastAsia" w:ascii="黑体" w:eastAsia="黑体"/>
          <w:b w:val="0"/>
          <w:kern w:val="0"/>
          <w:sz w:val="24"/>
          <w:szCs w:val="24"/>
          <w:lang w:eastAsia="zh-CN"/>
        </w:rPr>
      </w:pPr>
    </w:p>
    <w:p w14:paraId="4D89A75C">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九、</w:t>
      </w:r>
      <w:r>
        <w:rPr>
          <w:rFonts w:hint="eastAsia" w:ascii="黑体" w:eastAsia="黑体"/>
          <w:b w:val="0"/>
          <w:kern w:val="0"/>
          <w:sz w:val="24"/>
          <w:szCs w:val="24"/>
        </w:rPr>
        <w:t>冷库存储空间</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1F16B287">
      <w:pPr>
        <w:pStyle w:val="4"/>
        <w:jc w:val="center"/>
        <w:rPr>
          <w:rFonts w:hint="eastAsia" w:ascii="黑体" w:eastAsia="黑体"/>
          <w:b w:val="0"/>
          <w:kern w:val="0"/>
          <w:sz w:val="24"/>
          <w:szCs w:val="24"/>
          <w:lang w:eastAsia="zh-CN"/>
        </w:rPr>
      </w:pPr>
    </w:p>
    <w:p w14:paraId="48E25CC0">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十、</w:t>
      </w:r>
      <w:r>
        <w:rPr>
          <w:rFonts w:hint="eastAsia" w:ascii="黑体" w:eastAsia="黑体"/>
          <w:b w:val="0"/>
          <w:kern w:val="0"/>
          <w:sz w:val="24"/>
          <w:szCs w:val="24"/>
        </w:rPr>
        <w:t>生产基地情况</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0C883B8C">
      <w:pPr>
        <w:pStyle w:val="4"/>
        <w:jc w:val="center"/>
        <w:rPr>
          <w:rFonts w:hint="eastAsia" w:ascii="黑体" w:eastAsia="黑体"/>
          <w:b w:val="0"/>
          <w:kern w:val="0"/>
          <w:sz w:val="24"/>
          <w:szCs w:val="24"/>
          <w:lang w:eastAsia="zh-CN"/>
        </w:rPr>
      </w:pPr>
    </w:p>
    <w:p w14:paraId="679C8684">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十一、</w:t>
      </w:r>
      <w:r>
        <w:rPr>
          <w:rFonts w:hint="eastAsia" w:ascii="黑体" w:eastAsia="黑体"/>
          <w:b w:val="0"/>
          <w:kern w:val="0"/>
          <w:sz w:val="24"/>
          <w:szCs w:val="24"/>
        </w:rPr>
        <w:t>作业场所</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4E08DE6E">
      <w:pPr>
        <w:pStyle w:val="4"/>
        <w:jc w:val="center"/>
        <w:rPr>
          <w:rFonts w:hint="eastAsia" w:ascii="黑体" w:eastAsia="黑体"/>
          <w:b w:val="0"/>
          <w:kern w:val="0"/>
          <w:sz w:val="24"/>
          <w:szCs w:val="24"/>
          <w:lang w:eastAsia="zh-CN"/>
        </w:rPr>
      </w:pPr>
    </w:p>
    <w:p w14:paraId="55CBE29A">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十二、</w:t>
      </w:r>
      <w:r>
        <w:rPr>
          <w:rFonts w:hint="eastAsia" w:ascii="黑体" w:eastAsia="黑体"/>
          <w:b w:val="0"/>
          <w:kern w:val="0"/>
          <w:sz w:val="24"/>
          <w:szCs w:val="24"/>
        </w:rPr>
        <w:t>配送保障能力</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6DCFB276">
      <w:pPr>
        <w:pStyle w:val="4"/>
        <w:jc w:val="center"/>
        <w:rPr>
          <w:rFonts w:hint="eastAsia" w:ascii="黑体" w:eastAsia="黑体"/>
          <w:b w:val="0"/>
          <w:kern w:val="0"/>
          <w:sz w:val="24"/>
          <w:szCs w:val="24"/>
          <w:lang w:eastAsia="zh-CN"/>
        </w:rPr>
      </w:pPr>
    </w:p>
    <w:p w14:paraId="21EF75DD">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十三、</w:t>
      </w:r>
      <w:r>
        <w:rPr>
          <w:rFonts w:hint="eastAsia" w:ascii="黑体" w:eastAsia="黑体"/>
          <w:b w:val="0"/>
          <w:kern w:val="0"/>
          <w:sz w:val="24"/>
          <w:szCs w:val="24"/>
        </w:rPr>
        <w:t>安全检测报告</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28308A67">
      <w:pPr>
        <w:pStyle w:val="4"/>
        <w:jc w:val="center"/>
        <w:rPr>
          <w:rFonts w:hint="eastAsia" w:ascii="黑体" w:eastAsia="黑体"/>
          <w:b w:val="0"/>
          <w:kern w:val="0"/>
          <w:sz w:val="24"/>
          <w:szCs w:val="24"/>
          <w:lang w:eastAsia="zh-CN"/>
        </w:rPr>
      </w:pPr>
    </w:p>
    <w:p w14:paraId="6F4027C7">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十四、</w:t>
      </w:r>
      <w:r>
        <w:rPr>
          <w:rFonts w:hint="eastAsia" w:ascii="黑体" w:eastAsia="黑体"/>
          <w:b w:val="0"/>
          <w:kern w:val="0"/>
          <w:sz w:val="24"/>
          <w:szCs w:val="24"/>
        </w:rPr>
        <w:t>信息化能力</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6759B428">
      <w:pPr>
        <w:pStyle w:val="4"/>
        <w:jc w:val="center"/>
        <w:rPr>
          <w:rFonts w:hint="eastAsia" w:ascii="黑体" w:eastAsia="黑体"/>
          <w:b w:val="0"/>
          <w:kern w:val="0"/>
          <w:sz w:val="24"/>
          <w:szCs w:val="24"/>
          <w:lang w:eastAsia="zh-CN"/>
        </w:rPr>
      </w:pPr>
    </w:p>
    <w:p w14:paraId="2DCA2339">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十五、</w:t>
      </w:r>
      <w:r>
        <w:rPr>
          <w:rFonts w:hint="eastAsia" w:ascii="黑体" w:eastAsia="黑体"/>
          <w:b w:val="0"/>
          <w:kern w:val="0"/>
          <w:sz w:val="24"/>
          <w:szCs w:val="24"/>
        </w:rPr>
        <w:t>拟安排的项目负责人情况（仅限一人）</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491AC769">
      <w:pPr>
        <w:pStyle w:val="4"/>
        <w:jc w:val="center"/>
        <w:rPr>
          <w:rFonts w:hint="eastAsia" w:ascii="黑体" w:eastAsia="黑体"/>
          <w:b w:val="0"/>
          <w:kern w:val="0"/>
          <w:sz w:val="24"/>
          <w:szCs w:val="24"/>
          <w:lang w:eastAsia="zh-CN"/>
        </w:rPr>
      </w:pPr>
    </w:p>
    <w:p w14:paraId="1D3B2D1C">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十六、</w:t>
      </w:r>
      <w:r>
        <w:rPr>
          <w:rFonts w:hint="eastAsia" w:ascii="黑体" w:eastAsia="黑体"/>
          <w:b w:val="0"/>
          <w:kern w:val="0"/>
          <w:sz w:val="24"/>
          <w:szCs w:val="24"/>
        </w:rPr>
        <w:t>项目团队（项目负责人除外）</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1C53CB00">
      <w:pPr>
        <w:widowControl/>
        <w:jc w:val="left"/>
        <w:rPr>
          <w:rFonts w:ascii="黑体" w:hAnsi="宋体" w:eastAsia="黑体"/>
          <w:sz w:val="24"/>
          <w:szCs w:val="20"/>
        </w:rPr>
      </w:pPr>
      <w:r>
        <w:rPr>
          <w:rFonts w:ascii="黑体" w:eastAsia="黑体"/>
          <w:b/>
          <w:bCs/>
          <w:sz w:val="24"/>
          <w:szCs w:val="20"/>
        </w:rPr>
        <w:br w:type="page"/>
      </w:r>
    </w:p>
    <w:p w14:paraId="32AD002F">
      <w:pPr>
        <w:pStyle w:val="4"/>
        <w:jc w:val="center"/>
        <w:rPr>
          <w:rFonts w:ascii="黑体" w:eastAsia="黑体"/>
          <w:b w:val="0"/>
          <w:bCs w:val="0"/>
          <w:sz w:val="24"/>
          <w:szCs w:val="20"/>
        </w:rPr>
      </w:pPr>
      <w:r>
        <w:rPr>
          <w:rFonts w:hint="eastAsia" w:ascii="黑体" w:eastAsia="黑体"/>
          <w:b w:val="0"/>
          <w:bCs w:val="0"/>
          <w:sz w:val="24"/>
          <w:szCs w:val="20"/>
          <w:lang w:val="en-US" w:eastAsia="zh-CN"/>
        </w:rPr>
        <w:t>十七</w:t>
      </w:r>
      <w:r>
        <w:rPr>
          <w:rFonts w:hint="eastAsia" w:ascii="黑体" w:eastAsia="黑体"/>
          <w:b w:val="0"/>
          <w:bCs w:val="0"/>
          <w:sz w:val="24"/>
          <w:szCs w:val="20"/>
        </w:rPr>
        <w:t>、</w:t>
      </w:r>
      <w:bookmarkStart w:id="51" w:name="_Hlk72062872"/>
      <w:r>
        <w:rPr>
          <w:rFonts w:hint="eastAsia" w:ascii="黑体" w:eastAsia="黑体"/>
          <w:b w:val="0"/>
          <w:bCs w:val="0"/>
          <w:sz w:val="24"/>
          <w:szCs w:val="20"/>
        </w:rPr>
        <w:t>投标人认为需要加以说明的其他内容</w:t>
      </w:r>
      <w:bookmarkEnd w:id="51"/>
    </w:p>
    <w:p w14:paraId="7D22FE7E">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3FB739C0">
      <w:pPr>
        <w:widowControl/>
        <w:jc w:val="center"/>
        <w:rPr>
          <w:rFonts w:ascii="黑体" w:hAnsi="宋体" w:eastAsia="黑体"/>
          <w:kern w:val="0"/>
          <w:sz w:val="24"/>
          <w:szCs w:val="20"/>
        </w:rPr>
      </w:pPr>
    </w:p>
    <w:p w14:paraId="65F5F006">
      <w:pPr>
        <w:spacing w:after="120" w:afterLines="50" w:line="360" w:lineRule="exact"/>
        <w:ind w:firstLine="482" w:firstLineChars="200"/>
        <w:rPr>
          <w:b/>
          <w:bCs/>
          <w:sz w:val="24"/>
        </w:rPr>
      </w:pPr>
      <w:r>
        <w:rPr>
          <w:rFonts w:hint="eastAsia" w:ascii="宋体" w:hAnsi="宋体"/>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6DE9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tcPr>
          <w:p w14:paraId="7D43552E">
            <w:pPr>
              <w:spacing w:line="400" w:lineRule="exact"/>
              <w:jc w:val="center"/>
              <w:rPr>
                <w:rFonts w:ascii="仿宋_GB2312" w:eastAsia="仿宋_GB2312"/>
                <w:sz w:val="24"/>
              </w:rPr>
            </w:pPr>
            <w:r>
              <w:rPr>
                <w:rFonts w:hint="eastAsia" w:ascii="仿宋_GB2312" w:eastAsia="仿宋_GB2312"/>
                <w:sz w:val="24"/>
              </w:rPr>
              <w:t>序号</w:t>
            </w:r>
          </w:p>
        </w:tc>
        <w:tc>
          <w:tcPr>
            <w:tcW w:w="7811" w:type="dxa"/>
            <w:tcBorders>
              <w:top w:val="single" w:color="auto" w:sz="4" w:space="0"/>
              <w:left w:val="nil"/>
              <w:bottom w:val="single" w:color="auto" w:sz="4" w:space="0"/>
              <w:right w:val="single" w:color="auto" w:sz="4" w:space="0"/>
            </w:tcBorders>
          </w:tcPr>
          <w:p w14:paraId="35DF2EC2">
            <w:pPr>
              <w:spacing w:line="400" w:lineRule="exact"/>
              <w:jc w:val="center"/>
              <w:rPr>
                <w:rFonts w:ascii="仿宋_GB2312" w:eastAsia="仿宋_GB2312"/>
                <w:sz w:val="24"/>
              </w:rPr>
            </w:pPr>
            <w:r>
              <w:rPr>
                <w:rFonts w:hint="eastAsia" w:ascii="仿宋_GB2312" w:eastAsia="仿宋_GB2312"/>
                <w:b/>
                <w:bCs/>
                <w:sz w:val="24"/>
              </w:rPr>
              <w:t>供应商参与投标禁止情形</w:t>
            </w:r>
          </w:p>
        </w:tc>
      </w:tr>
      <w:tr w14:paraId="3E26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6D56E28B">
            <w:pPr>
              <w:spacing w:line="400" w:lineRule="exact"/>
              <w:jc w:val="center"/>
              <w:rPr>
                <w:rFonts w:ascii="仿宋_GB2312" w:eastAsia="仿宋_GB2312"/>
                <w:sz w:val="24"/>
              </w:rPr>
            </w:pPr>
            <w:r>
              <w:rPr>
                <w:rFonts w:hint="eastAsia" w:ascii="仿宋_GB2312" w:eastAsia="仿宋_GB2312"/>
                <w:sz w:val="24"/>
              </w:rPr>
              <w:t>1</w:t>
            </w:r>
          </w:p>
        </w:tc>
        <w:tc>
          <w:tcPr>
            <w:tcW w:w="7811" w:type="dxa"/>
            <w:tcBorders>
              <w:top w:val="single" w:color="auto" w:sz="4" w:space="0"/>
              <w:left w:val="nil"/>
              <w:bottom w:val="single" w:color="auto" w:sz="4" w:space="0"/>
              <w:right w:val="single" w:color="auto" w:sz="4" w:space="0"/>
            </w:tcBorders>
            <w:vAlign w:val="center"/>
          </w:tcPr>
          <w:p w14:paraId="18D27916">
            <w:pPr>
              <w:spacing w:line="400" w:lineRule="exact"/>
              <w:jc w:val="left"/>
              <w:rPr>
                <w:rFonts w:ascii="仿宋_GB2312" w:eastAsia="仿宋_GB2312"/>
                <w:sz w:val="24"/>
              </w:rPr>
            </w:pPr>
            <w:r>
              <w:rPr>
                <w:rFonts w:hint="eastAsia" w:ascii="仿宋_GB2312" w:eastAsia="仿宋_GB2312"/>
                <w:sz w:val="24"/>
              </w:rPr>
              <w:t>与其他投标供应商的法定代表人、主要经营负责人、投标授权代表人、项目负责人、主要技术人员为</w:t>
            </w:r>
            <w:r>
              <w:rPr>
                <w:rFonts w:hint="eastAsia" w:ascii="仿宋_GB2312" w:eastAsia="仿宋_GB2312"/>
                <w:b/>
                <w:bCs/>
                <w:sz w:val="24"/>
              </w:rPr>
              <w:t>同一人、属同一单位或者在同一单位缴纳社会保险</w:t>
            </w:r>
            <w:r>
              <w:rPr>
                <w:rFonts w:hint="eastAsia" w:ascii="仿宋_GB2312" w:eastAsia="仿宋_GB2312"/>
                <w:sz w:val="24"/>
              </w:rPr>
              <w:t>。</w:t>
            </w:r>
          </w:p>
        </w:tc>
      </w:tr>
      <w:tr w14:paraId="6963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49B3CF24">
            <w:pPr>
              <w:spacing w:line="400" w:lineRule="exact"/>
              <w:jc w:val="center"/>
              <w:rPr>
                <w:rFonts w:ascii="仿宋_GB2312" w:eastAsia="仿宋_GB2312"/>
                <w:sz w:val="24"/>
              </w:rPr>
            </w:pPr>
            <w:r>
              <w:rPr>
                <w:rFonts w:hint="eastAsia" w:ascii="仿宋_GB2312" w:eastAsia="仿宋_GB2312"/>
                <w:sz w:val="24"/>
              </w:rPr>
              <w:t>2</w:t>
            </w:r>
          </w:p>
        </w:tc>
        <w:tc>
          <w:tcPr>
            <w:tcW w:w="7811" w:type="dxa"/>
            <w:tcBorders>
              <w:top w:val="single" w:color="auto" w:sz="4" w:space="0"/>
              <w:left w:val="nil"/>
              <w:bottom w:val="single" w:color="auto" w:sz="4" w:space="0"/>
              <w:right w:val="single" w:color="auto" w:sz="4" w:space="0"/>
            </w:tcBorders>
            <w:vAlign w:val="center"/>
          </w:tcPr>
          <w:p w14:paraId="364BCC6B">
            <w:pPr>
              <w:spacing w:line="400" w:lineRule="exact"/>
              <w:jc w:val="left"/>
              <w:rPr>
                <w:rFonts w:ascii="仿宋_GB2312" w:eastAsia="仿宋_GB2312"/>
                <w:sz w:val="24"/>
              </w:rPr>
            </w:pPr>
            <w:r>
              <w:rPr>
                <w:rFonts w:hint="eastAsia" w:ascii="仿宋_GB2312" w:eastAsia="仿宋_GB2312"/>
                <w:sz w:val="24"/>
              </w:rPr>
              <w:t>参与本项目政府采购活动时，与其他投标供应商存在单位负责人为</w:t>
            </w:r>
            <w:r>
              <w:rPr>
                <w:rFonts w:hint="eastAsia" w:ascii="仿宋_GB2312" w:eastAsia="仿宋_GB2312"/>
                <w:b/>
                <w:bCs/>
                <w:sz w:val="24"/>
              </w:rPr>
              <w:t>同一人或直接控股、管理关系</w:t>
            </w:r>
            <w:r>
              <w:rPr>
                <w:rFonts w:hint="eastAsia" w:ascii="仿宋_GB2312" w:eastAsia="仿宋_GB2312"/>
                <w:sz w:val="24"/>
              </w:rPr>
              <w:t>。</w:t>
            </w:r>
          </w:p>
        </w:tc>
      </w:tr>
      <w:tr w14:paraId="2DDF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1ACECB95">
            <w:pPr>
              <w:spacing w:line="400" w:lineRule="exact"/>
              <w:jc w:val="center"/>
              <w:rPr>
                <w:rFonts w:ascii="仿宋_GB2312" w:eastAsia="仿宋_GB2312"/>
                <w:sz w:val="24"/>
              </w:rPr>
            </w:pPr>
            <w:r>
              <w:rPr>
                <w:rFonts w:hint="eastAsia" w:ascii="仿宋_GB2312" w:eastAsia="仿宋_GB2312"/>
                <w:sz w:val="24"/>
              </w:rPr>
              <w:t>3</w:t>
            </w:r>
          </w:p>
        </w:tc>
        <w:tc>
          <w:tcPr>
            <w:tcW w:w="7811" w:type="dxa"/>
            <w:tcBorders>
              <w:top w:val="single" w:color="auto" w:sz="4" w:space="0"/>
              <w:left w:val="nil"/>
              <w:bottom w:val="single" w:color="auto" w:sz="4" w:space="0"/>
              <w:right w:val="single" w:color="auto" w:sz="4" w:space="0"/>
            </w:tcBorders>
            <w:vAlign w:val="center"/>
          </w:tcPr>
          <w:p w14:paraId="52AE5FEC">
            <w:pPr>
              <w:spacing w:line="400" w:lineRule="exact"/>
              <w:jc w:val="left"/>
              <w:rPr>
                <w:rFonts w:ascii="仿宋_GB2312" w:eastAsia="仿宋_GB2312"/>
                <w:sz w:val="24"/>
              </w:rPr>
            </w:pPr>
            <w:r>
              <w:rPr>
                <w:rFonts w:hint="eastAsia" w:ascii="仿宋_GB2312" w:eastAsia="仿宋_GB2312"/>
                <w:sz w:val="24"/>
              </w:rPr>
              <w:t>与其他投标供应商的投标文件或部分投标文件</w:t>
            </w:r>
            <w:r>
              <w:rPr>
                <w:rFonts w:hint="eastAsia" w:ascii="仿宋_GB2312" w:eastAsia="仿宋_GB2312"/>
                <w:b/>
                <w:bCs/>
                <w:sz w:val="24"/>
              </w:rPr>
              <w:t>相互混装或存在非正常一致</w:t>
            </w:r>
            <w:r>
              <w:rPr>
                <w:rFonts w:hint="eastAsia" w:ascii="仿宋_GB2312" w:eastAsia="仿宋_GB2312"/>
                <w:sz w:val="24"/>
              </w:rPr>
              <w:t>。</w:t>
            </w:r>
          </w:p>
        </w:tc>
      </w:tr>
      <w:tr w14:paraId="4855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3B4A0386">
            <w:pPr>
              <w:spacing w:line="400" w:lineRule="exact"/>
              <w:jc w:val="center"/>
              <w:rPr>
                <w:rFonts w:ascii="仿宋_GB2312" w:eastAsia="仿宋_GB2312"/>
                <w:sz w:val="24"/>
              </w:rPr>
            </w:pPr>
            <w:r>
              <w:rPr>
                <w:rFonts w:hint="eastAsia" w:ascii="仿宋_GB2312" w:eastAsia="仿宋_GB2312"/>
                <w:sz w:val="24"/>
              </w:rPr>
              <w:t>4</w:t>
            </w:r>
          </w:p>
        </w:tc>
        <w:tc>
          <w:tcPr>
            <w:tcW w:w="7811" w:type="dxa"/>
            <w:tcBorders>
              <w:top w:val="single" w:color="auto" w:sz="4" w:space="0"/>
              <w:left w:val="nil"/>
              <w:bottom w:val="single" w:color="auto" w:sz="4" w:space="0"/>
              <w:right w:val="single" w:color="auto" w:sz="4" w:space="0"/>
            </w:tcBorders>
            <w:vAlign w:val="center"/>
          </w:tcPr>
          <w:p w14:paraId="79659B04">
            <w:pPr>
              <w:spacing w:line="400" w:lineRule="exact"/>
              <w:jc w:val="left"/>
              <w:rPr>
                <w:rFonts w:ascii="仿宋_GB2312" w:eastAsia="仿宋_GB2312"/>
                <w:sz w:val="24"/>
              </w:rPr>
            </w:pPr>
            <w:r>
              <w:rPr>
                <w:rFonts w:hint="eastAsia" w:ascii="仿宋_GB2312" w:eastAsia="仿宋_GB2312"/>
                <w:sz w:val="24"/>
              </w:rPr>
              <w:t>与其他投标供应商的投标文件由</w:t>
            </w:r>
            <w:r>
              <w:rPr>
                <w:rFonts w:hint="eastAsia" w:ascii="仿宋_GB2312" w:eastAsia="仿宋_GB2312"/>
                <w:b/>
                <w:bCs/>
                <w:sz w:val="24"/>
              </w:rPr>
              <w:t>同一单位或者同一人编制</w:t>
            </w:r>
            <w:r>
              <w:rPr>
                <w:rFonts w:hint="eastAsia" w:ascii="仿宋_GB2312" w:eastAsia="仿宋_GB2312"/>
                <w:sz w:val="24"/>
              </w:rPr>
              <w:t>，或者使用</w:t>
            </w:r>
            <w:r>
              <w:rPr>
                <w:rFonts w:hint="eastAsia" w:ascii="仿宋_GB2312" w:eastAsia="仿宋_GB2312"/>
                <w:b/>
                <w:bCs/>
                <w:sz w:val="24"/>
              </w:rPr>
              <w:t>同一设备编制</w:t>
            </w:r>
            <w:r>
              <w:rPr>
                <w:rFonts w:hint="eastAsia" w:ascii="仿宋_GB2312" w:eastAsia="仿宋_GB2312"/>
                <w:sz w:val="24"/>
              </w:rPr>
              <w:t>（“文件制作机器码”“文件创建标识码”一致）。</w:t>
            </w:r>
          </w:p>
        </w:tc>
      </w:tr>
      <w:tr w14:paraId="31FE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6BBCC8C4">
            <w:pPr>
              <w:spacing w:line="400" w:lineRule="exact"/>
              <w:jc w:val="center"/>
              <w:rPr>
                <w:rFonts w:ascii="仿宋_GB2312" w:eastAsia="仿宋_GB2312"/>
                <w:sz w:val="24"/>
              </w:rPr>
            </w:pPr>
            <w:r>
              <w:rPr>
                <w:rFonts w:hint="eastAsia" w:ascii="仿宋_GB2312" w:eastAsia="仿宋_GB2312"/>
                <w:sz w:val="24"/>
              </w:rPr>
              <w:t>5</w:t>
            </w:r>
          </w:p>
        </w:tc>
        <w:tc>
          <w:tcPr>
            <w:tcW w:w="7811" w:type="dxa"/>
            <w:tcBorders>
              <w:top w:val="single" w:color="auto" w:sz="4" w:space="0"/>
              <w:left w:val="nil"/>
              <w:bottom w:val="single" w:color="auto" w:sz="4" w:space="0"/>
              <w:right w:val="single" w:color="auto" w:sz="4" w:space="0"/>
            </w:tcBorders>
            <w:vAlign w:val="center"/>
          </w:tcPr>
          <w:p w14:paraId="6C12E810">
            <w:pPr>
              <w:spacing w:line="400" w:lineRule="exact"/>
              <w:jc w:val="left"/>
              <w:rPr>
                <w:rFonts w:ascii="仿宋_GB2312" w:eastAsia="仿宋_GB2312"/>
                <w:sz w:val="24"/>
              </w:rPr>
            </w:pPr>
            <w:r>
              <w:rPr>
                <w:rFonts w:hint="eastAsia" w:ascii="仿宋_GB2312" w:eastAsia="仿宋_GB2312"/>
                <w:sz w:val="24"/>
              </w:rPr>
              <w:t>提供</w:t>
            </w:r>
            <w:r>
              <w:rPr>
                <w:rFonts w:hint="eastAsia" w:ascii="仿宋_GB2312" w:eastAsia="仿宋_GB2312"/>
                <w:b/>
                <w:bCs/>
                <w:sz w:val="24"/>
              </w:rPr>
              <w:t>未经出具机构核实</w:t>
            </w:r>
            <w:r>
              <w:rPr>
                <w:rFonts w:hint="eastAsia" w:ascii="仿宋_GB2312" w:eastAsia="仿宋_GB2312"/>
                <w:sz w:val="24"/>
              </w:rPr>
              <w:t>的虚假的检验检测报告、业绩材料、社保缴纳证明、学历学位证书、职称认证证书等材料。</w:t>
            </w:r>
          </w:p>
        </w:tc>
      </w:tr>
      <w:tr w14:paraId="304A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2DA43F4F">
            <w:pPr>
              <w:spacing w:line="400" w:lineRule="exact"/>
              <w:jc w:val="center"/>
              <w:rPr>
                <w:rFonts w:ascii="仿宋_GB2312" w:eastAsia="仿宋_GB2312"/>
                <w:sz w:val="24"/>
              </w:rPr>
            </w:pPr>
            <w:r>
              <w:rPr>
                <w:rFonts w:hint="eastAsia" w:ascii="仿宋_GB2312" w:eastAsia="仿宋_GB2312"/>
                <w:sz w:val="24"/>
              </w:rPr>
              <w:t>6</w:t>
            </w:r>
          </w:p>
        </w:tc>
        <w:tc>
          <w:tcPr>
            <w:tcW w:w="7811" w:type="dxa"/>
            <w:tcBorders>
              <w:top w:val="single" w:color="auto" w:sz="4" w:space="0"/>
              <w:left w:val="nil"/>
              <w:bottom w:val="single" w:color="auto" w:sz="4" w:space="0"/>
              <w:right w:val="single" w:color="auto" w:sz="4" w:space="0"/>
            </w:tcBorders>
            <w:vAlign w:val="center"/>
          </w:tcPr>
          <w:p w14:paraId="01CCB715">
            <w:pPr>
              <w:spacing w:line="400" w:lineRule="exact"/>
              <w:jc w:val="left"/>
              <w:rPr>
                <w:rFonts w:ascii="仿宋_GB2312" w:eastAsia="仿宋_GB2312"/>
                <w:sz w:val="24"/>
              </w:rPr>
            </w:pPr>
            <w:r>
              <w:rPr>
                <w:rFonts w:hint="eastAsia" w:ascii="仿宋_GB2312" w:eastAsia="仿宋_GB2312"/>
                <w:sz w:val="24"/>
              </w:rPr>
              <w:t>擅自将投标密钥或电子营业执照出借他人使用或未妥善保管。</w:t>
            </w:r>
          </w:p>
        </w:tc>
      </w:tr>
    </w:tbl>
    <w:p w14:paraId="5F1768EE">
      <w:pPr>
        <w:spacing w:before="120" w:beforeLines="50" w:line="380" w:lineRule="exact"/>
        <w:ind w:firstLine="422" w:firstLineChars="200"/>
        <w:rPr>
          <w:b/>
          <w:szCs w:val="21"/>
        </w:rPr>
      </w:pPr>
      <w:r>
        <w:rPr>
          <w:rFonts w:hint="eastAsia" w:ascii="宋体" w:hAnsi="宋体"/>
          <w:b/>
        </w:rPr>
        <w:t>一、我单位已充分知悉“隐瞒真实情况，提供虚假资料”的法定情形，包括但不限于：</w:t>
      </w:r>
    </w:p>
    <w:p w14:paraId="4A879D48">
      <w:pPr>
        <w:spacing w:line="380" w:lineRule="exact"/>
        <w:ind w:firstLine="420" w:firstLineChars="200"/>
      </w:pPr>
      <w:r>
        <w:rPr>
          <w:rFonts w:hint="eastAsia" w:ascii="宋体" w:hAnsi="宋体"/>
        </w:rPr>
        <w:t>（一）通过转让或者租借等方式从其他单位获取资格或者资质证书投标的。</w:t>
      </w:r>
    </w:p>
    <w:p w14:paraId="0F151D72">
      <w:pPr>
        <w:spacing w:line="380" w:lineRule="exact"/>
        <w:ind w:firstLine="420" w:firstLineChars="200"/>
      </w:pPr>
      <w:r>
        <w:rPr>
          <w:rFonts w:hint="eastAsia" w:ascii="宋体" w:hAnsi="宋体"/>
        </w:rPr>
        <w:t>（二）由其他单位或者其他单位负责人在投标供应商编制的投标文件上加盖印章或者签字的。</w:t>
      </w:r>
    </w:p>
    <w:p w14:paraId="4C44DE37">
      <w:pPr>
        <w:spacing w:line="380" w:lineRule="exact"/>
        <w:ind w:firstLine="420" w:firstLineChars="200"/>
      </w:pPr>
      <w:r>
        <w:rPr>
          <w:rFonts w:hint="eastAsia" w:ascii="宋体" w:hAnsi="宋体"/>
        </w:rPr>
        <w:t>（三）项目负责人或者主要技术人员不是本单位人员的。</w:t>
      </w:r>
    </w:p>
    <w:p w14:paraId="55FBF848">
      <w:pPr>
        <w:spacing w:line="380" w:lineRule="exact"/>
        <w:ind w:firstLine="420" w:firstLineChars="200"/>
      </w:pPr>
      <w:r>
        <w:rPr>
          <w:rFonts w:hint="eastAsia" w:ascii="宋体" w:hAnsi="宋体"/>
        </w:rPr>
        <w:t>（四）投标保证金不是从投标供应商基本账户转出的。</w:t>
      </w:r>
    </w:p>
    <w:p w14:paraId="148422F8">
      <w:pPr>
        <w:spacing w:line="380" w:lineRule="exact"/>
        <w:ind w:firstLine="420" w:firstLineChars="200"/>
      </w:pPr>
      <w:r>
        <w:rPr>
          <w:rFonts w:hint="eastAsia" w:ascii="宋体" w:hAnsi="宋体"/>
        </w:rPr>
        <w:t>（五）其他隐瞒真实情况、提供虚假资料的行为。</w:t>
      </w:r>
    </w:p>
    <w:p w14:paraId="04FACE29">
      <w:pPr>
        <w:spacing w:line="380" w:lineRule="exact"/>
        <w:ind w:firstLine="422" w:firstLineChars="200"/>
        <w:rPr>
          <w:b/>
        </w:rPr>
      </w:pPr>
      <w:r>
        <w:rPr>
          <w:rFonts w:hint="eastAsia" w:ascii="宋体" w:hAnsi="宋体"/>
          <w:b/>
        </w:rPr>
        <w:t>二、我单位已充分知悉“与其他采购参加人串通投标”的法定情形，包括但不限于：</w:t>
      </w:r>
    </w:p>
    <w:p w14:paraId="1AF5FEAF">
      <w:pPr>
        <w:spacing w:line="380" w:lineRule="exact"/>
        <w:ind w:firstLine="420" w:firstLineChars="200"/>
      </w:pPr>
      <w:r>
        <w:rPr>
          <w:rFonts w:hint="eastAsia" w:ascii="宋体" w:hAnsi="宋体"/>
        </w:rPr>
        <w:t>（一）投标供应商之间相互约定给予未中标的供应商利益补偿。</w:t>
      </w:r>
    </w:p>
    <w:p w14:paraId="7449FDD0">
      <w:pPr>
        <w:spacing w:line="380" w:lineRule="exact"/>
        <w:ind w:firstLine="420" w:firstLineChars="200"/>
      </w:pPr>
      <w:r>
        <w:rPr>
          <w:rFonts w:hint="eastAsia" w:ascii="宋体" w:hAnsi="宋体"/>
        </w:rPr>
        <w:t>（二）不同投标供应商的法定代表人、主要经营负责人、项目投标授权代表人、项目负责人、主要技术人员为同一人、属同一单位或者在同一单位缴纳社会保险。</w:t>
      </w:r>
    </w:p>
    <w:p w14:paraId="195083D6">
      <w:pPr>
        <w:spacing w:line="340" w:lineRule="exact"/>
        <w:ind w:firstLine="420" w:firstLineChars="200"/>
      </w:pPr>
      <w:r>
        <w:rPr>
          <w:rFonts w:hint="eastAsia" w:ascii="宋体" w:hAnsi="宋体"/>
        </w:rPr>
        <w:t>（三）不同投标供应商的投标文件由同一单位或者同一人编制，或者由同一人分阶段参与编制的。</w:t>
      </w:r>
    </w:p>
    <w:p w14:paraId="474C5B1F">
      <w:pPr>
        <w:spacing w:line="340" w:lineRule="exact"/>
        <w:ind w:firstLine="420" w:firstLineChars="200"/>
      </w:pPr>
      <w:r>
        <w:rPr>
          <w:rFonts w:hint="eastAsia" w:ascii="宋体" w:hAnsi="宋体"/>
        </w:rPr>
        <w:t>（四）不同投标供应商的投标文件或部分投标文件相互混装。</w:t>
      </w:r>
    </w:p>
    <w:p w14:paraId="7F1E3CB0">
      <w:pPr>
        <w:spacing w:line="340" w:lineRule="exact"/>
        <w:ind w:firstLine="420" w:firstLineChars="200"/>
      </w:pPr>
      <w:r>
        <w:rPr>
          <w:rFonts w:hint="eastAsia" w:ascii="宋体" w:hAnsi="宋体"/>
        </w:rPr>
        <w:t>（五）不同投标供应商的投标文件内容存在非正常一致。</w:t>
      </w:r>
    </w:p>
    <w:p w14:paraId="059ED508">
      <w:pPr>
        <w:spacing w:line="340" w:lineRule="exact"/>
        <w:ind w:firstLine="420" w:firstLineChars="200"/>
      </w:pPr>
      <w:r>
        <w:rPr>
          <w:rFonts w:hint="eastAsia" w:ascii="宋体" w:hAnsi="宋体"/>
        </w:rPr>
        <w:t>（六）由同一单位工作人员为两家以上（含两家）供应商进行同一项投标活动的。</w:t>
      </w:r>
    </w:p>
    <w:p w14:paraId="49851314">
      <w:pPr>
        <w:spacing w:line="340" w:lineRule="exact"/>
        <w:ind w:firstLine="420" w:firstLineChars="200"/>
      </w:pPr>
      <w:r>
        <w:rPr>
          <w:rFonts w:hint="eastAsia" w:ascii="宋体" w:hAnsi="宋体"/>
        </w:rPr>
        <w:t>（七）不同投标人的投标报价呈规律性差异。</w:t>
      </w:r>
    </w:p>
    <w:p w14:paraId="5AF757D0">
      <w:pPr>
        <w:spacing w:line="340" w:lineRule="exact"/>
        <w:ind w:firstLine="420" w:firstLineChars="200"/>
      </w:pPr>
      <w:r>
        <w:rPr>
          <w:rFonts w:hint="eastAsia" w:ascii="宋体" w:hAnsi="宋体"/>
        </w:rPr>
        <w:t>（八）不同投标人的投标保证金从同一单位或者个人的账户转出。</w:t>
      </w:r>
    </w:p>
    <w:p w14:paraId="5B2F5336">
      <w:pPr>
        <w:spacing w:line="340" w:lineRule="exact"/>
        <w:ind w:firstLine="420" w:firstLineChars="200"/>
      </w:pPr>
      <w:r>
        <w:rPr>
          <w:rFonts w:hint="eastAsia" w:ascii="宋体" w:hAnsi="宋体"/>
        </w:rPr>
        <w:t>（九）主管部门依照法律、法规认定的其他情形。</w:t>
      </w:r>
    </w:p>
    <w:p w14:paraId="575C8269">
      <w:pPr>
        <w:spacing w:line="340" w:lineRule="exact"/>
        <w:ind w:firstLine="422" w:firstLineChars="200"/>
        <w:rPr>
          <w:b/>
        </w:rPr>
      </w:pPr>
      <w:r>
        <w:rPr>
          <w:rFonts w:hint="eastAsia" w:ascii="宋体" w:hAnsi="宋体"/>
          <w:b/>
        </w:rPr>
        <w:t>三、我单位已充分知悉下列情形存在法律风险，在投标前已对相关风险事项进行排查。</w:t>
      </w:r>
    </w:p>
    <w:p w14:paraId="7EF24041">
      <w:pPr>
        <w:spacing w:line="340" w:lineRule="exact"/>
        <w:ind w:firstLine="420" w:firstLineChars="200"/>
        <w:rPr>
          <w:b/>
        </w:rPr>
      </w:pPr>
      <w:r>
        <w:rPr>
          <w:rFonts w:hint="eastAsia" w:ascii="宋体" w:hAnsi="宋体"/>
        </w:rPr>
        <w:t>（一）对于从其他主体获取的投标资料，我单位应审慎核查，确保其真实性。</w:t>
      </w:r>
      <w:r>
        <w:rPr>
          <w:rFonts w:hint="eastAsia" w:ascii="宋体" w:hAnsi="宋体"/>
          <w:b/>
        </w:rPr>
        <w:t>如主管部门查实投标文件中存在虚假资料的，无论相关资料是否由第三方或本公司员工提供，均不影响主管部门对供应商存在“隐瞒真实情况，提供虚假资料”违法行为的认定。</w:t>
      </w:r>
    </w:p>
    <w:p w14:paraId="62BD451D">
      <w:pPr>
        <w:spacing w:line="340" w:lineRule="exact"/>
        <w:ind w:firstLine="420" w:firstLineChars="200"/>
      </w:pPr>
      <w:r>
        <w:rPr>
          <w:rFonts w:hint="eastAsia" w:ascii="宋体" w:hAnsi="宋体"/>
        </w:rPr>
        <w:t>（二）对于涉及国家机关出具的公文、证件、证明材料等文件，一旦涉嫌虚假，经查实，主管部门将依法从严处理，并移送有关部门追究法律责任；涉嫌犯罪的，移送司法机关处理。</w:t>
      </w:r>
    </w:p>
    <w:p w14:paraId="59C6DF53">
      <w:pPr>
        <w:spacing w:line="340" w:lineRule="exact"/>
        <w:ind w:firstLine="420" w:firstLineChars="200"/>
      </w:pPr>
      <w:r>
        <w:rPr>
          <w:rFonts w:hint="eastAsia" w:ascii="宋体" w:hAnsi="宋体"/>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b/>
          <w:bCs/>
        </w:rPr>
        <w:t>擅自将投标密钥或电子营业执照出借他人使用所造成的法律后果，由我单位自行承担</w:t>
      </w:r>
      <w:r>
        <w:rPr>
          <w:rFonts w:hint="eastAsia" w:ascii="宋体" w:hAnsi="宋体"/>
        </w:rPr>
        <w:t>。</w:t>
      </w:r>
    </w:p>
    <w:p w14:paraId="6FDD16B9">
      <w:pPr>
        <w:spacing w:line="340" w:lineRule="exact"/>
        <w:ind w:firstLine="422" w:firstLineChars="200"/>
        <w:rPr>
          <w:b/>
        </w:rPr>
      </w:pPr>
      <w:r>
        <w:rPr>
          <w:rFonts w:hint="eastAsia" w:ascii="宋体" w:hAnsi="宋体"/>
          <w:b/>
        </w:rPr>
        <w:t>四、我单位已充分知悉政府采购违法、违规行为的法律后果。</w:t>
      </w:r>
    </w:p>
    <w:p w14:paraId="261115AE">
      <w:pPr>
        <w:spacing w:line="340" w:lineRule="exact"/>
        <w:ind w:firstLine="420" w:firstLineChars="200"/>
      </w:pPr>
      <w:r>
        <w:rPr>
          <w:rFonts w:hint="eastAsia" w:ascii="宋体" w:hAnsi="宋体"/>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17F3E83">
      <w:pPr>
        <w:spacing w:line="340" w:lineRule="exact"/>
        <w:ind w:firstLine="422" w:firstLineChars="200"/>
        <w:rPr>
          <w:b/>
          <w:bCs/>
          <w:color w:val="FF0000"/>
        </w:rPr>
      </w:pPr>
      <w:r>
        <w:rPr>
          <w:rFonts w:hint="eastAsia" w:ascii="宋体" w:hAnsi="宋体"/>
          <w:b/>
          <w:bCs/>
          <w:color w:val="FF0000"/>
        </w:rPr>
        <w:t>以下文字请投标供应商抄写并确认：“我单位已仔细阅读《政府采购违法行为风险知悉确认书》，充分知悉违法行为的法律后果，并承诺将严谨、诚信、依法依规参与政府采购活动”。</w:t>
      </w:r>
    </w:p>
    <w:tbl>
      <w:tblPr>
        <w:tblStyle w:val="190"/>
        <w:tblW w:w="8532"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2"/>
      </w:tblGrid>
      <w:tr w14:paraId="2CF4C8E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32" w:type="dxa"/>
            <w:tcBorders>
              <w:top w:val="nil"/>
              <w:left w:val="nil"/>
              <w:bottom w:val="single" w:color="000000" w:sz="8" w:space="0"/>
              <w:right w:val="nil"/>
            </w:tcBorders>
          </w:tcPr>
          <w:p w14:paraId="68DC4055">
            <w:pPr>
              <w:autoSpaceDE w:val="0"/>
              <w:autoSpaceDN w:val="0"/>
              <w:spacing w:line="340" w:lineRule="exact"/>
              <w:ind w:firstLine="1866"/>
              <w:rPr>
                <w:rFonts w:ascii="宋体" w:hAnsi="宋体" w:eastAsiaTheme="minorEastAsia"/>
                <w:spacing w:val="-4"/>
                <w:kern w:val="0"/>
                <w:szCs w:val="21"/>
              </w:rPr>
            </w:pPr>
          </w:p>
        </w:tc>
      </w:tr>
      <w:tr w14:paraId="4C1AE5A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01296CA4">
            <w:pPr>
              <w:autoSpaceDE w:val="0"/>
              <w:autoSpaceDN w:val="0"/>
              <w:spacing w:line="340" w:lineRule="exact"/>
              <w:ind w:firstLine="1866"/>
              <w:rPr>
                <w:rFonts w:ascii="宋体" w:hAnsi="宋体" w:eastAsiaTheme="minorEastAsia"/>
                <w:spacing w:val="-4"/>
                <w:kern w:val="0"/>
                <w:szCs w:val="21"/>
              </w:rPr>
            </w:pPr>
          </w:p>
        </w:tc>
      </w:tr>
      <w:tr w14:paraId="5AE6319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6BBF7D58">
            <w:pPr>
              <w:autoSpaceDE w:val="0"/>
              <w:autoSpaceDN w:val="0"/>
              <w:spacing w:line="340" w:lineRule="exact"/>
              <w:ind w:firstLine="1866"/>
              <w:rPr>
                <w:rFonts w:ascii="宋体" w:hAnsi="宋体" w:eastAsiaTheme="minorEastAsia"/>
                <w:spacing w:val="-4"/>
                <w:kern w:val="0"/>
                <w:szCs w:val="21"/>
              </w:rPr>
            </w:pPr>
          </w:p>
        </w:tc>
      </w:tr>
      <w:tr w14:paraId="53FCB8C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auto" w:sz="8" w:space="0"/>
              <w:right w:val="nil"/>
            </w:tcBorders>
          </w:tcPr>
          <w:p w14:paraId="32E5491D">
            <w:pPr>
              <w:autoSpaceDE w:val="0"/>
              <w:autoSpaceDN w:val="0"/>
              <w:spacing w:line="340" w:lineRule="exact"/>
              <w:ind w:firstLine="1866"/>
              <w:rPr>
                <w:rFonts w:ascii="宋体" w:hAnsi="宋体" w:eastAsiaTheme="minorEastAsia"/>
                <w:spacing w:val="-4"/>
                <w:kern w:val="0"/>
                <w:szCs w:val="21"/>
              </w:rPr>
            </w:pPr>
          </w:p>
        </w:tc>
      </w:tr>
    </w:tbl>
    <w:p w14:paraId="01904C86">
      <w:pPr>
        <w:widowControl/>
        <w:wordWrap w:val="0"/>
        <w:autoSpaceDE w:val="0"/>
        <w:autoSpaceDN w:val="0"/>
        <w:spacing w:line="340" w:lineRule="exact"/>
        <w:ind w:right="808" w:firstLine="404" w:firstLineChars="200"/>
        <w:jc w:val="right"/>
        <w:rPr>
          <w:rFonts w:ascii="宋体" w:hAnsi="宋体"/>
          <w:spacing w:val="-4"/>
          <w:kern w:val="0"/>
          <w:szCs w:val="21"/>
        </w:rPr>
      </w:pPr>
      <w:r>
        <w:rPr>
          <w:rFonts w:hint="eastAsia" w:ascii="宋体" w:hAnsi="宋体"/>
          <w:spacing w:val="-4"/>
          <w:kern w:val="0"/>
        </w:rPr>
        <w:t xml:space="preserve"> </w:t>
      </w:r>
    </w:p>
    <w:p w14:paraId="1A5B52E3">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color w:val="FF0000"/>
          <w:spacing w:val="-4"/>
          <w:kern w:val="0"/>
          <w:highlight w:val="yellow"/>
        </w:rPr>
        <w:t>单位负责人签名：</w:t>
      </w:r>
      <w:r>
        <w:rPr>
          <w:rFonts w:hint="eastAsia" w:ascii="宋体" w:hAnsi="宋体"/>
          <w:spacing w:val="-4"/>
          <w:kern w:val="0"/>
          <w:u w:val="single"/>
        </w:rPr>
        <w:t xml:space="preserve">              </w:t>
      </w:r>
    </w:p>
    <w:p w14:paraId="3E26DBE1">
      <w:pPr>
        <w:widowControl/>
        <w:wordWrap w:val="0"/>
        <w:autoSpaceDE w:val="0"/>
        <w:autoSpaceDN w:val="0"/>
        <w:spacing w:line="340" w:lineRule="exact"/>
        <w:ind w:right="808" w:firstLine="404" w:firstLineChars="200"/>
        <w:jc w:val="center"/>
        <w:rPr>
          <w:rFonts w:ascii="宋体" w:hAnsi="宋体"/>
          <w:spacing w:val="-4"/>
          <w:kern w:val="0"/>
          <w:u w:val="single"/>
        </w:rPr>
      </w:pPr>
      <w:r>
        <w:rPr>
          <w:rFonts w:hint="eastAsia" w:ascii="宋体" w:hAnsi="宋体"/>
          <w:spacing w:val="-4"/>
          <w:kern w:val="0"/>
        </w:rPr>
        <w:t xml:space="preserve">                                </w:t>
      </w:r>
      <w:r>
        <w:rPr>
          <w:rFonts w:hint="eastAsia" w:ascii="宋体" w:hAnsi="宋体"/>
          <w:color w:val="FF0000"/>
          <w:spacing w:val="-4"/>
          <w:kern w:val="0"/>
          <w:highlight w:val="yellow"/>
        </w:rPr>
        <w:t xml:space="preserve"> （加盖公章）</w:t>
      </w:r>
    </w:p>
    <w:p w14:paraId="22B8C15B">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14:paraId="79B984F0">
      <w:pPr>
        <w:widowControl/>
        <w:autoSpaceDE w:val="0"/>
        <w:autoSpaceDN w:val="0"/>
        <w:spacing w:line="340" w:lineRule="exact"/>
        <w:ind w:firstLine="406" w:firstLineChars="200"/>
        <w:jc w:val="left"/>
        <w:rPr>
          <w:rFonts w:ascii="宋体" w:hAnsi="宋体"/>
          <w:b/>
          <w:bCs/>
          <w:spacing w:val="-4"/>
          <w:kern w:val="0"/>
        </w:rPr>
      </w:pPr>
      <w:r>
        <w:rPr>
          <w:rFonts w:hint="eastAsia" w:ascii="宋体" w:hAnsi="宋体"/>
          <w:b/>
          <w:bCs/>
          <w:spacing w:val="-4"/>
          <w:kern w:val="0"/>
        </w:rPr>
        <w:t xml:space="preserve"> </w:t>
      </w:r>
    </w:p>
    <w:p w14:paraId="0718A8E9">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14:paraId="7B2844E9">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578D007A">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19AFDA93">
      <w:pPr>
        <w:widowControl/>
        <w:autoSpaceDE w:val="0"/>
        <w:autoSpaceDN w:val="0"/>
        <w:spacing w:line="400" w:lineRule="exact"/>
        <w:ind w:right="1414" w:firstLine="480" w:firstLineChars="200"/>
        <w:jc w:val="right"/>
        <w:rPr>
          <w:rFonts w:eastAsiaTheme="minorEastAsia"/>
          <w:kern w:val="0"/>
          <w:sz w:val="24"/>
        </w:rPr>
      </w:pPr>
    </w:p>
    <w:p w14:paraId="02781463">
      <w:pPr>
        <w:widowControl/>
        <w:jc w:val="left"/>
        <w:rPr>
          <w:rFonts w:ascii="黑体" w:eastAsia="黑体"/>
          <w:sz w:val="24"/>
          <w:szCs w:val="20"/>
        </w:rPr>
      </w:pPr>
      <w:r>
        <w:rPr>
          <w:rFonts w:ascii="黑体" w:eastAsia="黑体"/>
          <w:sz w:val="24"/>
          <w:szCs w:val="20"/>
        </w:rPr>
        <w:br w:type="page"/>
      </w:r>
    </w:p>
    <w:p w14:paraId="0BA72879">
      <w:pPr>
        <w:jc w:val="center"/>
        <w:rPr>
          <w:rFonts w:ascii="黑体" w:eastAsia="黑体"/>
          <w:sz w:val="24"/>
          <w:szCs w:val="20"/>
        </w:rPr>
      </w:pPr>
      <w:r>
        <w:rPr>
          <w:rFonts w:hint="eastAsia" w:ascii="黑体" w:eastAsia="黑体"/>
          <w:sz w:val="24"/>
          <w:szCs w:val="20"/>
        </w:rPr>
        <w:t>（二）订单融资情况</w:t>
      </w:r>
    </w:p>
    <w:p w14:paraId="7122A16F">
      <w:pPr>
        <w:ind w:firstLine="422" w:firstLineChars="200"/>
        <w:rPr>
          <w:rFonts w:ascii="宋体" w:hAnsi="宋体" w:cs="宋体"/>
          <w:b/>
          <w:bCs/>
        </w:rPr>
      </w:pPr>
      <w:r>
        <w:rPr>
          <w:rFonts w:hint="eastAsia" w:ascii="宋体" w:hAnsi="宋体" w:cs="宋体"/>
          <w:b/>
          <w:bCs/>
        </w:rPr>
        <w:t>1、关于政府采购订单融资政策</w:t>
      </w:r>
    </w:p>
    <w:p w14:paraId="7AD81024">
      <w:pPr>
        <w:pStyle w:val="2"/>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1D4CE43B">
      <w:pPr>
        <w:ind w:firstLine="422" w:firstLineChars="200"/>
        <w:rPr>
          <w:rFonts w:ascii="宋体" w:hAnsi="宋体" w:cs="宋体"/>
          <w:b/>
          <w:bCs/>
        </w:rPr>
      </w:pPr>
      <w:r>
        <w:rPr>
          <w:rFonts w:hint="eastAsia" w:ascii="宋体" w:hAnsi="宋体" w:cs="宋体"/>
          <w:b/>
          <w:bCs/>
        </w:rPr>
        <w:t>2、供应商账户信息</w:t>
      </w:r>
    </w:p>
    <w:p w14:paraId="615D58C9">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6AA42722">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4BC28B6A">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7E393526">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2ABDCEFE">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253A1471">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47986855">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6013F2AB">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2E88402D">
      <w:pPr>
        <w:widowControl/>
        <w:autoSpaceDE w:val="0"/>
        <w:autoSpaceDN w:val="0"/>
        <w:spacing w:line="400" w:lineRule="exact"/>
        <w:ind w:right="1414" w:firstLine="480" w:firstLineChars="200"/>
        <w:jc w:val="right"/>
        <w:rPr>
          <w:rFonts w:eastAsiaTheme="minorEastAsia"/>
          <w:kern w:val="0"/>
          <w:sz w:val="24"/>
        </w:rPr>
      </w:pPr>
    </w:p>
    <w:p w14:paraId="00BB8A4B">
      <w:pPr>
        <w:widowControl/>
        <w:autoSpaceDE w:val="0"/>
        <w:autoSpaceDN w:val="0"/>
        <w:spacing w:line="400" w:lineRule="exact"/>
        <w:ind w:right="1414" w:firstLine="480" w:firstLineChars="200"/>
        <w:jc w:val="right"/>
        <w:rPr>
          <w:rFonts w:eastAsiaTheme="minorEastAsia"/>
          <w:kern w:val="0"/>
          <w:sz w:val="24"/>
        </w:rPr>
      </w:pPr>
    </w:p>
    <w:p w14:paraId="14711975">
      <w:pPr>
        <w:widowControl/>
        <w:autoSpaceDE w:val="0"/>
        <w:autoSpaceDN w:val="0"/>
        <w:spacing w:line="400" w:lineRule="exact"/>
        <w:ind w:right="1414" w:firstLine="480" w:firstLineChars="200"/>
        <w:jc w:val="right"/>
        <w:rPr>
          <w:rFonts w:eastAsiaTheme="minorEastAsia"/>
          <w:kern w:val="0"/>
          <w:sz w:val="24"/>
        </w:rPr>
      </w:pPr>
    </w:p>
    <w:p w14:paraId="0A215C31">
      <w:pPr>
        <w:ind w:firstLine="720" w:firstLineChars="300"/>
        <w:rPr>
          <w:sz w:val="24"/>
        </w:rPr>
      </w:pPr>
    </w:p>
    <w:p w14:paraId="74937AC6">
      <w:pPr>
        <w:widowControl/>
        <w:spacing w:line="360" w:lineRule="auto"/>
        <w:jc w:val="left"/>
        <w:rPr>
          <w:rFonts w:eastAsiaTheme="minorEastAsia"/>
          <w:b/>
          <w:bCs/>
          <w:kern w:val="0"/>
          <w:sz w:val="24"/>
        </w:rPr>
      </w:pPr>
    </w:p>
    <w:p w14:paraId="097C385F">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1B4D6B82">
      <w:pPr>
        <w:pStyle w:val="2"/>
        <w:sectPr>
          <w:pgSz w:w="11907" w:h="16840"/>
          <w:pgMar w:top="1440" w:right="1797" w:bottom="1440" w:left="1797" w:header="851" w:footer="992" w:gutter="0"/>
          <w:cols w:space="425" w:num="1"/>
          <w:titlePg/>
          <w:docGrid w:linePitch="462" w:charSpace="0"/>
        </w:sectPr>
      </w:pPr>
    </w:p>
    <w:p w14:paraId="4225C933">
      <w:pPr>
        <w:pStyle w:val="2"/>
      </w:pPr>
    </w:p>
    <w:p w14:paraId="110C499C">
      <w:pPr>
        <w:pStyle w:val="6"/>
      </w:pPr>
      <w:r>
        <w:rPr>
          <w:rFonts w:hint="eastAsia"/>
        </w:rPr>
        <w:t>第五章  合同条款及格式</w:t>
      </w:r>
    </w:p>
    <w:p w14:paraId="3FBE2305">
      <w:pPr>
        <w:ind w:firstLine="411" w:firstLineChars="196"/>
      </w:pPr>
    </w:p>
    <w:p w14:paraId="31982FC2">
      <w:pPr>
        <w:jc w:val="center"/>
        <w:rPr>
          <w:b/>
        </w:rPr>
      </w:pPr>
      <w:r>
        <w:rPr>
          <w:rFonts w:hint="eastAsia"/>
          <w:b/>
        </w:rPr>
        <w:t>（仅供参考，具体以项目需求及采购结果为准）</w:t>
      </w:r>
    </w:p>
    <w:p w14:paraId="0C644820">
      <w:pPr>
        <w:rPr>
          <w:rFonts w:ascii="宋体" w:hAnsi="宋体"/>
          <w:b/>
          <w:bCs/>
          <w:szCs w:val="21"/>
        </w:rPr>
      </w:pPr>
      <w:r>
        <w:rPr>
          <w:rFonts w:hint="eastAsia" w:ascii="宋体" w:hAnsi="宋体"/>
          <w:b/>
          <w:bCs/>
          <w:szCs w:val="21"/>
        </w:rPr>
        <w:t>甲方：</w:t>
      </w:r>
    </w:p>
    <w:p w14:paraId="19D8FDCC">
      <w:pPr>
        <w:rPr>
          <w:rFonts w:ascii="宋体" w:hAnsi="宋体"/>
          <w:szCs w:val="21"/>
        </w:rPr>
      </w:pPr>
      <w:r>
        <w:rPr>
          <w:rFonts w:hint="eastAsia" w:ascii="宋体" w:hAnsi="宋体"/>
          <w:szCs w:val="21"/>
        </w:rPr>
        <w:t>地址：</w:t>
      </w:r>
    </w:p>
    <w:p w14:paraId="2BD61CBE">
      <w:pPr>
        <w:rPr>
          <w:rFonts w:ascii="宋体" w:hAnsi="宋体"/>
          <w:szCs w:val="21"/>
        </w:rPr>
      </w:pPr>
      <w:r>
        <w:rPr>
          <w:rFonts w:hint="eastAsia" w:ascii="宋体" w:hAnsi="宋体"/>
          <w:szCs w:val="21"/>
        </w:rPr>
        <w:t>联系人：</w:t>
      </w:r>
      <w:r>
        <w:rPr>
          <w:rFonts w:ascii="宋体" w:hAnsi="宋体"/>
          <w:szCs w:val="21"/>
        </w:rPr>
        <w:t xml:space="preserve">                          </w:t>
      </w:r>
    </w:p>
    <w:p w14:paraId="4F599852">
      <w:pPr>
        <w:rPr>
          <w:rFonts w:ascii="宋体" w:hAnsi="宋体"/>
          <w:b/>
          <w:bCs/>
          <w:szCs w:val="21"/>
        </w:rPr>
      </w:pPr>
      <w:r>
        <w:rPr>
          <w:rFonts w:hint="eastAsia" w:ascii="宋体" w:hAnsi="宋体"/>
          <w:szCs w:val="21"/>
        </w:rPr>
        <w:t>联系电话：</w:t>
      </w:r>
    </w:p>
    <w:p w14:paraId="5CD78B14">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7C7727A8">
      <w:pPr>
        <w:rPr>
          <w:rFonts w:ascii="宋体" w:hAnsi="宋体"/>
          <w:b/>
          <w:bCs/>
          <w:szCs w:val="21"/>
        </w:rPr>
      </w:pPr>
      <w:r>
        <w:rPr>
          <w:rFonts w:hint="eastAsia" w:ascii="宋体" w:hAnsi="宋体"/>
          <w:b/>
          <w:bCs/>
          <w:szCs w:val="21"/>
        </w:rPr>
        <w:t>乙方：</w:t>
      </w:r>
    </w:p>
    <w:p w14:paraId="03B52E1E">
      <w:pPr>
        <w:rPr>
          <w:rFonts w:ascii="宋体" w:hAnsi="宋体"/>
          <w:szCs w:val="21"/>
        </w:rPr>
      </w:pPr>
      <w:r>
        <w:rPr>
          <w:rFonts w:hint="eastAsia" w:ascii="宋体" w:hAnsi="宋体"/>
          <w:szCs w:val="21"/>
        </w:rPr>
        <w:t>地址：</w:t>
      </w:r>
    </w:p>
    <w:p w14:paraId="1C4837B5">
      <w:pPr>
        <w:rPr>
          <w:rFonts w:ascii="宋体" w:hAnsi="宋体"/>
          <w:szCs w:val="21"/>
        </w:rPr>
      </w:pPr>
      <w:r>
        <w:rPr>
          <w:rFonts w:hint="eastAsia" w:ascii="宋体" w:hAnsi="宋体"/>
          <w:szCs w:val="21"/>
        </w:rPr>
        <w:t>联系人：</w:t>
      </w:r>
      <w:r>
        <w:rPr>
          <w:rFonts w:ascii="宋体" w:hAnsi="宋体"/>
          <w:szCs w:val="21"/>
        </w:rPr>
        <w:t xml:space="preserve">                          </w:t>
      </w:r>
    </w:p>
    <w:p w14:paraId="6827B6CA">
      <w:pPr>
        <w:rPr>
          <w:rFonts w:ascii="宋体" w:hAnsi="宋体"/>
          <w:b/>
          <w:bCs/>
          <w:szCs w:val="21"/>
        </w:rPr>
      </w:pPr>
      <w:r>
        <w:rPr>
          <w:rFonts w:hint="eastAsia" w:ascii="宋体" w:hAnsi="宋体"/>
          <w:szCs w:val="21"/>
        </w:rPr>
        <w:t>联系电话：</w:t>
      </w:r>
    </w:p>
    <w:p w14:paraId="42211A04">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0C82BFE1">
      <w:pPr>
        <w:rPr>
          <w:rFonts w:ascii="宋体" w:hAnsi="宋体"/>
          <w:szCs w:val="21"/>
        </w:rPr>
      </w:pPr>
    </w:p>
    <w:p w14:paraId="3DF8CC8C">
      <w:pPr>
        <w:ind w:firstLine="420" w:firstLineChars="200"/>
        <w:rPr>
          <w:rFonts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609EBB6D">
      <w:pPr>
        <w:ind w:firstLine="422" w:firstLineChars="200"/>
        <w:rPr>
          <w:rFonts w:ascii="宋体" w:hAnsi="宋体"/>
          <w:b/>
          <w:bCs/>
          <w:szCs w:val="21"/>
        </w:rPr>
      </w:pPr>
      <w:r>
        <w:rPr>
          <w:rFonts w:hint="eastAsia" w:ascii="宋体" w:hAnsi="宋体"/>
          <w:b/>
          <w:bCs/>
          <w:szCs w:val="21"/>
        </w:rPr>
        <w:t>第一条　项目概况</w:t>
      </w:r>
    </w:p>
    <w:p w14:paraId="7094A633">
      <w:pPr>
        <w:ind w:firstLine="420" w:firstLineChars="200"/>
        <w:rPr>
          <w:rFonts w:ascii="宋体" w:hAnsi="宋体"/>
          <w:szCs w:val="21"/>
        </w:rPr>
      </w:pPr>
      <w:r>
        <w:rPr>
          <w:rFonts w:hint="eastAsia" w:ascii="宋体" w:hAnsi="宋体"/>
          <w:szCs w:val="21"/>
        </w:rPr>
        <w:t xml:space="preserve">项目名称： </w:t>
      </w:r>
    </w:p>
    <w:p w14:paraId="14817CAE">
      <w:pPr>
        <w:ind w:firstLine="420" w:firstLineChars="200"/>
        <w:rPr>
          <w:rFonts w:ascii="宋体" w:hAnsi="宋体"/>
          <w:szCs w:val="21"/>
        </w:rPr>
      </w:pPr>
      <w:r>
        <w:rPr>
          <w:rFonts w:hint="eastAsia" w:ascii="宋体" w:hAnsi="宋体"/>
          <w:szCs w:val="21"/>
        </w:rPr>
        <w:t xml:space="preserve">项目内容： </w:t>
      </w:r>
    </w:p>
    <w:p w14:paraId="0DB7ABEC">
      <w:pPr>
        <w:ind w:firstLine="420" w:firstLineChars="200"/>
        <w:rPr>
          <w:rFonts w:ascii="宋体" w:hAnsi="宋体"/>
          <w:szCs w:val="21"/>
        </w:rPr>
      </w:pPr>
      <w:r>
        <w:rPr>
          <w:rFonts w:hint="eastAsia" w:ascii="宋体" w:hAnsi="宋体"/>
          <w:szCs w:val="21"/>
        </w:rPr>
        <w:t xml:space="preserve">服务时间： </w:t>
      </w:r>
    </w:p>
    <w:p w14:paraId="517FCCF1">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70237BAC">
      <w:pPr>
        <w:pStyle w:val="8"/>
        <w:rPr>
          <w:rFonts w:ascii="宋体" w:hAnsi="宋体"/>
          <w:szCs w:val="21"/>
        </w:rPr>
      </w:pPr>
      <w:r>
        <w:rPr>
          <w:rFonts w:hint="eastAsia" w:ascii="宋体" w:hAnsi="宋体"/>
          <w:szCs w:val="21"/>
        </w:rPr>
        <w:t>支付方式：分期支付。</w:t>
      </w:r>
    </w:p>
    <w:p w14:paraId="72A476E3">
      <w:pPr>
        <w:ind w:firstLine="422" w:firstLineChars="200"/>
        <w:rPr>
          <w:rFonts w:ascii="宋体" w:hAnsi="宋体"/>
          <w:b/>
          <w:bCs/>
          <w:szCs w:val="21"/>
        </w:rPr>
      </w:pPr>
      <w:r>
        <w:rPr>
          <w:rFonts w:hint="eastAsia" w:ascii="宋体" w:hAnsi="宋体"/>
          <w:b/>
          <w:bCs/>
          <w:szCs w:val="21"/>
        </w:rPr>
        <w:t>第二条  服务范围</w:t>
      </w:r>
    </w:p>
    <w:p w14:paraId="5C65DCD4">
      <w:pPr>
        <w:ind w:firstLine="420" w:firstLineChars="200"/>
        <w:rPr>
          <w:rFonts w:ascii="宋体" w:hAnsi="宋体"/>
          <w:szCs w:val="21"/>
        </w:rPr>
      </w:pPr>
      <w:r>
        <w:rPr>
          <w:rFonts w:hint="eastAsia" w:ascii="宋体" w:hAnsi="宋体"/>
          <w:szCs w:val="21"/>
        </w:rPr>
        <w:t xml:space="preserve">1、  </w:t>
      </w:r>
    </w:p>
    <w:p w14:paraId="3551FD13">
      <w:pPr>
        <w:ind w:firstLine="420" w:firstLineChars="200"/>
        <w:rPr>
          <w:rFonts w:ascii="宋体" w:hAnsi="宋体"/>
          <w:szCs w:val="21"/>
        </w:rPr>
      </w:pPr>
      <w:r>
        <w:rPr>
          <w:rFonts w:hint="eastAsia" w:ascii="宋体" w:hAnsi="宋体"/>
          <w:szCs w:val="21"/>
        </w:rPr>
        <w:t xml:space="preserve">2、  </w:t>
      </w:r>
    </w:p>
    <w:p w14:paraId="4623A802">
      <w:pPr>
        <w:ind w:firstLine="420" w:firstLineChars="200"/>
        <w:rPr>
          <w:rFonts w:ascii="宋体" w:hAnsi="宋体"/>
          <w:szCs w:val="21"/>
        </w:rPr>
      </w:pPr>
      <w:r>
        <w:rPr>
          <w:rFonts w:hint="eastAsia" w:ascii="宋体" w:hAnsi="宋体"/>
          <w:szCs w:val="21"/>
        </w:rPr>
        <w:t xml:space="preserve">3、  </w:t>
      </w:r>
    </w:p>
    <w:p w14:paraId="580E650F">
      <w:pPr>
        <w:ind w:firstLine="420" w:firstLineChars="200"/>
        <w:rPr>
          <w:rFonts w:ascii="宋体" w:hAnsi="宋体"/>
          <w:szCs w:val="21"/>
        </w:rPr>
      </w:pPr>
      <w:r>
        <w:rPr>
          <w:rFonts w:hint="eastAsia" w:ascii="宋体" w:hAnsi="宋体"/>
          <w:szCs w:val="21"/>
        </w:rPr>
        <w:t>4、 其他合同未明示的相关工作。</w:t>
      </w:r>
    </w:p>
    <w:p w14:paraId="57E14F48">
      <w:pPr>
        <w:ind w:firstLine="422" w:firstLineChars="200"/>
        <w:rPr>
          <w:rFonts w:ascii="宋体" w:hAnsi="宋体"/>
          <w:b/>
          <w:bCs/>
          <w:szCs w:val="21"/>
        </w:rPr>
      </w:pPr>
      <w:r>
        <w:rPr>
          <w:rFonts w:hint="eastAsia" w:ascii="宋体" w:hAnsi="宋体"/>
          <w:b/>
          <w:bCs/>
          <w:szCs w:val="21"/>
        </w:rPr>
        <w:t>第三条  时间要求及阶段成果</w:t>
      </w:r>
    </w:p>
    <w:p w14:paraId="7E73771F">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5D13650B">
      <w:pPr>
        <w:ind w:firstLine="420" w:firstLineChars="200"/>
        <w:rPr>
          <w:rFonts w:ascii="宋体" w:hAnsi="宋体"/>
          <w:szCs w:val="21"/>
        </w:rPr>
      </w:pPr>
      <w:r>
        <w:rPr>
          <w:rFonts w:hint="eastAsia" w:ascii="宋体" w:hAnsi="宋体"/>
          <w:szCs w:val="21"/>
        </w:rPr>
        <w:t xml:space="preserve">2、 </w:t>
      </w:r>
    </w:p>
    <w:p w14:paraId="3EA96740">
      <w:pPr>
        <w:ind w:firstLine="420" w:firstLineChars="200"/>
        <w:rPr>
          <w:rFonts w:ascii="宋体" w:hAnsi="宋体"/>
          <w:szCs w:val="21"/>
        </w:rPr>
      </w:pPr>
      <w:r>
        <w:rPr>
          <w:rFonts w:hint="eastAsia" w:ascii="宋体" w:hAnsi="宋体"/>
          <w:szCs w:val="21"/>
        </w:rPr>
        <w:t>3、</w:t>
      </w:r>
    </w:p>
    <w:p w14:paraId="04950803">
      <w:pPr>
        <w:ind w:firstLine="420" w:firstLineChars="200"/>
        <w:rPr>
          <w:rFonts w:ascii="宋体" w:hAnsi="宋体"/>
          <w:szCs w:val="21"/>
        </w:rPr>
      </w:pPr>
      <w:r>
        <w:rPr>
          <w:rFonts w:hint="eastAsia" w:ascii="宋体" w:hAnsi="宋体"/>
          <w:szCs w:val="21"/>
        </w:rPr>
        <w:t>4、</w:t>
      </w:r>
    </w:p>
    <w:p w14:paraId="24386529">
      <w:pPr>
        <w:ind w:firstLine="422" w:firstLineChars="200"/>
        <w:rPr>
          <w:rFonts w:ascii="宋体" w:hAnsi="宋体"/>
          <w:b/>
          <w:bCs/>
          <w:szCs w:val="21"/>
        </w:rPr>
      </w:pPr>
      <w:r>
        <w:rPr>
          <w:rFonts w:hint="eastAsia" w:ascii="宋体" w:hAnsi="宋体"/>
          <w:b/>
          <w:bCs/>
          <w:szCs w:val="21"/>
        </w:rPr>
        <w:t>第四条  服务资料归属</w:t>
      </w:r>
    </w:p>
    <w:p w14:paraId="4ED33825">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0825A889">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114F23AB">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03E0678B">
      <w:pPr>
        <w:ind w:firstLine="422" w:firstLineChars="200"/>
        <w:rPr>
          <w:rFonts w:ascii="宋体" w:hAnsi="宋体"/>
          <w:b/>
          <w:bCs/>
          <w:szCs w:val="21"/>
        </w:rPr>
      </w:pPr>
      <w:r>
        <w:rPr>
          <w:rFonts w:hint="eastAsia" w:ascii="宋体" w:hAnsi="宋体"/>
          <w:b/>
          <w:bCs/>
          <w:szCs w:val="21"/>
        </w:rPr>
        <w:t>第五条  甲方的义务</w:t>
      </w:r>
    </w:p>
    <w:p w14:paraId="7D58D967">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390BBC81">
      <w:pPr>
        <w:ind w:firstLine="420" w:firstLineChars="200"/>
        <w:rPr>
          <w:rFonts w:ascii="宋体" w:hAnsi="宋体"/>
          <w:szCs w:val="21"/>
        </w:rPr>
      </w:pPr>
      <w:r>
        <w:rPr>
          <w:rFonts w:hint="eastAsia" w:ascii="宋体" w:hAnsi="宋体"/>
          <w:szCs w:val="21"/>
        </w:rPr>
        <w:t>2、向乙方提供与本项目服务工作有关的资料。</w:t>
      </w:r>
    </w:p>
    <w:p w14:paraId="426AE7D1">
      <w:pPr>
        <w:ind w:firstLine="420" w:firstLineChars="200"/>
        <w:rPr>
          <w:rFonts w:ascii="宋体" w:hAnsi="宋体"/>
          <w:szCs w:val="21"/>
        </w:rPr>
      </w:pPr>
      <w:r>
        <w:rPr>
          <w:rFonts w:hint="eastAsia" w:ascii="宋体" w:hAnsi="宋体"/>
          <w:szCs w:val="21"/>
        </w:rPr>
        <w:t>3、负责组织有关专家对项目试验成果评估报告的评审。</w:t>
      </w:r>
    </w:p>
    <w:p w14:paraId="5F35DC09">
      <w:pPr>
        <w:ind w:firstLine="422" w:firstLineChars="200"/>
        <w:rPr>
          <w:rFonts w:ascii="宋体" w:hAnsi="宋体"/>
          <w:b/>
          <w:bCs/>
          <w:szCs w:val="21"/>
        </w:rPr>
      </w:pPr>
      <w:r>
        <w:rPr>
          <w:rFonts w:hint="eastAsia" w:ascii="宋体" w:hAnsi="宋体"/>
          <w:b/>
          <w:bCs/>
          <w:szCs w:val="21"/>
        </w:rPr>
        <w:t>第六条　乙方的义务</w:t>
      </w:r>
    </w:p>
    <w:p w14:paraId="5B726A9B">
      <w:pPr>
        <w:ind w:firstLine="420" w:firstLineChars="200"/>
        <w:rPr>
          <w:rFonts w:ascii="宋体" w:hAnsi="宋体"/>
          <w:szCs w:val="21"/>
        </w:rPr>
      </w:pPr>
      <w:r>
        <w:rPr>
          <w:rFonts w:hint="eastAsia" w:ascii="宋体" w:hAnsi="宋体"/>
          <w:szCs w:val="21"/>
        </w:rPr>
        <w:t>１、应按照招标文件、投标文件要求按期完成本项目服务工作。</w:t>
      </w:r>
    </w:p>
    <w:p w14:paraId="61354510">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0CF1391B">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73FF312B">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45C49D77">
      <w:pPr>
        <w:ind w:firstLine="422" w:firstLineChars="200"/>
        <w:rPr>
          <w:rFonts w:ascii="宋体" w:hAnsi="宋体"/>
          <w:b/>
          <w:bCs/>
          <w:szCs w:val="21"/>
        </w:rPr>
      </w:pPr>
      <w:r>
        <w:rPr>
          <w:rFonts w:hint="eastAsia" w:ascii="宋体" w:hAnsi="宋体"/>
          <w:b/>
          <w:bCs/>
          <w:szCs w:val="21"/>
        </w:rPr>
        <w:t>第七条  甲方的权利</w:t>
      </w:r>
    </w:p>
    <w:p w14:paraId="4725FFB8">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35170ED5">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2419E055">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33A94218">
      <w:pPr>
        <w:ind w:firstLine="422" w:firstLineChars="200"/>
        <w:rPr>
          <w:rFonts w:ascii="宋体" w:hAnsi="宋体"/>
          <w:b/>
          <w:bCs/>
          <w:szCs w:val="21"/>
        </w:rPr>
      </w:pPr>
      <w:r>
        <w:rPr>
          <w:rFonts w:hint="eastAsia" w:ascii="宋体" w:hAnsi="宋体"/>
          <w:b/>
          <w:bCs/>
          <w:szCs w:val="21"/>
        </w:rPr>
        <w:t>第八条  乙方的权利</w:t>
      </w:r>
    </w:p>
    <w:p w14:paraId="3EF818C5">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29E2A4EF">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240433F8">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7C6815A7">
      <w:pPr>
        <w:ind w:firstLine="422" w:firstLineChars="200"/>
        <w:rPr>
          <w:rFonts w:ascii="宋体" w:hAnsi="宋体"/>
          <w:b/>
          <w:bCs/>
          <w:szCs w:val="21"/>
        </w:rPr>
      </w:pPr>
      <w:r>
        <w:rPr>
          <w:rFonts w:hint="eastAsia" w:ascii="宋体" w:hAnsi="宋体"/>
          <w:b/>
          <w:bCs/>
          <w:szCs w:val="21"/>
        </w:rPr>
        <w:t>第九条  甲方的责任</w:t>
      </w:r>
    </w:p>
    <w:p w14:paraId="72AAA9E9">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18A94AD4">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5B5FCE53">
      <w:pPr>
        <w:ind w:firstLine="422" w:firstLineChars="200"/>
        <w:rPr>
          <w:rFonts w:ascii="宋体" w:hAnsi="宋体"/>
          <w:b/>
          <w:bCs/>
          <w:szCs w:val="21"/>
        </w:rPr>
      </w:pPr>
      <w:r>
        <w:rPr>
          <w:rFonts w:hint="eastAsia" w:ascii="宋体" w:hAnsi="宋体"/>
          <w:b/>
          <w:bCs/>
          <w:szCs w:val="21"/>
        </w:rPr>
        <w:t>第十条  乙方的责任</w:t>
      </w:r>
    </w:p>
    <w:p w14:paraId="54B7ED2D">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0F52DDAF">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368986E1">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7443007D">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7D485F95">
      <w:pPr>
        <w:ind w:firstLine="422" w:firstLineChars="200"/>
        <w:rPr>
          <w:rFonts w:ascii="宋体" w:hAnsi="宋体"/>
          <w:b/>
          <w:bCs/>
          <w:szCs w:val="21"/>
        </w:rPr>
      </w:pPr>
      <w:r>
        <w:rPr>
          <w:rFonts w:hint="eastAsia" w:ascii="宋体" w:hAnsi="宋体"/>
          <w:b/>
          <w:bCs/>
          <w:szCs w:val="21"/>
        </w:rPr>
        <w:t>第十一条  人员要求</w:t>
      </w:r>
    </w:p>
    <w:p w14:paraId="4CEE7D81">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5C4D880C">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0DD9B86A">
      <w:pPr>
        <w:ind w:firstLine="420" w:firstLineChars="200"/>
        <w:rPr>
          <w:rFonts w:ascii="宋体" w:hAnsi="宋体"/>
          <w:szCs w:val="21"/>
        </w:rPr>
      </w:pPr>
      <w:r>
        <w:rPr>
          <w:rFonts w:hint="eastAsia" w:ascii="宋体" w:hAnsi="宋体"/>
          <w:szCs w:val="21"/>
        </w:rPr>
        <w:t>3、必须以直属试验人员参与本项目服务，不得使用挂靠队伍。</w:t>
      </w:r>
    </w:p>
    <w:p w14:paraId="60D2B6BC">
      <w:pPr>
        <w:ind w:firstLine="422" w:firstLineChars="200"/>
        <w:rPr>
          <w:rFonts w:ascii="宋体" w:hAnsi="宋体"/>
          <w:b/>
          <w:bCs/>
          <w:szCs w:val="21"/>
        </w:rPr>
      </w:pPr>
      <w:r>
        <w:rPr>
          <w:rFonts w:hint="eastAsia" w:ascii="宋体" w:hAnsi="宋体"/>
          <w:b/>
          <w:bCs/>
          <w:szCs w:val="21"/>
        </w:rPr>
        <w:t>第十二条  乙方服务工具要求</w:t>
      </w:r>
    </w:p>
    <w:p w14:paraId="38A4B146">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49F2B6AE">
      <w:pPr>
        <w:ind w:firstLine="420" w:firstLineChars="200"/>
        <w:rPr>
          <w:rFonts w:ascii="宋体" w:hAnsi="宋体"/>
          <w:szCs w:val="21"/>
        </w:rPr>
      </w:pPr>
      <w:r>
        <w:rPr>
          <w:rFonts w:hint="eastAsia" w:ascii="宋体" w:hAnsi="宋体"/>
          <w:szCs w:val="21"/>
        </w:rPr>
        <w:t>2、乙方在提供服务过程中应自备车辆。</w:t>
      </w:r>
    </w:p>
    <w:p w14:paraId="37AC2FB8">
      <w:pPr>
        <w:ind w:firstLine="422" w:firstLineChars="200"/>
        <w:rPr>
          <w:rFonts w:ascii="宋体" w:hAnsi="宋体"/>
          <w:b/>
          <w:bCs/>
          <w:szCs w:val="21"/>
        </w:rPr>
      </w:pPr>
      <w:r>
        <w:rPr>
          <w:rFonts w:hint="eastAsia" w:ascii="宋体" w:hAnsi="宋体"/>
          <w:b/>
          <w:bCs/>
          <w:szCs w:val="21"/>
        </w:rPr>
        <w:t>第十三条  保密要求</w:t>
      </w:r>
    </w:p>
    <w:p w14:paraId="49B32D3D">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C5068F4">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7A36F703">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0495009B">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621C6345">
      <w:pPr>
        <w:ind w:firstLine="422" w:firstLineChars="200"/>
        <w:rPr>
          <w:rFonts w:ascii="宋体" w:hAnsi="宋体"/>
          <w:b/>
          <w:bCs/>
          <w:szCs w:val="21"/>
        </w:rPr>
      </w:pPr>
      <w:r>
        <w:rPr>
          <w:rFonts w:hint="eastAsia" w:ascii="宋体" w:hAnsi="宋体"/>
          <w:b/>
          <w:bCs/>
          <w:szCs w:val="21"/>
        </w:rPr>
        <w:t xml:space="preserve">第十四条  验收     </w:t>
      </w:r>
    </w:p>
    <w:p w14:paraId="3EBE82CB">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57FBDBD5">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56F075CF">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3EB9FC7F">
      <w:pPr>
        <w:ind w:firstLine="422" w:firstLineChars="200"/>
        <w:rPr>
          <w:rFonts w:ascii="宋体" w:hAnsi="宋体"/>
          <w:b/>
          <w:bCs/>
          <w:szCs w:val="21"/>
        </w:rPr>
      </w:pPr>
      <w:r>
        <w:rPr>
          <w:rFonts w:hint="eastAsia" w:ascii="宋体" w:hAnsi="宋体"/>
          <w:b/>
          <w:bCs/>
          <w:szCs w:val="21"/>
        </w:rPr>
        <w:t>第十五条  付款方式</w:t>
      </w:r>
    </w:p>
    <w:p w14:paraId="1EF417E5">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02775618">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65F158FF">
      <w:pPr>
        <w:ind w:firstLine="420" w:firstLineChars="200"/>
        <w:rPr>
          <w:rFonts w:ascii="宋体" w:hAnsi="宋体"/>
          <w:szCs w:val="21"/>
        </w:rPr>
      </w:pPr>
      <w:r>
        <w:rPr>
          <w:rFonts w:hint="eastAsia" w:ascii="宋体" w:hAnsi="宋体"/>
          <w:szCs w:val="21"/>
        </w:rPr>
        <w:t>3、报告通过专家评审后，甲方向乙方支付合同总价%的款项。</w:t>
      </w:r>
    </w:p>
    <w:p w14:paraId="597FFF13">
      <w:pPr>
        <w:ind w:firstLine="422" w:firstLineChars="200"/>
        <w:rPr>
          <w:rFonts w:ascii="宋体" w:hAnsi="宋体"/>
          <w:b/>
          <w:bCs/>
          <w:szCs w:val="21"/>
        </w:rPr>
      </w:pPr>
      <w:r>
        <w:rPr>
          <w:rFonts w:hint="eastAsia" w:ascii="宋体" w:hAnsi="宋体"/>
          <w:b/>
          <w:bCs/>
          <w:szCs w:val="21"/>
        </w:rPr>
        <w:t>第十六条  争议解决办法</w:t>
      </w:r>
    </w:p>
    <w:p w14:paraId="3DAAB01F">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363C9664">
      <w:pPr>
        <w:ind w:firstLine="422" w:firstLineChars="200"/>
        <w:rPr>
          <w:rFonts w:ascii="宋体" w:hAnsi="宋体"/>
          <w:b/>
          <w:bCs/>
          <w:szCs w:val="21"/>
        </w:rPr>
      </w:pPr>
      <w:r>
        <w:rPr>
          <w:rFonts w:hint="eastAsia" w:ascii="宋体" w:hAnsi="宋体"/>
          <w:b/>
          <w:bCs/>
          <w:szCs w:val="21"/>
        </w:rPr>
        <w:t>第十七条  风险责任</w:t>
      </w:r>
    </w:p>
    <w:p w14:paraId="37AFB750">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05EA5E1A">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20A8BE0E">
      <w:pPr>
        <w:ind w:firstLine="422" w:firstLineChars="200"/>
        <w:rPr>
          <w:rFonts w:ascii="宋体" w:hAnsi="宋体"/>
          <w:b/>
          <w:bCs/>
          <w:szCs w:val="21"/>
        </w:rPr>
      </w:pPr>
      <w:r>
        <w:rPr>
          <w:rFonts w:hint="eastAsia" w:ascii="宋体" w:hAnsi="宋体"/>
          <w:b/>
          <w:bCs/>
          <w:szCs w:val="21"/>
        </w:rPr>
        <w:t>第十八条  违约责任</w:t>
      </w:r>
    </w:p>
    <w:p w14:paraId="7A6E7C6E">
      <w:pPr>
        <w:pStyle w:val="19"/>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00981E01">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5E6C989E">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w:t>
      </w:r>
      <w:r>
        <w:rPr>
          <w:rFonts w:hint="eastAsia" w:ascii="宋体" w:hAnsi="宋体"/>
          <w:szCs w:val="21"/>
          <w:u w:val="single"/>
        </w:rPr>
        <w:t xml:space="preserve">   %</w:t>
      </w:r>
      <w:r>
        <w:rPr>
          <w:rFonts w:hint="eastAsia" w:ascii="宋体" w:hAnsi="宋体"/>
          <w:szCs w:val="21"/>
        </w:rPr>
        <w:t>支付违约金。</w:t>
      </w:r>
    </w:p>
    <w:p w14:paraId="7556064F">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4C4109C2">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w:t>
      </w:r>
      <w:r>
        <w:rPr>
          <w:rFonts w:hint="eastAsia" w:ascii="宋体" w:hAnsi="宋体"/>
          <w:szCs w:val="21"/>
          <w:u w:val="single"/>
        </w:rPr>
        <w:t xml:space="preserve">   %</w:t>
      </w:r>
      <w:r>
        <w:rPr>
          <w:rFonts w:hint="eastAsia" w:ascii="宋体" w:hAnsi="宋体"/>
          <w:szCs w:val="21"/>
        </w:rPr>
        <w:t>支付违约金；造成不良影响或对甲方造成损失的，甲方有权要求乙方消除影响，承担赔偿责任，并有权解除合同。</w:t>
      </w:r>
    </w:p>
    <w:p w14:paraId="4714A333">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w:t>
      </w:r>
      <w:r>
        <w:rPr>
          <w:rFonts w:hint="eastAsia" w:ascii="宋体" w:hAnsi="宋体"/>
          <w:szCs w:val="21"/>
          <w:u w:val="single"/>
        </w:rPr>
        <w:t xml:space="preserve">   %</w:t>
      </w:r>
      <w:r>
        <w:rPr>
          <w:rFonts w:hint="eastAsia" w:ascii="宋体" w:hAnsi="宋体"/>
          <w:szCs w:val="21"/>
        </w:rPr>
        <w:t>支付违约金，并有权解除合同。</w:t>
      </w:r>
    </w:p>
    <w:p w14:paraId="135899B5">
      <w:pPr>
        <w:ind w:firstLine="422" w:firstLineChars="200"/>
        <w:rPr>
          <w:rFonts w:ascii="宋体" w:hAnsi="宋体"/>
          <w:b/>
          <w:bCs/>
          <w:szCs w:val="21"/>
        </w:rPr>
      </w:pPr>
      <w:r>
        <w:rPr>
          <w:rFonts w:hint="eastAsia" w:ascii="宋体" w:hAnsi="宋体"/>
          <w:b/>
          <w:bCs/>
          <w:szCs w:val="21"/>
        </w:rPr>
        <w:t>第十九条  其他</w:t>
      </w:r>
    </w:p>
    <w:p w14:paraId="2C0D5CC4">
      <w:pPr>
        <w:ind w:firstLine="420" w:firstLineChars="200"/>
        <w:rPr>
          <w:rFonts w:ascii="宋体" w:hAnsi="宋体"/>
          <w:szCs w:val="21"/>
        </w:rPr>
      </w:pPr>
      <w:r>
        <w:rPr>
          <w:rFonts w:hint="eastAsia" w:ascii="宋体" w:hAnsi="宋体"/>
          <w:szCs w:val="21"/>
        </w:rPr>
        <w:t>1、本协议书与下列文件一起构成合同文件，如下述文件之间有任何抵触、矛盾或歧义，应按以下顺序解释：</w:t>
      </w:r>
    </w:p>
    <w:p w14:paraId="1B83C1F2">
      <w:pPr>
        <w:ind w:firstLine="420" w:firstLineChars="200"/>
        <w:rPr>
          <w:rFonts w:ascii="宋体" w:hAnsi="宋体"/>
          <w:szCs w:val="21"/>
        </w:rPr>
      </w:pPr>
      <w:r>
        <w:rPr>
          <w:rFonts w:hint="eastAsia" w:ascii="宋体" w:hAnsi="宋体"/>
          <w:szCs w:val="21"/>
        </w:rPr>
        <w:t>（1）政府采购合同协议书及其变更、补充协议</w:t>
      </w:r>
    </w:p>
    <w:p w14:paraId="37A0FB7B">
      <w:pPr>
        <w:ind w:firstLine="420" w:firstLineChars="200"/>
        <w:rPr>
          <w:rFonts w:ascii="宋体" w:hAnsi="宋体"/>
          <w:szCs w:val="21"/>
        </w:rPr>
      </w:pPr>
      <w:r>
        <w:rPr>
          <w:rFonts w:hint="eastAsia" w:ascii="宋体" w:hAnsi="宋体"/>
          <w:szCs w:val="21"/>
        </w:rPr>
        <w:t>（2）政府采购合同专用条款</w:t>
      </w:r>
    </w:p>
    <w:p w14:paraId="5DA9C58D">
      <w:pPr>
        <w:ind w:firstLine="420" w:firstLineChars="200"/>
        <w:rPr>
          <w:rFonts w:ascii="宋体" w:hAnsi="宋体"/>
          <w:szCs w:val="21"/>
        </w:rPr>
      </w:pPr>
      <w:r>
        <w:rPr>
          <w:rFonts w:hint="eastAsia" w:ascii="宋体" w:hAnsi="宋体"/>
          <w:szCs w:val="21"/>
        </w:rPr>
        <w:t>（3）政府采购合同通用条款</w:t>
      </w:r>
    </w:p>
    <w:p w14:paraId="2B688F7A">
      <w:pPr>
        <w:ind w:firstLine="420" w:firstLineChars="200"/>
        <w:rPr>
          <w:rFonts w:ascii="宋体" w:hAnsi="宋体"/>
          <w:szCs w:val="21"/>
        </w:rPr>
      </w:pPr>
      <w:r>
        <w:rPr>
          <w:rFonts w:hint="eastAsia" w:ascii="宋体" w:hAnsi="宋体"/>
          <w:szCs w:val="21"/>
        </w:rPr>
        <w:t>（4）中标（成交）通知书</w:t>
      </w:r>
    </w:p>
    <w:p w14:paraId="2848027B">
      <w:pPr>
        <w:ind w:firstLine="420" w:firstLineChars="200"/>
        <w:rPr>
          <w:rFonts w:ascii="宋体" w:hAnsi="宋体"/>
          <w:szCs w:val="21"/>
        </w:rPr>
      </w:pPr>
      <w:r>
        <w:rPr>
          <w:rFonts w:hint="eastAsia" w:ascii="宋体" w:hAnsi="宋体"/>
          <w:szCs w:val="21"/>
        </w:rPr>
        <w:t>（5）投标（响应）文件</w:t>
      </w:r>
    </w:p>
    <w:p w14:paraId="1B30DA11">
      <w:pPr>
        <w:ind w:firstLine="420" w:firstLineChars="200"/>
        <w:rPr>
          <w:rFonts w:ascii="宋体" w:hAnsi="宋体"/>
          <w:szCs w:val="21"/>
        </w:rPr>
      </w:pPr>
      <w:r>
        <w:rPr>
          <w:rFonts w:hint="eastAsia" w:ascii="宋体" w:hAnsi="宋体"/>
          <w:szCs w:val="21"/>
        </w:rPr>
        <w:t>（6）采购文件</w:t>
      </w:r>
    </w:p>
    <w:p w14:paraId="63F40856">
      <w:pPr>
        <w:ind w:firstLine="420" w:firstLineChars="200"/>
        <w:rPr>
          <w:rFonts w:ascii="宋体" w:hAnsi="宋体"/>
          <w:szCs w:val="21"/>
        </w:rPr>
      </w:pPr>
      <w:r>
        <w:rPr>
          <w:rFonts w:hint="eastAsia" w:ascii="宋体" w:hAnsi="宋体"/>
          <w:szCs w:val="21"/>
        </w:rPr>
        <w:t>（7）有关技术文件，图纸</w:t>
      </w:r>
    </w:p>
    <w:p w14:paraId="7564F9E7">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50E0687E">
      <w:pPr>
        <w:ind w:firstLine="420" w:firstLineChars="200"/>
        <w:rPr>
          <w:rFonts w:ascii="宋体" w:hAnsi="宋体"/>
          <w:szCs w:val="21"/>
        </w:rPr>
      </w:pPr>
      <w:r>
        <w:rPr>
          <w:rFonts w:hint="eastAsia" w:ascii="宋体" w:hAnsi="宋体"/>
          <w:szCs w:val="21"/>
        </w:rPr>
        <w:t>2、下列文件均为本合同的组成部分：</w:t>
      </w:r>
    </w:p>
    <w:p w14:paraId="33530F9F">
      <w:pPr>
        <w:ind w:firstLine="420" w:firstLineChars="200"/>
        <w:rPr>
          <w:rFonts w:ascii="宋体" w:hAnsi="宋体"/>
          <w:szCs w:val="21"/>
        </w:rPr>
      </w:pPr>
      <w:r>
        <w:rPr>
          <w:rFonts w:hint="eastAsia" w:ascii="宋体" w:hAnsi="宋体"/>
          <w:szCs w:val="21"/>
        </w:rPr>
        <w:t>（1）号招标文件、答疑及补充通知；</w:t>
      </w:r>
    </w:p>
    <w:p w14:paraId="0DA1F325">
      <w:pPr>
        <w:ind w:firstLine="420" w:firstLineChars="200"/>
        <w:rPr>
          <w:rFonts w:ascii="宋体" w:hAnsi="宋体"/>
          <w:szCs w:val="21"/>
        </w:rPr>
      </w:pPr>
      <w:r>
        <w:rPr>
          <w:rFonts w:hint="eastAsia" w:ascii="宋体" w:hAnsi="宋体"/>
          <w:szCs w:val="21"/>
        </w:rPr>
        <w:t>（2）投标文件；</w:t>
      </w:r>
    </w:p>
    <w:p w14:paraId="1166E2C9">
      <w:pPr>
        <w:ind w:firstLine="420" w:firstLineChars="200"/>
        <w:rPr>
          <w:rFonts w:ascii="宋体" w:hAnsi="宋体"/>
          <w:szCs w:val="21"/>
        </w:rPr>
      </w:pPr>
      <w:r>
        <w:rPr>
          <w:rFonts w:hint="eastAsia" w:ascii="宋体" w:hAnsi="宋体"/>
          <w:szCs w:val="21"/>
        </w:rPr>
        <w:t>（3）本合同执行中共同签署的补充与修正文件。</w:t>
      </w:r>
    </w:p>
    <w:p w14:paraId="6003F42F">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3298FA04">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1ADF2D2A">
      <w:pPr>
        <w:ind w:firstLine="420" w:firstLineChars="200"/>
        <w:rPr>
          <w:rFonts w:ascii="宋体" w:hAnsi="宋体"/>
          <w:szCs w:val="21"/>
        </w:rPr>
      </w:pPr>
    </w:p>
    <w:p w14:paraId="7288F889">
      <w:pPr>
        <w:ind w:firstLine="420" w:firstLineChars="200"/>
        <w:rPr>
          <w:rFonts w:ascii="宋体" w:hAnsi="宋体"/>
          <w:szCs w:val="21"/>
        </w:rPr>
      </w:pPr>
    </w:p>
    <w:p w14:paraId="254667FC">
      <w:pPr>
        <w:spacing w:line="360" w:lineRule="auto"/>
        <w:ind w:firstLine="560"/>
        <w:jc w:val="left"/>
        <w:rPr>
          <w:rFonts w:ascii="宋体" w:hAnsi="宋体"/>
          <w:szCs w:val="21"/>
        </w:rPr>
      </w:pPr>
      <w:r>
        <w:rPr>
          <w:rFonts w:hint="eastAsia" w:ascii="宋体" w:hAnsi="宋体"/>
          <w:szCs w:val="21"/>
        </w:rPr>
        <w:t>甲方（采购人）：   （盖章）       乙方（供应商）：    （盖章）</w:t>
      </w:r>
    </w:p>
    <w:p w14:paraId="0E5E1A83">
      <w:pPr>
        <w:spacing w:line="360" w:lineRule="auto"/>
        <w:ind w:firstLine="560"/>
        <w:jc w:val="left"/>
        <w:rPr>
          <w:rFonts w:ascii="宋体" w:hAnsi="宋体"/>
          <w:szCs w:val="21"/>
        </w:rPr>
      </w:pPr>
      <w:r>
        <w:rPr>
          <w:rFonts w:hint="eastAsia" w:ascii="宋体" w:hAnsi="宋体"/>
          <w:szCs w:val="21"/>
        </w:rPr>
        <w:t xml:space="preserve">法定代表人：                     法定代表人： </w:t>
      </w:r>
    </w:p>
    <w:p w14:paraId="0B6583C3">
      <w:pPr>
        <w:spacing w:line="360" w:lineRule="auto"/>
        <w:ind w:firstLine="560"/>
        <w:jc w:val="left"/>
        <w:rPr>
          <w:rFonts w:ascii="宋体" w:hAnsi="宋体"/>
          <w:szCs w:val="21"/>
        </w:rPr>
      </w:pPr>
      <w:r>
        <w:rPr>
          <w:rFonts w:hint="eastAsia" w:ascii="宋体" w:hAnsi="宋体"/>
          <w:szCs w:val="21"/>
        </w:rPr>
        <w:t>委托代理人：                     委托代理人：</w:t>
      </w:r>
    </w:p>
    <w:p w14:paraId="540C1776">
      <w:pPr>
        <w:ind w:firstLine="420" w:firstLineChars="200"/>
        <w:rPr>
          <w:rFonts w:ascii="宋体" w:hAnsi="宋体"/>
          <w:szCs w:val="21"/>
        </w:rPr>
      </w:pPr>
      <w:r>
        <w:rPr>
          <w:rFonts w:hint="eastAsia" w:ascii="宋体" w:hAnsi="宋体"/>
          <w:szCs w:val="21"/>
        </w:rPr>
        <w:t>日期：   年     月    日         日期：   年     月    日</w:t>
      </w:r>
    </w:p>
    <w:p w14:paraId="530E0F8A">
      <w:pPr>
        <w:ind w:firstLine="420" w:firstLineChars="200"/>
        <w:rPr>
          <w:rFonts w:ascii="宋体" w:hAnsi="宋体"/>
          <w:szCs w:val="21"/>
        </w:rPr>
      </w:pPr>
    </w:p>
    <w:p w14:paraId="02A27640">
      <w:pPr>
        <w:ind w:firstLine="420" w:firstLineChars="200"/>
        <w:rPr>
          <w:rFonts w:ascii="宋体" w:hAnsi="宋体"/>
          <w:szCs w:val="21"/>
        </w:rPr>
      </w:pPr>
    </w:p>
    <w:p w14:paraId="49747BF6">
      <w:pPr>
        <w:ind w:firstLine="420" w:firstLineChars="200"/>
        <w:rPr>
          <w:rFonts w:ascii="宋体" w:hAnsi="宋体"/>
          <w:szCs w:val="21"/>
        </w:rPr>
      </w:pPr>
    </w:p>
    <w:p w14:paraId="0D1D27AB">
      <w:pPr>
        <w:ind w:firstLine="420" w:firstLineChars="200"/>
        <w:rPr>
          <w:rFonts w:ascii="宋体" w:hAnsi="宋体"/>
          <w:szCs w:val="21"/>
        </w:rPr>
      </w:pPr>
    </w:p>
    <w:p w14:paraId="27864777">
      <w:pPr>
        <w:ind w:firstLine="420" w:firstLineChars="200"/>
        <w:rPr>
          <w:rFonts w:ascii="宋体" w:hAnsi="宋体"/>
          <w:szCs w:val="21"/>
        </w:rPr>
      </w:pPr>
    </w:p>
    <w:p w14:paraId="0F73A1DC">
      <w:pPr>
        <w:widowControl/>
        <w:jc w:val="left"/>
        <w:rPr>
          <w:rFonts w:ascii="宋体" w:hAnsi="宋体"/>
          <w:szCs w:val="21"/>
        </w:rPr>
      </w:pPr>
      <w:r>
        <w:rPr>
          <w:rFonts w:ascii="宋体" w:hAnsi="宋体"/>
          <w:szCs w:val="21"/>
        </w:rPr>
        <w:br w:type="page"/>
      </w:r>
    </w:p>
    <w:p w14:paraId="01D7054A">
      <w:pPr>
        <w:pStyle w:val="6"/>
        <w:spacing w:before="120" w:beforeLines="50" w:after="120" w:afterLines="50"/>
        <w:ind w:left="562"/>
        <w:rPr>
          <w:sz w:val="28"/>
          <w:szCs w:val="28"/>
        </w:rPr>
      </w:pPr>
      <w:bookmarkStart w:id="52" w:name="_Hlk72439706"/>
      <w:r>
        <w:rPr>
          <w:rFonts w:hint="eastAsia"/>
          <w:sz w:val="28"/>
          <w:szCs w:val="28"/>
        </w:rPr>
        <w:t>第二册  通用条款（公开招标）</w:t>
      </w:r>
    </w:p>
    <w:p w14:paraId="3C0BECEF">
      <w:pPr>
        <w:pStyle w:val="6"/>
        <w:numPr>
          <w:ilvl w:val="0"/>
          <w:numId w:val="11"/>
        </w:numPr>
        <w:spacing w:before="120" w:beforeLines="50" w:after="120" w:afterLines="50"/>
        <w:ind w:left="562" w:hanging="562"/>
        <w:rPr>
          <w:sz w:val="28"/>
          <w:szCs w:val="28"/>
        </w:rPr>
      </w:pPr>
      <w:bookmarkStart w:id="53" w:name="_Hlk72399513"/>
      <w:r>
        <w:rPr>
          <w:rFonts w:hint="eastAsia"/>
          <w:sz w:val="28"/>
          <w:szCs w:val="28"/>
        </w:rPr>
        <w:t>总则</w:t>
      </w:r>
    </w:p>
    <w:bookmarkEnd w:id="53"/>
    <w:p w14:paraId="2E38A67F">
      <w:pPr>
        <w:rPr>
          <w:rFonts w:ascii="黑体" w:hAnsi="宋体" w:eastAsia="黑体"/>
          <w:sz w:val="24"/>
        </w:rPr>
      </w:pPr>
      <w:r>
        <w:rPr>
          <w:rFonts w:hint="eastAsia" w:ascii="黑体" w:hAnsi="宋体" w:eastAsia="黑体"/>
          <w:sz w:val="24"/>
        </w:rPr>
        <w:t>1. 通用条款说明</w:t>
      </w:r>
    </w:p>
    <w:p w14:paraId="65420AC0">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4" w:name="_Hlk72399729"/>
      <w:r>
        <w:rPr>
          <w:rFonts w:hint="eastAsia" w:ascii="宋体" w:hAnsi="宋体"/>
          <w:szCs w:val="21"/>
        </w:rPr>
        <w:t>如有需要，政府集中采购机构可以对通用条款的内容进行补充。</w:t>
      </w:r>
      <w:bookmarkEnd w:id="54"/>
    </w:p>
    <w:p w14:paraId="1EFF11EB">
      <w:pPr>
        <w:ind w:firstLine="411" w:firstLineChars="196"/>
        <w:rPr>
          <w:rFonts w:ascii="宋体" w:hAnsi="宋体"/>
          <w:szCs w:val="21"/>
        </w:rPr>
      </w:pPr>
      <w:r>
        <w:rPr>
          <w:rFonts w:hint="eastAsia" w:ascii="宋体" w:hAnsi="宋体"/>
          <w:szCs w:val="21"/>
        </w:rPr>
        <w:t>1.2招标文件分为第一册“专用条款”和第二册“通用条款”。</w:t>
      </w:r>
    </w:p>
    <w:p w14:paraId="1468E305">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73C16B30">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14:paraId="3578D5C0">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71A7D2B6">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0EDC74E6">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本项目按照《深圳经济特区政府采购条例》、《深圳经济特区政府采购条例实施细则》及政府采购其他法律法规，通过公开招标方式确定中标供应商。</w:t>
      </w:r>
    </w:p>
    <w:p w14:paraId="70E9682B">
      <w:pPr>
        <w:rPr>
          <w:rFonts w:ascii="黑体" w:hAnsi="宋体" w:eastAsia="黑体"/>
          <w:sz w:val="24"/>
        </w:rPr>
      </w:pPr>
      <w:r>
        <w:rPr>
          <w:rFonts w:hint="eastAsia" w:ascii="黑体" w:hAnsi="宋体" w:eastAsia="黑体"/>
          <w:sz w:val="24"/>
        </w:rPr>
        <w:t>3．定义</w:t>
      </w:r>
    </w:p>
    <w:p w14:paraId="2F73E34A">
      <w:pPr>
        <w:ind w:firstLine="420" w:firstLineChars="200"/>
        <w:rPr>
          <w:rFonts w:ascii="宋体" w:hAnsi="宋体"/>
          <w:szCs w:val="21"/>
        </w:rPr>
      </w:pPr>
      <w:r>
        <w:rPr>
          <w:rFonts w:ascii="宋体" w:hAnsi="宋体"/>
          <w:szCs w:val="21"/>
        </w:rPr>
        <w:t>招标文件中下列术语应解释为：</w:t>
      </w:r>
    </w:p>
    <w:p w14:paraId="421009C9">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6BEF15E3">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B32D4E9">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3B601EAA">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77E3DF33">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1C02818">
      <w:pPr>
        <w:ind w:firstLine="411" w:firstLineChars="196"/>
        <w:rPr>
          <w:rFonts w:ascii="宋体" w:hAnsi="宋体"/>
          <w:szCs w:val="21"/>
        </w:rPr>
      </w:pPr>
      <w:r>
        <w:rPr>
          <w:rFonts w:hint="eastAsia" w:ascii="宋体" w:hAnsi="宋体"/>
          <w:szCs w:val="21"/>
        </w:rPr>
        <w:t>3.6“合同”指由本次招标所产生的合同或合约文件；</w:t>
      </w:r>
    </w:p>
    <w:p w14:paraId="02024115">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w:t>
      </w:r>
      <w:r>
        <w:rPr>
          <w:rFonts w:hint="eastAsia" w:ascii="宋体" w:hAnsi="宋体"/>
          <w:b/>
          <w:bCs/>
          <w:color w:val="auto"/>
          <w:szCs w:val="21"/>
          <w:lang w:val="en-US" w:eastAsia="zh-CN"/>
        </w:rPr>
        <w:t>盐田</w:t>
      </w:r>
      <w:r>
        <w:rPr>
          <w:rFonts w:hint="eastAsia" w:ascii="宋体" w:hAnsi="宋体"/>
          <w:b/>
          <w:bCs/>
          <w:color w:val="auto"/>
          <w:szCs w:val="21"/>
        </w:rPr>
        <w:t>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0EEC79B8">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w:t>
      </w:r>
      <w:r>
        <w:rPr>
          <w:rFonts w:hint="eastAsia" w:ascii="宋体" w:hAnsi="宋体"/>
          <w:b/>
          <w:bCs/>
          <w:szCs w:val="21"/>
          <w:lang w:eastAsia="zh-CN"/>
        </w:rPr>
        <w:t>深圳交易集团有限公司盐田分公司</w:t>
      </w:r>
      <w:r>
        <w:rPr>
          <w:rFonts w:hint="eastAsia" w:ascii="宋体" w:hAnsi="宋体"/>
          <w:b/>
          <w:bCs/>
          <w:szCs w:val="21"/>
        </w:rPr>
        <w:t>）</w:t>
      </w:r>
      <w:r>
        <w:rPr>
          <w:rFonts w:hint="eastAsia" w:ascii="宋体" w:hAnsi="宋体"/>
          <w:szCs w:val="21"/>
        </w:rPr>
        <w:t>网站上传电子投标文件；</w:t>
      </w:r>
    </w:p>
    <w:p w14:paraId="6F17199C">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7FAF0962">
      <w:pPr>
        <w:rPr>
          <w:rFonts w:ascii="黑体" w:hAnsi="宋体" w:eastAsia="黑体"/>
          <w:sz w:val="24"/>
        </w:rPr>
      </w:pPr>
      <w:r>
        <w:rPr>
          <w:rFonts w:hint="eastAsia" w:ascii="黑体" w:hAnsi="宋体" w:eastAsia="黑体"/>
          <w:sz w:val="24"/>
        </w:rPr>
        <w:t xml:space="preserve">4. </w:t>
      </w:r>
      <w:bookmarkStart w:id="55" w:name="_Hlk72398643"/>
      <w:r>
        <w:rPr>
          <w:rFonts w:hint="eastAsia" w:ascii="黑体" w:hAnsi="宋体" w:eastAsia="黑体"/>
          <w:sz w:val="24"/>
        </w:rPr>
        <w:t>政府采购供应商责任</w:t>
      </w:r>
    </w:p>
    <w:p w14:paraId="27A81D24">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0CB1783F">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70B400A9">
      <w:pPr>
        <w:rPr>
          <w:rFonts w:ascii="黑体" w:hAnsi="宋体" w:eastAsia="黑体"/>
          <w:sz w:val="24"/>
        </w:rPr>
      </w:pPr>
      <w:r>
        <w:rPr>
          <w:rFonts w:hint="eastAsia" w:ascii="黑体" w:hAnsi="宋体" w:eastAsia="黑体"/>
          <w:sz w:val="24"/>
        </w:rPr>
        <w:t>5．投标人参加政府采购的条件</w:t>
      </w:r>
    </w:p>
    <w:p w14:paraId="292B6B52">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r>
        <w:rPr>
          <w:rFonts w:hint="eastAsia" w:ascii="宋体" w:hAnsi="宋体"/>
          <w:szCs w:val="21"/>
          <w:lang w:val="en-US" w:eastAsia="zh-CN"/>
        </w:rPr>
        <w:t>。</w:t>
      </w:r>
      <w:r>
        <w:rPr>
          <w:rFonts w:hint="eastAsia" w:ascii="宋体" w:hAnsi="宋体"/>
          <w:szCs w:val="21"/>
        </w:rPr>
        <w:t>。</w:t>
      </w:r>
    </w:p>
    <w:p w14:paraId="71B31E46">
      <w:pPr>
        <w:ind w:firstLine="411" w:firstLineChars="196"/>
        <w:rPr>
          <w:rFonts w:ascii="宋体" w:hAnsi="宋体"/>
          <w:szCs w:val="21"/>
        </w:rPr>
      </w:pPr>
      <w:r>
        <w:rPr>
          <w:rFonts w:hint="eastAsia" w:ascii="宋体" w:hAnsi="宋体"/>
          <w:szCs w:val="21"/>
        </w:rPr>
        <w:t>5.2投标人资格要求</w:t>
      </w:r>
    </w:p>
    <w:p w14:paraId="7BDF9A75">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448B0F32">
      <w:pPr>
        <w:ind w:firstLine="411" w:firstLineChars="196"/>
        <w:rPr>
          <w:rFonts w:ascii="宋体" w:hAnsi="宋体"/>
          <w:szCs w:val="21"/>
        </w:rPr>
      </w:pPr>
      <w:r>
        <w:rPr>
          <w:rFonts w:hint="eastAsia" w:ascii="宋体" w:hAnsi="宋体"/>
          <w:szCs w:val="21"/>
        </w:rPr>
        <w:t>5.3联合体投标</w:t>
      </w:r>
    </w:p>
    <w:p w14:paraId="27A8C0D8">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70C6D0A9">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0D832D94">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22DAD58F">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6E303AA6">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3F79A163">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0DC9C730">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681BCF56">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31BD6E34">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29FA22D6">
      <w:pPr>
        <w:ind w:firstLine="411" w:firstLineChars="196"/>
        <w:rPr>
          <w:rFonts w:ascii="宋体" w:hAnsi="宋体"/>
        </w:rPr>
      </w:pPr>
      <w:r>
        <w:rPr>
          <w:rFonts w:hint="eastAsia" w:ascii="宋体" w:hAnsi="宋体"/>
        </w:rPr>
        <w:t>（2）在投标截止前，投标联合体各方均应注册成政府集中采购机构供应商；</w:t>
      </w:r>
    </w:p>
    <w:p w14:paraId="7E136C25">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38BB43E4">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38E0143D">
      <w:pPr>
        <w:ind w:firstLine="411" w:firstLineChars="196"/>
        <w:rPr>
          <w:rFonts w:ascii="宋体" w:hAnsi="宋体"/>
        </w:rPr>
      </w:pPr>
      <w:r>
        <w:rPr>
          <w:rFonts w:hint="eastAsia" w:ascii="宋体" w:hAnsi="宋体"/>
        </w:rPr>
        <w:t>（5）投标人的投标文件及中标后签署的合同协议对联合体各方均具法律约束力；</w:t>
      </w:r>
    </w:p>
    <w:p w14:paraId="33FE5175">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0913717D">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7F199332">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851DFDB">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7530C245">
      <w:pPr>
        <w:rPr>
          <w:rFonts w:ascii="黑体" w:hAnsi="宋体" w:eastAsia="黑体"/>
          <w:sz w:val="24"/>
        </w:rPr>
      </w:pPr>
      <w:r>
        <w:rPr>
          <w:rFonts w:hint="eastAsia" w:ascii="黑体" w:hAnsi="宋体" w:eastAsia="黑体"/>
          <w:sz w:val="24"/>
        </w:rPr>
        <w:t>6．政策导向</w:t>
      </w:r>
    </w:p>
    <w:p w14:paraId="26333A46">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4337BAD4">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4D98DEA6">
      <w:pPr>
        <w:ind w:firstLine="405"/>
        <w:rPr>
          <w:rFonts w:hint="default" w:eastAsia="宋体"/>
          <w:lang w:val="en-US" w:eastAsia="zh-CN"/>
        </w:rPr>
      </w:pPr>
      <w:r>
        <w:rPr>
          <w:rFonts w:hint="eastAsia" w:ascii="宋体" w:hAnsi="宋体"/>
          <w:lang w:val="en-US" w:eastAsia="zh-CN"/>
        </w:rPr>
        <w:t>6.3  本项目支持投标人性别平等的相关政策。</w:t>
      </w:r>
    </w:p>
    <w:p w14:paraId="7A40557E">
      <w:pPr>
        <w:rPr>
          <w:rFonts w:ascii="黑体" w:hAnsi="宋体" w:eastAsia="黑体"/>
          <w:sz w:val="24"/>
        </w:rPr>
      </w:pPr>
      <w:r>
        <w:rPr>
          <w:rFonts w:hint="eastAsia" w:ascii="黑体" w:hAnsi="宋体" w:eastAsia="黑体"/>
          <w:sz w:val="24"/>
        </w:rPr>
        <w:t>7. 本项目若涉及采购货物，则合格的货物及相应服务应满足以下要求：</w:t>
      </w:r>
    </w:p>
    <w:p w14:paraId="0C5F245C">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23481AD7">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467540DE">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B23AF6A">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6"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6"/>
    </w:p>
    <w:p w14:paraId="60640BFE">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4DD130">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35EE6329">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50253865">
      <w:pPr>
        <w:rPr>
          <w:rFonts w:ascii="黑体" w:hAnsi="宋体" w:eastAsia="黑体"/>
          <w:sz w:val="24"/>
        </w:rPr>
      </w:pPr>
      <w:r>
        <w:rPr>
          <w:rFonts w:hint="eastAsia" w:ascii="黑体" w:hAnsi="宋体" w:eastAsia="黑体"/>
          <w:sz w:val="24"/>
        </w:rPr>
        <w:t>8．投标费用</w:t>
      </w:r>
    </w:p>
    <w:p w14:paraId="408B3A58">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3F3E5E79">
      <w:pPr>
        <w:rPr>
          <w:rFonts w:ascii="黑体" w:hAnsi="宋体" w:eastAsia="黑体"/>
          <w:sz w:val="24"/>
        </w:rPr>
      </w:pPr>
      <w:r>
        <w:rPr>
          <w:rFonts w:hint="eastAsia" w:ascii="黑体" w:hAnsi="宋体" w:eastAsia="黑体"/>
          <w:sz w:val="24"/>
        </w:rPr>
        <w:t>9．踏勘现场</w:t>
      </w:r>
    </w:p>
    <w:p w14:paraId="14BB9C97">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0632D7F9">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151528F3">
      <w:pPr>
        <w:ind w:firstLine="411" w:firstLineChars="196"/>
        <w:rPr>
          <w:rFonts w:ascii="宋体" w:hAnsi="宋体"/>
        </w:rPr>
      </w:pPr>
      <w:r>
        <w:rPr>
          <w:rFonts w:hint="eastAsia" w:ascii="宋体" w:hAnsi="宋体"/>
        </w:rPr>
        <w:t>9.3采购人应当通过政府集中采购机构向投标人提供有关现场的书面资料和数据。</w:t>
      </w:r>
    </w:p>
    <w:p w14:paraId="121AFDF5">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642A29FB">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735D4806">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7ADCFB73">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0251D6D2">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5F593E79">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5"/>
    <w:p w14:paraId="265F7CCB">
      <w:pPr>
        <w:ind w:firstLine="411" w:firstLineChars="196"/>
        <w:rPr>
          <w:rFonts w:ascii="宋体" w:hAnsi="宋体"/>
        </w:rPr>
      </w:pPr>
    </w:p>
    <w:p w14:paraId="2E227D7E">
      <w:pPr>
        <w:pStyle w:val="6"/>
        <w:numPr>
          <w:ilvl w:val="0"/>
          <w:numId w:val="11"/>
        </w:numPr>
        <w:spacing w:before="120" w:beforeLines="50" w:after="120" w:afterLines="50"/>
        <w:ind w:left="562" w:hanging="562"/>
        <w:rPr>
          <w:sz w:val="28"/>
          <w:szCs w:val="28"/>
        </w:rPr>
      </w:pPr>
      <w:r>
        <w:rPr>
          <w:rFonts w:hint="eastAsia"/>
          <w:sz w:val="28"/>
          <w:szCs w:val="28"/>
        </w:rPr>
        <w:t>招标文件</w:t>
      </w:r>
    </w:p>
    <w:p w14:paraId="4FD4D3F5">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7" w:name="_Hlk72399819"/>
      <w:r>
        <w:rPr>
          <w:rFonts w:hint="eastAsia" w:ascii="黑体" w:hAnsi="宋体" w:eastAsia="黑体"/>
          <w:sz w:val="24"/>
        </w:rPr>
        <w:t>招标文件的编制与组成</w:t>
      </w:r>
    </w:p>
    <w:p w14:paraId="6C198207">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1606F600">
      <w:pPr>
        <w:ind w:firstLine="411" w:firstLineChars="196"/>
        <w:rPr>
          <w:rFonts w:ascii="宋体" w:hAnsi="宋体"/>
          <w:szCs w:val="21"/>
        </w:rPr>
      </w:pPr>
      <w:r>
        <w:rPr>
          <w:rFonts w:hint="eastAsia" w:ascii="宋体" w:hAnsi="宋体"/>
          <w:szCs w:val="21"/>
        </w:rPr>
        <w:t>招标文件包括下列内容：</w:t>
      </w:r>
    </w:p>
    <w:p w14:paraId="4213D2E5">
      <w:pPr>
        <w:ind w:left="420" w:leftChars="200" w:firstLine="413" w:firstLineChars="196"/>
        <w:rPr>
          <w:rFonts w:ascii="宋体" w:hAnsi="宋体"/>
          <w:b/>
          <w:szCs w:val="21"/>
        </w:rPr>
      </w:pPr>
      <w:r>
        <w:rPr>
          <w:rFonts w:hint="eastAsia" w:ascii="宋体" w:hAnsi="宋体"/>
          <w:b/>
          <w:szCs w:val="21"/>
        </w:rPr>
        <w:t>第一册  专用条款</w:t>
      </w:r>
    </w:p>
    <w:p w14:paraId="61E29CED">
      <w:pPr>
        <w:ind w:left="1079" w:leftChars="514"/>
        <w:rPr>
          <w:rFonts w:ascii="宋体" w:hAnsi="宋体"/>
          <w:b/>
          <w:szCs w:val="21"/>
        </w:rPr>
      </w:pPr>
      <w:r>
        <w:rPr>
          <w:rFonts w:hint="eastAsia" w:ascii="宋体" w:hAnsi="宋体"/>
          <w:b/>
          <w:szCs w:val="21"/>
        </w:rPr>
        <w:t>关键信息</w:t>
      </w:r>
    </w:p>
    <w:p w14:paraId="5A8E5FA5">
      <w:pPr>
        <w:ind w:left="630" w:leftChars="300" w:firstLine="411" w:firstLineChars="196"/>
        <w:rPr>
          <w:rFonts w:ascii="宋体" w:hAnsi="宋体"/>
          <w:szCs w:val="21"/>
        </w:rPr>
      </w:pPr>
      <w:r>
        <w:rPr>
          <w:rFonts w:hint="eastAsia" w:ascii="宋体" w:hAnsi="宋体"/>
          <w:szCs w:val="21"/>
        </w:rPr>
        <w:t>第一章  招标公告</w:t>
      </w:r>
    </w:p>
    <w:p w14:paraId="58342EE6">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7F521FA1">
      <w:pPr>
        <w:ind w:left="630" w:leftChars="300" w:firstLine="411" w:firstLineChars="196"/>
        <w:rPr>
          <w:rFonts w:ascii="宋体" w:hAnsi="宋体"/>
          <w:szCs w:val="21"/>
        </w:rPr>
      </w:pPr>
      <w:r>
        <w:rPr>
          <w:rFonts w:hint="eastAsia" w:ascii="宋体" w:hAnsi="宋体"/>
          <w:szCs w:val="21"/>
        </w:rPr>
        <w:t>第三章  用户需求书</w:t>
      </w:r>
    </w:p>
    <w:p w14:paraId="1EBCCE4E">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5D0B32D1">
      <w:pPr>
        <w:ind w:left="630" w:leftChars="300" w:firstLine="411" w:firstLineChars="196"/>
        <w:rPr>
          <w:rFonts w:ascii="宋体" w:hAnsi="宋体"/>
          <w:szCs w:val="21"/>
        </w:rPr>
      </w:pPr>
      <w:r>
        <w:rPr>
          <w:rFonts w:hint="eastAsia" w:ascii="宋体" w:hAnsi="宋体"/>
          <w:szCs w:val="21"/>
        </w:rPr>
        <w:t>第五章  合同条款及格式</w:t>
      </w:r>
    </w:p>
    <w:p w14:paraId="648B265E">
      <w:pPr>
        <w:ind w:left="420" w:leftChars="200" w:firstLine="413" w:firstLineChars="196"/>
        <w:rPr>
          <w:rFonts w:ascii="宋体" w:hAnsi="宋体"/>
          <w:b/>
          <w:szCs w:val="21"/>
        </w:rPr>
      </w:pPr>
      <w:r>
        <w:rPr>
          <w:rFonts w:hint="eastAsia" w:ascii="宋体" w:hAnsi="宋体"/>
          <w:b/>
          <w:szCs w:val="21"/>
        </w:rPr>
        <w:t>第二册  通用条款</w:t>
      </w:r>
    </w:p>
    <w:p w14:paraId="0AB3F350">
      <w:pPr>
        <w:ind w:left="630" w:leftChars="300" w:firstLine="411" w:firstLineChars="196"/>
        <w:rPr>
          <w:rFonts w:ascii="宋体" w:hAnsi="宋体"/>
          <w:szCs w:val="21"/>
        </w:rPr>
      </w:pPr>
      <w:r>
        <w:rPr>
          <w:rFonts w:hint="eastAsia" w:ascii="宋体" w:hAnsi="宋体"/>
          <w:szCs w:val="21"/>
        </w:rPr>
        <w:t>第一章  总则</w:t>
      </w:r>
    </w:p>
    <w:p w14:paraId="7D651691">
      <w:pPr>
        <w:ind w:left="630" w:leftChars="300" w:firstLine="411" w:firstLineChars="196"/>
        <w:rPr>
          <w:rFonts w:ascii="宋体" w:hAnsi="宋体"/>
          <w:szCs w:val="21"/>
        </w:rPr>
      </w:pPr>
      <w:r>
        <w:rPr>
          <w:rFonts w:hint="eastAsia" w:ascii="宋体" w:hAnsi="宋体"/>
          <w:szCs w:val="21"/>
        </w:rPr>
        <w:t>第二章  招标文件</w:t>
      </w:r>
    </w:p>
    <w:p w14:paraId="6E9EAF31">
      <w:pPr>
        <w:ind w:left="630" w:leftChars="300" w:firstLine="411" w:firstLineChars="196"/>
        <w:rPr>
          <w:rFonts w:ascii="宋体" w:hAnsi="宋体"/>
          <w:szCs w:val="21"/>
        </w:rPr>
      </w:pPr>
      <w:r>
        <w:rPr>
          <w:rFonts w:hint="eastAsia" w:ascii="宋体" w:hAnsi="宋体"/>
          <w:szCs w:val="21"/>
        </w:rPr>
        <w:t>第三章  投标文件的编制</w:t>
      </w:r>
    </w:p>
    <w:p w14:paraId="1029AB19">
      <w:pPr>
        <w:ind w:left="630" w:leftChars="300" w:firstLine="411" w:firstLineChars="196"/>
        <w:rPr>
          <w:rFonts w:ascii="宋体" w:hAnsi="宋体"/>
          <w:szCs w:val="21"/>
        </w:rPr>
      </w:pPr>
      <w:r>
        <w:rPr>
          <w:rFonts w:hint="eastAsia" w:ascii="宋体" w:hAnsi="宋体"/>
          <w:szCs w:val="21"/>
        </w:rPr>
        <w:t>第四章  投标文件的递交</w:t>
      </w:r>
    </w:p>
    <w:p w14:paraId="69AC197F">
      <w:pPr>
        <w:ind w:left="630" w:leftChars="300" w:firstLine="411" w:firstLineChars="196"/>
        <w:rPr>
          <w:rFonts w:ascii="宋体" w:hAnsi="宋体"/>
          <w:szCs w:val="21"/>
        </w:rPr>
      </w:pPr>
      <w:r>
        <w:rPr>
          <w:rFonts w:hint="eastAsia" w:ascii="宋体" w:hAnsi="宋体"/>
          <w:szCs w:val="21"/>
        </w:rPr>
        <w:t>第五章  开标</w:t>
      </w:r>
    </w:p>
    <w:p w14:paraId="67813949">
      <w:pPr>
        <w:ind w:left="630" w:leftChars="300" w:firstLine="411" w:firstLineChars="196"/>
        <w:rPr>
          <w:rFonts w:ascii="宋体" w:hAnsi="宋体"/>
          <w:szCs w:val="21"/>
        </w:rPr>
      </w:pPr>
      <w:r>
        <w:rPr>
          <w:rFonts w:hint="eastAsia" w:ascii="宋体" w:hAnsi="宋体"/>
          <w:szCs w:val="21"/>
        </w:rPr>
        <w:t>第六章  评审要求</w:t>
      </w:r>
    </w:p>
    <w:p w14:paraId="1BA9809C">
      <w:pPr>
        <w:ind w:left="630" w:leftChars="300" w:firstLine="411" w:firstLineChars="196"/>
        <w:rPr>
          <w:rFonts w:ascii="宋体" w:hAnsi="宋体"/>
          <w:szCs w:val="21"/>
        </w:rPr>
      </w:pPr>
      <w:r>
        <w:rPr>
          <w:rFonts w:hint="eastAsia" w:ascii="宋体" w:hAnsi="宋体"/>
          <w:szCs w:val="21"/>
        </w:rPr>
        <w:t>第七章  评审程序及评审方法</w:t>
      </w:r>
    </w:p>
    <w:p w14:paraId="5C5E758E">
      <w:pPr>
        <w:ind w:left="630" w:leftChars="300" w:firstLine="411" w:firstLineChars="196"/>
        <w:rPr>
          <w:rFonts w:ascii="宋体" w:hAnsi="宋体"/>
          <w:szCs w:val="21"/>
        </w:rPr>
      </w:pPr>
      <w:r>
        <w:rPr>
          <w:rFonts w:hint="eastAsia" w:ascii="宋体" w:hAnsi="宋体"/>
          <w:szCs w:val="21"/>
        </w:rPr>
        <w:t>第八章  定标及公示</w:t>
      </w:r>
    </w:p>
    <w:p w14:paraId="6BB45B9B">
      <w:pPr>
        <w:ind w:left="630" w:leftChars="300" w:firstLine="411" w:firstLineChars="196"/>
        <w:rPr>
          <w:rFonts w:ascii="宋体" w:hAnsi="宋体"/>
          <w:szCs w:val="21"/>
        </w:rPr>
      </w:pPr>
      <w:r>
        <w:rPr>
          <w:rFonts w:hint="eastAsia" w:ascii="宋体" w:hAnsi="宋体"/>
          <w:szCs w:val="21"/>
        </w:rPr>
        <w:t>第九章  公开招标失败的后续处理</w:t>
      </w:r>
    </w:p>
    <w:p w14:paraId="08BED34D">
      <w:pPr>
        <w:ind w:left="630" w:leftChars="300" w:firstLine="411" w:firstLineChars="196"/>
        <w:rPr>
          <w:rFonts w:ascii="宋体" w:hAnsi="宋体"/>
          <w:szCs w:val="21"/>
        </w:rPr>
      </w:pPr>
      <w:r>
        <w:rPr>
          <w:rFonts w:hint="eastAsia" w:ascii="宋体" w:hAnsi="宋体"/>
          <w:szCs w:val="21"/>
        </w:rPr>
        <w:t>第十章  合同的授予与备案</w:t>
      </w:r>
    </w:p>
    <w:p w14:paraId="27C9A000">
      <w:pPr>
        <w:ind w:left="630" w:leftChars="300" w:firstLine="411" w:firstLineChars="196"/>
        <w:rPr>
          <w:rFonts w:ascii="宋体" w:hAnsi="宋体"/>
          <w:szCs w:val="21"/>
        </w:rPr>
      </w:pPr>
      <w:r>
        <w:rPr>
          <w:rFonts w:hint="eastAsia" w:ascii="宋体" w:hAnsi="宋体"/>
          <w:szCs w:val="21"/>
        </w:rPr>
        <w:t>第十一章  质疑处理</w:t>
      </w:r>
    </w:p>
    <w:p w14:paraId="3063D452">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6FF062AC">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1A98561">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578B3D3D">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206E9438">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25BD8A7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3625DE23">
      <w:pPr>
        <w:ind w:firstLine="413" w:firstLineChars="196"/>
        <w:rPr>
          <w:rFonts w:hint="eastAsia"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6C164B82">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4187C918">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1FD6814">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4400E83">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14E813DD">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7"/>
    </w:p>
    <w:p w14:paraId="49BB5375">
      <w:pPr>
        <w:rPr>
          <w:rFonts w:ascii="宋体" w:hAnsi="宋体"/>
          <w:szCs w:val="21"/>
        </w:rPr>
      </w:pPr>
    </w:p>
    <w:p w14:paraId="4A476769">
      <w:pPr>
        <w:pStyle w:val="6"/>
        <w:numPr>
          <w:ilvl w:val="0"/>
          <w:numId w:val="11"/>
        </w:numPr>
        <w:spacing w:before="120" w:beforeLines="50" w:after="120" w:afterLines="50"/>
        <w:ind w:left="562" w:hanging="562"/>
        <w:rPr>
          <w:sz w:val="28"/>
          <w:szCs w:val="28"/>
        </w:rPr>
      </w:pPr>
      <w:r>
        <w:rPr>
          <w:rFonts w:hint="eastAsia"/>
          <w:sz w:val="28"/>
          <w:szCs w:val="28"/>
        </w:rPr>
        <w:t>投标文件的编制</w:t>
      </w:r>
    </w:p>
    <w:p w14:paraId="141463EA">
      <w:pPr>
        <w:rPr>
          <w:rFonts w:ascii="黑体" w:hAnsi="宋体" w:eastAsia="黑体"/>
          <w:sz w:val="24"/>
        </w:rPr>
      </w:pPr>
      <w:r>
        <w:rPr>
          <w:rFonts w:hint="eastAsia" w:ascii="黑体" w:hAnsi="宋体" w:eastAsia="黑体"/>
          <w:sz w:val="24"/>
        </w:rPr>
        <w:t>14．</w:t>
      </w:r>
      <w:bookmarkStart w:id="58" w:name="_Hlk72400236"/>
      <w:r>
        <w:rPr>
          <w:rFonts w:hint="eastAsia" w:ascii="黑体" w:hAnsi="宋体" w:eastAsia="黑体"/>
          <w:sz w:val="24"/>
        </w:rPr>
        <w:t>投标文件的语言及度量单位</w:t>
      </w:r>
    </w:p>
    <w:p w14:paraId="04B90E20">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6F951FF0">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8"/>
    <w:p w14:paraId="41380AB8">
      <w:pPr>
        <w:rPr>
          <w:rFonts w:ascii="黑体" w:hAnsi="宋体" w:eastAsia="黑体"/>
          <w:sz w:val="24"/>
        </w:rPr>
      </w:pPr>
      <w:r>
        <w:rPr>
          <w:rFonts w:hint="eastAsia" w:ascii="黑体" w:hAnsi="宋体" w:eastAsia="黑体"/>
          <w:sz w:val="24"/>
        </w:rPr>
        <w:t>15．</w:t>
      </w:r>
      <w:bookmarkStart w:id="59" w:name="_Hlk72401567"/>
      <w:r>
        <w:rPr>
          <w:rFonts w:hint="eastAsia" w:ascii="黑体" w:hAnsi="宋体" w:eastAsia="黑体"/>
          <w:sz w:val="24"/>
        </w:rPr>
        <w:t>投标文件的组成</w:t>
      </w:r>
    </w:p>
    <w:p w14:paraId="45E21895">
      <w:pPr>
        <w:ind w:firstLine="411" w:firstLineChars="196"/>
        <w:rPr>
          <w:rFonts w:ascii="宋体" w:hAnsi="宋体"/>
          <w:szCs w:val="21"/>
        </w:rPr>
      </w:pPr>
      <w:r>
        <w:rPr>
          <w:rFonts w:hint="eastAsia" w:ascii="宋体" w:hAnsi="宋体"/>
          <w:szCs w:val="21"/>
        </w:rPr>
        <w:t>具体内容在招标文件专用条款中进行规定。</w:t>
      </w:r>
    </w:p>
    <w:p w14:paraId="5050BBCD">
      <w:pPr>
        <w:rPr>
          <w:rFonts w:ascii="黑体" w:hAnsi="宋体" w:eastAsia="黑体"/>
          <w:sz w:val="24"/>
        </w:rPr>
      </w:pPr>
      <w:r>
        <w:rPr>
          <w:rFonts w:ascii="黑体" w:hAnsi="宋体" w:eastAsia="黑体"/>
          <w:sz w:val="24"/>
        </w:rPr>
        <w:t>16．投标文件格式</w:t>
      </w:r>
    </w:p>
    <w:p w14:paraId="05AAE9EC">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240207B">
      <w:pPr>
        <w:rPr>
          <w:rFonts w:ascii="黑体" w:hAnsi="宋体" w:eastAsia="黑体"/>
          <w:sz w:val="24"/>
        </w:rPr>
      </w:pPr>
      <w:r>
        <w:rPr>
          <w:rFonts w:hint="eastAsia" w:ascii="黑体" w:hAnsi="宋体" w:eastAsia="黑体"/>
          <w:sz w:val="24"/>
        </w:rPr>
        <w:t>17．投标货币</w:t>
      </w:r>
    </w:p>
    <w:p w14:paraId="57DD6529">
      <w:pPr>
        <w:ind w:firstLine="411" w:firstLineChars="196"/>
        <w:rPr>
          <w:rFonts w:ascii="宋体" w:hAnsi="宋体"/>
          <w:szCs w:val="21"/>
        </w:rPr>
      </w:pPr>
      <w:r>
        <w:rPr>
          <w:rFonts w:hint="eastAsia" w:ascii="宋体" w:hAnsi="宋体"/>
          <w:szCs w:val="21"/>
        </w:rPr>
        <w:t>本项目的投标报价应以人民币计。</w:t>
      </w:r>
    </w:p>
    <w:bookmarkEnd w:id="59"/>
    <w:p w14:paraId="7D4C9A5D">
      <w:pPr>
        <w:rPr>
          <w:rFonts w:ascii="黑体" w:hAnsi="宋体" w:eastAsia="黑体"/>
          <w:sz w:val="24"/>
        </w:rPr>
      </w:pPr>
      <w:r>
        <w:rPr>
          <w:rFonts w:hint="eastAsia" w:ascii="黑体" w:hAnsi="宋体" w:eastAsia="黑体"/>
          <w:sz w:val="24"/>
        </w:rPr>
        <w:t>18．</w:t>
      </w:r>
      <w:bookmarkStart w:id="60" w:name="_Hlk72401735"/>
      <w:r>
        <w:rPr>
          <w:rFonts w:hint="eastAsia" w:ascii="黑体" w:hAnsi="宋体" w:eastAsia="黑体"/>
          <w:sz w:val="24"/>
        </w:rPr>
        <w:t>证明投标文件投标技术方案的合格性和符合招标文件规定的文件要求</w:t>
      </w:r>
    </w:p>
    <w:p w14:paraId="744BA3F7">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11B84F2D">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FFBB6F1">
      <w:pPr>
        <w:ind w:firstLine="411" w:firstLineChars="196"/>
        <w:rPr>
          <w:rFonts w:ascii="宋体" w:hAnsi="宋体"/>
          <w:szCs w:val="21"/>
        </w:rPr>
      </w:pPr>
      <w:r>
        <w:rPr>
          <w:rFonts w:hint="eastAsia" w:ascii="宋体" w:hAnsi="宋体"/>
          <w:szCs w:val="21"/>
        </w:rPr>
        <w:t>18.2.1主要技术指标和性能的详细说明。</w:t>
      </w:r>
    </w:p>
    <w:p w14:paraId="38E74D92">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4F48D010">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ADEF984">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182E5F4E">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2C9423B7">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D0F2AD9">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493F3672">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60"/>
    <w:p w14:paraId="5E9649D8">
      <w:pPr>
        <w:rPr>
          <w:rFonts w:ascii="黑体" w:hAnsi="宋体" w:eastAsia="黑体"/>
          <w:sz w:val="24"/>
        </w:rPr>
      </w:pPr>
      <w:r>
        <w:rPr>
          <w:rFonts w:hint="eastAsia" w:ascii="黑体" w:hAnsi="宋体" w:eastAsia="黑体"/>
          <w:sz w:val="24"/>
        </w:rPr>
        <w:t>19．</w:t>
      </w:r>
      <w:bookmarkStart w:id="61" w:name="_Hlk72402034"/>
      <w:r>
        <w:rPr>
          <w:rFonts w:hint="eastAsia" w:ascii="黑体" w:hAnsi="宋体" w:eastAsia="黑体"/>
          <w:sz w:val="24"/>
        </w:rPr>
        <w:t>投标文件其他证明文件的要求</w:t>
      </w:r>
    </w:p>
    <w:p w14:paraId="7CED43E5">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62" w:name="_Hlk71407299"/>
      <w:r>
        <w:rPr>
          <w:rFonts w:hint="eastAsia" w:ascii="宋体" w:hAnsi="宋体"/>
          <w:szCs w:val="21"/>
        </w:rPr>
        <w:t>若投标人未按要求提供证明材料或提供的是部分证明材料或提供不清晰的扫描件（或照片）的，采购人</w:t>
      </w:r>
      <w:r>
        <w:rPr>
          <w:rFonts w:hint="eastAsia" w:ascii="宋体" w:hAnsi="宋体"/>
          <w:szCs w:val="21"/>
          <w:lang w:eastAsia="zh-CN"/>
        </w:rPr>
        <w:t>、</w:t>
      </w:r>
      <w:r>
        <w:rPr>
          <w:rFonts w:hint="eastAsia" w:ascii="宋体" w:hAnsi="宋体"/>
          <w:szCs w:val="21"/>
        </w:rPr>
        <w:t>代理机构</w:t>
      </w:r>
      <w:r>
        <w:rPr>
          <w:rFonts w:hint="eastAsia" w:ascii="宋体" w:hAnsi="宋体"/>
          <w:szCs w:val="21"/>
          <w:lang w:val="en-US" w:eastAsia="zh-CN"/>
        </w:rPr>
        <w:t>以及</w:t>
      </w:r>
      <w:r>
        <w:rPr>
          <w:rFonts w:hint="eastAsia" w:ascii="宋体" w:hAnsi="宋体"/>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2"/>
    <w:p w14:paraId="280631EA">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0E1FAE1">
      <w:pPr>
        <w:rPr>
          <w:rFonts w:ascii="黑体" w:hAnsi="宋体" w:eastAsia="黑体"/>
          <w:sz w:val="24"/>
        </w:rPr>
      </w:pPr>
      <w:r>
        <w:rPr>
          <w:rFonts w:hint="eastAsia" w:ascii="黑体" w:hAnsi="宋体" w:eastAsia="黑体"/>
          <w:sz w:val="24"/>
        </w:rPr>
        <w:t>20．投标有效期</w:t>
      </w:r>
    </w:p>
    <w:bookmarkEnd w:id="61"/>
    <w:p w14:paraId="255D2043">
      <w:pPr>
        <w:ind w:firstLine="411" w:firstLineChars="196"/>
        <w:rPr>
          <w:rFonts w:ascii="宋体" w:hAnsi="宋体"/>
          <w:szCs w:val="21"/>
        </w:rPr>
      </w:pPr>
      <w:bookmarkStart w:id="63"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5C9F170C">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EDF8EAE">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3"/>
    <w:p w14:paraId="0603CD1B">
      <w:pPr>
        <w:rPr>
          <w:rFonts w:ascii="黑体" w:hAnsi="宋体" w:eastAsia="黑体"/>
          <w:sz w:val="24"/>
        </w:rPr>
      </w:pPr>
      <w:r>
        <w:rPr>
          <w:rFonts w:hint="eastAsia" w:ascii="黑体" w:hAnsi="宋体" w:eastAsia="黑体"/>
          <w:sz w:val="24"/>
        </w:rPr>
        <w:t>21．</w:t>
      </w:r>
      <w:bookmarkStart w:id="64" w:name="_Hlk72402325"/>
      <w:r>
        <w:rPr>
          <w:rFonts w:hint="eastAsia" w:ascii="黑体" w:hAnsi="宋体" w:eastAsia="黑体"/>
          <w:sz w:val="24"/>
        </w:rPr>
        <w:t xml:space="preserve">关于投标保证金 </w:t>
      </w:r>
    </w:p>
    <w:p w14:paraId="1BC77B56">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4BD1CAE8">
      <w:pPr>
        <w:rPr>
          <w:rFonts w:ascii="黑体" w:hAnsi="宋体" w:eastAsia="黑体"/>
          <w:sz w:val="24"/>
        </w:rPr>
      </w:pPr>
      <w:r>
        <w:rPr>
          <w:rFonts w:hint="eastAsia" w:ascii="黑体" w:hAnsi="宋体" w:eastAsia="黑体"/>
          <w:sz w:val="24"/>
        </w:rPr>
        <w:t>22．投标人的替代方案</w:t>
      </w:r>
    </w:p>
    <w:p w14:paraId="51AE0581">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6CACABC">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4"/>
    <w:p w14:paraId="3CFD4536">
      <w:pPr>
        <w:rPr>
          <w:rFonts w:ascii="黑体" w:hAnsi="宋体" w:eastAsia="黑体"/>
          <w:sz w:val="24"/>
        </w:rPr>
      </w:pPr>
      <w:r>
        <w:rPr>
          <w:rFonts w:hint="eastAsia" w:ascii="黑体" w:hAnsi="宋体" w:eastAsia="黑体"/>
          <w:sz w:val="24"/>
        </w:rPr>
        <w:t>23．</w:t>
      </w:r>
      <w:bookmarkStart w:id="65"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bookmarkEnd w:id="65"/>
    <w:p w14:paraId="016FB966">
      <w:pPr>
        <w:ind w:firstLine="411" w:firstLineChars="196"/>
        <w:rPr>
          <w:rFonts w:ascii="宋体" w:hAnsi="宋体"/>
        </w:rPr>
      </w:pPr>
      <w:r>
        <w:rPr>
          <w:rFonts w:hint="eastAsia" w:ascii="宋体" w:hAnsi="宋体"/>
        </w:rPr>
        <w:t>23.1投标人应准备所投项目的电子投标文件一份。</w:t>
      </w:r>
    </w:p>
    <w:p w14:paraId="404D7F97">
      <w:pPr>
        <w:ind w:firstLine="411" w:firstLineChars="196"/>
        <w:rPr>
          <w:rFonts w:ascii="宋体" w:hAnsi="宋体"/>
        </w:rPr>
      </w:pPr>
      <w:r>
        <w:rPr>
          <w:rFonts w:hint="eastAsia" w:ascii="宋体" w:hAnsi="宋体"/>
        </w:rPr>
        <w:t>23.2投标人在使用《投标书编制软件》编制投标书时须注意：</w:t>
      </w:r>
    </w:p>
    <w:p w14:paraId="5007700D">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1B238019">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6425AEEC">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04562A83">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19A3B9A4">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1265DEEB">
      <w:pPr>
        <w:ind w:firstLine="411" w:firstLineChars="196"/>
        <w:rPr>
          <w:rFonts w:ascii="宋体" w:hAnsi="宋体"/>
        </w:rPr>
      </w:pPr>
      <w:r>
        <w:rPr>
          <w:rFonts w:hint="eastAsia" w:ascii="宋体" w:hAnsi="宋体"/>
        </w:rPr>
        <w:t>23.2.</w:t>
      </w:r>
      <w:r>
        <w:rPr>
          <w:rFonts w:hint="eastAsia" w:ascii="宋体" w:hAnsi="宋体"/>
          <w:lang w:val="en-US" w:eastAsia="zh-CN"/>
        </w:rPr>
        <w:t>7</w:t>
      </w:r>
      <w:r>
        <w:rPr>
          <w:rFonts w:hint="eastAsia" w:ascii="宋体" w:hAnsi="宋体"/>
        </w:rPr>
        <w:t>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4B8F0440">
      <w:pPr>
        <w:ind w:firstLine="411" w:firstLineChars="196"/>
        <w:rPr>
          <w:rFonts w:ascii="宋体" w:hAnsi="宋体"/>
        </w:rPr>
      </w:pPr>
      <w:r>
        <w:rPr>
          <w:rFonts w:hint="eastAsia" w:ascii="宋体" w:hAnsi="宋体"/>
        </w:rPr>
        <w:t>23.2.</w:t>
      </w:r>
      <w:r>
        <w:rPr>
          <w:rFonts w:hint="eastAsia" w:ascii="宋体" w:hAnsi="宋体"/>
          <w:lang w:val="en-US" w:eastAsia="zh-CN"/>
        </w:rPr>
        <w:t>8</w:t>
      </w:r>
      <w:r>
        <w:rPr>
          <w:rFonts w:hint="eastAsia" w:ascii="宋体" w:hAnsi="宋体"/>
        </w:rPr>
        <w:t>如果开标时出现网络故障、技术故障，影响了政府采购活动，政府集中采购机构有权采取措施如延期、接受无法从网上上传的投标书等，以保障政府采购活动的公开、公平和公正。</w:t>
      </w:r>
    </w:p>
    <w:p w14:paraId="56B32051">
      <w:pPr>
        <w:ind w:firstLine="411" w:firstLineChars="196"/>
        <w:rPr>
          <w:rFonts w:ascii="宋体" w:hAnsi="宋体"/>
        </w:rPr>
      </w:pPr>
      <w:r>
        <w:rPr>
          <w:rFonts w:hint="eastAsia" w:ascii="宋体" w:hAnsi="宋体"/>
        </w:rPr>
        <w:t>23.3电报、电话、传真形式的投标概不接受。</w:t>
      </w:r>
    </w:p>
    <w:p w14:paraId="59DC0CAB">
      <w:pPr>
        <w:ind w:firstLine="413" w:firstLineChars="196"/>
        <w:rPr>
          <w:rFonts w:ascii="宋体" w:hAnsi="宋体"/>
          <w:b/>
        </w:rPr>
      </w:pPr>
      <w:r>
        <w:rPr>
          <w:rFonts w:hint="eastAsia" w:ascii="宋体" w:hAnsi="宋体"/>
          <w:b/>
        </w:rPr>
        <w:t>23.4经投标人电子密钥</w:t>
      </w:r>
      <w:r>
        <w:rPr>
          <w:rFonts w:hint="eastAsia" w:ascii="宋体" w:hAnsi="宋体"/>
          <w:b/>
          <w:lang w:val="en-US" w:eastAsia="zh-CN"/>
        </w:rPr>
        <w:t>或电子营业执照</w:t>
      </w:r>
      <w:r>
        <w:rPr>
          <w:rFonts w:hint="eastAsia" w:ascii="宋体" w:hAnsi="宋体"/>
          <w:b/>
        </w:rPr>
        <w:t>加密的投标文件无须盖章或签字，</w:t>
      </w:r>
      <w:r>
        <w:rPr>
          <w:rFonts w:hint="eastAsia" w:ascii="宋体" w:hAnsi="宋体"/>
        </w:rPr>
        <w:t>专用条款另有要求的除外。</w:t>
      </w:r>
    </w:p>
    <w:p w14:paraId="1C736A75">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p>
    <w:p w14:paraId="35658EFE">
      <w:pPr>
        <w:ind w:firstLine="411" w:firstLineChars="196"/>
        <w:rPr>
          <w:rFonts w:ascii="宋体" w:hAnsi="宋体"/>
        </w:rPr>
      </w:pPr>
    </w:p>
    <w:p w14:paraId="19C92E2F">
      <w:pPr>
        <w:ind w:firstLine="411" w:firstLineChars="196"/>
        <w:rPr>
          <w:rFonts w:ascii="宋体" w:hAnsi="宋体"/>
          <w:szCs w:val="21"/>
        </w:rPr>
      </w:pPr>
    </w:p>
    <w:p w14:paraId="5795CA4E">
      <w:pPr>
        <w:pStyle w:val="6"/>
        <w:numPr>
          <w:ilvl w:val="0"/>
          <w:numId w:val="11"/>
        </w:numPr>
        <w:spacing w:before="120" w:beforeLines="50" w:after="120" w:afterLines="50"/>
        <w:ind w:left="562" w:hanging="562"/>
        <w:rPr>
          <w:sz w:val="28"/>
          <w:szCs w:val="28"/>
        </w:rPr>
      </w:pPr>
      <w:r>
        <w:rPr>
          <w:rFonts w:hint="eastAsia"/>
          <w:sz w:val="28"/>
          <w:szCs w:val="28"/>
        </w:rPr>
        <w:t>投标文件的递交</w:t>
      </w:r>
    </w:p>
    <w:p w14:paraId="193B57D9">
      <w:pPr>
        <w:rPr>
          <w:rFonts w:ascii="黑体" w:hAnsi="宋体" w:eastAsia="黑体"/>
          <w:sz w:val="24"/>
        </w:rPr>
      </w:pPr>
      <w:bookmarkStart w:id="66" w:name="_Hlk72405459"/>
      <w:r>
        <w:rPr>
          <w:rFonts w:hint="eastAsia" w:ascii="黑体" w:hAnsi="宋体" w:eastAsia="黑体"/>
          <w:sz w:val="24"/>
        </w:rPr>
        <w:t>24．投标文件的保密</w:t>
      </w:r>
    </w:p>
    <w:p w14:paraId="12DA9E49">
      <w:pPr>
        <w:ind w:firstLine="411" w:firstLineChars="196"/>
        <w:rPr>
          <w:rFonts w:hint="eastAsia" w:ascii="宋体" w:hAnsi="宋体" w:eastAsia="宋体"/>
          <w:lang w:eastAsia="zh-CN"/>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w:t>
      </w:r>
      <w:r>
        <w:rPr>
          <w:rFonts w:hint="eastAsia" w:ascii="宋体" w:hAnsi="宋体"/>
          <w:lang w:eastAsia="zh-CN"/>
        </w:rPr>
        <w:t>。加密后会提示文件生成成功！</w:t>
      </w:r>
      <w:r>
        <w:rPr>
          <w:rFonts w:hint="eastAsia" w:ascii="宋体" w:hAnsi="宋体"/>
          <w:highlight w:val="yellow"/>
          <w:lang w:eastAsia="zh-CN"/>
        </w:rPr>
        <w:t>(注意：加密的投标文件开标时须使用加密文件时使用的锁在项目规定时间内解密！)</w:t>
      </w:r>
    </w:p>
    <w:p w14:paraId="5BAD8FE2">
      <w:pPr>
        <w:rPr>
          <w:rFonts w:ascii="宋体" w:hAnsi="宋体"/>
          <w:b/>
        </w:rPr>
      </w:pPr>
      <w:r>
        <w:rPr>
          <w:rFonts w:hint="eastAsia" w:ascii="宋体" w:hAnsi="宋体"/>
          <w:b/>
        </w:rPr>
        <w:t>24.2若采购项目出现延期情况：</w:t>
      </w:r>
    </w:p>
    <w:p w14:paraId="26DA5BC7">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E1A4D51">
      <w:pPr>
        <w:rPr>
          <w:rFonts w:ascii="黑体" w:hAnsi="宋体" w:eastAsia="黑体"/>
          <w:sz w:val="24"/>
        </w:rPr>
      </w:pPr>
      <w:r>
        <w:rPr>
          <w:rFonts w:hint="eastAsia" w:ascii="黑体" w:hAnsi="宋体" w:eastAsia="黑体"/>
          <w:sz w:val="24"/>
        </w:rPr>
        <w:t>25．上传投标文件及投标截止日期</w:t>
      </w:r>
    </w:p>
    <w:p w14:paraId="03973A14">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用电子密钥登录“深圳市自行采购系统（https://trade.szggzy.com/ggzy/center/#/login）”上传投标文件。如上传过程中遇到问题，可拨打</w:t>
      </w:r>
      <w:r>
        <w:rPr>
          <w:rFonts w:hint="eastAsia" w:ascii="宋体" w:hAnsi="宋体"/>
          <w:lang w:val="en-US" w:eastAsia="zh-CN"/>
        </w:rPr>
        <w:t>采购公告中的技术支持电话</w:t>
      </w:r>
      <w:r>
        <w:rPr>
          <w:rFonts w:hint="eastAsia" w:ascii="宋体" w:hAnsi="宋体"/>
        </w:rPr>
        <w:t>。如多次上传均告失败，请在投标截止时间之前携带加密后的电子投标文件送达至</w:t>
      </w:r>
      <w:r>
        <w:rPr>
          <w:rFonts w:hint="eastAsia" w:ascii="宋体" w:hAnsi="宋体"/>
          <w:b/>
          <w:bCs/>
          <w:szCs w:val="21"/>
        </w:rPr>
        <w:t>深圳公共资源交易中心（深圳交易集团有限公司</w:t>
      </w:r>
      <w:r>
        <w:rPr>
          <w:rFonts w:hint="eastAsia" w:ascii="宋体" w:hAnsi="宋体"/>
          <w:b/>
          <w:bCs/>
          <w:szCs w:val="21"/>
          <w:lang w:val="en-US" w:eastAsia="zh-CN"/>
        </w:rPr>
        <w:t>盐田</w:t>
      </w:r>
      <w:r>
        <w:rPr>
          <w:rFonts w:hint="eastAsia" w:ascii="宋体" w:hAnsi="宋体"/>
          <w:b/>
          <w:bCs/>
          <w:szCs w:val="21"/>
        </w:rPr>
        <w:t>分公司）</w:t>
      </w:r>
      <w:r>
        <w:rPr>
          <w:rFonts w:hint="eastAsia" w:ascii="宋体" w:hAnsi="宋体"/>
          <w:b/>
          <w:bCs/>
          <w:lang w:val="en-US" w:eastAsia="zh-CN"/>
        </w:rPr>
        <w:t>服务大厅</w:t>
      </w:r>
      <w:r>
        <w:rPr>
          <w:rFonts w:hint="eastAsia" w:ascii="宋体" w:hAnsi="宋体"/>
          <w:b/>
          <w:bCs/>
        </w:rPr>
        <w:t>（地址：</w:t>
      </w:r>
      <w:r>
        <w:rPr>
          <w:rFonts w:hint="eastAsia" w:ascii="宋体" w:hAnsi="宋体"/>
          <w:b/>
          <w:bCs/>
          <w:lang w:val="en-US" w:eastAsia="zh-CN"/>
        </w:rPr>
        <w:t>深圳市盐田区海景二路1025号壹海国际中心9楼901</w:t>
      </w:r>
      <w:r>
        <w:rPr>
          <w:rFonts w:hint="eastAsia" w:ascii="宋体" w:hAnsi="宋体"/>
          <w:b/>
          <w:bCs/>
        </w:rPr>
        <w:t>）</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1038F82A">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0F13B713">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bookmarkEnd w:id="66"/>
    <w:p w14:paraId="1DD104F9">
      <w:pPr>
        <w:rPr>
          <w:rFonts w:ascii="黑体" w:hAnsi="宋体" w:eastAsia="黑体"/>
          <w:sz w:val="24"/>
        </w:rPr>
      </w:pPr>
      <w:r>
        <w:rPr>
          <w:rFonts w:hint="eastAsia" w:ascii="黑体" w:hAnsi="宋体" w:eastAsia="黑体"/>
          <w:sz w:val="24"/>
        </w:rPr>
        <w:t>26. 样品、现场演示、方案讲解</w:t>
      </w:r>
    </w:p>
    <w:p w14:paraId="14787862">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35C947DB">
      <w:pPr>
        <w:rPr>
          <w:rFonts w:ascii="黑体" w:hAnsi="宋体" w:eastAsia="黑体"/>
          <w:sz w:val="24"/>
        </w:rPr>
      </w:pPr>
      <w:bookmarkStart w:id="67"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0EF526D">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4D40A42F">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35FD9A0F">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53B06F2F">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67"/>
    <w:p w14:paraId="21A7D9EF">
      <w:pPr>
        <w:pStyle w:val="6"/>
        <w:numPr>
          <w:ilvl w:val="0"/>
          <w:numId w:val="11"/>
        </w:numPr>
        <w:spacing w:before="120" w:beforeLines="50" w:after="120" w:afterLines="50"/>
        <w:ind w:left="562" w:hanging="562"/>
        <w:rPr>
          <w:sz w:val="28"/>
          <w:szCs w:val="28"/>
        </w:rPr>
      </w:pPr>
      <w:r>
        <w:rPr>
          <w:rFonts w:hint="eastAsia"/>
          <w:sz w:val="28"/>
          <w:szCs w:val="28"/>
        </w:rPr>
        <w:t>开标</w:t>
      </w:r>
    </w:p>
    <w:p w14:paraId="04EB516E">
      <w:pPr>
        <w:rPr>
          <w:rFonts w:ascii="黑体" w:hAnsi="宋体" w:eastAsia="黑体"/>
          <w:sz w:val="24"/>
        </w:rPr>
      </w:pPr>
      <w:r>
        <w:rPr>
          <w:rFonts w:hint="eastAsia" w:ascii="黑体" w:hAnsi="宋体" w:eastAsia="黑体"/>
          <w:sz w:val="24"/>
        </w:rPr>
        <w:t>28．开标</w:t>
      </w:r>
    </w:p>
    <w:p w14:paraId="446BD8A8">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深圳市自行采购系统（https://trade.szggzy.com/ggzy/center/#/login）</w:t>
      </w:r>
      <w:r>
        <w:rPr>
          <w:rFonts w:hint="eastAsia" w:ascii="宋体" w:hAnsi="宋体"/>
          <w:szCs w:val="21"/>
        </w:rPr>
        <w:t>”，使用本单位制作电子投标文件同一个电子密钥进行在线解密、查询开标情况。</w:t>
      </w:r>
    </w:p>
    <w:p w14:paraId="721350F2">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EF0F0F8">
      <w:pPr>
        <w:ind w:firstLine="315" w:firstLineChars="150"/>
        <w:rPr>
          <w:rFonts w:ascii="宋体" w:hAnsi="宋体"/>
          <w:szCs w:val="21"/>
        </w:rPr>
      </w:pPr>
    </w:p>
    <w:p w14:paraId="4B33DB01">
      <w:pPr>
        <w:pStyle w:val="6"/>
        <w:numPr>
          <w:ilvl w:val="0"/>
          <w:numId w:val="11"/>
        </w:numPr>
        <w:spacing w:before="120" w:beforeLines="50" w:after="120" w:afterLines="50"/>
        <w:ind w:left="562" w:hanging="562"/>
        <w:rPr>
          <w:sz w:val="28"/>
          <w:szCs w:val="28"/>
        </w:rPr>
      </w:pPr>
      <w:r>
        <w:rPr>
          <w:rFonts w:hint="eastAsia"/>
          <w:sz w:val="28"/>
          <w:szCs w:val="28"/>
        </w:rPr>
        <w:t>评审要求</w:t>
      </w:r>
    </w:p>
    <w:p w14:paraId="2E35E5A3">
      <w:pPr>
        <w:rPr>
          <w:rFonts w:ascii="黑体" w:hAnsi="宋体" w:eastAsia="黑体"/>
          <w:sz w:val="24"/>
        </w:rPr>
      </w:pPr>
      <w:r>
        <w:rPr>
          <w:rFonts w:hint="eastAsia" w:ascii="黑体" w:hAnsi="宋体" w:eastAsia="黑体"/>
          <w:sz w:val="24"/>
        </w:rPr>
        <w:t>29．评审委员会组成</w:t>
      </w:r>
    </w:p>
    <w:p w14:paraId="23D6EE79">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62A24AA4">
      <w:pPr>
        <w:ind w:firstLine="411" w:firstLineChars="196"/>
        <w:rPr>
          <w:rFonts w:ascii="宋体" w:hAnsi="宋体"/>
        </w:rPr>
      </w:pPr>
      <w:bookmarkStart w:id="68"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8"/>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183BEF8F">
      <w:pPr>
        <w:ind w:firstLine="411" w:firstLineChars="196"/>
        <w:rPr>
          <w:rFonts w:ascii="宋体" w:hAnsi="宋体"/>
        </w:rPr>
      </w:pPr>
      <w:r>
        <w:rPr>
          <w:rFonts w:hint="eastAsia" w:ascii="宋体" w:hAnsi="宋体"/>
        </w:rPr>
        <w:t>29.2评审定标应当遵循公平、公正、科学、择优的原则。</w:t>
      </w:r>
    </w:p>
    <w:p w14:paraId="5AB090A5">
      <w:pPr>
        <w:ind w:firstLine="411" w:firstLineChars="196"/>
        <w:rPr>
          <w:rFonts w:ascii="宋体" w:hAnsi="宋体"/>
        </w:rPr>
      </w:pPr>
      <w:r>
        <w:rPr>
          <w:rFonts w:hint="eastAsia" w:ascii="宋体" w:hAnsi="宋体"/>
        </w:rPr>
        <w:t>29.3评审活动依法进行，任何单位和个人不得非法干预评标过程和结果。</w:t>
      </w:r>
    </w:p>
    <w:p w14:paraId="7EF1646B">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4552F154">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1195DBC6">
      <w:pPr>
        <w:rPr>
          <w:rFonts w:ascii="黑体" w:hAnsi="宋体" w:eastAsia="黑体"/>
          <w:sz w:val="24"/>
        </w:rPr>
      </w:pPr>
      <w:r>
        <w:rPr>
          <w:rFonts w:hint="eastAsia" w:ascii="黑体" w:hAnsi="宋体" w:eastAsia="黑体"/>
          <w:sz w:val="24"/>
        </w:rPr>
        <w:t>30．向评审委员会提供的资料</w:t>
      </w:r>
    </w:p>
    <w:p w14:paraId="061F4EE6">
      <w:pPr>
        <w:ind w:firstLine="411" w:firstLineChars="196"/>
        <w:rPr>
          <w:rFonts w:ascii="宋体" w:hAnsi="宋体"/>
        </w:rPr>
      </w:pPr>
      <w:r>
        <w:rPr>
          <w:rFonts w:hint="eastAsia" w:ascii="宋体" w:hAnsi="宋体"/>
        </w:rPr>
        <w:t>30.1公开发布的招标文件，包括图纸、服务清单、答疑文件等；</w:t>
      </w:r>
    </w:p>
    <w:p w14:paraId="7872AE83">
      <w:pPr>
        <w:ind w:firstLine="411" w:firstLineChars="196"/>
        <w:rPr>
          <w:rFonts w:ascii="宋体" w:hAnsi="宋体"/>
        </w:rPr>
      </w:pPr>
      <w:r>
        <w:rPr>
          <w:rFonts w:hint="eastAsia" w:ascii="宋体" w:hAnsi="宋体"/>
        </w:rPr>
        <w:t>30.2其他评标必须的资料。</w:t>
      </w:r>
    </w:p>
    <w:p w14:paraId="4D18E496">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DC83BE5">
      <w:pPr>
        <w:ind w:firstLine="411" w:firstLineChars="196"/>
        <w:rPr>
          <w:rFonts w:ascii="宋体" w:hAnsi="宋体"/>
        </w:rPr>
      </w:pPr>
      <w:r>
        <w:rPr>
          <w:rFonts w:hint="eastAsia" w:ascii="宋体" w:hAnsi="宋体"/>
        </w:rPr>
        <w:t>（1）招标的目的；</w:t>
      </w:r>
    </w:p>
    <w:p w14:paraId="07C302D4">
      <w:pPr>
        <w:ind w:firstLine="411" w:firstLineChars="196"/>
        <w:rPr>
          <w:rFonts w:ascii="宋体" w:hAnsi="宋体"/>
        </w:rPr>
      </w:pPr>
      <w:r>
        <w:rPr>
          <w:rFonts w:hint="eastAsia" w:ascii="宋体" w:hAnsi="宋体"/>
        </w:rPr>
        <w:t>（2）招标项目需求的范围和性质；</w:t>
      </w:r>
    </w:p>
    <w:p w14:paraId="12893051">
      <w:pPr>
        <w:ind w:firstLine="411" w:firstLineChars="196"/>
        <w:rPr>
          <w:rFonts w:ascii="宋体" w:hAnsi="宋体"/>
        </w:rPr>
      </w:pPr>
      <w:r>
        <w:rPr>
          <w:rFonts w:hint="eastAsia" w:ascii="宋体" w:hAnsi="宋体"/>
        </w:rPr>
        <w:t>（3）招标文件规定的投标人的资格、财政预算限额、商务条款；</w:t>
      </w:r>
    </w:p>
    <w:p w14:paraId="7CAEBFC8">
      <w:pPr>
        <w:ind w:firstLine="411" w:firstLineChars="196"/>
        <w:rPr>
          <w:rFonts w:ascii="宋体" w:hAnsi="宋体"/>
        </w:rPr>
      </w:pPr>
      <w:r>
        <w:rPr>
          <w:rFonts w:hint="eastAsia" w:ascii="宋体" w:hAnsi="宋体"/>
        </w:rPr>
        <w:t>（4）招标文件规定的评标程序、评标方法和评标因素；</w:t>
      </w:r>
    </w:p>
    <w:p w14:paraId="38FC904A">
      <w:pPr>
        <w:ind w:firstLine="411" w:firstLineChars="196"/>
        <w:rPr>
          <w:rFonts w:ascii="宋体" w:hAnsi="宋体"/>
        </w:rPr>
      </w:pPr>
      <w:r>
        <w:rPr>
          <w:rFonts w:hint="eastAsia" w:ascii="宋体" w:hAnsi="宋体"/>
        </w:rPr>
        <w:t>（5）招标文件所列示的资格性审查表及符合性审查表。</w:t>
      </w:r>
    </w:p>
    <w:p w14:paraId="75D70010">
      <w:pPr>
        <w:rPr>
          <w:rFonts w:ascii="黑体" w:hAnsi="宋体" w:eastAsia="黑体"/>
          <w:sz w:val="24"/>
        </w:rPr>
      </w:pPr>
      <w:r>
        <w:rPr>
          <w:rFonts w:hint="eastAsia" w:ascii="黑体" w:hAnsi="宋体" w:eastAsia="黑体"/>
          <w:sz w:val="24"/>
        </w:rPr>
        <w:t>31．独立评审</w:t>
      </w:r>
    </w:p>
    <w:p w14:paraId="5757B643">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7D3F06D">
      <w:pPr>
        <w:ind w:firstLine="411" w:firstLineChars="196"/>
        <w:rPr>
          <w:rFonts w:ascii="宋体" w:hAnsi="宋体"/>
          <w:bCs/>
          <w:szCs w:val="21"/>
        </w:rPr>
      </w:pPr>
    </w:p>
    <w:p w14:paraId="1BE2EE02">
      <w:pPr>
        <w:pStyle w:val="6"/>
        <w:numPr>
          <w:ilvl w:val="0"/>
          <w:numId w:val="11"/>
        </w:numPr>
        <w:spacing w:before="120" w:beforeLines="50" w:after="120" w:afterLines="50"/>
        <w:ind w:left="562" w:hanging="562"/>
        <w:rPr>
          <w:sz w:val="28"/>
          <w:szCs w:val="28"/>
        </w:rPr>
      </w:pPr>
      <w:r>
        <w:rPr>
          <w:rFonts w:hint="eastAsia"/>
          <w:sz w:val="28"/>
          <w:szCs w:val="28"/>
        </w:rPr>
        <w:t>评审程序及评审方法</w:t>
      </w:r>
    </w:p>
    <w:p w14:paraId="450679B8">
      <w:pPr>
        <w:rPr>
          <w:rFonts w:ascii="黑体" w:hAnsi="宋体" w:eastAsia="黑体"/>
          <w:sz w:val="24"/>
        </w:rPr>
      </w:pPr>
      <w:r>
        <w:rPr>
          <w:rFonts w:hint="eastAsia" w:ascii="黑体" w:hAnsi="宋体" w:eastAsia="黑体"/>
          <w:sz w:val="24"/>
        </w:rPr>
        <w:t>32．投标文件初审</w:t>
      </w:r>
    </w:p>
    <w:p w14:paraId="0657F9DE">
      <w:pPr>
        <w:ind w:firstLine="411" w:firstLineChars="196"/>
        <w:rPr>
          <w:rFonts w:ascii="宋体" w:hAnsi="宋体"/>
        </w:rPr>
      </w:pPr>
      <w:r>
        <w:rPr>
          <w:rFonts w:hint="eastAsia" w:ascii="宋体" w:hAnsi="宋体"/>
        </w:rPr>
        <w:t>32.1投标文件初审包括资格性审查和符合性审查。</w:t>
      </w:r>
    </w:p>
    <w:p w14:paraId="5A4BE27A">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12F0E8EB">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0B9617A6">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7F74D477">
      <w:pPr>
        <w:ind w:firstLine="411" w:firstLineChars="196"/>
        <w:rPr>
          <w:rFonts w:ascii="宋体" w:hAnsi="宋体"/>
          <w:bCs/>
        </w:rPr>
      </w:pPr>
      <w:r>
        <w:rPr>
          <w:rFonts w:hint="eastAsia" w:ascii="宋体" w:hAnsi="宋体"/>
          <w:bCs/>
        </w:rPr>
        <w:t>32.3 投标文件初审中关于供应商家数的计算:</w:t>
      </w:r>
    </w:p>
    <w:p w14:paraId="42C9617F">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2D67927">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5E140EC3">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1769B174">
      <w:pPr>
        <w:ind w:firstLine="411" w:firstLineChars="196"/>
        <w:rPr>
          <w:rFonts w:ascii="宋体" w:hAnsi="宋体"/>
        </w:rPr>
      </w:pPr>
      <w:r>
        <w:rPr>
          <w:rFonts w:hint="eastAsia" w:ascii="宋体" w:hAnsi="宋体"/>
        </w:rPr>
        <w:t>32.4投标人投标文件作无效处理的情形，具体包括但不限于以下：</w:t>
      </w:r>
    </w:p>
    <w:p w14:paraId="080F0528">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43D18B37">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142095ED">
      <w:pPr>
        <w:ind w:firstLine="411" w:firstLineChars="196"/>
        <w:rPr>
          <w:rFonts w:ascii="宋体" w:hAnsi="宋体"/>
        </w:rPr>
      </w:pPr>
      <w:r>
        <w:rPr>
          <w:rFonts w:hint="eastAsia" w:ascii="宋体" w:hAnsi="宋体"/>
        </w:rPr>
        <w:t>32.4.3不同投标人的投标文件载明的项目管理成员或者联系人员为同一人；</w:t>
      </w:r>
    </w:p>
    <w:p w14:paraId="49C0CFD2">
      <w:pPr>
        <w:ind w:firstLine="411" w:firstLineChars="196"/>
        <w:rPr>
          <w:rFonts w:ascii="宋体" w:hAnsi="宋体"/>
        </w:rPr>
      </w:pPr>
      <w:r>
        <w:rPr>
          <w:rFonts w:hint="eastAsia" w:ascii="宋体" w:hAnsi="宋体"/>
        </w:rPr>
        <w:t>32.4.4不同投标人的投标文件异常一致或者投标报价呈规律性差异；</w:t>
      </w:r>
    </w:p>
    <w:p w14:paraId="40F10A55">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33096DD9">
      <w:pPr>
        <w:ind w:firstLine="411" w:firstLineChars="196"/>
        <w:rPr>
          <w:rFonts w:ascii="宋体" w:hAnsi="宋体"/>
        </w:rPr>
      </w:pPr>
      <w:r>
        <w:rPr>
          <w:rFonts w:hint="eastAsia" w:ascii="宋体" w:hAnsi="宋体"/>
        </w:rPr>
        <w:t>32.4.6投标供应商之间相互约定给予未中标的供应商利益补偿；</w:t>
      </w:r>
    </w:p>
    <w:p w14:paraId="3E75F76C">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2C2EA0B4">
      <w:pPr>
        <w:ind w:firstLine="411" w:firstLineChars="196"/>
        <w:rPr>
          <w:rFonts w:ascii="宋体" w:hAnsi="宋体"/>
        </w:rPr>
      </w:pPr>
      <w:r>
        <w:rPr>
          <w:rFonts w:hint="eastAsia" w:ascii="宋体" w:hAnsi="宋体"/>
        </w:rPr>
        <w:t>32.4.8不同投标供应商的投标文件内容存在非正常一致；</w:t>
      </w:r>
    </w:p>
    <w:p w14:paraId="7BD64297">
      <w:pPr>
        <w:ind w:firstLine="411" w:firstLineChars="196"/>
        <w:rPr>
          <w:rFonts w:ascii="宋体" w:hAnsi="宋体"/>
        </w:rPr>
      </w:pPr>
      <w:r>
        <w:rPr>
          <w:rFonts w:hint="eastAsia" w:ascii="宋体" w:hAnsi="宋体"/>
        </w:rPr>
        <w:t>32.4.9在同一单位工作人员为两家以上（含两家）供应商进行同一项投标活动；</w:t>
      </w:r>
    </w:p>
    <w:p w14:paraId="7D4AB9D0">
      <w:pPr>
        <w:ind w:firstLine="411" w:firstLineChars="196"/>
        <w:rPr>
          <w:rFonts w:ascii="宋体" w:hAnsi="宋体"/>
        </w:rPr>
      </w:pPr>
      <w:r>
        <w:rPr>
          <w:rFonts w:hint="eastAsia" w:ascii="宋体" w:hAnsi="宋体"/>
        </w:rPr>
        <w:t>32.4.10主管部门依照法律、法规认定的其他情形。</w:t>
      </w:r>
    </w:p>
    <w:p w14:paraId="0262A3AE">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168783C6">
      <w:pPr>
        <w:rPr>
          <w:rFonts w:ascii="黑体" w:hAnsi="宋体" w:eastAsia="黑体"/>
          <w:sz w:val="24"/>
        </w:rPr>
      </w:pPr>
      <w:r>
        <w:rPr>
          <w:rFonts w:hint="eastAsia" w:ascii="黑体" w:hAnsi="宋体" w:eastAsia="黑体"/>
          <w:sz w:val="24"/>
        </w:rPr>
        <w:t>33．澄清有关问题</w:t>
      </w:r>
    </w:p>
    <w:p w14:paraId="19B35F43">
      <w:pPr>
        <w:ind w:firstLine="411" w:firstLineChars="196"/>
        <w:rPr>
          <w:rFonts w:ascii="宋体" w:hAnsi="宋体"/>
        </w:rPr>
      </w:pPr>
      <w:bookmarkStart w:id="69"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9"/>
    </w:p>
    <w:p w14:paraId="512A09F4">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F674118">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44D5B6D6">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4A4FFFA">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091F1FCE">
      <w:pPr>
        <w:rPr>
          <w:rFonts w:ascii="黑体" w:hAnsi="宋体" w:eastAsia="黑体"/>
          <w:sz w:val="24"/>
        </w:rPr>
      </w:pPr>
      <w:bookmarkStart w:id="70" w:name="_Toc73521669"/>
      <w:bookmarkStart w:id="71" w:name="_Toc100052400"/>
      <w:bookmarkStart w:id="72" w:name="_Toc73517673"/>
      <w:bookmarkStart w:id="73" w:name="_Toc73518151"/>
      <w:bookmarkStart w:id="74" w:name="_Toc73521581"/>
      <w:r>
        <w:rPr>
          <w:rFonts w:hint="eastAsia" w:ascii="黑体" w:hAnsi="宋体" w:eastAsia="黑体"/>
          <w:sz w:val="24"/>
        </w:rPr>
        <w:t>34．错误的修正</w:t>
      </w:r>
      <w:bookmarkEnd w:id="70"/>
      <w:bookmarkEnd w:id="71"/>
      <w:bookmarkEnd w:id="72"/>
      <w:bookmarkEnd w:id="73"/>
      <w:bookmarkEnd w:id="74"/>
    </w:p>
    <w:p w14:paraId="7750D3F8">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0FC1BD65">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60FE716D">
      <w:pPr>
        <w:ind w:firstLine="411" w:firstLineChars="196"/>
        <w:rPr>
          <w:rFonts w:ascii="宋体" w:hAnsi="宋体"/>
          <w:szCs w:val="21"/>
        </w:rPr>
      </w:pPr>
      <w:r>
        <w:rPr>
          <w:rFonts w:hint="eastAsia" w:ascii="宋体" w:hAnsi="宋体"/>
          <w:szCs w:val="21"/>
        </w:rPr>
        <w:t>34.2大写金额和小写金额不一致的，以大写金额为准；</w:t>
      </w:r>
    </w:p>
    <w:p w14:paraId="4F01FEE6">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1C27D7F2">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6CB8E11E">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7A5D236F">
      <w:pPr>
        <w:rPr>
          <w:rFonts w:ascii="黑体" w:hAnsi="宋体" w:eastAsia="黑体"/>
          <w:sz w:val="24"/>
        </w:rPr>
      </w:pPr>
      <w:r>
        <w:rPr>
          <w:rFonts w:hint="eastAsia" w:ascii="黑体" w:hAnsi="宋体" w:eastAsia="黑体"/>
          <w:sz w:val="24"/>
        </w:rPr>
        <w:t>35．投标文件的比较与评价</w:t>
      </w:r>
    </w:p>
    <w:p w14:paraId="7560B39B">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7296B59">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1604E60B">
      <w:pPr>
        <w:rPr>
          <w:rFonts w:ascii="黑体" w:hAnsi="宋体" w:eastAsia="黑体"/>
          <w:sz w:val="24"/>
        </w:rPr>
      </w:pPr>
      <w:r>
        <w:rPr>
          <w:rFonts w:hint="eastAsia" w:ascii="黑体" w:hAnsi="宋体" w:eastAsia="黑体"/>
          <w:sz w:val="24"/>
        </w:rPr>
        <w:t>36. 实地考察或资料查验</w:t>
      </w:r>
    </w:p>
    <w:p w14:paraId="707A4351">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3E29BAAE">
      <w:pPr>
        <w:rPr>
          <w:rFonts w:ascii="黑体" w:hAnsi="宋体" w:eastAsia="黑体"/>
          <w:sz w:val="24"/>
        </w:rPr>
      </w:pPr>
      <w:r>
        <w:rPr>
          <w:rFonts w:hint="eastAsia" w:ascii="黑体" w:hAnsi="宋体" w:eastAsia="黑体"/>
          <w:sz w:val="24"/>
        </w:rPr>
        <w:t>37．评审方法</w:t>
      </w:r>
    </w:p>
    <w:p w14:paraId="4E10D2B6">
      <w:pPr>
        <w:ind w:firstLine="413" w:firstLineChars="196"/>
        <w:rPr>
          <w:rFonts w:ascii="宋体" w:hAnsi="宋体"/>
          <w:b/>
          <w:bCs/>
          <w:szCs w:val="21"/>
        </w:rPr>
      </w:pPr>
      <w:r>
        <w:rPr>
          <w:rFonts w:hint="eastAsia" w:ascii="宋体" w:hAnsi="宋体"/>
          <w:b/>
          <w:bCs/>
          <w:szCs w:val="21"/>
        </w:rPr>
        <w:t>37.1.1最低价法</w:t>
      </w:r>
    </w:p>
    <w:p w14:paraId="2E0CB034">
      <w:pPr>
        <w:ind w:firstLine="411" w:firstLineChars="196"/>
        <w:rPr>
          <w:rFonts w:ascii="ˎ̥" w:hAnsi="ˎ̥"/>
        </w:rPr>
      </w:pPr>
      <w:bookmarkStart w:id="75"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495D1491">
      <w:pPr>
        <w:ind w:firstLine="413" w:firstLineChars="196"/>
        <w:rPr>
          <w:rFonts w:ascii="宋体" w:hAnsi="宋体"/>
          <w:b/>
          <w:bCs/>
          <w:szCs w:val="21"/>
        </w:rPr>
      </w:pPr>
      <w:r>
        <w:rPr>
          <w:rFonts w:hint="eastAsia" w:ascii="宋体" w:hAnsi="宋体"/>
          <w:b/>
          <w:bCs/>
          <w:szCs w:val="21"/>
        </w:rPr>
        <w:t>37.1.2综合评分法</w:t>
      </w:r>
    </w:p>
    <w:p w14:paraId="1A6C200F">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75"/>
    </w:p>
    <w:p w14:paraId="55D26727">
      <w:pPr>
        <w:ind w:firstLine="411" w:firstLineChars="196"/>
        <w:rPr>
          <w:rFonts w:ascii="宋体" w:hAnsi="宋体"/>
          <w:b/>
          <w:bCs/>
          <w:szCs w:val="21"/>
        </w:rPr>
      </w:pPr>
      <w:r>
        <w:rPr>
          <w:rFonts w:hint="eastAsia" w:ascii="ˎ̥" w:hAnsi="ˎ̥"/>
          <w:lang w:val="en-US" w:eastAsia="zh-CN"/>
        </w:rPr>
        <w:t>3</w:t>
      </w:r>
      <w:r>
        <w:rPr>
          <w:rFonts w:hint="eastAsia" w:ascii="宋体" w:hAnsi="宋体"/>
          <w:b/>
          <w:bCs/>
          <w:szCs w:val="21"/>
        </w:rPr>
        <w:t>7.2 本项目采用的评审方法见本项目招标文件第一册“专用条款”的相关内容。</w:t>
      </w:r>
    </w:p>
    <w:p w14:paraId="1940DBFA">
      <w:pPr>
        <w:ind w:firstLine="413" w:firstLineChars="196"/>
        <w:rPr>
          <w:rFonts w:ascii="宋体" w:hAnsi="宋体"/>
          <w:b/>
          <w:bCs/>
          <w:szCs w:val="21"/>
        </w:rPr>
      </w:pPr>
      <w:r>
        <w:rPr>
          <w:rFonts w:hint="eastAsia" w:ascii="宋体" w:hAnsi="宋体"/>
          <w:b/>
          <w:bCs/>
          <w:szCs w:val="21"/>
        </w:rPr>
        <w:t>37.3重新评审的情形</w:t>
      </w:r>
    </w:p>
    <w:p w14:paraId="0A2DEB62">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22FFF23D">
      <w:pPr>
        <w:ind w:firstLine="411" w:firstLineChars="196"/>
        <w:rPr>
          <w:rFonts w:ascii="宋体" w:hAnsi="宋体" w:cs="宋体"/>
          <w:kern w:val="0"/>
          <w:szCs w:val="21"/>
        </w:rPr>
      </w:pPr>
      <w:r>
        <w:rPr>
          <w:rFonts w:hint="eastAsia" w:ascii="宋体" w:hAnsi="宋体" w:cs="宋体"/>
          <w:kern w:val="0"/>
          <w:szCs w:val="21"/>
        </w:rPr>
        <w:t>37.3.1分值汇总计算错误的；</w:t>
      </w:r>
    </w:p>
    <w:p w14:paraId="470FF82E">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163E6C7F">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457DFFC3">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7F3CA780">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E560EEC">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7F15970">
      <w:pPr>
        <w:ind w:firstLine="413" w:firstLineChars="196"/>
        <w:rPr>
          <w:rFonts w:ascii="宋体" w:hAnsi="宋体"/>
          <w:b/>
          <w:bCs/>
          <w:szCs w:val="21"/>
        </w:rPr>
      </w:pPr>
      <w:r>
        <w:rPr>
          <w:rFonts w:hint="eastAsia" w:ascii="宋体" w:hAnsi="宋体"/>
          <w:b/>
          <w:bCs/>
          <w:szCs w:val="21"/>
        </w:rPr>
        <w:t>37.4重新组建评审委员会的情形</w:t>
      </w:r>
    </w:p>
    <w:p w14:paraId="199D1830">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C27465A">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684E38FC">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1A23429E">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57E116EB">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23203AFF">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0A3245D8">
      <w:pPr>
        <w:ind w:firstLine="411" w:firstLineChars="196"/>
        <w:rPr>
          <w:rFonts w:ascii="宋体" w:hAnsi="宋体"/>
          <w:szCs w:val="21"/>
        </w:rPr>
      </w:pPr>
    </w:p>
    <w:p w14:paraId="215BB12E">
      <w:pPr>
        <w:pStyle w:val="6"/>
        <w:numPr>
          <w:ilvl w:val="0"/>
          <w:numId w:val="11"/>
        </w:numPr>
        <w:spacing w:before="120" w:beforeLines="50" w:after="120" w:afterLines="50"/>
        <w:ind w:left="562" w:hanging="562"/>
        <w:rPr>
          <w:sz w:val="28"/>
          <w:szCs w:val="28"/>
        </w:rPr>
      </w:pPr>
      <w:r>
        <w:rPr>
          <w:rFonts w:hint="eastAsia"/>
          <w:sz w:val="28"/>
          <w:szCs w:val="28"/>
        </w:rPr>
        <w:t>定标及公示</w:t>
      </w:r>
    </w:p>
    <w:p w14:paraId="719EA722">
      <w:pPr>
        <w:rPr>
          <w:rFonts w:ascii="黑体" w:hAnsi="宋体" w:eastAsia="黑体"/>
          <w:b/>
          <w:bCs/>
          <w:sz w:val="24"/>
        </w:rPr>
      </w:pPr>
      <w:r>
        <w:rPr>
          <w:rFonts w:hint="eastAsia" w:ascii="黑体" w:hAnsi="宋体" w:eastAsia="黑体"/>
          <w:sz w:val="24"/>
        </w:rPr>
        <w:t>38．定标方法</w:t>
      </w:r>
    </w:p>
    <w:p w14:paraId="37586A94">
      <w:pPr>
        <w:ind w:firstLine="413" w:firstLineChars="196"/>
        <w:rPr>
          <w:rFonts w:ascii="宋体" w:hAnsi="宋体"/>
          <w:b/>
          <w:bCs/>
          <w:szCs w:val="21"/>
        </w:rPr>
      </w:pPr>
      <w:r>
        <w:rPr>
          <w:rFonts w:hint="eastAsia" w:ascii="宋体" w:hAnsi="宋体"/>
          <w:b/>
          <w:bCs/>
          <w:szCs w:val="21"/>
        </w:rPr>
        <w:t>38.1非评定分离项目定标方法</w:t>
      </w:r>
    </w:p>
    <w:p w14:paraId="5EDB891E">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864E047">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58E4312B">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0F156A78">
      <w:pPr>
        <w:ind w:firstLine="420" w:firstLineChars="200"/>
        <w:rPr>
          <w:rFonts w:hint="eastAsia" w:ascii="ˎ̥" w:hAnsi="ˎ̥"/>
        </w:rPr>
      </w:pPr>
      <w:r>
        <w:rPr>
          <w:rFonts w:ascii="ˎ̥" w:hAnsi="ˎ̥"/>
        </w:rPr>
        <w:t>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r>
        <w:rPr>
          <w:rFonts w:hint="eastAsia"/>
          <w:b/>
          <w:bCs/>
          <w:color w:val="auto"/>
        </w:rPr>
        <w:t>如排名第一的中标候选人被认定投标或中标无效，符合法定情形时，依法顺次替补；合格供应商不符合法定数量时，应当重新开展采购活动。</w:t>
      </w:r>
    </w:p>
    <w:p w14:paraId="32272140">
      <w:pPr>
        <w:ind w:firstLine="413" w:firstLineChars="196"/>
        <w:rPr>
          <w:rFonts w:ascii="宋体" w:hAnsi="宋体"/>
          <w:b/>
          <w:bCs/>
          <w:szCs w:val="21"/>
        </w:rPr>
      </w:pPr>
      <w:r>
        <w:rPr>
          <w:rFonts w:hint="eastAsia" w:ascii="宋体" w:hAnsi="宋体"/>
          <w:b/>
          <w:bCs/>
          <w:szCs w:val="21"/>
        </w:rPr>
        <w:t>38.2评定分离项目定标方法</w:t>
      </w:r>
    </w:p>
    <w:p w14:paraId="469FD046">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576885B">
      <w:pPr>
        <w:ind w:firstLine="411" w:firstLineChars="196"/>
      </w:pPr>
      <w:r>
        <w:rPr>
          <w:rFonts w:ascii="宋体" w:hAnsi="宋体"/>
          <w:szCs w:val="21"/>
        </w:rPr>
        <w:t xml:space="preserve">38.2.2 </w:t>
      </w:r>
      <w:bookmarkStart w:id="76"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2E680AAE">
      <w:pPr>
        <w:ind w:firstLine="411" w:firstLineChars="196"/>
        <w:rPr>
          <w:rFonts w:ascii="宋体" w:hAnsi="宋体"/>
          <w:szCs w:val="21"/>
        </w:rPr>
      </w:pPr>
      <w:r>
        <w:rPr>
          <w:rFonts w:hint="eastAsia" w:ascii="宋体" w:hAnsi="宋体"/>
          <w:szCs w:val="21"/>
        </w:rPr>
        <w:t>38.2.3</w:t>
      </w:r>
      <w:bookmarkStart w:id="77"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6"/>
      <w:bookmarkEnd w:id="77"/>
    </w:p>
    <w:p w14:paraId="49F5289C">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w:t>
      </w:r>
      <w:r>
        <w:rPr>
          <w:rFonts w:hint="eastAsia" w:ascii="Times New Roman" w:eastAsia="宋体"/>
          <w:lang w:val="en-US" w:eastAsia="zh-CN"/>
        </w:rPr>
        <w:t>&lt;</w:t>
      </w:r>
      <w:r>
        <w:rPr>
          <w:rFonts w:hint="eastAsia"/>
        </w:rPr>
        <w:t>深圳市政府采购评标定标分离管理办法</w:t>
      </w:r>
      <w:r>
        <w:rPr>
          <w:rFonts w:hint="eastAsia" w:ascii="Times New Roman" w:eastAsia="宋体"/>
          <w:lang w:val="en-US" w:eastAsia="zh-CN"/>
        </w:rPr>
        <w:t>&gt;</w:t>
      </w:r>
      <w:r>
        <w:rPr>
          <w:rFonts w:hint="eastAsia"/>
        </w:rPr>
        <w:t>续期的通知》（深财规〔2023〕1号）执行。</w:t>
      </w:r>
    </w:p>
    <w:p w14:paraId="42EF0BF9">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431FF463">
      <w:pPr>
        <w:ind w:firstLine="411" w:firstLineChars="196"/>
        <w:rPr>
          <w:rFonts w:ascii="宋体" w:hAnsi="宋体"/>
          <w:szCs w:val="21"/>
        </w:rPr>
      </w:pPr>
      <w:r>
        <w:rPr>
          <w:rFonts w:hint="eastAsia" w:ascii="宋体" w:hAnsi="宋体"/>
          <w:szCs w:val="21"/>
        </w:rPr>
        <w:t>38.3专用条款另有规定的，按专用条款相关要求定标。</w:t>
      </w:r>
    </w:p>
    <w:p w14:paraId="1A845258">
      <w:pPr>
        <w:rPr>
          <w:rFonts w:ascii="黑体" w:hAnsi="宋体" w:eastAsia="黑体"/>
          <w:sz w:val="24"/>
        </w:rPr>
      </w:pPr>
      <w:r>
        <w:rPr>
          <w:rFonts w:hint="eastAsia" w:ascii="黑体" w:hAnsi="宋体" w:eastAsia="黑体"/>
          <w:sz w:val="24"/>
        </w:rPr>
        <w:t>39．编写评审报告</w:t>
      </w:r>
    </w:p>
    <w:p w14:paraId="20554DEF">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003D006">
      <w:pPr>
        <w:rPr>
          <w:rFonts w:ascii="黑体" w:hAnsi="宋体" w:eastAsia="黑体"/>
          <w:sz w:val="24"/>
        </w:rPr>
      </w:pPr>
      <w:r>
        <w:rPr>
          <w:rFonts w:hint="eastAsia" w:ascii="黑体" w:hAnsi="宋体" w:eastAsia="黑体"/>
          <w:sz w:val="24"/>
        </w:rPr>
        <w:t>40．中标公告</w:t>
      </w:r>
    </w:p>
    <w:p w14:paraId="33DFD982">
      <w:pPr>
        <w:ind w:firstLine="411" w:firstLineChars="196"/>
        <w:rPr>
          <w:rFonts w:ascii="宋体" w:hAnsi="宋体"/>
          <w:szCs w:val="21"/>
        </w:rPr>
      </w:pPr>
      <w:r>
        <w:rPr>
          <w:rFonts w:hint="eastAsia" w:ascii="宋体" w:hAnsi="宋体"/>
          <w:szCs w:val="21"/>
        </w:rPr>
        <w:t>40.1</w:t>
      </w:r>
      <w:bookmarkStart w:id="78"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“深圳公共资源交易网（https://szggzy.com/）”</w:t>
      </w:r>
      <w:r>
        <w:rPr>
          <w:rFonts w:hint="eastAsia" w:ascii="宋体" w:hAnsi="宋体"/>
          <w:szCs w:val="21"/>
        </w:rPr>
        <w:t>上发布中标结果公告。</w:t>
      </w:r>
      <w:bookmarkEnd w:id="78"/>
      <w:bookmarkStart w:id="79"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79"/>
    <w:p w14:paraId="009CB933">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4A29A245">
      <w:pPr>
        <w:rPr>
          <w:rFonts w:ascii="黑体" w:hAnsi="宋体" w:eastAsia="黑体"/>
          <w:sz w:val="24"/>
        </w:rPr>
      </w:pPr>
      <w:r>
        <w:rPr>
          <w:rFonts w:hint="eastAsia" w:ascii="黑体" w:hAnsi="宋体" w:eastAsia="黑体"/>
          <w:sz w:val="24"/>
        </w:rPr>
        <w:t>41．中标通知书</w:t>
      </w:r>
    </w:p>
    <w:p w14:paraId="527586D2">
      <w:pPr>
        <w:ind w:firstLine="411" w:firstLineChars="196"/>
        <w:rPr>
          <w:rFonts w:ascii="宋体" w:hAnsi="宋体"/>
          <w:szCs w:val="21"/>
        </w:rPr>
      </w:pPr>
      <w:bookmarkStart w:id="80" w:name="_Hlk71407340"/>
      <w:r>
        <w:rPr>
          <w:rFonts w:hint="eastAsia" w:ascii="宋体" w:hAnsi="宋体"/>
          <w:szCs w:val="21"/>
        </w:rPr>
        <w:t>41</w:t>
      </w:r>
      <w:r>
        <w:rPr>
          <w:rFonts w:ascii="宋体" w:hAnsi="宋体"/>
          <w:szCs w:val="21"/>
        </w:rPr>
        <w:t>.</w:t>
      </w:r>
      <w:r>
        <w:rPr>
          <w:rFonts w:hint="eastAsia" w:ascii="宋体" w:hAnsi="宋体"/>
          <w:szCs w:val="21"/>
        </w:rPr>
        <w:t>1</w:t>
      </w:r>
      <w:bookmarkStart w:id="81"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1"/>
    </w:p>
    <w:p w14:paraId="504B8B9E">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E3D7D66">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w:t>
      </w:r>
    </w:p>
    <w:bookmarkEnd w:id="80"/>
    <w:p w14:paraId="0E25DCED">
      <w:pPr>
        <w:ind w:firstLine="411" w:firstLineChars="196"/>
        <w:rPr>
          <w:rFonts w:ascii="宋体" w:hAnsi="宋体"/>
          <w:szCs w:val="21"/>
        </w:rPr>
      </w:pPr>
    </w:p>
    <w:p w14:paraId="17A127F6">
      <w:pPr>
        <w:pStyle w:val="6"/>
        <w:numPr>
          <w:ilvl w:val="0"/>
          <w:numId w:val="11"/>
        </w:numPr>
        <w:spacing w:before="120" w:beforeLines="50" w:after="120" w:afterLines="50"/>
        <w:ind w:left="562" w:hanging="562"/>
        <w:rPr>
          <w:sz w:val="28"/>
          <w:szCs w:val="28"/>
        </w:rPr>
      </w:pPr>
      <w:r>
        <w:rPr>
          <w:rFonts w:hint="eastAsia"/>
          <w:sz w:val="28"/>
          <w:szCs w:val="28"/>
        </w:rPr>
        <w:t>公开招标失败的后续处理</w:t>
      </w:r>
    </w:p>
    <w:p w14:paraId="500BD3E5">
      <w:pPr>
        <w:rPr>
          <w:rFonts w:ascii="黑体" w:hAnsi="宋体" w:eastAsia="黑体"/>
          <w:sz w:val="24"/>
        </w:rPr>
      </w:pPr>
      <w:r>
        <w:rPr>
          <w:rFonts w:hint="eastAsia" w:ascii="黑体" w:hAnsi="宋体" w:eastAsia="黑体"/>
          <w:sz w:val="24"/>
        </w:rPr>
        <w:t>42．公开招标失败的处理</w:t>
      </w:r>
    </w:p>
    <w:p w14:paraId="26A03037">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1AD4BEB2">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274F3295">
      <w:pPr>
        <w:ind w:firstLine="411" w:firstLineChars="196"/>
        <w:rPr>
          <w:rFonts w:ascii="宋体" w:hAnsi="宋体"/>
          <w:szCs w:val="21"/>
        </w:rPr>
      </w:pPr>
      <w:r>
        <w:rPr>
          <w:rFonts w:hint="eastAsia" w:ascii="宋体" w:hAnsi="宋体"/>
          <w:szCs w:val="21"/>
        </w:rPr>
        <w:t>42.3重新组织采购有以下两种组织形式：</w:t>
      </w:r>
    </w:p>
    <w:p w14:paraId="36E4B104">
      <w:pPr>
        <w:ind w:firstLine="411" w:firstLineChars="196"/>
        <w:rPr>
          <w:rFonts w:ascii="宋体" w:hAnsi="宋体"/>
        </w:rPr>
      </w:pPr>
      <w:r>
        <w:rPr>
          <w:rFonts w:hint="eastAsia" w:ascii="宋体" w:hAnsi="宋体"/>
        </w:rPr>
        <w:t>（1）由政府集中采购机构重新组织公开招标；</w:t>
      </w:r>
    </w:p>
    <w:p w14:paraId="727CE6C6">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0753E883">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64839720">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515A59D8">
      <w:pPr>
        <w:rPr>
          <w:rFonts w:ascii="黑体" w:hAnsi="宋体" w:eastAsia="黑体"/>
          <w:sz w:val="24"/>
        </w:rPr>
      </w:pPr>
    </w:p>
    <w:p w14:paraId="1835DB20">
      <w:pPr>
        <w:pStyle w:val="6"/>
        <w:numPr>
          <w:ilvl w:val="0"/>
          <w:numId w:val="11"/>
        </w:numPr>
        <w:spacing w:before="120" w:beforeLines="50" w:after="120" w:afterLines="50"/>
        <w:ind w:left="562" w:hanging="562"/>
        <w:rPr>
          <w:sz w:val="28"/>
          <w:szCs w:val="28"/>
        </w:rPr>
      </w:pPr>
      <w:bookmarkStart w:id="82" w:name="_Hlk72439043"/>
      <w:r>
        <w:rPr>
          <w:rFonts w:hint="eastAsia"/>
          <w:sz w:val="28"/>
          <w:szCs w:val="28"/>
        </w:rPr>
        <w:t>合同的授予与备案</w:t>
      </w:r>
      <w:bookmarkEnd w:id="82"/>
    </w:p>
    <w:p w14:paraId="0FD323BE">
      <w:pPr>
        <w:rPr>
          <w:rFonts w:ascii="黑体" w:hAnsi="宋体" w:eastAsia="黑体"/>
          <w:sz w:val="24"/>
        </w:rPr>
      </w:pPr>
      <w:bookmarkStart w:id="83" w:name="_Toc73518157"/>
      <w:bookmarkStart w:id="84" w:name="_Toc73517679"/>
      <w:bookmarkStart w:id="85" w:name="_Toc73521674"/>
      <w:bookmarkStart w:id="86" w:name="_Toc100052408"/>
      <w:bookmarkStart w:id="87" w:name="_Toc73521586"/>
      <w:bookmarkStart w:id="88" w:name="_Hlk72439088"/>
      <w:r>
        <w:rPr>
          <w:rFonts w:hint="eastAsia" w:ascii="黑体" w:hAnsi="宋体" w:eastAsia="黑体"/>
          <w:sz w:val="24"/>
        </w:rPr>
        <w:t>43．合同授予标准</w:t>
      </w:r>
      <w:bookmarkEnd w:id="83"/>
      <w:bookmarkEnd w:id="84"/>
      <w:bookmarkEnd w:id="85"/>
      <w:bookmarkEnd w:id="86"/>
      <w:bookmarkEnd w:id="87"/>
    </w:p>
    <w:p w14:paraId="148296AD">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46BD690A">
      <w:pPr>
        <w:rPr>
          <w:rFonts w:ascii="黑体" w:hAnsi="宋体" w:eastAsia="黑体"/>
          <w:sz w:val="24"/>
        </w:rPr>
      </w:pPr>
      <w:bookmarkStart w:id="89" w:name="_Toc73521587"/>
      <w:bookmarkStart w:id="90" w:name="_Toc73518158"/>
      <w:bookmarkStart w:id="91" w:name="_Toc73521675"/>
      <w:bookmarkStart w:id="92" w:name="_Toc73517680"/>
      <w:bookmarkStart w:id="93" w:name="_Toc100052409"/>
      <w:r>
        <w:rPr>
          <w:rFonts w:hint="eastAsia" w:ascii="黑体" w:hAnsi="宋体" w:eastAsia="黑体"/>
          <w:sz w:val="24"/>
        </w:rPr>
        <w:t>44．</w:t>
      </w:r>
      <w:bookmarkEnd w:id="89"/>
      <w:bookmarkEnd w:id="90"/>
      <w:bookmarkEnd w:id="91"/>
      <w:bookmarkEnd w:id="92"/>
      <w:bookmarkEnd w:id="93"/>
      <w:r>
        <w:rPr>
          <w:rFonts w:hint="eastAsia" w:ascii="黑体" w:hAnsi="宋体" w:eastAsia="黑体"/>
          <w:sz w:val="24"/>
        </w:rPr>
        <w:t>接受和拒绝任何或所有投标的权力</w:t>
      </w:r>
    </w:p>
    <w:p w14:paraId="7DB3E012">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F51EA32">
      <w:pPr>
        <w:rPr>
          <w:rFonts w:ascii="黑体" w:hAnsi="宋体" w:eastAsia="黑体"/>
          <w:sz w:val="24"/>
        </w:rPr>
      </w:pPr>
      <w:bookmarkStart w:id="94" w:name="_Toc73521677"/>
      <w:bookmarkStart w:id="95" w:name="_Toc100052410"/>
      <w:bookmarkStart w:id="96" w:name="_Toc73518160"/>
      <w:bookmarkStart w:id="97" w:name="_Toc73517682"/>
      <w:bookmarkStart w:id="98" w:name="_Toc73521589"/>
      <w:r>
        <w:rPr>
          <w:rFonts w:hint="eastAsia" w:ascii="黑体" w:hAnsi="宋体" w:eastAsia="黑体"/>
          <w:sz w:val="24"/>
        </w:rPr>
        <w:t>45．合同的签订</w:t>
      </w:r>
      <w:bookmarkEnd w:id="94"/>
      <w:bookmarkEnd w:id="95"/>
      <w:bookmarkEnd w:id="96"/>
      <w:bookmarkEnd w:id="97"/>
      <w:bookmarkEnd w:id="98"/>
    </w:p>
    <w:p w14:paraId="28AB1ECC">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4154DCCC">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3A13AD74">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745DA8CA">
      <w:pPr>
        <w:rPr>
          <w:rFonts w:ascii="黑体" w:hAnsi="宋体" w:eastAsia="黑体"/>
          <w:sz w:val="24"/>
        </w:rPr>
      </w:pPr>
      <w:bookmarkStart w:id="99" w:name="_Toc73517683"/>
      <w:bookmarkStart w:id="100" w:name="_Toc73521678"/>
      <w:bookmarkStart w:id="101" w:name="_Toc100052411"/>
      <w:bookmarkStart w:id="102" w:name="_Toc73521590"/>
      <w:bookmarkStart w:id="103" w:name="_Toc73518161"/>
      <w:r>
        <w:rPr>
          <w:rFonts w:hint="eastAsia" w:ascii="黑体" w:hAnsi="宋体" w:eastAsia="黑体"/>
          <w:sz w:val="24"/>
        </w:rPr>
        <w:t>46．履约担保</w:t>
      </w:r>
      <w:bookmarkEnd w:id="99"/>
      <w:bookmarkEnd w:id="100"/>
      <w:bookmarkEnd w:id="101"/>
      <w:bookmarkEnd w:id="102"/>
      <w:bookmarkEnd w:id="103"/>
    </w:p>
    <w:p w14:paraId="5A1D6316">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4C44F95F">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152973A6">
      <w:pPr>
        <w:rPr>
          <w:rFonts w:ascii="黑体" w:hAnsi="宋体" w:eastAsia="黑体"/>
          <w:sz w:val="24"/>
        </w:rPr>
      </w:pPr>
      <w:r>
        <w:rPr>
          <w:rFonts w:hint="eastAsia" w:ascii="黑体" w:hAnsi="宋体" w:eastAsia="黑体"/>
          <w:sz w:val="24"/>
        </w:rPr>
        <w:t>47. 合同备案</w:t>
      </w:r>
    </w:p>
    <w:p w14:paraId="1350BEF0">
      <w:pPr>
        <w:ind w:firstLine="411" w:firstLineChars="196"/>
        <w:rPr>
          <w:rFonts w:ascii="宋体" w:hAnsi="宋体"/>
          <w:szCs w:val="21"/>
        </w:rPr>
      </w:pPr>
      <w:r>
        <w:rPr>
          <w:rFonts w:hint="eastAsia" w:ascii="宋体" w:hAnsi="宋体" w:eastAsia="宋体" w:cs="Times New Roman"/>
          <w:kern w:val="2"/>
          <w:sz w:val="21"/>
          <w:szCs w:val="21"/>
          <w:lang w:eastAsia="zh-Hans"/>
        </w:rPr>
        <w:t>采购人与中标供应商自中标通知书发出之日起10个工作日内签订政府采购合同，</w:t>
      </w:r>
      <w:r>
        <w:rPr>
          <w:rFonts w:hint="eastAsia" w:ascii="宋体" w:hAnsi="宋体" w:eastAsia="宋体" w:cs="Times New Roman"/>
          <w:kern w:val="2"/>
          <w:sz w:val="21"/>
          <w:szCs w:val="21"/>
          <w:lang w:val="en-US" w:eastAsia="zh-CN"/>
        </w:rPr>
        <w:t>并按财政部门规定提交备案。</w:t>
      </w:r>
    </w:p>
    <w:p w14:paraId="11B36E52">
      <w:pPr>
        <w:rPr>
          <w:rFonts w:ascii="黑体" w:hAnsi="宋体" w:eastAsia="黑体"/>
          <w:sz w:val="24"/>
        </w:rPr>
      </w:pPr>
      <w:r>
        <w:rPr>
          <w:rFonts w:hint="eastAsia" w:ascii="黑体" w:hAnsi="宋体" w:eastAsia="黑体"/>
          <w:sz w:val="24"/>
        </w:rPr>
        <w:t>48. 合同变更</w:t>
      </w:r>
    </w:p>
    <w:p w14:paraId="29FF0FC1">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473E0631">
      <w:pPr>
        <w:rPr>
          <w:rFonts w:ascii="黑体" w:hAnsi="宋体" w:eastAsia="黑体"/>
          <w:sz w:val="24"/>
        </w:rPr>
      </w:pPr>
      <w:r>
        <w:rPr>
          <w:rFonts w:hint="eastAsia" w:ascii="黑体" w:hAnsi="宋体" w:eastAsia="黑体"/>
          <w:sz w:val="24"/>
        </w:rPr>
        <w:t>49. 项目验收</w:t>
      </w:r>
    </w:p>
    <w:p w14:paraId="65C76F44">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70B2BE8A">
      <w:pPr>
        <w:rPr>
          <w:rFonts w:ascii="黑体" w:hAnsi="宋体" w:eastAsia="黑体"/>
          <w:sz w:val="24"/>
        </w:rPr>
      </w:pPr>
      <w:r>
        <w:rPr>
          <w:rFonts w:hint="eastAsia" w:ascii="黑体" w:hAnsi="宋体" w:eastAsia="黑体"/>
          <w:sz w:val="24"/>
        </w:rPr>
        <w:t>50. 宣传</w:t>
      </w:r>
    </w:p>
    <w:p w14:paraId="31B7ED5E">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2499AD67">
      <w:pPr>
        <w:ind w:left="210" w:leftChars="100" w:firstLine="411" w:firstLineChars="196"/>
        <w:rPr>
          <w:rFonts w:ascii="宋体" w:hAnsi="宋体"/>
        </w:rPr>
      </w:pPr>
      <w:r>
        <w:rPr>
          <w:rFonts w:ascii="宋体" w:hAnsi="宋体"/>
        </w:rPr>
        <w:t>a.名片、宣传册、广告标语等；</w:t>
      </w:r>
    </w:p>
    <w:p w14:paraId="16527BC5">
      <w:pPr>
        <w:ind w:left="210" w:leftChars="100" w:firstLine="411" w:firstLineChars="196"/>
        <w:rPr>
          <w:rFonts w:ascii="宋体" w:hAnsi="宋体"/>
        </w:rPr>
      </w:pPr>
      <w:r>
        <w:rPr>
          <w:rFonts w:ascii="宋体" w:hAnsi="宋体"/>
        </w:rPr>
        <w:t>b.案例介绍、推广等；</w:t>
      </w:r>
    </w:p>
    <w:p w14:paraId="4C756B94">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1E86ADA5">
      <w:pPr>
        <w:rPr>
          <w:rFonts w:ascii="黑体" w:hAnsi="宋体" w:eastAsia="黑体"/>
          <w:sz w:val="24"/>
        </w:rPr>
      </w:pPr>
      <w:r>
        <w:rPr>
          <w:rFonts w:hint="eastAsia" w:ascii="黑体" w:hAnsi="宋体" w:eastAsia="黑体"/>
          <w:sz w:val="24"/>
        </w:rPr>
        <w:t>51. 供应商违法责任</w:t>
      </w:r>
    </w:p>
    <w:p w14:paraId="5865EC9C">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3A2B262">
      <w:pPr>
        <w:ind w:firstLine="411" w:firstLineChars="196"/>
        <w:rPr>
          <w:rFonts w:ascii="宋体" w:hAnsi="宋体"/>
          <w:szCs w:val="21"/>
        </w:rPr>
      </w:pPr>
      <w:r>
        <w:rPr>
          <w:rFonts w:hint="eastAsia" w:ascii="宋体" w:hAnsi="宋体"/>
          <w:szCs w:val="21"/>
        </w:rPr>
        <w:t>（1）在采购活动中应当回避而未回避的；</w:t>
      </w:r>
    </w:p>
    <w:p w14:paraId="39510F71">
      <w:pPr>
        <w:ind w:firstLine="411" w:firstLineChars="196"/>
        <w:rPr>
          <w:rFonts w:ascii="宋体" w:hAnsi="宋体"/>
          <w:szCs w:val="21"/>
        </w:rPr>
      </w:pPr>
      <w:r>
        <w:rPr>
          <w:rFonts w:hint="eastAsia" w:ascii="宋体" w:hAnsi="宋体"/>
          <w:szCs w:val="21"/>
        </w:rPr>
        <w:t>（2）未按本条例规定签订、履行采购合同，造成严重后果的；</w:t>
      </w:r>
    </w:p>
    <w:p w14:paraId="31C187E5">
      <w:pPr>
        <w:ind w:firstLine="411" w:firstLineChars="196"/>
        <w:rPr>
          <w:rFonts w:ascii="宋体" w:hAnsi="宋体"/>
          <w:szCs w:val="21"/>
        </w:rPr>
      </w:pPr>
      <w:r>
        <w:rPr>
          <w:rFonts w:hint="eastAsia" w:ascii="宋体" w:hAnsi="宋体"/>
          <w:szCs w:val="21"/>
        </w:rPr>
        <w:t>（3）隐瞒真实情况，提供虚假资料的；</w:t>
      </w:r>
    </w:p>
    <w:p w14:paraId="02581362">
      <w:pPr>
        <w:ind w:firstLine="411" w:firstLineChars="196"/>
        <w:rPr>
          <w:rFonts w:ascii="宋体" w:hAnsi="宋体"/>
          <w:szCs w:val="21"/>
        </w:rPr>
      </w:pPr>
      <w:r>
        <w:rPr>
          <w:rFonts w:hint="eastAsia" w:ascii="宋体" w:hAnsi="宋体"/>
          <w:szCs w:val="21"/>
        </w:rPr>
        <w:t>（4）以非法手段排斥其他供应商参与竞争的；</w:t>
      </w:r>
    </w:p>
    <w:p w14:paraId="574AC39B">
      <w:pPr>
        <w:ind w:firstLine="411" w:firstLineChars="196"/>
        <w:rPr>
          <w:rFonts w:ascii="宋体" w:hAnsi="宋体"/>
          <w:szCs w:val="21"/>
        </w:rPr>
      </w:pPr>
      <w:r>
        <w:rPr>
          <w:rFonts w:hint="eastAsia" w:ascii="宋体" w:hAnsi="宋体"/>
          <w:szCs w:val="21"/>
        </w:rPr>
        <w:t>（5）与其他采购参加人串通投标的；</w:t>
      </w:r>
    </w:p>
    <w:p w14:paraId="648F8BCC">
      <w:pPr>
        <w:ind w:firstLine="411" w:firstLineChars="196"/>
        <w:rPr>
          <w:rFonts w:ascii="宋体" w:hAnsi="宋体"/>
          <w:szCs w:val="21"/>
        </w:rPr>
      </w:pPr>
      <w:r>
        <w:rPr>
          <w:rFonts w:hint="eastAsia" w:ascii="宋体" w:hAnsi="宋体"/>
          <w:szCs w:val="21"/>
        </w:rPr>
        <w:t>（6）恶意投诉的；</w:t>
      </w:r>
    </w:p>
    <w:p w14:paraId="248851E4">
      <w:pPr>
        <w:ind w:firstLine="411" w:firstLineChars="196"/>
        <w:rPr>
          <w:rFonts w:ascii="宋体" w:hAnsi="宋体"/>
          <w:szCs w:val="21"/>
        </w:rPr>
      </w:pPr>
      <w:r>
        <w:rPr>
          <w:rFonts w:hint="eastAsia" w:ascii="宋体" w:hAnsi="宋体"/>
          <w:szCs w:val="21"/>
        </w:rPr>
        <w:t>（7）向采购项目相关人行贿或者提供其他不当利益的；</w:t>
      </w:r>
    </w:p>
    <w:p w14:paraId="4DA240E6">
      <w:pPr>
        <w:ind w:firstLine="411" w:firstLineChars="196"/>
        <w:rPr>
          <w:rFonts w:ascii="宋体" w:hAnsi="宋体"/>
          <w:szCs w:val="21"/>
        </w:rPr>
      </w:pPr>
      <w:r>
        <w:rPr>
          <w:rFonts w:hint="eastAsia" w:ascii="宋体" w:hAnsi="宋体"/>
          <w:szCs w:val="21"/>
        </w:rPr>
        <w:t>（8）阻碍、抗拒主管部门监督检查的；</w:t>
      </w:r>
    </w:p>
    <w:p w14:paraId="2A34950C">
      <w:pPr>
        <w:ind w:firstLine="411" w:firstLineChars="196"/>
        <w:rPr>
          <w:rFonts w:ascii="宋体" w:hAnsi="宋体"/>
          <w:szCs w:val="21"/>
        </w:rPr>
      </w:pPr>
      <w:r>
        <w:rPr>
          <w:rFonts w:hint="eastAsia" w:ascii="宋体" w:hAnsi="宋体"/>
          <w:szCs w:val="21"/>
        </w:rPr>
        <w:t>（9）其他违反本条例规定的行为。</w:t>
      </w:r>
    </w:p>
    <w:p w14:paraId="311B61A5">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104" w:name="_Hlk72440769"/>
      <w:r>
        <w:rPr>
          <w:rFonts w:hint="eastAsia" w:ascii="宋体" w:hAnsi="宋体"/>
          <w:szCs w:val="21"/>
        </w:rPr>
        <w:t>政府集中采购机构或采购人不予退还其交纳的谈判保证金，情节严重的，并由主管部门</w:t>
      </w:r>
      <w:bookmarkEnd w:id="104"/>
      <w:r>
        <w:rPr>
          <w:rFonts w:hint="eastAsia" w:ascii="宋体" w:hAnsi="宋体"/>
          <w:szCs w:val="21"/>
        </w:rPr>
        <w:t>记入供应商诚信档案，予以通报：</w:t>
      </w:r>
    </w:p>
    <w:p w14:paraId="5090B7CA">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3B6D2C40">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356257CE">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54261E5D">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8"/>
    <w:p w14:paraId="7BAEF851">
      <w:pPr>
        <w:pStyle w:val="6"/>
        <w:numPr>
          <w:ilvl w:val="0"/>
          <w:numId w:val="11"/>
        </w:numPr>
        <w:spacing w:before="120" w:beforeLines="50" w:after="120" w:afterLines="50"/>
        <w:ind w:left="562" w:hanging="562"/>
        <w:rPr>
          <w:sz w:val="28"/>
          <w:szCs w:val="28"/>
        </w:rPr>
      </w:pPr>
      <w:r>
        <w:rPr>
          <w:rFonts w:hint="eastAsia"/>
          <w:sz w:val="28"/>
          <w:szCs w:val="28"/>
        </w:rPr>
        <w:t>质疑处理</w:t>
      </w:r>
    </w:p>
    <w:p w14:paraId="6C8DB878">
      <w:pPr>
        <w:rPr>
          <w:rFonts w:ascii="黑体" w:hAnsi="宋体" w:eastAsia="黑体"/>
          <w:sz w:val="24"/>
        </w:rPr>
      </w:pPr>
      <w:r>
        <w:rPr>
          <w:rFonts w:hint="eastAsia" w:ascii="黑体" w:hAnsi="宋体" w:eastAsia="黑体"/>
          <w:sz w:val="24"/>
        </w:rPr>
        <w:t>52.质疑提出与答复</w:t>
      </w:r>
    </w:p>
    <w:p w14:paraId="7D803994">
      <w:pPr>
        <w:rPr>
          <w:rFonts w:ascii="宋体" w:hAnsi="宋体"/>
          <w:szCs w:val="21"/>
        </w:rPr>
      </w:pPr>
      <w:r>
        <w:rPr>
          <w:rFonts w:hint="eastAsia" w:ascii="宋体" w:hAnsi="宋体"/>
          <w:szCs w:val="21"/>
        </w:rPr>
        <w:t xml:space="preserve">    52.1提出质疑</w:t>
      </w:r>
    </w:p>
    <w:p w14:paraId="32E26561">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55D61BC">
      <w:pPr>
        <w:rPr>
          <w:rFonts w:ascii="宋体" w:hAnsi="宋体"/>
          <w:szCs w:val="21"/>
        </w:rPr>
      </w:pPr>
      <w:r>
        <w:rPr>
          <w:rFonts w:hint="eastAsia" w:ascii="宋体" w:hAnsi="宋体"/>
          <w:szCs w:val="21"/>
        </w:rPr>
        <w:t xml:space="preserve">    52.2</w:t>
      </w:r>
      <w:r>
        <w:rPr>
          <w:rFonts w:ascii="宋体" w:hAnsi="宋体"/>
          <w:szCs w:val="21"/>
        </w:rPr>
        <w:t>法律依据</w:t>
      </w:r>
    </w:p>
    <w:p w14:paraId="22F46E1F">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3B5A624A">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670DBC4F">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7FEC278F">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3E55469">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42C9CB4C">
      <w:pPr>
        <w:ind w:firstLine="420"/>
        <w:rPr>
          <w:rFonts w:ascii="宋体" w:hAnsi="宋体"/>
          <w:szCs w:val="21"/>
        </w:rPr>
      </w:pPr>
      <w:r>
        <w:rPr>
          <w:rFonts w:hint="eastAsia" w:ascii="宋体" w:hAnsi="宋体"/>
          <w:szCs w:val="21"/>
        </w:rPr>
        <w:t>（1）供应商的名称（或者姓名）、地址、邮编、邮箱、联系人及联系电话；</w:t>
      </w:r>
    </w:p>
    <w:p w14:paraId="1FF66414">
      <w:pPr>
        <w:ind w:firstLine="420" w:firstLineChars="200"/>
        <w:rPr>
          <w:rFonts w:ascii="宋体" w:hAnsi="宋体"/>
          <w:szCs w:val="21"/>
        </w:rPr>
      </w:pPr>
      <w:r>
        <w:rPr>
          <w:rFonts w:hint="eastAsia" w:ascii="宋体" w:hAnsi="宋体"/>
          <w:szCs w:val="21"/>
        </w:rPr>
        <w:t>（2）质疑项目的名称、编号；</w:t>
      </w:r>
    </w:p>
    <w:p w14:paraId="4CD5CF06">
      <w:pPr>
        <w:ind w:firstLine="420" w:firstLineChars="200"/>
        <w:rPr>
          <w:rFonts w:ascii="宋体" w:hAnsi="宋体"/>
          <w:szCs w:val="21"/>
        </w:rPr>
      </w:pPr>
      <w:r>
        <w:rPr>
          <w:rFonts w:hint="eastAsia" w:ascii="宋体" w:hAnsi="宋体"/>
          <w:szCs w:val="21"/>
        </w:rPr>
        <w:t>（3）具体、明确的质疑对象、质疑事项和质疑请求；</w:t>
      </w:r>
    </w:p>
    <w:p w14:paraId="3028F995">
      <w:pPr>
        <w:ind w:firstLine="420" w:firstLineChars="200"/>
        <w:rPr>
          <w:rFonts w:ascii="宋体" w:hAnsi="宋体"/>
          <w:szCs w:val="21"/>
        </w:rPr>
      </w:pPr>
      <w:r>
        <w:rPr>
          <w:rFonts w:hint="eastAsia" w:ascii="宋体" w:hAnsi="宋体"/>
          <w:szCs w:val="21"/>
        </w:rPr>
        <w:t>（4）因质疑事项而受损害的权益；</w:t>
      </w:r>
    </w:p>
    <w:p w14:paraId="17B88D86">
      <w:pPr>
        <w:ind w:firstLine="420" w:firstLineChars="200"/>
        <w:rPr>
          <w:rFonts w:ascii="宋体" w:hAnsi="宋体"/>
          <w:szCs w:val="21"/>
        </w:rPr>
      </w:pPr>
      <w:r>
        <w:rPr>
          <w:rFonts w:hint="eastAsia" w:ascii="宋体" w:hAnsi="宋体"/>
          <w:szCs w:val="21"/>
        </w:rPr>
        <w:t>（5）事实依据；</w:t>
      </w:r>
    </w:p>
    <w:p w14:paraId="746DC0E3">
      <w:pPr>
        <w:ind w:firstLine="420" w:firstLineChars="200"/>
        <w:rPr>
          <w:rFonts w:ascii="宋体" w:hAnsi="宋体"/>
          <w:szCs w:val="21"/>
        </w:rPr>
      </w:pPr>
      <w:r>
        <w:rPr>
          <w:rFonts w:hint="eastAsia" w:ascii="宋体" w:hAnsi="宋体"/>
          <w:szCs w:val="21"/>
        </w:rPr>
        <w:t>（6）必要的法律依据；</w:t>
      </w:r>
    </w:p>
    <w:p w14:paraId="3E6CEC44">
      <w:pPr>
        <w:ind w:firstLine="420" w:firstLineChars="200"/>
        <w:rPr>
          <w:rFonts w:ascii="宋体" w:hAnsi="宋体"/>
          <w:szCs w:val="21"/>
        </w:rPr>
      </w:pPr>
      <w:r>
        <w:rPr>
          <w:rFonts w:hint="eastAsia" w:ascii="宋体" w:hAnsi="宋体"/>
          <w:szCs w:val="21"/>
        </w:rPr>
        <w:t>（7）提出质疑的日期。</w:t>
      </w:r>
    </w:p>
    <w:p w14:paraId="016F3B13">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454EDACD">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20B6E2A5">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1B8F41BA">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F327416">
      <w:pPr>
        <w:ind w:firstLine="420" w:firstLineChars="200"/>
        <w:rPr>
          <w:rFonts w:ascii="宋体" w:hAnsi="宋体"/>
          <w:color w:val="FF0000"/>
          <w:szCs w:val="21"/>
        </w:rPr>
      </w:pPr>
      <w:r>
        <w:rPr>
          <w:rFonts w:hint="eastAsia" w:ascii="宋体" w:hAnsi="宋体"/>
          <w:color w:val="FF0000"/>
          <w:szCs w:val="21"/>
        </w:rPr>
        <w:t>52.5提交方式</w:t>
      </w:r>
    </w:p>
    <w:p w14:paraId="156F67D6">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14:paraId="58B5CB79">
      <w:pPr>
        <w:ind w:firstLine="422" w:firstLineChars="200"/>
        <w:rPr>
          <w:rFonts w:ascii="宋体" w:hAnsi="宋体"/>
          <w:b/>
          <w:bCs/>
          <w:szCs w:val="21"/>
        </w:rPr>
      </w:pPr>
      <w:r>
        <w:rPr>
          <w:rFonts w:hint="eastAsia" w:ascii="宋体" w:hAnsi="宋体"/>
          <w:b/>
          <w:bCs/>
        </w:rPr>
        <w:t>收文地点：深圳公共资源交易中心（</w:t>
      </w:r>
      <w:r>
        <w:rPr>
          <w:rFonts w:hint="eastAsia" w:ascii="宋体" w:hAnsi="宋体"/>
          <w:b/>
          <w:bCs/>
          <w:lang w:eastAsia="zh-CN"/>
        </w:rPr>
        <w:t>深圳交易集团有限公司盐田分公司</w:t>
      </w:r>
      <w:r>
        <w:rPr>
          <w:rFonts w:hint="eastAsia" w:ascii="宋体" w:hAnsi="宋体"/>
          <w:b/>
          <w:bCs/>
        </w:rPr>
        <w:t>）</w:t>
      </w:r>
      <w:r>
        <w:rPr>
          <w:rFonts w:hint="eastAsia" w:ascii="宋体" w:hAnsi="宋体"/>
          <w:b/>
          <w:bCs/>
          <w:lang w:eastAsia="zh-CN"/>
        </w:rPr>
        <w:t>深圳市盐田区海景二路1025号壹海国际中心9楼901</w:t>
      </w:r>
      <w:r>
        <w:rPr>
          <w:rFonts w:hint="eastAsia" w:ascii="宋体" w:hAnsi="宋体"/>
          <w:b/>
          <w:bCs/>
        </w:rPr>
        <w:t>。质疑咨询电话：0755-</w:t>
      </w:r>
      <w:r>
        <w:rPr>
          <w:rFonts w:hint="eastAsia" w:ascii="宋体" w:hAnsi="宋体"/>
          <w:b/>
          <w:bCs/>
          <w:lang w:val="en-US" w:eastAsia="zh-CN"/>
        </w:rPr>
        <w:t>25869725</w:t>
      </w:r>
      <w:r>
        <w:rPr>
          <w:rFonts w:hint="eastAsia" w:ascii="宋体" w:hAnsi="宋体"/>
          <w:b/>
          <w:bCs/>
          <w:szCs w:val="21"/>
        </w:rPr>
        <w:t>。</w:t>
      </w:r>
    </w:p>
    <w:p w14:paraId="29AEECEC">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4E0AAC84">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CB0EF01">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6D4E9DC2">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4127E02B">
      <w:pPr>
        <w:ind w:firstLine="420" w:firstLineChars="200"/>
        <w:rPr>
          <w:rFonts w:ascii="宋体" w:hAnsi="宋体"/>
          <w:szCs w:val="21"/>
        </w:rPr>
      </w:pPr>
      <w:r>
        <w:rPr>
          <w:rFonts w:hint="eastAsia" w:ascii="宋体" w:hAnsi="宋体"/>
          <w:szCs w:val="21"/>
        </w:rPr>
        <w:t>供应商提交的质疑存在下列情形之一的，不予受理：</w:t>
      </w:r>
    </w:p>
    <w:p w14:paraId="6237EE7A">
      <w:pPr>
        <w:ind w:firstLine="420" w:firstLineChars="200"/>
        <w:rPr>
          <w:rFonts w:ascii="宋体" w:hAnsi="宋体"/>
          <w:szCs w:val="21"/>
        </w:rPr>
      </w:pPr>
      <w:r>
        <w:rPr>
          <w:rFonts w:hint="eastAsia" w:ascii="宋体" w:hAnsi="宋体"/>
          <w:szCs w:val="21"/>
        </w:rPr>
        <w:t>（1）质疑主体不满足要求的；</w:t>
      </w:r>
    </w:p>
    <w:p w14:paraId="377CCF22">
      <w:pPr>
        <w:ind w:firstLine="420" w:firstLineChars="200"/>
        <w:rPr>
          <w:rFonts w:ascii="宋体" w:hAnsi="宋体"/>
          <w:szCs w:val="21"/>
        </w:rPr>
      </w:pPr>
      <w:r>
        <w:rPr>
          <w:rFonts w:hint="eastAsia" w:ascii="宋体" w:hAnsi="宋体"/>
          <w:szCs w:val="21"/>
        </w:rPr>
        <w:t>（2）供应商自身权益未受到损害的；</w:t>
      </w:r>
    </w:p>
    <w:p w14:paraId="0EB8A590">
      <w:pPr>
        <w:ind w:firstLine="420" w:firstLineChars="200"/>
        <w:rPr>
          <w:rFonts w:ascii="宋体" w:hAnsi="宋体"/>
          <w:szCs w:val="21"/>
        </w:rPr>
      </w:pPr>
      <w:r>
        <w:rPr>
          <w:rFonts w:hint="eastAsia" w:ascii="宋体" w:hAnsi="宋体"/>
          <w:szCs w:val="21"/>
        </w:rPr>
        <w:t>（3）供应商未在法定质疑期限内提出质疑的；</w:t>
      </w:r>
    </w:p>
    <w:p w14:paraId="48E292AF">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1FC87383">
      <w:pPr>
        <w:ind w:firstLine="420" w:firstLineChars="200"/>
        <w:rPr>
          <w:rFonts w:ascii="宋体" w:hAnsi="宋体"/>
          <w:szCs w:val="21"/>
        </w:rPr>
      </w:pPr>
      <w:r>
        <w:rPr>
          <w:rFonts w:hint="eastAsia" w:ascii="宋体" w:hAnsi="宋体"/>
          <w:szCs w:val="21"/>
        </w:rPr>
        <w:t>（5）其他不符合受理条件情形的。</w:t>
      </w:r>
    </w:p>
    <w:p w14:paraId="56B8BCA5">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3E827132">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157E4971">
      <w:pPr>
        <w:rPr>
          <w:rFonts w:ascii="宋体" w:hAnsi="宋体"/>
          <w:szCs w:val="21"/>
        </w:rPr>
      </w:pPr>
      <w:r>
        <w:rPr>
          <w:rFonts w:hint="eastAsia" w:ascii="宋体" w:hAnsi="宋体"/>
          <w:szCs w:val="21"/>
        </w:rPr>
        <w:t xml:space="preserve">    自收文之日起七个工作日内。</w:t>
      </w:r>
    </w:p>
    <w:p w14:paraId="29059ABE">
      <w:pPr>
        <w:rPr>
          <w:rFonts w:ascii="宋体" w:hAnsi="宋体"/>
          <w:szCs w:val="21"/>
        </w:rPr>
      </w:pPr>
      <w:r>
        <w:rPr>
          <w:rFonts w:hint="eastAsia" w:ascii="宋体" w:hAnsi="宋体"/>
          <w:szCs w:val="21"/>
        </w:rPr>
        <w:t xml:space="preserve">    52.8投诉</w:t>
      </w:r>
    </w:p>
    <w:p w14:paraId="337DFE7D">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rPr>
        <w:t>本项目预算主管单位</w:t>
      </w:r>
      <w:r>
        <w:rPr>
          <w:rFonts w:hint="eastAsia" w:ascii="宋体" w:hAnsi="宋体"/>
          <w:lang w:eastAsia="zh-CN"/>
        </w:rPr>
        <w:t>（深圳市盐田区</w:t>
      </w:r>
      <w:r>
        <w:rPr>
          <w:rFonts w:hint="eastAsia" w:ascii="宋体" w:hAnsi="宋体"/>
          <w:lang w:val="en-US" w:eastAsia="zh-CN"/>
        </w:rPr>
        <w:t>教育局</w:t>
      </w:r>
      <w:r>
        <w:rPr>
          <w:rFonts w:hint="eastAsia" w:ascii="宋体" w:hAnsi="宋体"/>
          <w:lang w:eastAsia="zh-CN"/>
        </w:rPr>
        <w:t>）</w:t>
      </w:r>
      <w:r>
        <w:rPr>
          <w:rFonts w:hint="eastAsia" w:ascii="宋体" w:hAnsi="宋体"/>
          <w:szCs w:val="21"/>
        </w:rPr>
        <w:t>。</w:t>
      </w:r>
    </w:p>
    <w:p w14:paraId="15898202">
      <w:pPr>
        <w:ind w:firstLine="480" w:firstLineChars="200"/>
        <w:rPr>
          <w:rFonts w:ascii="黑体" w:hAnsi="宋体" w:eastAsia="黑体"/>
          <w:sz w:val="24"/>
        </w:rPr>
      </w:pPr>
      <w:r>
        <w:rPr>
          <w:rFonts w:hint="eastAsia" w:ascii="黑体" w:hAnsi="宋体" w:eastAsia="黑体"/>
          <w:sz w:val="24"/>
        </w:rPr>
        <w:t>53. 质疑后续处理</w:t>
      </w:r>
    </w:p>
    <w:p w14:paraId="06EA776E">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50274DC7">
      <w:pPr>
        <w:ind w:firstLine="432"/>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0DF08ED">
      <w:pPr>
        <w:rPr>
          <w:rFonts w:ascii="宋体" w:hAnsi="宋体"/>
          <w:szCs w:val="21"/>
        </w:rPr>
      </w:pPr>
    </w:p>
    <w:p w14:paraId="1CEC1FC4">
      <w:pPr>
        <w:jc w:val="center"/>
      </w:pPr>
      <w:r>
        <w:t>---- END ----</w:t>
      </w:r>
    </w:p>
    <w:bookmarkEnd w:id="52"/>
    <w:p w14:paraId="14CBD73B"/>
    <w:p w14:paraId="12C3F725">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SimSun-ExtB"/>
    <w:panose1 w:val="00000000000000000000"/>
    <w:charset w:val="86"/>
    <w:family w:val="modern"/>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Helvetica">
    <w:panose1 w:val="020B0504020202030204"/>
    <w:charset w:val="00"/>
    <w:family w:val="swiss"/>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SimSun-ExtB"/>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SimSun-ExtB"/>
    <w:panose1 w:val="00000000000000000000"/>
    <w:charset w:val="86"/>
    <w:family w:val="modern"/>
    <w:pitch w:val="default"/>
    <w:sig w:usb0="00000000" w:usb1="00000000" w:usb2="00000012" w:usb3="00000000" w:csb0="00040000" w:csb1="00000000"/>
  </w:font>
  <w:font w:name="H Yb 2gj">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19778">
    <w:pPr>
      <w:pStyle w:val="27"/>
      <w:framePr w:wrap="around" w:vAnchor="text" w:hAnchor="margin" w:xAlign="center" w:y="1"/>
      <w:rPr>
        <w:rStyle w:val="46"/>
      </w:rPr>
    </w:pPr>
    <w:r>
      <w:t xml:space="preserve">- </w:t>
    </w:r>
    <w:r>
      <w:fldChar w:fldCharType="begin"/>
    </w:r>
    <w:r>
      <w:instrText xml:space="preserve"> PAGE </w:instrText>
    </w:r>
    <w:r>
      <w:fldChar w:fldCharType="separate"/>
    </w:r>
    <w:r>
      <w:t>33</w:t>
    </w:r>
    <w:r>
      <w:fldChar w:fldCharType="end"/>
    </w:r>
    <w:r>
      <w:t xml:space="preserve"> -</w:t>
    </w:r>
  </w:p>
  <w:p w14:paraId="37B3528F">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7A5A">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1B884A2D">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43069">
    <w:pPr>
      <w:pStyle w:val="2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58111A5"/>
    <w:multiLevelType w:val="multilevel"/>
    <w:tmpl w:val="258111A5"/>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5D9A1A5C"/>
    <w:multiLevelType w:val="multilevel"/>
    <w:tmpl w:val="5D9A1A5C"/>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10"/>
  </w:num>
  <w:num w:numId="6">
    <w:abstractNumId w:val="8"/>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OWRiZDE5ZDY0OWM1ODNjZjM5N2RhODQ2ZTMyOTEifQ=="/>
  </w:docVars>
  <w:rsids>
    <w:rsidRoot w:val="006C5683"/>
    <w:rsid w:val="00000AD9"/>
    <w:rsid w:val="000041AD"/>
    <w:rsid w:val="000043C0"/>
    <w:rsid w:val="000049E4"/>
    <w:rsid w:val="000050CA"/>
    <w:rsid w:val="000051C6"/>
    <w:rsid w:val="00005215"/>
    <w:rsid w:val="00005A10"/>
    <w:rsid w:val="00005D3D"/>
    <w:rsid w:val="00006F7B"/>
    <w:rsid w:val="00007355"/>
    <w:rsid w:val="00007951"/>
    <w:rsid w:val="00007DB0"/>
    <w:rsid w:val="00010063"/>
    <w:rsid w:val="00010102"/>
    <w:rsid w:val="00010839"/>
    <w:rsid w:val="00011D23"/>
    <w:rsid w:val="00011EA6"/>
    <w:rsid w:val="00012B21"/>
    <w:rsid w:val="0001300F"/>
    <w:rsid w:val="00013262"/>
    <w:rsid w:val="0001480D"/>
    <w:rsid w:val="00014A5C"/>
    <w:rsid w:val="00015388"/>
    <w:rsid w:val="00015BDD"/>
    <w:rsid w:val="00015C88"/>
    <w:rsid w:val="00016D97"/>
    <w:rsid w:val="0001716B"/>
    <w:rsid w:val="00017F81"/>
    <w:rsid w:val="0002014B"/>
    <w:rsid w:val="00020691"/>
    <w:rsid w:val="000208A7"/>
    <w:rsid w:val="000211EA"/>
    <w:rsid w:val="000234B2"/>
    <w:rsid w:val="00025AE4"/>
    <w:rsid w:val="0002684B"/>
    <w:rsid w:val="00027645"/>
    <w:rsid w:val="00027DAC"/>
    <w:rsid w:val="000300AE"/>
    <w:rsid w:val="000300EE"/>
    <w:rsid w:val="000302B6"/>
    <w:rsid w:val="0003106D"/>
    <w:rsid w:val="0003165D"/>
    <w:rsid w:val="00031700"/>
    <w:rsid w:val="00031F6E"/>
    <w:rsid w:val="0003277F"/>
    <w:rsid w:val="00032948"/>
    <w:rsid w:val="00032973"/>
    <w:rsid w:val="00032ACA"/>
    <w:rsid w:val="00032B0A"/>
    <w:rsid w:val="0003315D"/>
    <w:rsid w:val="00033DE7"/>
    <w:rsid w:val="0003541F"/>
    <w:rsid w:val="00035CD1"/>
    <w:rsid w:val="0003678F"/>
    <w:rsid w:val="00036A2B"/>
    <w:rsid w:val="000377D2"/>
    <w:rsid w:val="00040D3C"/>
    <w:rsid w:val="00040E5A"/>
    <w:rsid w:val="00042897"/>
    <w:rsid w:val="00042C84"/>
    <w:rsid w:val="00043739"/>
    <w:rsid w:val="00043A89"/>
    <w:rsid w:val="00045739"/>
    <w:rsid w:val="00046D30"/>
    <w:rsid w:val="000510B6"/>
    <w:rsid w:val="00051133"/>
    <w:rsid w:val="00051D06"/>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25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2A9"/>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72A"/>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3E0E"/>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A3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4F1"/>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6CE"/>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1833"/>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488F"/>
    <w:rsid w:val="00275641"/>
    <w:rsid w:val="0027569A"/>
    <w:rsid w:val="002767D9"/>
    <w:rsid w:val="0027757E"/>
    <w:rsid w:val="00280184"/>
    <w:rsid w:val="00280CBD"/>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1A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5A2"/>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A2C"/>
    <w:rsid w:val="00383BBC"/>
    <w:rsid w:val="0038418D"/>
    <w:rsid w:val="003849DF"/>
    <w:rsid w:val="00385444"/>
    <w:rsid w:val="00385717"/>
    <w:rsid w:val="00385C8D"/>
    <w:rsid w:val="00385F39"/>
    <w:rsid w:val="00386070"/>
    <w:rsid w:val="00387EB2"/>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59A"/>
    <w:rsid w:val="003A0DC3"/>
    <w:rsid w:val="003A1CF5"/>
    <w:rsid w:val="003A2812"/>
    <w:rsid w:val="003A2D0C"/>
    <w:rsid w:val="003A3298"/>
    <w:rsid w:val="003A3304"/>
    <w:rsid w:val="003A3551"/>
    <w:rsid w:val="003A38F0"/>
    <w:rsid w:val="003A443D"/>
    <w:rsid w:val="003A4708"/>
    <w:rsid w:val="003A4BAB"/>
    <w:rsid w:val="003A57FF"/>
    <w:rsid w:val="003A6A5A"/>
    <w:rsid w:val="003A6E00"/>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2E1B"/>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0278"/>
    <w:rsid w:val="004113C9"/>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6F"/>
    <w:rsid w:val="004252CD"/>
    <w:rsid w:val="0042602D"/>
    <w:rsid w:val="0042622F"/>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2D5"/>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922"/>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2236"/>
    <w:rsid w:val="004D49EE"/>
    <w:rsid w:val="004D4AE0"/>
    <w:rsid w:val="004D4C0B"/>
    <w:rsid w:val="004D512D"/>
    <w:rsid w:val="004D6042"/>
    <w:rsid w:val="004D62C0"/>
    <w:rsid w:val="004D69FC"/>
    <w:rsid w:val="004D77BD"/>
    <w:rsid w:val="004D77DE"/>
    <w:rsid w:val="004D7BF4"/>
    <w:rsid w:val="004D7C92"/>
    <w:rsid w:val="004E0547"/>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3BB"/>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47794"/>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7AA"/>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1EF5"/>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31F"/>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23B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27057"/>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3E6"/>
    <w:rsid w:val="006636D0"/>
    <w:rsid w:val="00663834"/>
    <w:rsid w:val="006647D7"/>
    <w:rsid w:val="00664F1B"/>
    <w:rsid w:val="006653D7"/>
    <w:rsid w:val="00665BFF"/>
    <w:rsid w:val="006665BA"/>
    <w:rsid w:val="00666A4F"/>
    <w:rsid w:val="00666B7F"/>
    <w:rsid w:val="00666DEC"/>
    <w:rsid w:val="00667477"/>
    <w:rsid w:val="006701FB"/>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81D"/>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D7D66"/>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37EF6"/>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4A0"/>
    <w:rsid w:val="00774B47"/>
    <w:rsid w:val="00775D3B"/>
    <w:rsid w:val="0077615A"/>
    <w:rsid w:val="00777483"/>
    <w:rsid w:val="007806A0"/>
    <w:rsid w:val="00782346"/>
    <w:rsid w:val="007828DB"/>
    <w:rsid w:val="007838CD"/>
    <w:rsid w:val="00783CC7"/>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35F3"/>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4ED6"/>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26C5"/>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7E3"/>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77A4C"/>
    <w:rsid w:val="008804E1"/>
    <w:rsid w:val="00880E30"/>
    <w:rsid w:val="008815B6"/>
    <w:rsid w:val="00881803"/>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6512"/>
    <w:rsid w:val="008B6E82"/>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5C38"/>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053"/>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6C5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5B3"/>
    <w:rsid w:val="00A04B6F"/>
    <w:rsid w:val="00A054CB"/>
    <w:rsid w:val="00A05E8F"/>
    <w:rsid w:val="00A0690B"/>
    <w:rsid w:val="00A06A54"/>
    <w:rsid w:val="00A0787D"/>
    <w:rsid w:val="00A10423"/>
    <w:rsid w:val="00A10498"/>
    <w:rsid w:val="00A10A6F"/>
    <w:rsid w:val="00A11768"/>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52"/>
    <w:rsid w:val="00A477C3"/>
    <w:rsid w:val="00A50299"/>
    <w:rsid w:val="00A5067A"/>
    <w:rsid w:val="00A533D5"/>
    <w:rsid w:val="00A53A31"/>
    <w:rsid w:val="00A53C68"/>
    <w:rsid w:val="00A5510E"/>
    <w:rsid w:val="00A559F4"/>
    <w:rsid w:val="00A56308"/>
    <w:rsid w:val="00A56547"/>
    <w:rsid w:val="00A57079"/>
    <w:rsid w:val="00A570E0"/>
    <w:rsid w:val="00A5751E"/>
    <w:rsid w:val="00A6022D"/>
    <w:rsid w:val="00A606A0"/>
    <w:rsid w:val="00A6077B"/>
    <w:rsid w:val="00A60A60"/>
    <w:rsid w:val="00A61263"/>
    <w:rsid w:val="00A614AD"/>
    <w:rsid w:val="00A61886"/>
    <w:rsid w:val="00A61B37"/>
    <w:rsid w:val="00A61E92"/>
    <w:rsid w:val="00A62757"/>
    <w:rsid w:val="00A631F3"/>
    <w:rsid w:val="00A639E0"/>
    <w:rsid w:val="00A63B7C"/>
    <w:rsid w:val="00A63D89"/>
    <w:rsid w:val="00A64393"/>
    <w:rsid w:val="00A6499A"/>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6FD"/>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24E"/>
    <w:rsid w:val="00AD6466"/>
    <w:rsid w:val="00AD6A21"/>
    <w:rsid w:val="00AD6BE0"/>
    <w:rsid w:val="00AD752F"/>
    <w:rsid w:val="00AE05DD"/>
    <w:rsid w:val="00AE0C8D"/>
    <w:rsid w:val="00AE0E2A"/>
    <w:rsid w:val="00AE1131"/>
    <w:rsid w:val="00AE1411"/>
    <w:rsid w:val="00AE2330"/>
    <w:rsid w:val="00AE27D6"/>
    <w:rsid w:val="00AE4304"/>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321"/>
    <w:rsid w:val="00B43AD9"/>
    <w:rsid w:val="00B443D5"/>
    <w:rsid w:val="00B44482"/>
    <w:rsid w:val="00B45012"/>
    <w:rsid w:val="00B450D9"/>
    <w:rsid w:val="00B453FE"/>
    <w:rsid w:val="00B45D36"/>
    <w:rsid w:val="00B46FF2"/>
    <w:rsid w:val="00B52B9D"/>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1A55"/>
    <w:rsid w:val="00BA30C2"/>
    <w:rsid w:val="00BA31C6"/>
    <w:rsid w:val="00BA4B0A"/>
    <w:rsid w:val="00BA699B"/>
    <w:rsid w:val="00BA76AB"/>
    <w:rsid w:val="00BB0225"/>
    <w:rsid w:val="00BB0423"/>
    <w:rsid w:val="00BB09A4"/>
    <w:rsid w:val="00BB0F8B"/>
    <w:rsid w:val="00BB1D01"/>
    <w:rsid w:val="00BB1D73"/>
    <w:rsid w:val="00BB2CE4"/>
    <w:rsid w:val="00BB3C27"/>
    <w:rsid w:val="00BB4008"/>
    <w:rsid w:val="00BB42D2"/>
    <w:rsid w:val="00BB5449"/>
    <w:rsid w:val="00BB5C00"/>
    <w:rsid w:val="00BB6ECF"/>
    <w:rsid w:val="00BB74B3"/>
    <w:rsid w:val="00BB777A"/>
    <w:rsid w:val="00BB7E0B"/>
    <w:rsid w:val="00BC06FE"/>
    <w:rsid w:val="00BC0799"/>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A8A"/>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2252"/>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233F"/>
    <w:rsid w:val="00C52C12"/>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96EBC"/>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2BA"/>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71E"/>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383"/>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6F9C"/>
    <w:rsid w:val="00D27131"/>
    <w:rsid w:val="00D31AD0"/>
    <w:rsid w:val="00D31B9E"/>
    <w:rsid w:val="00D31BBD"/>
    <w:rsid w:val="00D32658"/>
    <w:rsid w:val="00D3292B"/>
    <w:rsid w:val="00D34E83"/>
    <w:rsid w:val="00D35189"/>
    <w:rsid w:val="00D352D0"/>
    <w:rsid w:val="00D3701D"/>
    <w:rsid w:val="00D37354"/>
    <w:rsid w:val="00D404B1"/>
    <w:rsid w:val="00D40C33"/>
    <w:rsid w:val="00D4104F"/>
    <w:rsid w:val="00D4313E"/>
    <w:rsid w:val="00D43988"/>
    <w:rsid w:val="00D46469"/>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906"/>
    <w:rsid w:val="00D83A65"/>
    <w:rsid w:val="00D846CF"/>
    <w:rsid w:val="00D84FA9"/>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58C"/>
    <w:rsid w:val="00DC0860"/>
    <w:rsid w:val="00DC1309"/>
    <w:rsid w:val="00DC16F9"/>
    <w:rsid w:val="00DC1CA6"/>
    <w:rsid w:val="00DC20CF"/>
    <w:rsid w:val="00DC27E3"/>
    <w:rsid w:val="00DC3472"/>
    <w:rsid w:val="00DC4B44"/>
    <w:rsid w:val="00DC5C38"/>
    <w:rsid w:val="00DC5C39"/>
    <w:rsid w:val="00DC61A3"/>
    <w:rsid w:val="00DC6EB6"/>
    <w:rsid w:val="00DC7303"/>
    <w:rsid w:val="00DC7E69"/>
    <w:rsid w:val="00DD011E"/>
    <w:rsid w:val="00DD0467"/>
    <w:rsid w:val="00DD15EF"/>
    <w:rsid w:val="00DD1738"/>
    <w:rsid w:val="00DD190E"/>
    <w:rsid w:val="00DD2547"/>
    <w:rsid w:val="00DD3316"/>
    <w:rsid w:val="00DD3E02"/>
    <w:rsid w:val="00DD5654"/>
    <w:rsid w:val="00DD594C"/>
    <w:rsid w:val="00DD5E57"/>
    <w:rsid w:val="00DD5F57"/>
    <w:rsid w:val="00DD60E3"/>
    <w:rsid w:val="00DD6E97"/>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6E6"/>
    <w:rsid w:val="00DF6EE5"/>
    <w:rsid w:val="00E0077B"/>
    <w:rsid w:val="00E00898"/>
    <w:rsid w:val="00E029E1"/>
    <w:rsid w:val="00E03634"/>
    <w:rsid w:val="00E037EB"/>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779"/>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76D48"/>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0AB8"/>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4C2"/>
    <w:rsid w:val="00EB3B9C"/>
    <w:rsid w:val="00EB3CFC"/>
    <w:rsid w:val="00EB4C04"/>
    <w:rsid w:val="00EB55AF"/>
    <w:rsid w:val="00EB57BD"/>
    <w:rsid w:val="00EB5B1B"/>
    <w:rsid w:val="00EB5FE9"/>
    <w:rsid w:val="00EB623E"/>
    <w:rsid w:val="00EB6502"/>
    <w:rsid w:val="00EB7D9C"/>
    <w:rsid w:val="00EC1076"/>
    <w:rsid w:val="00EC1406"/>
    <w:rsid w:val="00EC1526"/>
    <w:rsid w:val="00EC16C0"/>
    <w:rsid w:val="00EC2149"/>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BAF"/>
    <w:rsid w:val="00ED7E2F"/>
    <w:rsid w:val="00ED7EA8"/>
    <w:rsid w:val="00EE02A3"/>
    <w:rsid w:val="00EE0650"/>
    <w:rsid w:val="00EE1313"/>
    <w:rsid w:val="00EE1F82"/>
    <w:rsid w:val="00EE2126"/>
    <w:rsid w:val="00EE3363"/>
    <w:rsid w:val="00EE4C7E"/>
    <w:rsid w:val="00EE556D"/>
    <w:rsid w:val="00EE6184"/>
    <w:rsid w:val="00EE641E"/>
    <w:rsid w:val="00EE7A2C"/>
    <w:rsid w:val="00EE7BE7"/>
    <w:rsid w:val="00EF09D3"/>
    <w:rsid w:val="00EF108A"/>
    <w:rsid w:val="00EF1240"/>
    <w:rsid w:val="00EF1F75"/>
    <w:rsid w:val="00EF2240"/>
    <w:rsid w:val="00EF3069"/>
    <w:rsid w:val="00EF31A5"/>
    <w:rsid w:val="00EF3700"/>
    <w:rsid w:val="00EF3EB5"/>
    <w:rsid w:val="00EF4939"/>
    <w:rsid w:val="00EF557D"/>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363F"/>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27CC"/>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6B8"/>
    <w:rsid w:val="00FE67D0"/>
    <w:rsid w:val="00FE689B"/>
    <w:rsid w:val="00FE79CE"/>
    <w:rsid w:val="00FF02D0"/>
    <w:rsid w:val="00FF081E"/>
    <w:rsid w:val="00FF1406"/>
    <w:rsid w:val="00FF145C"/>
    <w:rsid w:val="00FF26EE"/>
    <w:rsid w:val="00FF2739"/>
    <w:rsid w:val="00FF28EC"/>
    <w:rsid w:val="00FF47A3"/>
    <w:rsid w:val="00FF4B3F"/>
    <w:rsid w:val="00FF4B43"/>
    <w:rsid w:val="00FF574F"/>
    <w:rsid w:val="00FF6146"/>
    <w:rsid w:val="00FF7956"/>
    <w:rsid w:val="01310329"/>
    <w:rsid w:val="018F4DD0"/>
    <w:rsid w:val="01E925F2"/>
    <w:rsid w:val="02034A18"/>
    <w:rsid w:val="035C6B43"/>
    <w:rsid w:val="03613039"/>
    <w:rsid w:val="036202D4"/>
    <w:rsid w:val="03D07714"/>
    <w:rsid w:val="045C213B"/>
    <w:rsid w:val="04B94B88"/>
    <w:rsid w:val="05262D76"/>
    <w:rsid w:val="056F462F"/>
    <w:rsid w:val="057C5B7B"/>
    <w:rsid w:val="06270849"/>
    <w:rsid w:val="06552DE0"/>
    <w:rsid w:val="067D4F9E"/>
    <w:rsid w:val="06D71535"/>
    <w:rsid w:val="07515FD1"/>
    <w:rsid w:val="076170CE"/>
    <w:rsid w:val="07991A83"/>
    <w:rsid w:val="085207C5"/>
    <w:rsid w:val="08CA370B"/>
    <w:rsid w:val="091D7025"/>
    <w:rsid w:val="09F07824"/>
    <w:rsid w:val="09FD300E"/>
    <w:rsid w:val="0A0932C7"/>
    <w:rsid w:val="0A506477"/>
    <w:rsid w:val="0A8A4C86"/>
    <w:rsid w:val="0BD84435"/>
    <w:rsid w:val="0C30706F"/>
    <w:rsid w:val="0C8D726E"/>
    <w:rsid w:val="0CE05750"/>
    <w:rsid w:val="0CE73BD2"/>
    <w:rsid w:val="0D1077DD"/>
    <w:rsid w:val="0D22265C"/>
    <w:rsid w:val="0E4341CE"/>
    <w:rsid w:val="0E4806A0"/>
    <w:rsid w:val="0E5A03D3"/>
    <w:rsid w:val="0E5B6C15"/>
    <w:rsid w:val="0E6E6A1B"/>
    <w:rsid w:val="0EA162F1"/>
    <w:rsid w:val="0F4F55B5"/>
    <w:rsid w:val="0F523385"/>
    <w:rsid w:val="0F9D5A7F"/>
    <w:rsid w:val="10907D14"/>
    <w:rsid w:val="110658A6"/>
    <w:rsid w:val="114A387E"/>
    <w:rsid w:val="11A5684D"/>
    <w:rsid w:val="120E7E09"/>
    <w:rsid w:val="123D4E07"/>
    <w:rsid w:val="124D2729"/>
    <w:rsid w:val="12562AA0"/>
    <w:rsid w:val="12AE2D66"/>
    <w:rsid w:val="14404C2E"/>
    <w:rsid w:val="156B7273"/>
    <w:rsid w:val="159B504D"/>
    <w:rsid w:val="15BF474E"/>
    <w:rsid w:val="16420B24"/>
    <w:rsid w:val="167F40D4"/>
    <w:rsid w:val="169B65A7"/>
    <w:rsid w:val="16CB4F50"/>
    <w:rsid w:val="170A508C"/>
    <w:rsid w:val="176D5FB9"/>
    <w:rsid w:val="17853B61"/>
    <w:rsid w:val="17CB121D"/>
    <w:rsid w:val="183A1C0C"/>
    <w:rsid w:val="18F55316"/>
    <w:rsid w:val="19266750"/>
    <w:rsid w:val="199E5A21"/>
    <w:rsid w:val="1A0101DD"/>
    <w:rsid w:val="1A9133CF"/>
    <w:rsid w:val="1A9B10DB"/>
    <w:rsid w:val="1B942A09"/>
    <w:rsid w:val="1BB61013"/>
    <w:rsid w:val="1BCE272A"/>
    <w:rsid w:val="1BDF7E16"/>
    <w:rsid w:val="1C4A0220"/>
    <w:rsid w:val="1C4C11C0"/>
    <w:rsid w:val="1C831373"/>
    <w:rsid w:val="1CD245C1"/>
    <w:rsid w:val="1D035455"/>
    <w:rsid w:val="1D2B1804"/>
    <w:rsid w:val="1D2D465B"/>
    <w:rsid w:val="1D504B86"/>
    <w:rsid w:val="1D6703A5"/>
    <w:rsid w:val="1D7F13CF"/>
    <w:rsid w:val="1D89786B"/>
    <w:rsid w:val="1DB61906"/>
    <w:rsid w:val="1E3950C5"/>
    <w:rsid w:val="1E4808ED"/>
    <w:rsid w:val="203C3DDD"/>
    <w:rsid w:val="20913CBA"/>
    <w:rsid w:val="20C05350"/>
    <w:rsid w:val="20DB35F6"/>
    <w:rsid w:val="20DB5404"/>
    <w:rsid w:val="210118AD"/>
    <w:rsid w:val="221D779E"/>
    <w:rsid w:val="22701800"/>
    <w:rsid w:val="22F12418"/>
    <w:rsid w:val="25011468"/>
    <w:rsid w:val="259A788E"/>
    <w:rsid w:val="25B12A01"/>
    <w:rsid w:val="27034AD1"/>
    <w:rsid w:val="280C250B"/>
    <w:rsid w:val="28110042"/>
    <w:rsid w:val="28CF69C0"/>
    <w:rsid w:val="28DD6E23"/>
    <w:rsid w:val="297C78F2"/>
    <w:rsid w:val="2A182051"/>
    <w:rsid w:val="2A4F0167"/>
    <w:rsid w:val="2ADE7026"/>
    <w:rsid w:val="2B512E32"/>
    <w:rsid w:val="2CDD21EA"/>
    <w:rsid w:val="2D2417F5"/>
    <w:rsid w:val="2D8206C8"/>
    <w:rsid w:val="2D8603DA"/>
    <w:rsid w:val="2E254102"/>
    <w:rsid w:val="2EEC40A0"/>
    <w:rsid w:val="2FAF5153"/>
    <w:rsid w:val="2FD74BE1"/>
    <w:rsid w:val="306A22A0"/>
    <w:rsid w:val="30737069"/>
    <w:rsid w:val="307410C2"/>
    <w:rsid w:val="308D0856"/>
    <w:rsid w:val="31121EF5"/>
    <w:rsid w:val="314E35F6"/>
    <w:rsid w:val="31C95503"/>
    <w:rsid w:val="31E10E65"/>
    <w:rsid w:val="31EF7704"/>
    <w:rsid w:val="33305B83"/>
    <w:rsid w:val="338B6C3E"/>
    <w:rsid w:val="35AF558A"/>
    <w:rsid w:val="363F5927"/>
    <w:rsid w:val="395446BF"/>
    <w:rsid w:val="39637C1E"/>
    <w:rsid w:val="39B27192"/>
    <w:rsid w:val="39E14173"/>
    <w:rsid w:val="3A1A0B2C"/>
    <w:rsid w:val="3A660185"/>
    <w:rsid w:val="3AA76149"/>
    <w:rsid w:val="3BDD4E74"/>
    <w:rsid w:val="3BE91658"/>
    <w:rsid w:val="3C7E4EDD"/>
    <w:rsid w:val="3E09134A"/>
    <w:rsid w:val="3E467EA9"/>
    <w:rsid w:val="3E824310"/>
    <w:rsid w:val="3EB53DB8"/>
    <w:rsid w:val="3F2415CF"/>
    <w:rsid w:val="3F7C3190"/>
    <w:rsid w:val="3F9E5AC2"/>
    <w:rsid w:val="405C2C22"/>
    <w:rsid w:val="406568BE"/>
    <w:rsid w:val="40B97C69"/>
    <w:rsid w:val="40E813E9"/>
    <w:rsid w:val="41103AB3"/>
    <w:rsid w:val="411A2A57"/>
    <w:rsid w:val="4185067D"/>
    <w:rsid w:val="41A2641C"/>
    <w:rsid w:val="41C94F5A"/>
    <w:rsid w:val="41E950DD"/>
    <w:rsid w:val="425D60B8"/>
    <w:rsid w:val="426828AB"/>
    <w:rsid w:val="42A11473"/>
    <w:rsid w:val="42D24149"/>
    <w:rsid w:val="42E51F94"/>
    <w:rsid w:val="443B6043"/>
    <w:rsid w:val="44502E5B"/>
    <w:rsid w:val="44C558EE"/>
    <w:rsid w:val="44E15F67"/>
    <w:rsid w:val="4541586E"/>
    <w:rsid w:val="45C77963"/>
    <w:rsid w:val="45E17242"/>
    <w:rsid w:val="46CF4FC2"/>
    <w:rsid w:val="46EC288D"/>
    <w:rsid w:val="47B6656B"/>
    <w:rsid w:val="481275C2"/>
    <w:rsid w:val="483B2A48"/>
    <w:rsid w:val="48755090"/>
    <w:rsid w:val="48B84C3E"/>
    <w:rsid w:val="48C170B3"/>
    <w:rsid w:val="49461E07"/>
    <w:rsid w:val="49574862"/>
    <w:rsid w:val="49A90533"/>
    <w:rsid w:val="4A5406A2"/>
    <w:rsid w:val="4AC519F6"/>
    <w:rsid w:val="4B0C5FD6"/>
    <w:rsid w:val="4B110B90"/>
    <w:rsid w:val="4BD42B0B"/>
    <w:rsid w:val="4D131B32"/>
    <w:rsid w:val="4D4B1098"/>
    <w:rsid w:val="4D624570"/>
    <w:rsid w:val="4E444B87"/>
    <w:rsid w:val="51491D32"/>
    <w:rsid w:val="52377DDC"/>
    <w:rsid w:val="52990A97"/>
    <w:rsid w:val="53083749"/>
    <w:rsid w:val="5355411C"/>
    <w:rsid w:val="53590226"/>
    <w:rsid w:val="540D5BAD"/>
    <w:rsid w:val="54803EF9"/>
    <w:rsid w:val="54C65ADF"/>
    <w:rsid w:val="54D264E2"/>
    <w:rsid w:val="55787201"/>
    <w:rsid w:val="55FD133D"/>
    <w:rsid w:val="561244DD"/>
    <w:rsid w:val="562B3B54"/>
    <w:rsid w:val="563A27AE"/>
    <w:rsid w:val="56626FAC"/>
    <w:rsid w:val="56F15429"/>
    <w:rsid w:val="572F3A06"/>
    <w:rsid w:val="573F362D"/>
    <w:rsid w:val="588817BB"/>
    <w:rsid w:val="58B205DA"/>
    <w:rsid w:val="59562254"/>
    <w:rsid w:val="5AB92201"/>
    <w:rsid w:val="5B847B74"/>
    <w:rsid w:val="5B8A7AA0"/>
    <w:rsid w:val="5C7F08E5"/>
    <w:rsid w:val="5C9504F8"/>
    <w:rsid w:val="5CED3FF9"/>
    <w:rsid w:val="5CFC51BB"/>
    <w:rsid w:val="5D4476FB"/>
    <w:rsid w:val="5E8B3C4B"/>
    <w:rsid w:val="5ED8763C"/>
    <w:rsid w:val="5FC96642"/>
    <w:rsid w:val="5FE0199F"/>
    <w:rsid w:val="60032513"/>
    <w:rsid w:val="601574AE"/>
    <w:rsid w:val="60257F58"/>
    <w:rsid w:val="60F32DFD"/>
    <w:rsid w:val="60FA4DF7"/>
    <w:rsid w:val="61250170"/>
    <w:rsid w:val="614B2DC9"/>
    <w:rsid w:val="62111B39"/>
    <w:rsid w:val="627B5AC3"/>
    <w:rsid w:val="634925E3"/>
    <w:rsid w:val="63765F2D"/>
    <w:rsid w:val="65735661"/>
    <w:rsid w:val="665E5750"/>
    <w:rsid w:val="678877B3"/>
    <w:rsid w:val="67AC618D"/>
    <w:rsid w:val="67E1648C"/>
    <w:rsid w:val="684844D6"/>
    <w:rsid w:val="68813842"/>
    <w:rsid w:val="68DA5D31"/>
    <w:rsid w:val="69A9410F"/>
    <w:rsid w:val="69B646BF"/>
    <w:rsid w:val="6A5F3F1C"/>
    <w:rsid w:val="6B0869DC"/>
    <w:rsid w:val="6B100175"/>
    <w:rsid w:val="6B63693E"/>
    <w:rsid w:val="6B76151E"/>
    <w:rsid w:val="6B8235F5"/>
    <w:rsid w:val="6D0E2679"/>
    <w:rsid w:val="6D4573FA"/>
    <w:rsid w:val="6D4621DE"/>
    <w:rsid w:val="6D592EA5"/>
    <w:rsid w:val="6DE55656"/>
    <w:rsid w:val="6DE76703"/>
    <w:rsid w:val="6E036D5A"/>
    <w:rsid w:val="6E261BA7"/>
    <w:rsid w:val="6E660432"/>
    <w:rsid w:val="6E681C31"/>
    <w:rsid w:val="6E8D3E82"/>
    <w:rsid w:val="6ED7625C"/>
    <w:rsid w:val="6F135292"/>
    <w:rsid w:val="6F3C19F8"/>
    <w:rsid w:val="709B1025"/>
    <w:rsid w:val="70F50EBA"/>
    <w:rsid w:val="70F80C27"/>
    <w:rsid w:val="71266569"/>
    <w:rsid w:val="717C6A58"/>
    <w:rsid w:val="71D60130"/>
    <w:rsid w:val="72D640D7"/>
    <w:rsid w:val="73FA5E27"/>
    <w:rsid w:val="741E4FC3"/>
    <w:rsid w:val="74310B9B"/>
    <w:rsid w:val="743337E7"/>
    <w:rsid w:val="7447637A"/>
    <w:rsid w:val="74636829"/>
    <w:rsid w:val="74A51A98"/>
    <w:rsid w:val="74C667AB"/>
    <w:rsid w:val="74C876B4"/>
    <w:rsid w:val="753E2971"/>
    <w:rsid w:val="757440A2"/>
    <w:rsid w:val="75F73A2A"/>
    <w:rsid w:val="75FC7405"/>
    <w:rsid w:val="769958F2"/>
    <w:rsid w:val="76B45CFE"/>
    <w:rsid w:val="76E96805"/>
    <w:rsid w:val="770266B0"/>
    <w:rsid w:val="77E577FB"/>
    <w:rsid w:val="784576F8"/>
    <w:rsid w:val="78767A5E"/>
    <w:rsid w:val="78CB776D"/>
    <w:rsid w:val="78CC37D6"/>
    <w:rsid w:val="793D0B51"/>
    <w:rsid w:val="79BC0CE2"/>
    <w:rsid w:val="7B454A69"/>
    <w:rsid w:val="7B471C92"/>
    <w:rsid w:val="7C7970C0"/>
    <w:rsid w:val="7CA103C5"/>
    <w:rsid w:val="7CFE3D1B"/>
    <w:rsid w:val="7DEB27D3"/>
    <w:rsid w:val="7E816BC7"/>
    <w:rsid w:val="7EF402AF"/>
    <w:rsid w:val="7EFB371C"/>
    <w:rsid w:val="7F2E3DC9"/>
    <w:rsid w:val="7F855D7C"/>
    <w:rsid w:val="7F9FFB43"/>
    <w:rsid w:val="7FF0375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3"/>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68"/>
    <w:qFormat/>
    <w:uiPriority w:val="0"/>
    <w:pPr>
      <w:adjustRightInd w:val="0"/>
      <w:jc w:val="center"/>
      <w:textAlignment w:val="baseline"/>
      <w:outlineLvl w:val="1"/>
    </w:pPr>
    <w:rPr>
      <w:kern w:val="0"/>
      <w:sz w:val="24"/>
      <w:szCs w:val="20"/>
    </w:rPr>
  </w:style>
  <w:style w:type="paragraph" w:styleId="4">
    <w:name w:val="heading 3"/>
    <w:basedOn w:val="5"/>
    <w:next w:val="1"/>
    <w:link w:val="52"/>
    <w:qFormat/>
    <w:uiPriority w:val="9"/>
    <w:pPr>
      <w:spacing w:before="260" w:after="260" w:line="240" w:lineRule="auto"/>
      <w:outlineLvl w:val="2"/>
    </w:pPr>
    <w:rPr>
      <w:rFonts w:ascii="宋体" w:hAnsi="宋体" w:eastAsia="宋体"/>
      <w:szCs w:val="32"/>
    </w:rPr>
  </w:style>
  <w:style w:type="paragraph" w:styleId="5">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7"/>
    <w:qFormat/>
    <w:uiPriority w:val="0"/>
    <w:pPr>
      <w:keepNext/>
      <w:keepLines/>
      <w:spacing w:before="280" w:after="290" w:line="376" w:lineRule="auto"/>
      <w:outlineLvl w:val="4"/>
    </w:pPr>
    <w:rPr>
      <w:b/>
      <w:sz w:val="28"/>
      <w:szCs w:val="20"/>
    </w:rPr>
  </w:style>
  <w:style w:type="paragraph" w:styleId="9">
    <w:name w:val="heading 6"/>
    <w:basedOn w:val="1"/>
    <w:next w:val="8"/>
    <w:link w:val="8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81"/>
    <w:qFormat/>
    <w:uiPriority w:val="0"/>
    <w:pPr>
      <w:keepNext/>
      <w:keepLines/>
      <w:spacing w:before="240" w:after="64" w:line="320" w:lineRule="auto"/>
      <w:outlineLvl w:val="6"/>
    </w:pPr>
    <w:rPr>
      <w:b/>
      <w:sz w:val="24"/>
      <w:szCs w:val="20"/>
    </w:rPr>
  </w:style>
  <w:style w:type="paragraph" w:styleId="11">
    <w:name w:val="heading 8"/>
    <w:basedOn w:val="1"/>
    <w:next w:val="8"/>
    <w:link w:val="82"/>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8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9"/>
    <w:qFormat/>
    <w:uiPriority w:val="0"/>
    <w:pPr>
      <w:spacing w:line="360" w:lineRule="auto"/>
    </w:pPr>
    <w:rPr>
      <w:b/>
      <w:bCs/>
      <w:sz w:val="24"/>
    </w:rPr>
  </w:style>
  <w:style w:type="paragraph" w:styleId="8">
    <w:name w:val="Normal Indent"/>
    <w:basedOn w:val="1"/>
    <w:link w:val="54"/>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81"/>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95"/>
    <w:qFormat/>
    <w:uiPriority w:val="0"/>
    <w:pPr>
      <w:spacing w:after="120"/>
    </w:pPr>
    <w:rPr>
      <w:sz w:val="16"/>
      <w:szCs w:val="16"/>
    </w:rPr>
  </w:style>
  <w:style w:type="paragraph" w:styleId="19">
    <w:name w:val="Body Text Indent"/>
    <w:basedOn w:val="1"/>
    <w:link w:val="7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5"/>
    <w:qFormat/>
    <w:uiPriority w:val="0"/>
    <w:rPr>
      <w:rFonts w:ascii="宋体" w:hAnsi="Courier New"/>
      <w:sz w:val="32"/>
      <w:szCs w:val="20"/>
    </w:rPr>
  </w:style>
  <w:style w:type="paragraph" w:styleId="25">
    <w:name w:val="Body Text Indent 2"/>
    <w:basedOn w:val="1"/>
    <w:link w:val="9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6"/>
    <w:semiHidden/>
    <w:qFormat/>
    <w:uiPriority w:val="99"/>
    <w:rPr>
      <w:sz w:val="18"/>
      <w:szCs w:val="18"/>
    </w:rPr>
  </w:style>
  <w:style w:type="paragraph" w:styleId="27">
    <w:name w:val="footer"/>
    <w:basedOn w:val="1"/>
    <w:link w:val="94"/>
    <w:qFormat/>
    <w:uiPriority w:val="0"/>
    <w:pPr>
      <w:tabs>
        <w:tab w:val="center" w:pos="4153"/>
        <w:tab w:val="right" w:pos="8306"/>
      </w:tabs>
      <w:snapToGrid w:val="0"/>
      <w:jc w:val="left"/>
    </w:pPr>
    <w:rPr>
      <w:sz w:val="18"/>
      <w:szCs w:val="18"/>
    </w:rPr>
  </w:style>
  <w:style w:type="paragraph" w:styleId="2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2"/>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3"/>
    <w:qFormat/>
    <w:uiPriority w:val="0"/>
    <w:pPr>
      <w:spacing w:line="360" w:lineRule="auto"/>
    </w:pPr>
    <w:rPr>
      <w:sz w:val="24"/>
    </w:rPr>
  </w:style>
  <w:style w:type="paragraph" w:styleId="3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182"/>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27"/>
    <w:qFormat/>
    <w:uiPriority w:val="0"/>
    <w:pPr>
      <w:spacing w:after="120" w:line="240" w:lineRule="auto"/>
      <w:ind w:firstLine="420" w:firstLineChars="100"/>
    </w:pPr>
    <w:rPr>
      <w:sz w:val="21"/>
    </w:rPr>
  </w:style>
  <w:style w:type="table" w:styleId="43">
    <w:name w:val="Table Grid"/>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character" w:customStyle="1" w:styleId="50">
    <w:name w:val="标题 4 Char"/>
    <w:link w:val="5"/>
    <w:qFormat/>
    <w:uiPriority w:val="9"/>
    <w:rPr>
      <w:rFonts w:ascii="Arial" w:hAnsi="Arial" w:eastAsia="黑体"/>
      <w:b/>
      <w:bCs/>
      <w:kern w:val="2"/>
      <w:sz w:val="28"/>
      <w:szCs w:val="28"/>
      <w:lang w:val="en-US" w:eastAsia="zh-CN" w:bidi="ar-SA"/>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Char1"/>
    <w:link w:val="4"/>
    <w:qFormat/>
    <w:uiPriority w:val="9"/>
    <w:rPr>
      <w:rFonts w:ascii="宋体" w:hAnsi="宋体" w:eastAsia="宋体"/>
      <w:b/>
      <w:bCs/>
      <w:kern w:val="2"/>
      <w:sz w:val="28"/>
      <w:szCs w:val="32"/>
      <w:lang w:val="en-US" w:eastAsia="zh-CN" w:bidi="ar-SA"/>
    </w:rPr>
  </w:style>
  <w:style w:type="character" w:customStyle="1" w:styleId="53">
    <w:name w:val="标题 1 Char"/>
    <w:link w:val="3"/>
    <w:qFormat/>
    <w:uiPriority w:val="0"/>
    <w:rPr>
      <w:rFonts w:ascii="宋体" w:hAnsi="宋体" w:eastAsia="黑体"/>
      <w:b/>
      <w:bCs/>
      <w:kern w:val="44"/>
      <w:sz w:val="28"/>
      <w:szCs w:val="44"/>
      <w:lang w:val="en-US" w:eastAsia="zh-CN" w:bidi="ar-SA"/>
    </w:rPr>
  </w:style>
  <w:style w:type="character" w:customStyle="1" w:styleId="54">
    <w:name w:val="正文缩进 Char"/>
    <w:link w:val="8"/>
    <w:qFormat/>
    <w:uiPriority w:val="0"/>
    <w:rPr>
      <w:rFonts w:eastAsia="宋体"/>
      <w:kern w:val="2"/>
      <w:sz w:val="21"/>
      <w:lang w:val="en-US" w:eastAsia="zh-CN" w:bidi="ar-SA"/>
    </w:rPr>
  </w:style>
  <w:style w:type="character" w:customStyle="1" w:styleId="55">
    <w:name w:val="标题 3 Char"/>
    <w:qFormat/>
    <w:uiPriority w:val="0"/>
    <w:rPr>
      <w:rFonts w:ascii="黑体" w:eastAsia="黑体"/>
      <w:bCs/>
      <w:sz w:val="30"/>
    </w:rPr>
  </w:style>
  <w:style w:type="paragraph" w:customStyle="1" w:styleId="5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qFormat/>
    <w:uiPriority w:val="0"/>
    <w:pPr>
      <w:spacing w:afterLines="50"/>
      <w:ind w:left="600" w:leftChars="600"/>
    </w:pPr>
  </w:style>
  <w:style w:type="paragraph" w:customStyle="1" w:styleId="64">
    <w:name w:val="Char Char Char Char Char"/>
    <w:basedOn w:val="1"/>
    <w:qFormat/>
    <w:uiPriority w:val="0"/>
    <w:rPr>
      <w:rFonts w:ascii="Tahoma" w:hAnsi="Tahoma"/>
      <w:sz w:val="24"/>
      <w:szCs w:val="20"/>
    </w:rPr>
  </w:style>
  <w:style w:type="paragraph" w:customStyle="1" w:styleId="6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qFormat/>
    <w:uiPriority w:val="0"/>
    <w:rPr>
      <w:rFonts w:ascii="Tahoma" w:hAnsi="Tahoma"/>
      <w:sz w:val="24"/>
      <w:szCs w:val="20"/>
    </w:rPr>
  </w:style>
  <w:style w:type="paragraph" w:customStyle="1" w:styleId="6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Char"/>
    <w:link w:val="6"/>
    <w:qFormat/>
    <w:uiPriority w:val="0"/>
    <w:rPr>
      <w:rFonts w:ascii="宋体" w:hAnsi="宋体" w:eastAsia="宋体"/>
      <w:b/>
      <w:bCs/>
      <w:sz w:val="24"/>
      <w:lang w:val="en-US" w:eastAsia="zh-CN" w:bidi="ar-SA"/>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USE 1"/>
    <w:basedOn w:val="1"/>
    <w:qFormat/>
    <w:uiPriority w:val="0"/>
    <w:pPr>
      <w:spacing w:line="200" w:lineRule="atLeast"/>
      <w:jc w:val="left"/>
    </w:pPr>
    <w:rPr>
      <w:rFonts w:ascii="宋体" w:hAnsi="宋体"/>
      <w:b/>
      <w:sz w:val="24"/>
      <w:szCs w:val="28"/>
    </w:rPr>
  </w:style>
  <w:style w:type="paragraph" w:customStyle="1" w:styleId="7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5">
    <w:name w:val="H4 Char2"/>
    <w:qFormat/>
    <w:uiPriority w:val="0"/>
    <w:rPr>
      <w:rFonts w:ascii="Arial" w:hAnsi="Arial" w:eastAsia="黑体"/>
      <w:b/>
      <w:bCs/>
      <w:kern w:val="2"/>
      <w:sz w:val="28"/>
      <w:szCs w:val="28"/>
      <w:lang w:val="en-US" w:eastAsia="zh-CN" w:bidi="ar-SA"/>
    </w:rPr>
  </w:style>
  <w:style w:type="character" w:customStyle="1" w:styleId="76">
    <w:name w:val="正文文本缩进 Char"/>
    <w:link w:val="19"/>
    <w:qFormat/>
    <w:uiPriority w:val="0"/>
    <w:rPr>
      <w:rFonts w:eastAsia="宋体"/>
      <w:kern w:val="2"/>
      <w:sz w:val="21"/>
      <w:szCs w:val="24"/>
      <w:lang w:val="en-US" w:eastAsia="zh-CN" w:bidi="ar-SA"/>
    </w:rPr>
  </w:style>
  <w:style w:type="character" w:customStyle="1" w:styleId="77">
    <w:name w:val="标题 5 Char"/>
    <w:link w:val="7"/>
    <w:qFormat/>
    <w:uiPriority w:val="0"/>
    <w:rPr>
      <w:rFonts w:eastAsia="宋体"/>
      <w:b/>
      <w:kern w:val="2"/>
      <w:sz w:val="28"/>
      <w:lang w:val="en-US" w:eastAsia="zh-CN" w:bidi="ar-SA"/>
    </w:rPr>
  </w:style>
  <w:style w:type="character" w:customStyle="1" w:styleId="78">
    <w:name w:val="第*章 Char"/>
    <w:qFormat/>
    <w:uiPriority w:val="0"/>
    <w:rPr>
      <w:rFonts w:ascii="Arial" w:hAnsi="Arial" w:eastAsia="黑体"/>
      <w:b/>
      <w:bCs/>
      <w:kern w:val="2"/>
      <w:sz w:val="32"/>
      <w:szCs w:val="32"/>
    </w:rPr>
  </w:style>
  <w:style w:type="character" w:customStyle="1" w:styleId="79">
    <w:name w:val="章标题1 Char"/>
    <w:qFormat/>
    <w:uiPriority w:val="0"/>
    <w:rPr>
      <w:rFonts w:eastAsia="宋体"/>
      <w:b/>
      <w:bCs/>
      <w:kern w:val="2"/>
      <w:sz w:val="32"/>
      <w:szCs w:val="32"/>
      <w:lang w:val="en-US" w:eastAsia="zh-CN" w:bidi="ar-SA"/>
    </w:rPr>
  </w:style>
  <w:style w:type="character" w:customStyle="1" w:styleId="80">
    <w:name w:val="标题 6 Char"/>
    <w:link w:val="9"/>
    <w:qFormat/>
    <w:uiPriority w:val="0"/>
    <w:rPr>
      <w:rFonts w:ascii="Arial" w:hAnsi="Arial" w:eastAsia="黑体"/>
      <w:b/>
      <w:kern w:val="2"/>
      <w:sz w:val="24"/>
      <w:lang w:val="en-US" w:eastAsia="zh-CN" w:bidi="ar-SA"/>
    </w:rPr>
  </w:style>
  <w:style w:type="character" w:customStyle="1" w:styleId="81">
    <w:name w:val="标题 7 Char"/>
    <w:link w:val="10"/>
    <w:qFormat/>
    <w:uiPriority w:val="0"/>
    <w:rPr>
      <w:rFonts w:eastAsia="宋体"/>
      <w:b/>
      <w:kern w:val="2"/>
      <w:sz w:val="24"/>
      <w:lang w:val="en-US" w:eastAsia="zh-CN" w:bidi="ar-SA"/>
    </w:rPr>
  </w:style>
  <w:style w:type="character" w:customStyle="1" w:styleId="82">
    <w:name w:val="标题 8 Char"/>
    <w:link w:val="11"/>
    <w:qFormat/>
    <w:uiPriority w:val="0"/>
    <w:rPr>
      <w:rFonts w:ascii="Arial" w:hAnsi="Arial" w:eastAsia="黑体"/>
      <w:kern w:val="2"/>
      <w:sz w:val="24"/>
      <w:lang w:val="en-US" w:eastAsia="zh-CN" w:bidi="ar-SA"/>
    </w:rPr>
  </w:style>
  <w:style w:type="character" w:customStyle="1" w:styleId="83">
    <w:name w:val="标题 9 Char"/>
    <w:link w:val="12"/>
    <w:qFormat/>
    <w:uiPriority w:val="0"/>
    <w:rPr>
      <w:rFonts w:ascii="Arial" w:hAnsi="Arial" w:eastAsia="黑体"/>
      <w:kern w:val="2"/>
      <w:sz w:val="21"/>
      <w:lang w:val="en-US" w:eastAsia="zh-CN" w:bidi="ar-SA"/>
    </w:rPr>
  </w:style>
  <w:style w:type="character" w:customStyle="1" w:styleId="84">
    <w:name w:val="标题 Char"/>
    <w:link w:val="39"/>
    <w:qFormat/>
    <w:uiPriority w:val="0"/>
    <w:rPr>
      <w:rFonts w:ascii="Arial" w:hAnsi="Arial" w:eastAsia="隶书" w:cs="Arial"/>
      <w:b/>
      <w:bCs/>
      <w:kern w:val="2"/>
      <w:sz w:val="32"/>
      <w:szCs w:val="32"/>
      <w:lang w:val="en-US" w:eastAsia="zh-CN" w:bidi="ar-SA"/>
    </w:rPr>
  </w:style>
  <w:style w:type="character" w:customStyle="1" w:styleId="85">
    <w:name w:val="日期 Char"/>
    <w:link w:val="24"/>
    <w:qFormat/>
    <w:uiPriority w:val="0"/>
    <w:rPr>
      <w:rFonts w:ascii="宋体" w:hAnsi="Courier New" w:eastAsia="宋体"/>
      <w:kern w:val="2"/>
      <w:sz w:val="32"/>
      <w:lang w:val="en-US" w:eastAsia="zh-CN" w:bidi="ar-SA"/>
    </w:rPr>
  </w:style>
  <w:style w:type="character" w:customStyle="1" w:styleId="86">
    <w:name w:val="HTML 预设格式 Char"/>
    <w:link w:val="36"/>
    <w:qFormat/>
    <w:uiPriority w:val="0"/>
    <w:rPr>
      <w:rFonts w:ascii="Arial Unicode MS" w:hAnsi="Arial Unicode MS" w:eastAsia="Arial Unicode MS"/>
      <w:color w:val="000000"/>
      <w:lang w:val="en-US" w:eastAsia="zh-CN" w:bidi="ar-SA"/>
    </w:rPr>
  </w:style>
  <w:style w:type="character" w:customStyle="1" w:styleId="87">
    <w:name w:val="纯文本 Char"/>
    <w:link w:val="22"/>
    <w:qFormat/>
    <w:uiPriority w:val="0"/>
    <w:rPr>
      <w:rFonts w:ascii="宋体" w:hAnsi="Courier New" w:eastAsia="宋体"/>
      <w:kern w:val="2"/>
      <w:sz w:val="21"/>
      <w:lang w:val="en-US" w:eastAsia="zh-CN" w:bidi="ar-SA"/>
    </w:rPr>
  </w:style>
  <w:style w:type="character" w:customStyle="1" w:styleId="88">
    <w:name w:val="正文文字首行缩进 Char"/>
    <w:qFormat/>
    <w:uiPriority w:val="0"/>
    <w:rPr>
      <w:kern w:val="2"/>
      <w:sz w:val="21"/>
      <w:szCs w:val="24"/>
    </w:rPr>
  </w:style>
  <w:style w:type="character" w:customStyle="1" w:styleId="89">
    <w:name w:val="正文文本 Char"/>
    <w:link w:val="2"/>
    <w:qFormat/>
    <w:uiPriority w:val="0"/>
    <w:rPr>
      <w:rFonts w:eastAsia="宋体"/>
      <w:b/>
      <w:bCs/>
      <w:kern w:val="2"/>
      <w:sz w:val="24"/>
      <w:szCs w:val="24"/>
      <w:lang w:val="en-US" w:eastAsia="zh-CN" w:bidi="ar-SA"/>
    </w:rPr>
  </w:style>
  <w:style w:type="character" w:customStyle="1" w:styleId="90">
    <w:name w:val="正文文本缩进 2 Char"/>
    <w:link w:val="25"/>
    <w:qFormat/>
    <w:uiPriority w:val="0"/>
    <w:rPr>
      <w:rFonts w:ascii="宋体" w:hAnsi="宋体" w:eastAsia="宋体"/>
      <w:kern w:val="2"/>
      <w:sz w:val="21"/>
      <w:szCs w:val="24"/>
      <w:lang w:val="en-US" w:eastAsia="zh-CN" w:bidi="ar-SA"/>
    </w:rPr>
  </w:style>
  <w:style w:type="character" w:customStyle="1" w:styleId="91">
    <w:name w:val="页眉 Char"/>
    <w:link w:val="28"/>
    <w:qFormat/>
    <w:uiPriority w:val="99"/>
    <w:rPr>
      <w:rFonts w:eastAsia="宋体"/>
      <w:kern w:val="2"/>
      <w:sz w:val="18"/>
      <w:szCs w:val="18"/>
      <w:lang w:val="en-US" w:eastAsia="zh-CN" w:bidi="ar-SA"/>
    </w:rPr>
  </w:style>
  <w:style w:type="character" w:customStyle="1" w:styleId="92">
    <w:name w:val="正文文本缩进 3 Char"/>
    <w:link w:val="32"/>
    <w:qFormat/>
    <w:uiPriority w:val="0"/>
    <w:rPr>
      <w:rFonts w:ascii="宋体" w:eastAsia="宋体"/>
      <w:b/>
      <w:bCs/>
      <w:kern w:val="2"/>
      <w:sz w:val="24"/>
      <w:szCs w:val="24"/>
      <w:lang w:val="en-US" w:eastAsia="zh-CN" w:bidi="ar-SA"/>
    </w:rPr>
  </w:style>
  <w:style w:type="character" w:customStyle="1" w:styleId="93">
    <w:name w:val="正文文本 2 Char"/>
    <w:link w:val="35"/>
    <w:qFormat/>
    <w:uiPriority w:val="0"/>
    <w:rPr>
      <w:rFonts w:eastAsia="宋体"/>
      <w:kern w:val="2"/>
      <w:sz w:val="24"/>
      <w:szCs w:val="24"/>
      <w:lang w:val="en-US" w:eastAsia="zh-CN" w:bidi="ar-SA"/>
    </w:rPr>
  </w:style>
  <w:style w:type="character" w:customStyle="1" w:styleId="94">
    <w:name w:val="页脚 Char"/>
    <w:link w:val="27"/>
    <w:qFormat/>
    <w:uiPriority w:val="0"/>
    <w:rPr>
      <w:rFonts w:eastAsia="宋体"/>
      <w:kern w:val="2"/>
      <w:sz w:val="18"/>
      <w:szCs w:val="18"/>
      <w:lang w:val="en-US" w:eastAsia="zh-CN" w:bidi="ar-SA"/>
    </w:rPr>
  </w:style>
  <w:style w:type="character" w:customStyle="1" w:styleId="95">
    <w:name w:val="正文文本 3 Char"/>
    <w:link w:val="18"/>
    <w:qFormat/>
    <w:uiPriority w:val="0"/>
    <w:rPr>
      <w:rFonts w:eastAsia="宋体"/>
      <w:kern w:val="2"/>
      <w:sz w:val="16"/>
      <w:szCs w:val="16"/>
      <w:lang w:val="en-US" w:eastAsia="zh-CN" w:bidi="ar-SA"/>
    </w:rPr>
  </w:style>
  <w:style w:type="character" w:customStyle="1" w:styleId="96">
    <w:name w:val="批注框文本 Char"/>
    <w:link w:val="26"/>
    <w:semiHidden/>
    <w:qFormat/>
    <w:uiPriority w:val="99"/>
    <w:rPr>
      <w:rFonts w:eastAsia="宋体"/>
      <w:kern w:val="2"/>
      <w:sz w:val="18"/>
      <w:szCs w:val="18"/>
      <w:lang w:val="en-US" w:eastAsia="zh-CN" w:bidi="ar-SA"/>
    </w:rPr>
  </w:style>
  <w:style w:type="paragraph" w:customStyle="1" w:styleId="97">
    <w:name w:val="样式1"/>
    <w:basedOn w:val="39"/>
    <w:qFormat/>
    <w:uiPriority w:val="0"/>
    <w:pPr>
      <w:spacing w:before="120" w:after="120"/>
    </w:pPr>
    <w:rPr>
      <w:rFonts w:eastAsia="黑体"/>
      <w:b w:val="0"/>
      <w:sz w:val="30"/>
      <w:szCs w:val="21"/>
    </w:rPr>
  </w:style>
  <w:style w:type="paragraph" w:customStyle="1" w:styleId="98">
    <w:name w:val="样式2"/>
    <w:basedOn w:val="39"/>
    <w:next w:val="97"/>
    <w:qFormat/>
    <w:uiPriority w:val="0"/>
    <w:pPr>
      <w:spacing w:before="120" w:after="120"/>
    </w:pPr>
    <w:rPr>
      <w:rFonts w:eastAsia="黑体"/>
      <w:b w:val="0"/>
      <w:sz w:val="30"/>
      <w:szCs w:val="30"/>
    </w:rPr>
  </w:style>
  <w:style w:type="character" w:customStyle="1" w:styleId="99">
    <w:name w:val="标题 3 Char Char"/>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qFormat/>
    <w:uiPriority w:val="0"/>
    <w:pPr>
      <w:spacing w:line="360" w:lineRule="auto"/>
      <w:ind w:firstLine="200" w:firstLineChars="200"/>
    </w:pPr>
    <w:rPr>
      <w:szCs w:val="20"/>
    </w:rPr>
  </w:style>
  <w:style w:type="paragraph" w:customStyle="1" w:styleId="103">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qFormat/>
    <w:uiPriority w:val="0"/>
    <w:pPr>
      <w:tabs>
        <w:tab w:val="left" w:pos="842"/>
      </w:tabs>
      <w:spacing w:line="360" w:lineRule="auto"/>
      <w:ind w:left="842" w:hanging="420"/>
    </w:pPr>
    <w:rPr>
      <w:sz w:val="24"/>
    </w:rPr>
  </w:style>
  <w:style w:type="paragraph" w:customStyle="1" w:styleId="106">
    <w:name w:val="文字"/>
    <w:basedOn w:val="1"/>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qFormat/>
    <w:uiPriority w:val="0"/>
    <w:pPr>
      <w:spacing w:line="240" w:lineRule="auto"/>
      <w:ind w:firstLine="0" w:firstLineChars="0"/>
    </w:pPr>
    <w:rPr>
      <w:sz w:val="20"/>
    </w:rPr>
  </w:style>
  <w:style w:type="paragraph" w:customStyle="1" w:styleId="108">
    <w:name w:val="--规划-表格-居中"/>
    <w:basedOn w:val="102"/>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qFormat/>
    <w:uiPriority w:val="0"/>
    <w:pPr>
      <w:spacing w:line="360" w:lineRule="auto"/>
      <w:jc w:val="center"/>
    </w:pPr>
    <w:rPr>
      <w:rFonts w:eastAsia="黑体"/>
    </w:rPr>
  </w:style>
  <w:style w:type="paragraph" w:customStyle="1" w:styleId="111">
    <w:name w:val="--规划-图和表"/>
    <w:next w:val="102"/>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qFormat/>
    <w:uiPriority w:val="0"/>
    <w:pPr>
      <w:autoSpaceDE w:val="0"/>
      <w:autoSpaceDN w:val="0"/>
      <w:adjustRightInd w:val="0"/>
      <w:jc w:val="left"/>
    </w:pPr>
    <w:rPr>
      <w:kern w:val="0"/>
    </w:rPr>
  </w:style>
  <w:style w:type="paragraph" w:customStyle="1" w:styleId="11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qFormat/>
    <w:uiPriority w:val="0"/>
    <w:rPr>
      <w:rFonts w:eastAsia="宋体"/>
      <w:kern w:val="2"/>
      <w:sz w:val="24"/>
      <w:szCs w:val="24"/>
      <w:lang w:val="en-US" w:eastAsia="zh-CN" w:bidi="ar-SA"/>
    </w:rPr>
  </w:style>
  <w:style w:type="paragraph" w:customStyle="1" w:styleId="117">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qFormat/>
    <w:uiPriority w:val="0"/>
    <w:rPr>
      <w:rFonts w:eastAsia="宋体"/>
      <w:kern w:val="2"/>
      <w:sz w:val="21"/>
      <w:lang w:val="en-US" w:eastAsia="zh-CN" w:bidi="ar-SA"/>
    </w:rPr>
  </w:style>
  <w:style w:type="paragraph" w:customStyle="1" w:styleId="11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character" w:customStyle="1" w:styleId="121">
    <w:name w:val="content1"/>
    <w:qFormat/>
    <w:uiPriority w:val="0"/>
    <w:rPr>
      <w:rFonts w:hint="default" w:ascii="??" w:hAnsi="??"/>
      <w:sz w:val="16"/>
      <w:szCs w:val="16"/>
      <w:u w:val="none"/>
    </w:rPr>
  </w:style>
  <w:style w:type="character" w:customStyle="1" w:styleId="122">
    <w:name w:val="unnamed4"/>
    <w:basedOn w:val="44"/>
    <w:qFormat/>
    <w:uiPriority w:val="0"/>
  </w:style>
  <w:style w:type="character" w:customStyle="1" w:styleId="123">
    <w:name w:val="font2"/>
    <w:basedOn w:val="44"/>
    <w:qFormat/>
    <w:uiPriority w:val="0"/>
  </w:style>
  <w:style w:type="character" w:customStyle="1" w:styleId="124">
    <w:name w:val="font41"/>
    <w:qFormat/>
    <w:uiPriority w:val="0"/>
    <w:rPr>
      <w:color w:val="000000"/>
      <w:spacing w:val="260"/>
      <w:sz w:val="18"/>
      <w:szCs w:val="18"/>
      <w:u w:val="none"/>
    </w:rPr>
  </w:style>
  <w:style w:type="paragraph" w:customStyle="1" w:styleId="12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首行缩进 Char"/>
    <w:link w:val="41"/>
    <w:qFormat/>
    <w:uiPriority w:val="0"/>
    <w:rPr>
      <w:rFonts w:eastAsia="宋体"/>
      <w:b/>
      <w:bCs/>
      <w:kern w:val="2"/>
      <w:sz w:val="21"/>
      <w:szCs w:val="24"/>
      <w:lang w:val="en-US" w:eastAsia="zh-CN" w:bidi="ar-SA"/>
    </w:rPr>
  </w:style>
  <w:style w:type="paragraph" w:customStyle="1" w:styleId="1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qFormat/>
    <w:uiPriority w:val="0"/>
  </w:style>
  <w:style w:type="paragraph" w:customStyle="1" w:styleId="132">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qFormat/>
    <w:uiPriority w:val="0"/>
  </w:style>
  <w:style w:type="paragraph" w:customStyle="1" w:styleId="134">
    <w:name w:val="8"/>
    <w:basedOn w:val="1"/>
    <w:next w:val="19"/>
    <w:qFormat/>
    <w:uiPriority w:val="0"/>
    <w:pPr>
      <w:spacing w:after="120"/>
      <w:ind w:left="420" w:leftChars="200"/>
    </w:pPr>
  </w:style>
  <w:style w:type="paragraph" w:customStyle="1" w:styleId="1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qFormat/>
    <w:uiPriority w:val="0"/>
    <w:pPr>
      <w:autoSpaceDE w:val="0"/>
      <w:autoSpaceDN w:val="0"/>
      <w:adjustRightInd w:val="0"/>
      <w:jc w:val="left"/>
    </w:pPr>
    <w:rPr>
      <w:rFonts w:ascii="宋体"/>
      <w:b/>
      <w:bCs/>
      <w:kern w:val="0"/>
      <w:sz w:val="18"/>
      <w:szCs w:val="18"/>
    </w:rPr>
  </w:style>
  <w:style w:type="paragraph" w:customStyle="1" w:styleId="138">
    <w:name w:val="6"/>
    <w:basedOn w:val="137"/>
    <w:qFormat/>
    <w:uiPriority w:val="0"/>
    <w:pPr>
      <w:spacing w:line="270" w:lineRule="atLeast"/>
      <w:jc w:val="both"/>
    </w:pPr>
    <w:rPr>
      <w:b w:val="0"/>
      <w:bCs w:val="0"/>
    </w:rPr>
  </w:style>
  <w:style w:type="paragraph" w:customStyle="1" w:styleId="13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qFormat/>
    <w:uiPriority w:val="0"/>
    <w:pPr>
      <w:spacing w:line="240" w:lineRule="atLeast"/>
      <w:ind w:firstLine="567"/>
    </w:pPr>
    <w:rPr>
      <w:szCs w:val="20"/>
    </w:rPr>
  </w:style>
  <w:style w:type="paragraph" w:customStyle="1" w:styleId="14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2"/>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Char"/>
    <w:basedOn w:val="44"/>
    <w:link w:val="17"/>
    <w:qFormat/>
    <w:uiPriority w:val="99"/>
    <w:rPr>
      <w:rFonts w:ascii="宋体"/>
      <w:sz w:val="34"/>
    </w:rPr>
  </w:style>
  <w:style w:type="character" w:customStyle="1" w:styleId="182">
    <w:name w:val="批注主题 Char"/>
    <w:basedOn w:val="181"/>
    <w:link w:val="40"/>
    <w:qFormat/>
    <w:uiPriority w:val="99"/>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Char"/>
    <w:link w:val="37"/>
    <w:qFormat/>
    <w:uiPriority w:val="0"/>
    <w:rPr>
      <w:kern w:val="2"/>
      <w:sz w:val="24"/>
      <w:szCs w:val="24"/>
    </w:rPr>
  </w:style>
  <w:style w:type="character" w:customStyle="1" w:styleId="188">
    <w:name w:val="批注文字 Char1"/>
    <w:qFormat/>
    <w:uiPriority w:val="99"/>
    <w:rPr>
      <w:rFonts w:ascii="宋体"/>
      <w:sz w:val="34"/>
    </w:rPr>
  </w:style>
  <w:style w:type="character" w:customStyle="1" w:styleId="189">
    <w:name w:val="正文缩进 Char1"/>
    <w:qFormat/>
    <w:uiPriority w:val="0"/>
    <w:rPr>
      <w:rFonts w:eastAsia="宋体"/>
      <w:kern w:val="2"/>
      <w:sz w:val="21"/>
      <w:lang w:val="en-US" w:eastAsia="zh-CN" w:bidi="ar-SA"/>
    </w:rPr>
  </w:style>
  <w:style w:type="table" w:customStyle="1" w:styleId="190">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2">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193">
    <w:name w:val="网格型2"/>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A56A9-8CF8-491B-A11F-E4321AB027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18908</Words>
  <Characters>20075</Characters>
  <Lines>340</Lines>
  <Paragraphs>95</Paragraphs>
  <TotalTime>23</TotalTime>
  <ScaleCrop>false</ScaleCrop>
  <LinksUpToDate>false</LinksUpToDate>
  <CharactersWithSpaces>20191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2021-04-19T16:29:00Z</dcterms:created>
  <dc:creator>thsware</dc:creator>
  <cp:lastModifiedBy>zjf</cp:lastModifiedBy>
  <cp:lastPrinted>2021-05-09T16:02:00Z</cp:lastPrinted>
  <dcterms:modified xsi:type="dcterms:W3CDTF">2025-06-27T09:00:53Z</dcterms:modified>
  <dc:title>招  标　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1AE3519C50A81E7929B2A66730A5FEE7_43</vt:lpwstr>
  </property>
  <property fmtid="{D5CDD505-2E9C-101B-9397-08002B2CF9AE}" pid="4" name="KSOTemplateDocerSaveRecord">
    <vt:lpwstr>eyJoZGlkIjoiNjBmYTA2MzdjNzI4ZjVjYTRkMjI2NTliMDY5ZmU0ODciLCJ1c2VySWQiOiIzMTIxNjg0MjMifQ==</vt:lpwstr>
  </property>
</Properties>
</file>